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svg" ContentType="image/svg+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53FFF8" w14:textId="77777777" w:rsidR="00DE03C1" w:rsidRDefault="00DE03C1" w:rsidP="00DE03C1">
      <w:pPr>
        <w:suppressAutoHyphens/>
        <w:spacing w:line="240" w:lineRule="atLeast"/>
      </w:pPr>
      <w:r>
        <w:fldChar w:fldCharType="begin"/>
      </w:r>
      <w:r>
        <w:instrText xml:space="preserve">PRIVATE </w:instrText>
      </w:r>
      <w:r>
        <w:fldChar w:fldCharType="end"/>
      </w:r>
    </w:p>
    <w:p w14:paraId="2D8F9A32" w14:textId="77777777" w:rsidR="00DE03C1" w:rsidRDefault="00DE03C1" w:rsidP="00DE03C1">
      <w:pPr>
        <w:suppressAutoHyphens/>
        <w:spacing w:line="240" w:lineRule="atLeast"/>
        <w:jc w:val="center"/>
        <w:rPr>
          <w:b/>
          <w:bCs/>
        </w:rPr>
      </w:pPr>
    </w:p>
    <w:p w14:paraId="791B467A" w14:textId="77777777" w:rsidR="00DE03C1" w:rsidRDefault="00DE03C1" w:rsidP="00DE03C1">
      <w:pPr>
        <w:suppressAutoHyphens/>
        <w:spacing w:line="240" w:lineRule="atLeast"/>
        <w:jc w:val="center"/>
        <w:rPr>
          <w:b/>
          <w:bCs/>
        </w:rPr>
      </w:pPr>
    </w:p>
    <w:p w14:paraId="266BC01E" w14:textId="77777777" w:rsidR="00DE03C1" w:rsidRDefault="00DE03C1" w:rsidP="00DE03C1">
      <w:pPr>
        <w:suppressAutoHyphens/>
        <w:spacing w:line="240" w:lineRule="atLeast"/>
        <w:jc w:val="center"/>
        <w:rPr>
          <w:b/>
          <w:bCs/>
        </w:rPr>
      </w:pPr>
    </w:p>
    <w:p w14:paraId="0EB5F3E0" w14:textId="77777777" w:rsidR="00DE03C1" w:rsidRDefault="00DE03C1" w:rsidP="00DE03C1">
      <w:pPr>
        <w:suppressAutoHyphens/>
        <w:spacing w:line="240" w:lineRule="atLeast"/>
        <w:jc w:val="center"/>
        <w:rPr>
          <w:b/>
          <w:bCs/>
        </w:rPr>
      </w:pPr>
    </w:p>
    <w:p w14:paraId="75599BF5" w14:textId="77777777" w:rsidR="007363EF" w:rsidRDefault="007363EF" w:rsidP="00DE03C1">
      <w:pPr>
        <w:suppressAutoHyphens/>
        <w:spacing w:line="240" w:lineRule="atLeast"/>
        <w:jc w:val="center"/>
        <w:rPr>
          <w:b/>
          <w:bCs/>
          <w:sz w:val="32"/>
          <w:szCs w:val="32"/>
        </w:rPr>
      </w:pPr>
    </w:p>
    <w:p w14:paraId="09C10011" w14:textId="77777777" w:rsidR="007363EF" w:rsidRDefault="007363EF" w:rsidP="00DE03C1">
      <w:pPr>
        <w:suppressAutoHyphens/>
        <w:spacing w:line="240" w:lineRule="atLeast"/>
        <w:jc w:val="center"/>
        <w:rPr>
          <w:b/>
          <w:bCs/>
          <w:sz w:val="32"/>
          <w:szCs w:val="32"/>
        </w:rPr>
      </w:pPr>
    </w:p>
    <w:p w14:paraId="4C2C3B9B" w14:textId="77777777" w:rsidR="007363EF" w:rsidRDefault="007363EF" w:rsidP="00DE03C1">
      <w:pPr>
        <w:suppressAutoHyphens/>
        <w:spacing w:line="240" w:lineRule="atLeast"/>
        <w:jc w:val="center"/>
        <w:rPr>
          <w:b/>
          <w:bCs/>
          <w:sz w:val="32"/>
          <w:szCs w:val="32"/>
        </w:rPr>
      </w:pPr>
    </w:p>
    <w:p w14:paraId="57F78253" w14:textId="77777777" w:rsidR="007363EF" w:rsidRDefault="007363EF" w:rsidP="00DE03C1">
      <w:pPr>
        <w:suppressAutoHyphens/>
        <w:spacing w:line="240" w:lineRule="atLeast"/>
        <w:jc w:val="center"/>
        <w:rPr>
          <w:b/>
          <w:bCs/>
          <w:sz w:val="32"/>
          <w:szCs w:val="32"/>
        </w:rPr>
      </w:pPr>
    </w:p>
    <w:p w14:paraId="4D4F7BE6" w14:textId="77777777" w:rsidR="007363EF" w:rsidRDefault="007363EF" w:rsidP="00DE03C1">
      <w:pPr>
        <w:suppressAutoHyphens/>
        <w:spacing w:line="240" w:lineRule="atLeast"/>
        <w:jc w:val="center"/>
        <w:rPr>
          <w:b/>
          <w:bCs/>
          <w:sz w:val="32"/>
          <w:szCs w:val="32"/>
        </w:rPr>
      </w:pPr>
    </w:p>
    <w:p w14:paraId="7D5106E9" w14:textId="77777777" w:rsidR="00DE03C1" w:rsidRPr="00C63667" w:rsidRDefault="00DE03C1" w:rsidP="00DE03C1">
      <w:pPr>
        <w:suppressAutoHyphens/>
        <w:spacing w:line="240" w:lineRule="atLeast"/>
        <w:jc w:val="center"/>
        <w:rPr>
          <w:b/>
          <w:bCs/>
          <w:sz w:val="32"/>
          <w:szCs w:val="32"/>
        </w:rPr>
      </w:pPr>
      <w:r w:rsidRPr="00C63667">
        <w:rPr>
          <w:b/>
          <w:bCs/>
          <w:sz w:val="32"/>
          <w:szCs w:val="32"/>
        </w:rPr>
        <w:t>SOLIDIFICATION</w:t>
      </w:r>
    </w:p>
    <w:p w14:paraId="2883091D" w14:textId="77777777" w:rsidR="00DE03C1" w:rsidRDefault="00DE03C1" w:rsidP="00DE03C1">
      <w:pPr>
        <w:suppressAutoHyphens/>
        <w:spacing w:line="240" w:lineRule="atLeast"/>
        <w:jc w:val="center"/>
        <w:rPr>
          <w:b/>
          <w:bCs/>
        </w:rPr>
      </w:pPr>
    </w:p>
    <w:p w14:paraId="460169BD" w14:textId="373F9992" w:rsidR="00DE03C1" w:rsidRDefault="00DE03C1" w:rsidP="00DE03C1">
      <w:pPr>
        <w:suppressAutoHyphens/>
        <w:spacing w:line="240" w:lineRule="atLeast"/>
        <w:jc w:val="center"/>
        <w:rPr>
          <w:bCs/>
        </w:rPr>
      </w:pPr>
      <w:r w:rsidRPr="00C63667">
        <w:rPr>
          <w:bCs/>
        </w:rPr>
        <w:t xml:space="preserve">A </w:t>
      </w:r>
      <w:r>
        <w:rPr>
          <w:bCs/>
        </w:rPr>
        <w:t>c</w:t>
      </w:r>
      <w:r w:rsidRPr="00C63667">
        <w:rPr>
          <w:bCs/>
        </w:rPr>
        <w:t xml:space="preserve">hapter in </w:t>
      </w:r>
      <w:r w:rsidRPr="00C63667">
        <w:rPr>
          <w:bCs/>
          <w:u w:val="single"/>
        </w:rPr>
        <w:t>Physical Metallurgy</w:t>
      </w:r>
      <w:r w:rsidRPr="00C63667">
        <w:rPr>
          <w:bCs/>
        </w:rPr>
        <w:t xml:space="preserve">, </w:t>
      </w:r>
      <w:r w:rsidR="0002732C">
        <w:rPr>
          <w:bCs/>
        </w:rPr>
        <w:t>6</w:t>
      </w:r>
      <w:r w:rsidRPr="00883A53">
        <w:rPr>
          <w:bCs/>
          <w:sz w:val="26"/>
          <w:vertAlign w:val="superscript"/>
        </w:rPr>
        <w:t>th</w:t>
      </w:r>
      <w:r w:rsidRPr="00C63667">
        <w:rPr>
          <w:bCs/>
        </w:rPr>
        <w:t xml:space="preserve"> edition </w:t>
      </w:r>
      <w:r>
        <w:rPr>
          <w:bCs/>
        </w:rPr>
        <w:t xml:space="preserve">~ </w:t>
      </w:r>
      <w:r w:rsidRPr="00C63667">
        <w:rPr>
          <w:bCs/>
        </w:rPr>
        <w:t>20</w:t>
      </w:r>
      <w:r w:rsidR="0002732C">
        <w:rPr>
          <w:bCs/>
        </w:rPr>
        <w:t>24</w:t>
      </w:r>
    </w:p>
    <w:p w14:paraId="3F424716" w14:textId="77777777" w:rsidR="00DE03C1" w:rsidRDefault="00DE03C1" w:rsidP="00DE03C1">
      <w:pPr>
        <w:suppressAutoHyphens/>
        <w:spacing w:line="240" w:lineRule="atLeast"/>
        <w:jc w:val="center"/>
        <w:rPr>
          <w:bCs/>
        </w:rPr>
      </w:pPr>
      <w:r>
        <w:rPr>
          <w:bCs/>
        </w:rPr>
        <w:t xml:space="preserve">Elsevier </w:t>
      </w:r>
    </w:p>
    <w:p w14:paraId="6CADDF25" w14:textId="77777777" w:rsidR="00DE03C1" w:rsidRPr="00C63667" w:rsidRDefault="004F7C77" w:rsidP="00DE03C1">
      <w:pPr>
        <w:suppressAutoHyphens/>
        <w:spacing w:line="240" w:lineRule="atLeast"/>
        <w:jc w:val="center"/>
        <w:rPr>
          <w:bCs/>
        </w:rPr>
      </w:pPr>
      <w:r>
        <w:rPr>
          <w:bCs/>
        </w:rPr>
        <w:t xml:space="preserve">David </w:t>
      </w:r>
      <w:r w:rsidR="00DE03C1" w:rsidRPr="00C63667">
        <w:rPr>
          <w:bCs/>
        </w:rPr>
        <w:t>Laughlin and Kazuhiro Hono, editors</w:t>
      </w:r>
    </w:p>
    <w:p w14:paraId="65568B92" w14:textId="77777777" w:rsidR="00DE03C1" w:rsidRPr="00C63667" w:rsidRDefault="00DE03C1" w:rsidP="00DE03C1">
      <w:pPr>
        <w:suppressAutoHyphens/>
        <w:spacing w:line="240" w:lineRule="atLeast"/>
        <w:jc w:val="center"/>
        <w:rPr>
          <w:bCs/>
        </w:rPr>
      </w:pPr>
    </w:p>
    <w:p w14:paraId="44354711" w14:textId="77777777" w:rsidR="00DE03C1" w:rsidRPr="00C63667" w:rsidRDefault="00DE03C1" w:rsidP="00DE03C1">
      <w:pPr>
        <w:suppressAutoHyphens/>
        <w:spacing w:line="240" w:lineRule="atLeast"/>
        <w:jc w:val="center"/>
        <w:rPr>
          <w:bCs/>
        </w:rPr>
      </w:pPr>
      <w:r w:rsidRPr="00C63667">
        <w:rPr>
          <w:bCs/>
        </w:rPr>
        <w:t>William J. Boettinger</w:t>
      </w:r>
      <w:r w:rsidR="0002732C">
        <w:rPr>
          <w:bCs/>
        </w:rPr>
        <w:t>, Retired</w:t>
      </w:r>
    </w:p>
    <w:p w14:paraId="4AF427A6" w14:textId="1DF35427" w:rsidR="00DE03C1" w:rsidRDefault="00DE03C1" w:rsidP="00DE03C1">
      <w:pPr>
        <w:suppressAutoHyphens/>
        <w:spacing w:line="240" w:lineRule="atLeast"/>
        <w:jc w:val="center"/>
        <w:rPr>
          <w:bCs/>
        </w:rPr>
      </w:pPr>
    </w:p>
    <w:p w14:paraId="13A1E84B" w14:textId="77777777" w:rsidR="00F9122D" w:rsidRPr="00C63667" w:rsidRDefault="00F9122D" w:rsidP="00DE03C1">
      <w:pPr>
        <w:suppressAutoHyphens/>
        <w:spacing w:line="240" w:lineRule="atLeast"/>
        <w:jc w:val="center"/>
        <w:rPr>
          <w:bCs/>
        </w:rPr>
      </w:pPr>
    </w:p>
    <w:p w14:paraId="455948AE" w14:textId="77777777" w:rsidR="00DE03C1" w:rsidRDefault="00F9122D" w:rsidP="00DE03C1">
      <w:pPr>
        <w:suppressAutoHyphens/>
        <w:spacing w:line="240" w:lineRule="atLeast"/>
        <w:jc w:val="center"/>
        <w:rPr>
          <w:bCs/>
        </w:rPr>
      </w:pPr>
      <w:r>
        <w:rPr>
          <w:bCs/>
        </w:rPr>
        <w:t>a</w:t>
      </w:r>
      <w:r w:rsidR="00DE03C1" w:rsidRPr="00C63667">
        <w:rPr>
          <w:bCs/>
        </w:rPr>
        <w:t>nd</w:t>
      </w:r>
    </w:p>
    <w:p w14:paraId="0D462756" w14:textId="77777777" w:rsidR="00F9122D" w:rsidRDefault="00F9122D" w:rsidP="00DE03C1">
      <w:pPr>
        <w:suppressAutoHyphens/>
        <w:spacing w:line="240" w:lineRule="atLeast"/>
        <w:jc w:val="center"/>
        <w:rPr>
          <w:bCs/>
        </w:rPr>
      </w:pPr>
    </w:p>
    <w:p w14:paraId="4AF656A7" w14:textId="77777777" w:rsidR="00522769" w:rsidRPr="00C63667" w:rsidRDefault="00522769" w:rsidP="00DE03C1">
      <w:pPr>
        <w:suppressAutoHyphens/>
        <w:spacing w:line="240" w:lineRule="atLeast"/>
        <w:jc w:val="center"/>
        <w:rPr>
          <w:bCs/>
        </w:rPr>
      </w:pPr>
    </w:p>
    <w:p w14:paraId="575FC5D6" w14:textId="77777777" w:rsidR="00DE03C1" w:rsidRPr="00C63667" w:rsidRDefault="00DE03C1" w:rsidP="00DE03C1">
      <w:pPr>
        <w:suppressAutoHyphens/>
        <w:spacing w:line="240" w:lineRule="atLeast"/>
        <w:jc w:val="center"/>
        <w:rPr>
          <w:bCs/>
        </w:rPr>
      </w:pPr>
      <w:r w:rsidRPr="00C63667">
        <w:rPr>
          <w:bCs/>
        </w:rPr>
        <w:t xml:space="preserve"> Dilip </w:t>
      </w:r>
      <w:r w:rsidR="00C46334">
        <w:rPr>
          <w:bCs/>
        </w:rPr>
        <w:t xml:space="preserve">K. </w:t>
      </w:r>
      <w:r w:rsidRPr="00C63667">
        <w:rPr>
          <w:bCs/>
        </w:rPr>
        <w:t>Banerjee</w:t>
      </w:r>
    </w:p>
    <w:p w14:paraId="10359A68" w14:textId="0763F54E" w:rsidR="00DE03C1" w:rsidRPr="00C63667" w:rsidRDefault="00DE03C1" w:rsidP="00DE03C1">
      <w:pPr>
        <w:suppressAutoHyphens/>
        <w:spacing w:line="240" w:lineRule="atLeast"/>
        <w:jc w:val="center"/>
        <w:rPr>
          <w:bCs/>
        </w:rPr>
      </w:pPr>
      <w:r w:rsidRPr="00C63667">
        <w:rPr>
          <w:bCs/>
        </w:rPr>
        <w:t xml:space="preserve"> Materials </w:t>
      </w:r>
      <w:r w:rsidR="0002732C">
        <w:rPr>
          <w:bCs/>
        </w:rPr>
        <w:t>Science and Engineering</w:t>
      </w:r>
      <w:r w:rsidRPr="00C63667">
        <w:rPr>
          <w:bCs/>
        </w:rPr>
        <w:t xml:space="preserve"> Division</w:t>
      </w:r>
    </w:p>
    <w:p w14:paraId="73713E54" w14:textId="77777777" w:rsidR="00DE03C1" w:rsidRPr="00C63667" w:rsidRDefault="00DE03C1" w:rsidP="00DE03C1">
      <w:pPr>
        <w:suppressAutoHyphens/>
        <w:spacing w:line="240" w:lineRule="atLeast"/>
        <w:jc w:val="center"/>
        <w:rPr>
          <w:bCs/>
        </w:rPr>
      </w:pPr>
    </w:p>
    <w:p w14:paraId="5A70FF58" w14:textId="0608929E" w:rsidR="00DE03C1" w:rsidRPr="00C63667" w:rsidRDefault="00DE03C1" w:rsidP="00DE03C1">
      <w:pPr>
        <w:suppressAutoHyphens/>
        <w:spacing w:line="240" w:lineRule="atLeast"/>
        <w:jc w:val="center"/>
        <w:rPr>
          <w:bCs/>
        </w:rPr>
      </w:pPr>
      <w:r w:rsidRPr="00C63667">
        <w:rPr>
          <w:bCs/>
        </w:rPr>
        <w:t>NIST</w:t>
      </w:r>
      <w:r w:rsidR="001F1D81">
        <w:rPr>
          <w:bCs/>
        </w:rPr>
        <w:t>,</w:t>
      </w:r>
      <w:r w:rsidRPr="00C63667">
        <w:rPr>
          <w:bCs/>
        </w:rPr>
        <w:t xml:space="preserve"> Gaithersburg, MD 20899</w:t>
      </w:r>
    </w:p>
    <w:p w14:paraId="3C00C349" w14:textId="77777777" w:rsidR="00DE03C1" w:rsidRDefault="00DE03C1" w:rsidP="00DE03C1">
      <w:pPr>
        <w:suppressAutoHyphens/>
        <w:spacing w:line="240" w:lineRule="atLeast"/>
        <w:jc w:val="center"/>
        <w:rPr>
          <w:b/>
          <w:bCs/>
        </w:rPr>
      </w:pPr>
    </w:p>
    <w:p w14:paraId="0450AC14" w14:textId="77777777" w:rsidR="00DE03C1" w:rsidRPr="00C63667" w:rsidRDefault="00DE03C1" w:rsidP="00DE03C1">
      <w:pPr>
        <w:widowControl w:val="0"/>
        <w:suppressAutoHyphens/>
        <w:autoSpaceDE w:val="0"/>
        <w:autoSpaceDN w:val="0"/>
        <w:adjustRightInd w:val="0"/>
        <w:spacing w:line="240" w:lineRule="atLeast"/>
        <w:jc w:val="center"/>
        <w:rPr>
          <w:b/>
          <w:bCs/>
        </w:rPr>
      </w:pPr>
    </w:p>
    <w:p w14:paraId="093D507A" w14:textId="74E14717" w:rsidR="00066174" w:rsidRPr="00066174" w:rsidRDefault="0002732C" w:rsidP="00066174">
      <w:pPr>
        <w:tabs>
          <w:tab w:val="left" w:pos="-1440"/>
          <w:tab w:val="left" w:pos="-720"/>
        </w:tabs>
        <w:suppressAutoHyphens/>
        <w:spacing w:line="360" w:lineRule="atLeast"/>
        <w:jc w:val="center"/>
        <w:rPr>
          <w:b/>
          <w:i/>
          <w:spacing w:val="-3"/>
          <w:sz w:val="28"/>
          <w:szCs w:val="28"/>
        </w:rPr>
      </w:pPr>
      <w:r>
        <w:rPr>
          <w:b/>
          <w:bCs/>
        </w:rPr>
        <w:t>May 2024</w:t>
      </w:r>
      <w:r w:rsidR="00D73207">
        <w:rPr>
          <w:b/>
          <w:bCs/>
        </w:rPr>
        <w:t xml:space="preserve"> </w:t>
      </w:r>
      <w:r w:rsidR="00066174" w:rsidRPr="00066174">
        <w:rPr>
          <w:b/>
          <w:i/>
          <w:spacing w:val="-3"/>
          <w:sz w:val="28"/>
          <w:szCs w:val="28"/>
        </w:rPr>
        <w:t>Table of Contents</w:t>
      </w:r>
    </w:p>
    <w:p w14:paraId="10450F65" w14:textId="7D006E18" w:rsidR="00066174" w:rsidRPr="0038040F" w:rsidRDefault="00066174" w:rsidP="00066174">
      <w:pPr>
        <w:tabs>
          <w:tab w:val="left" w:pos="-1440"/>
          <w:tab w:val="left" w:pos="-720"/>
        </w:tabs>
        <w:suppressAutoHyphens/>
        <w:spacing w:line="360" w:lineRule="atLeast"/>
        <w:jc w:val="center"/>
        <w:rPr>
          <w:b/>
          <w:spacing w:val="-3"/>
          <w:sz w:val="28"/>
          <w:szCs w:val="28"/>
        </w:rPr>
      </w:pPr>
      <w:r>
        <w:rPr>
          <w:b/>
          <w:spacing w:val="-3"/>
          <w:sz w:val="28"/>
          <w:szCs w:val="28"/>
        </w:rPr>
        <w:t>(</w:t>
      </w:r>
      <w:r w:rsidR="001E4CA1">
        <w:rPr>
          <w:b/>
          <w:spacing w:val="-3"/>
          <w:sz w:val="28"/>
          <w:szCs w:val="28"/>
        </w:rPr>
        <w:t>Editor</w:t>
      </w:r>
      <w:r w:rsidR="002006B3">
        <w:rPr>
          <w:b/>
          <w:spacing w:val="-3"/>
          <w:sz w:val="28"/>
          <w:szCs w:val="28"/>
        </w:rPr>
        <w:t xml:space="preserve">, please </w:t>
      </w:r>
      <w:r>
        <w:rPr>
          <w:b/>
          <w:spacing w:val="-3"/>
          <w:sz w:val="28"/>
          <w:szCs w:val="28"/>
        </w:rPr>
        <w:t>add page numbers)</w:t>
      </w:r>
    </w:p>
    <w:p w14:paraId="446C5C93" w14:textId="77777777" w:rsidR="00066174" w:rsidRPr="00BE44AC" w:rsidRDefault="00066174" w:rsidP="00066174"/>
    <w:p w14:paraId="0C2846CD" w14:textId="77777777" w:rsidR="00066174" w:rsidRPr="00BE44AC" w:rsidRDefault="00066174" w:rsidP="00066174"/>
    <w:p w14:paraId="0030E052" w14:textId="77777777" w:rsidR="00066174" w:rsidRPr="00BE44AC" w:rsidRDefault="00066174" w:rsidP="00066174">
      <w:r w:rsidRPr="00BE44AC">
        <w:t>1. Introduction</w:t>
      </w:r>
    </w:p>
    <w:p w14:paraId="6E1A65F4" w14:textId="77777777" w:rsidR="00066174" w:rsidRPr="00BE44AC" w:rsidRDefault="00066174" w:rsidP="00066174">
      <w:r w:rsidRPr="00BE44AC">
        <w:t>2. Transport phenomena during solidification</w:t>
      </w:r>
    </w:p>
    <w:p w14:paraId="05C63C61" w14:textId="1CBD614E" w:rsidR="00066174" w:rsidRPr="00BE44AC" w:rsidRDefault="00066174" w:rsidP="00066174">
      <w:pPr>
        <w:ind w:left="720"/>
      </w:pPr>
      <w:r w:rsidRPr="00BE44AC">
        <w:t>2.1 General transport equations</w:t>
      </w:r>
    </w:p>
    <w:p w14:paraId="210704F8" w14:textId="77777777" w:rsidR="00066174" w:rsidRPr="00BE44AC" w:rsidRDefault="00066174" w:rsidP="00066174">
      <w:pPr>
        <w:ind w:left="1440"/>
      </w:pPr>
      <w:r w:rsidRPr="00BE44AC">
        <w:t>2.1.1</w:t>
      </w:r>
      <w:r>
        <w:t>.</w:t>
      </w:r>
      <w:r w:rsidRPr="00BE44AC">
        <w:t xml:space="preserve"> Energy </w:t>
      </w:r>
      <w:r w:rsidR="004860AE">
        <w:t>t</w:t>
      </w:r>
      <w:r w:rsidRPr="00BE44AC">
        <w:t>ransport</w:t>
      </w:r>
    </w:p>
    <w:p w14:paraId="25566C9F" w14:textId="7ED61A5F" w:rsidR="00066174" w:rsidRPr="00BE44AC" w:rsidRDefault="00066174" w:rsidP="00066174">
      <w:pPr>
        <w:ind w:left="1440"/>
      </w:pPr>
      <w:r w:rsidRPr="00BE44AC">
        <w:t>2.1.2</w:t>
      </w:r>
      <w:r w:rsidR="00710D2D">
        <w:t xml:space="preserve"> </w:t>
      </w:r>
      <w:r w:rsidRPr="00BE44AC">
        <w:t>Species (solute) transport</w:t>
      </w:r>
    </w:p>
    <w:p w14:paraId="7F91D105" w14:textId="76BE9B9B" w:rsidR="00066174" w:rsidRPr="00BE44AC" w:rsidRDefault="00066174" w:rsidP="00066174">
      <w:pPr>
        <w:ind w:left="1440"/>
      </w:pPr>
      <w:r w:rsidRPr="00BE44AC">
        <w:t xml:space="preserve">2.1.3 Mass and momentum </w:t>
      </w:r>
      <w:r>
        <w:t>transport</w:t>
      </w:r>
    </w:p>
    <w:p w14:paraId="180CB50A" w14:textId="09647522" w:rsidR="00066174" w:rsidRPr="00BE44AC" w:rsidRDefault="00066174" w:rsidP="00066174">
      <w:pPr>
        <w:ind w:left="720"/>
      </w:pPr>
      <w:r w:rsidRPr="00BE44AC">
        <w:t>2.2 Heat transfer at the metal-mold interface</w:t>
      </w:r>
    </w:p>
    <w:p w14:paraId="3A89FCCD" w14:textId="6DEE5B83" w:rsidR="00066174" w:rsidRPr="00BE44AC" w:rsidRDefault="00066174" w:rsidP="00066174">
      <w:pPr>
        <w:ind w:left="720"/>
      </w:pPr>
      <w:r w:rsidRPr="00BE44AC">
        <w:t>2.3 Experimental methods involving controlled solidification</w:t>
      </w:r>
    </w:p>
    <w:p w14:paraId="5AB418D7" w14:textId="6C399956" w:rsidR="00066174" w:rsidRPr="00BE44AC" w:rsidRDefault="00066174" w:rsidP="00066174">
      <w:pPr>
        <w:ind w:left="720"/>
        <w:rPr>
          <w:bCs/>
          <w:spacing w:val="-3"/>
        </w:rPr>
      </w:pPr>
      <w:r w:rsidRPr="00BE44AC">
        <w:rPr>
          <w:bCs/>
          <w:spacing w:val="-3"/>
        </w:rPr>
        <w:t xml:space="preserve">2.4 </w:t>
      </w:r>
      <w:r w:rsidR="004860AE">
        <w:rPr>
          <w:bCs/>
          <w:spacing w:val="-3"/>
        </w:rPr>
        <w:t>H</w:t>
      </w:r>
      <w:r w:rsidRPr="00BE44AC">
        <w:rPr>
          <w:bCs/>
          <w:spacing w:val="-3"/>
        </w:rPr>
        <w:t xml:space="preserve">eat flow in </w:t>
      </w:r>
      <w:r>
        <w:rPr>
          <w:bCs/>
          <w:spacing w:val="-3"/>
        </w:rPr>
        <w:t>simple</w:t>
      </w:r>
      <w:r w:rsidRPr="00BE44AC">
        <w:rPr>
          <w:bCs/>
          <w:spacing w:val="-3"/>
        </w:rPr>
        <w:t xml:space="preserve"> solidification geometries</w:t>
      </w:r>
    </w:p>
    <w:p w14:paraId="4A29DE2D" w14:textId="78BC760B" w:rsidR="00066174" w:rsidRPr="00BE44AC" w:rsidRDefault="00066174" w:rsidP="00066174">
      <w:pPr>
        <w:ind w:left="1440"/>
      </w:pPr>
      <w:r w:rsidRPr="00BE44AC">
        <w:t xml:space="preserve">2.4.1 Freezing at </w:t>
      </w:r>
      <w:r w:rsidR="004860AE">
        <w:t xml:space="preserve">a </w:t>
      </w:r>
      <w:r w:rsidRPr="00BE44AC">
        <w:t>mold wall</w:t>
      </w:r>
    </w:p>
    <w:p w14:paraId="433D37AB" w14:textId="7109834C" w:rsidR="00066174" w:rsidRPr="00BE44AC" w:rsidRDefault="00066174" w:rsidP="00066174">
      <w:pPr>
        <w:ind w:left="1440"/>
      </w:pPr>
      <w:r w:rsidRPr="00BE44AC">
        <w:t>2.4.2 Rapid freezing in contact with a cold substrate with initial melt supercooling</w:t>
      </w:r>
    </w:p>
    <w:p w14:paraId="1E8D745D" w14:textId="14FEEBD4" w:rsidR="00066174" w:rsidRPr="00BE44AC" w:rsidRDefault="00066174" w:rsidP="00066174">
      <w:pPr>
        <w:ind w:left="1440"/>
      </w:pPr>
      <w:r w:rsidRPr="00BE44AC">
        <w:lastRenderedPageBreak/>
        <w:t xml:space="preserve">2.4.3 Powder </w:t>
      </w:r>
      <w:r w:rsidR="004860AE">
        <w:t>s</w:t>
      </w:r>
      <w:r w:rsidRPr="00BE44AC">
        <w:t>olidification</w:t>
      </w:r>
    </w:p>
    <w:p w14:paraId="33B5D413" w14:textId="12A9E92D" w:rsidR="00066174" w:rsidRPr="00BE44AC" w:rsidRDefault="00066174" w:rsidP="00066174">
      <w:pPr>
        <w:ind w:left="720"/>
      </w:pPr>
      <w:r w:rsidRPr="00BE44AC">
        <w:t>2.5 Heat flow in complex geometries</w:t>
      </w:r>
    </w:p>
    <w:p w14:paraId="6195B0E5" w14:textId="1B632FED" w:rsidR="00066174" w:rsidRPr="00BE44AC" w:rsidRDefault="00066174" w:rsidP="00066174">
      <w:pPr>
        <w:ind w:left="1440"/>
      </w:pPr>
      <w:r w:rsidRPr="00BE44AC">
        <w:t xml:space="preserve">2.5.1 </w:t>
      </w:r>
      <w:r>
        <w:t>General n</w:t>
      </w:r>
      <w:r w:rsidRPr="00BE44AC">
        <w:t>umerical modeling approaches</w:t>
      </w:r>
    </w:p>
    <w:p w14:paraId="46B032C8" w14:textId="47326300" w:rsidR="00066174" w:rsidRDefault="00066174" w:rsidP="00066174">
      <w:pPr>
        <w:ind w:left="1440"/>
      </w:pPr>
      <w:r w:rsidRPr="00BE44AC">
        <w:t xml:space="preserve">2.5.2 </w:t>
      </w:r>
      <w:r>
        <w:t>Specific p</w:t>
      </w:r>
      <w:r w:rsidRPr="00BE44AC">
        <w:t>rocedures for numerical modeling of castings</w:t>
      </w:r>
    </w:p>
    <w:p w14:paraId="70990A94" w14:textId="730CD0E9" w:rsidR="00066174" w:rsidRPr="009A2DE6" w:rsidRDefault="00066174" w:rsidP="00066174">
      <w:pPr>
        <w:tabs>
          <w:tab w:val="left" w:pos="-1440"/>
          <w:tab w:val="left" w:pos="-720"/>
          <w:tab w:val="left" w:pos="0"/>
          <w:tab w:val="left" w:pos="737"/>
          <w:tab w:val="left" w:pos="1929"/>
          <w:tab w:val="left" w:pos="2160"/>
        </w:tabs>
        <w:suppressAutoHyphens/>
        <w:ind w:left="1929"/>
        <w:outlineLvl w:val="0"/>
      </w:pPr>
      <w:r w:rsidRPr="009A2DE6">
        <w:t>2.5.2.1 Geometry building and meshing</w:t>
      </w:r>
    </w:p>
    <w:p w14:paraId="3A37CD7F" w14:textId="4DB779A6" w:rsidR="00066174" w:rsidRPr="009A2DE6" w:rsidRDefault="00066174" w:rsidP="00066174">
      <w:pPr>
        <w:tabs>
          <w:tab w:val="left" w:pos="-1440"/>
          <w:tab w:val="left" w:pos="-720"/>
          <w:tab w:val="left" w:pos="0"/>
          <w:tab w:val="left" w:pos="737"/>
          <w:tab w:val="left" w:pos="1929"/>
          <w:tab w:val="left" w:pos="2160"/>
        </w:tabs>
        <w:suppressAutoHyphens/>
        <w:ind w:left="1929"/>
        <w:outlineLvl w:val="0"/>
      </w:pPr>
      <w:r w:rsidRPr="009A2DE6">
        <w:t>2.5.2.2 Description of material properties</w:t>
      </w:r>
    </w:p>
    <w:p w14:paraId="09D35330" w14:textId="12C2AAA7" w:rsidR="00066174" w:rsidRPr="009A2DE6" w:rsidRDefault="00066174" w:rsidP="00066174">
      <w:pPr>
        <w:tabs>
          <w:tab w:val="left" w:pos="-1440"/>
          <w:tab w:val="left" w:pos="-720"/>
          <w:tab w:val="left" w:pos="0"/>
          <w:tab w:val="left" w:pos="737"/>
          <w:tab w:val="left" w:pos="1929"/>
          <w:tab w:val="left" w:pos="2160"/>
        </w:tabs>
        <w:suppressAutoHyphens/>
        <w:ind w:left="1929"/>
        <w:outlineLvl w:val="0"/>
      </w:pPr>
      <w:r w:rsidRPr="009A2DE6">
        <w:t>2.5.2.3 Assigning initial and boundary conditions</w:t>
      </w:r>
    </w:p>
    <w:p w14:paraId="0B2B07F2" w14:textId="511977DF" w:rsidR="00066174" w:rsidRPr="009A2DE6" w:rsidRDefault="00066174" w:rsidP="00066174">
      <w:pPr>
        <w:tabs>
          <w:tab w:val="left" w:pos="-1440"/>
          <w:tab w:val="left" w:pos="-720"/>
          <w:tab w:val="left" w:pos="0"/>
          <w:tab w:val="left" w:pos="737"/>
          <w:tab w:val="left" w:pos="1929"/>
          <w:tab w:val="left" w:pos="2160"/>
        </w:tabs>
        <w:suppressAutoHyphens/>
        <w:ind w:left="1929"/>
        <w:outlineLvl w:val="0"/>
      </w:pPr>
      <w:r w:rsidRPr="009A2DE6">
        <w:t xml:space="preserve">2.5.2.4 Selecting </w:t>
      </w:r>
      <w:r w:rsidR="0035721F">
        <w:t>calculation</w:t>
      </w:r>
      <w:r w:rsidR="0035721F" w:rsidRPr="009A2DE6">
        <w:t xml:space="preserve"> </w:t>
      </w:r>
      <w:r w:rsidRPr="009A2DE6">
        <w:t>parameters</w:t>
      </w:r>
    </w:p>
    <w:p w14:paraId="0CDC888A" w14:textId="5918907C" w:rsidR="00066174" w:rsidRPr="009A2DE6" w:rsidRDefault="00066174" w:rsidP="00066174">
      <w:pPr>
        <w:tabs>
          <w:tab w:val="left" w:pos="-1440"/>
          <w:tab w:val="left" w:pos="-720"/>
          <w:tab w:val="left" w:pos="0"/>
          <w:tab w:val="left" w:pos="737"/>
          <w:tab w:val="left" w:pos="1929"/>
          <w:tab w:val="left" w:pos="2160"/>
        </w:tabs>
        <w:suppressAutoHyphens/>
        <w:ind w:left="1929"/>
        <w:outlineLvl w:val="0"/>
      </w:pPr>
      <w:r w:rsidRPr="009A2DE6">
        <w:t>2.5.2.5 Solution</w:t>
      </w:r>
    </w:p>
    <w:p w14:paraId="036EBD66" w14:textId="1E6BC329" w:rsidR="00066174" w:rsidRPr="009A2DE6" w:rsidRDefault="00066174" w:rsidP="00066174">
      <w:pPr>
        <w:tabs>
          <w:tab w:val="left" w:pos="-1440"/>
          <w:tab w:val="left" w:pos="-720"/>
          <w:tab w:val="left" w:pos="0"/>
          <w:tab w:val="left" w:pos="737"/>
          <w:tab w:val="left" w:pos="1929"/>
          <w:tab w:val="left" w:pos="2160"/>
        </w:tabs>
        <w:suppressAutoHyphens/>
        <w:ind w:left="1929"/>
        <w:outlineLvl w:val="0"/>
      </w:pPr>
      <w:r w:rsidRPr="009A2DE6">
        <w:t>2.5.2.6 Postprocessing</w:t>
      </w:r>
    </w:p>
    <w:p w14:paraId="4A64AC6C" w14:textId="77777777" w:rsidR="00066174" w:rsidRPr="00BE44AC" w:rsidRDefault="00066174" w:rsidP="00066174">
      <w:r w:rsidRPr="00BE44AC">
        <w:t>3. Thermodynamics of Solidification</w:t>
      </w:r>
    </w:p>
    <w:p w14:paraId="1337982F" w14:textId="272AB4C4" w:rsidR="00066174" w:rsidRPr="00BE44AC" w:rsidRDefault="00066174" w:rsidP="00066174">
      <w:pPr>
        <w:ind w:left="720"/>
      </w:pPr>
      <w:r w:rsidRPr="00BE44AC">
        <w:t>3.1 Hierarchy of equilibrium</w:t>
      </w:r>
    </w:p>
    <w:p w14:paraId="56D5FA98" w14:textId="2C6597E0" w:rsidR="00066174" w:rsidRPr="00BE44AC" w:rsidRDefault="00066174" w:rsidP="00066174">
      <w:pPr>
        <w:ind w:left="720"/>
      </w:pPr>
      <w:r w:rsidRPr="00BE44AC">
        <w:t>3.2 T</w:t>
      </w:r>
      <w:r w:rsidRPr="00727E8A">
        <w:rPr>
          <w:sz w:val="26"/>
          <w:vertAlign w:val="subscript"/>
        </w:rPr>
        <w:t>0</w:t>
      </w:r>
      <w:r w:rsidRPr="00BE44AC">
        <w:t xml:space="preserve"> curves</w:t>
      </w:r>
    </w:p>
    <w:p w14:paraId="69FB89E9" w14:textId="50802997" w:rsidR="00066174" w:rsidRPr="00BE44AC" w:rsidRDefault="00066174" w:rsidP="00066174">
      <w:pPr>
        <w:ind w:left="720"/>
      </w:pPr>
      <w:r w:rsidRPr="00BE44AC">
        <w:t>3.3 Thermodynamic databases</w:t>
      </w:r>
      <w:r>
        <w:t>/Calphad method</w:t>
      </w:r>
    </w:p>
    <w:p w14:paraId="71E690AD" w14:textId="5FC86F0E" w:rsidR="00066174" w:rsidRPr="00BE44AC" w:rsidRDefault="00066174" w:rsidP="00066174">
      <w:pPr>
        <w:ind w:left="720"/>
      </w:pPr>
      <w:r w:rsidRPr="00BE44AC">
        <w:t>3.4 The phase field method</w:t>
      </w:r>
    </w:p>
    <w:p w14:paraId="35491F4E" w14:textId="275946D3" w:rsidR="00066174" w:rsidRPr="00BE44AC" w:rsidRDefault="00066174" w:rsidP="00066174">
      <w:pPr>
        <w:ind w:left="1440"/>
      </w:pPr>
      <w:r w:rsidRPr="00BE44AC">
        <w:t xml:space="preserve">3.4.1 The </w:t>
      </w:r>
      <w:r w:rsidR="004860AE">
        <w:t>p</w:t>
      </w:r>
      <w:r w:rsidRPr="00BE44AC">
        <w:t xml:space="preserve">hase </w:t>
      </w:r>
      <w:r w:rsidR="004860AE">
        <w:t>f</w:t>
      </w:r>
      <w:r w:rsidRPr="00BE44AC">
        <w:t xml:space="preserve">ield </w:t>
      </w:r>
      <w:r w:rsidR="004860AE">
        <w:t>v</w:t>
      </w:r>
      <w:r w:rsidRPr="00BE44AC">
        <w:t>ariable</w:t>
      </w:r>
    </w:p>
    <w:p w14:paraId="5142C0E3" w14:textId="26FEE538" w:rsidR="00066174" w:rsidRPr="00BE44AC" w:rsidRDefault="00066174" w:rsidP="00066174">
      <w:pPr>
        <w:ind w:left="1440"/>
      </w:pPr>
      <w:r w:rsidRPr="00BE44AC">
        <w:t xml:space="preserve">3.4.2 Thermodynamic </w:t>
      </w:r>
      <w:r w:rsidR="004860AE">
        <w:t>d</w:t>
      </w:r>
      <w:r w:rsidRPr="00BE44AC">
        <w:t xml:space="preserve">erivation of the </w:t>
      </w:r>
      <w:r w:rsidR="004860AE">
        <w:t>p</w:t>
      </w:r>
      <w:r w:rsidRPr="00BE44AC">
        <w:t xml:space="preserve">hase </w:t>
      </w:r>
      <w:r w:rsidR="004860AE">
        <w:t>f</w:t>
      </w:r>
      <w:r w:rsidRPr="00BE44AC">
        <w:t xml:space="preserve">ield </w:t>
      </w:r>
      <w:r w:rsidR="004860AE">
        <w:t>m</w:t>
      </w:r>
      <w:r w:rsidRPr="00BE44AC">
        <w:t>odel</w:t>
      </w:r>
    </w:p>
    <w:p w14:paraId="08EE9E3C" w14:textId="1BAC63A5" w:rsidR="00066174" w:rsidRPr="00BE44AC" w:rsidRDefault="00066174" w:rsidP="00066174">
      <w:pPr>
        <w:ind w:left="1440"/>
      </w:pPr>
      <w:r w:rsidRPr="00BE44AC">
        <w:t xml:space="preserve">3.4.3 The </w:t>
      </w:r>
      <w:r w:rsidR="004860AE">
        <w:t>a</w:t>
      </w:r>
      <w:r w:rsidRPr="00BE44AC">
        <w:t xml:space="preserve">lloy </w:t>
      </w:r>
      <w:r w:rsidR="004860AE">
        <w:t>f</w:t>
      </w:r>
      <w:r w:rsidRPr="00BE44AC">
        <w:t xml:space="preserve">ree </w:t>
      </w:r>
      <w:r w:rsidR="004860AE">
        <w:t>e</w:t>
      </w:r>
      <w:r w:rsidRPr="00BE44AC">
        <w:t xml:space="preserve">nergy </w:t>
      </w:r>
      <w:r w:rsidR="004860AE">
        <w:t>f</w:t>
      </w:r>
      <w:r w:rsidRPr="00BE44AC">
        <w:t>unction</w:t>
      </w:r>
    </w:p>
    <w:p w14:paraId="45390823" w14:textId="3F7783AA" w:rsidR="00066174" w:rsidRPr="00BE44AC" w:rsidRDefault="00066174" w:rsidP="00066174">
      <w:pPr>
        <w:ind w:left="1440"/>
      </w:pPr>
      <w:r w:rsidRPr="00BE44AC">
        <w:t>3.4.4 Pure</w:t>
      </w:r>
      <w:r w:rsidR="004860AE">
        <w:t xml:space="preserve"> m</w:t>
      </w:r>
      <w:r w:rsidRPr="00BE44AC">
        <w:t>aterial</w:t>
      </w:r>
    </w:p>
    <w:p w14:paraId="37FA043A" w14:textId="6702D89D" w:rsidR="00066174" w:rsidRPr="00BE44AC" w:rsidRDefault="00066174" w:rsidP="00066174">
      <w:pPr>
        <w:ind w:left="1440"/>
      </w:pPr>
      <w:r w:rsidRPr="00BE44AC">
        <w:t>3.4.5 Alloys</w:t>
      </w:r>
    </w:p>
    <w:p w14:paraId="0D80F2ED" w14:textId="733CE04A" w:rsidR="00066174" w:rsidRPr="00BE44AC" w:rsidRDefault="00066174" w:rsidP="00066174">
      <w:pPr>
        <w:ind w:left="1440"/>
      </w:pPr>
      <w:r w:rsidRPr="00BE44AC">
        <w:t>3.4.6 Anisotropy, noise and numerical considerations for simulation of dendritic growth</w:t>
      </w:r>
    </w:p>
    <w:p w14:paraId="26F41703" w14:textId="77777777" w:rsidR="00066174" w:rsidRPr="00BE44AC" w:rsidRDefault="00066174" w:rsidP="00066174">
      <w:r w:rsidRPr="00BE44AC">
        <w:t>4. Nucleation</w:t>
      </w:r>
    </w:p>
    <w:p w14:paraId="7D23884E" w14:textId="01756E3F" w:rsidR="00066174" w:rsidRPr="00BE44AC" w:rsidRDefault="00066174" w:rsidP="00066174">
      <w:pPr>
        <w:ind w:left="720"/>
      </w:pPr>
      <w:r w:rsidRPr="00BE44AC">
        <w:t xml:space="preserve">4.1 Nucleation in </w:t>
      </w:r>
      <w:r w:rsidR="004860AE">
        <w:t>p</w:t>
      </w:r>
      <w:r w:rsidRPr="00BE44AC">
        <w:t xml:space="preserve">ure </w:t>
      </w:r>
      <w:r w:rsidR="004860AE">
        <w:t>l</w:t>
      </w:r>
      <w:r w:rsidRPr="00BE44AC">
        <w:t>iquids</w:t>
      </w:r>
    </w:p>
    <w:p w14:paraId="57311DB5" w14:textId="11132801" w:rsidR="00066174" w:rsidRPr="00BE44AC" w:rsidRDefault="00066174" w:rsidP="00066174">
      <w:pPr>
        <w:ind w:left="1440"/>
        <w:rPr>
          <w:lang w:val="es-ES_tradnl"/>
        </w:rPr>
      </w:pPr>
      <w:r w:rsidRPr="00BE44AC">
        <w:rPr>
          <w:lang w:val="es-ES_tradnl"/>
        </w:rPr>
        <w:t>4.1.1</w:t>
      </w:r>
      <w:r w:rsidRPr="00315CA5">
        <w:t xml:space="preserve"> Calculation</w:t>
      </w:r>
      <w:r w:rsidRPr="00BE44AC">
        <w:rPr>
          <w:lang w:val="es-ES_tradnl"/>
        </w:rPr>
        <w:t xml:space="preserve"> of the </w:t>
      </w:r>
      <w:r w:rsidR="004860AE" w:rsidRPr="00886989">
        <w:t>c</w:t>
      </w:r>
      <w:r w:rsidRPr="00886989">
        <w:t>ritical</w:t>
      </w:r>
      <w:r w:rsidRPr="00BE44AC">
        <w:rPr>
          <w:lang w:val="es-ES_tradnl"/>
        </w:rPr>
        <w:t xml:space="preserve"> </w:t>
      </w:r>
      <w:r w:rsidR="004860AE">
        <w:rPr>
          <w:lang w:val="es-ES_tradnl"/>
        </w:rPr>
        <w:t>r</w:t>
      </w:r>
      <w:r w:rsidRPr="00BE44AC">
        <w:rPr>
          <w:lang w:val="es-ES_tradnl"/>
        </w:rPr>
        <w:t xml:space="preserve">adius and </w:t>
      </w:r>
      <w:r w:rsidR="004860AE">
        <w:rPr>
          <w:lang w:val="es-ES_tradnl"/>
        </w:rPr>
        <w:t>e</w:t>
      </w:r>
      <w:r w:rsidRPr="00BE44AC">
        <w:rPr>
          <w:lang w:val="es-ES_tradnl"/>
        </w:rPr>
        <w:t xml:space="preserve">nergy </w:t>
      </w:r>
      <w:r w:rsidR="004860AE">
        <w:rPr>
          <w:lang w:val="es-ES_tradnl"/>
        </w:rPr>
        <w:t>b</w:t>
      </w:r>
      <w:r w:rsidRPr="00BE44AC">
        <w:rPr>
          <w:lang w:val="es-ES_tradnl"/>
        </w:rPr>
        <w:t>arrier</w:t>
      </w:r>
    </w:p>
    <w:p w14:paraId="124D8EE2" w14:textId="26F25BEC" w:rsidR="00066174" w:rsidRPr="00BE44AC" w:rsidRDefault="00066174" w:rsidP="00066174">
      <w:pPr>
        <w:ind w:left="1440"/>
        <w:rPr>
          <w:lang w:val="es-ES_tradnl"/>
        </w:rPr>
      </w:pPr>
      <w:r w:rsidRPr="00BE44AC">
        <w:rPr>
          <w:lang w:val="es-ES_tradnl"/>
        </w:rPr>
        <w:t xml:space="preserve">4.1.2 Nucleation </w:t>
      </w:r>
      <w:r w:rsidR="004860AE">
        <w:rPr>
          <w:lang w:val="es-ES_tradnl"/>
        </w:rPr>
        <w:t>r</w:t>
      </w:r>
      <w:r w:rsidRPr="00BE44AC">
        <w:rPr>
          <w:lang w:val="es-ES_tradnl"/>
        </w:rPr>
        <w:t>ate</w:t>
      </w:r>
    </w:p>
    <w:p w14:paraId="446F3DAE" w14:textId="77777777" w:rsidR="00066174" w:rsidRPr="00BE44AC" w:rsidRDefault="00066174" w:rsidP="00066174">
      <w:pPr>
        <w:ind w:left="720"/>
        <w:rPr>
          <w:lang w:val="es-ES_tradnl"/>
        </w:rPr>
      </w:pPr>
      <w:r w:rsidRPr="00BE44AC">
        <w:rPr>
          <w:lang w:val="es-ES_tradnl"/>
        </w:rPr>
        <w:t xml:space="preserve">4.2 Effect of </w:t>
      </w:r>
      <w:r w:rsidR="004860AE">
        <w:rPr>
          <w:lang w:val="es-ES_tradnl"/>
        </w:rPr>
        <w:t>m</w:t>
      </w:r>
      <w:r w:rsidRPr="00BE44AC">
        <w:rPr>
          <w:lang w:val="es-ES_tradnl"/>
        </w:rPr>
        <w:t xml:space="preserve">elt </w:t>
      </w:r>
      <w:r w:rsidR="004860AE" w:rsidRPr="00150B37">
        <w:t>s</w:t>
      </w:r>
      <w:r w:rsidRPr="00150B37">
        <w:t>ubdivision</w:t>
      </w:r>
    </w:p>
    <w:p w14:paraId="7A9E2448" w14:textId="3ABD3C7F" w:rsidR="00066174" w:rsidRPr="00BE44AC" w:rsidRDefault="00066174" w:rsidP="00066174">
      <w:pPr>
        <w:ind w:left="720"/>
        <w:rPr>
          <w:lang w:val="es-ES_tradnl"/>
        </w:rPr>
      </w:pPr>
      <w:r w:rsidRPr="00BE44AC">
        <w:rPr>
          <w:lang w:val="es-ES_tradnl"/>
        </w:rPr>
        <w:t>4.3</w:t>
      </w:r>
      <w:r w:rsidR="001E4CA1">
        <w:rPr>
          <w:lang w:val="es-ES_tradnl"/>
        </w:rPr>
        <w:t xml:space="preserve"> </w:t>
      </w:r>
      <w:r w:rsidRPr="00150B37">
        <w:t>Experiments</w:t>
      </w:r>
      <w:r w:rsidRPr="00BE44AC">
        <w:rPr>
          <w:lang w:val="es-ES_tradnl"/>
        </w:rPr>
        <w:t xml:space="preserve"> </w:t>
      </w:r>
      <w:r w:rsidRPr="00150B37">
        <w:t>on</w:t>
      </w:r>
      <w:r w:rsidRPr="00BE44AC">
        <w:rPr>
          <w:lang w:val="es-ES_tradnl"/>
        </w:rPr>
        <w:t xml:space="preserve"> </w:t>
      </w:r>
      <w:r w:rsidR="004860AE">
        <w:rPr>
          <w:lang w:val="es-ES_tradnl"/>
        </w:rPr>
        <w:t>n</w:t>
      </w:r>
      <w:r w:rsidRPr="00BE44AC">
        <w:rPr>
          <w:lang w:val="es-ES_tradnl"/>
        </w:rPr>
        <w:t>ucleation in pure metals – the liquid solid interface energy</w:t>
      </w:r>
    </w:p>
    <w:p w14:paraId="1FE2E9D3" w14:textId="08C6A879" w:rsidR="00066174" w:rsidRPr="00BE44AC" w:rsidRDefault="00066174" w:rsidP="00066174">
      <w:pPr>
        <w:ind w:left="720"/>
        <w:rPr>
          <w:lang w:val="es-ES_tradnl"/>
        </w:rPr>
      </w:pPr>
      <w:r w:rsidRPr="00BE44AC">
        <w:rPr>
          <w:lang w:val="es-ES_tradnl"/>
        </w:rPr>
        <w:t>4.4 Atomistic calculation of interface energy</w:t>
      </w:r>
    </w:p>
    <w:p w14:paraId="5F310D4E" w14:textId="4839DAF6" w:rsidR="00066174" w:rsidRPr="00BE44AC" w:rsidRDefault="00066174" w:rsidP="00066174">
      <w:pPr>
        <w:ind w:left="720"/>
        <w:rPr>
          <w:lang w:val="es-ES_tradnl"/>
        </w:rPr>
      </w:pPr>
      <w:r w:rsidRPr="00BE44AC">
        <w:rPr>
          <w:lang w:val="es-ES_tradnl"/>
        </w:rPr>
        <w:t xml:space="preserve">4.5 Alloy </w:t>
      </w:r>
      <w:r w:rsidR="004860AE">
        <w:rPr>
          <w:lang w:val="es-ES_tradnl"/>
        </w:rPr>
        <w:t>n</w:t>
      </w:r>
      <w:r w:rsidRPr="00BE44AC">
        <w:rPr>
          <w:lang w:val="es-ES_tradnl"/>
        </w:rPr>
        <w:t>ucleation</w:t>
      </w:r>
    </w:p>
    <w:p w14:paraId="77D85860" w14:textId="6E91E143" w:rsidR="00066174" w:rsidRPr="00BE44AC" w:rsidRDefault="00066174" w:rsidP="00066174">
      <w:pPr>
        <w:ind w:left="720"/>
        <w:rPr>
          <w:lang w:val="es-ES_tradnl"/>
        </w:rPr>
      </w:pPr>
      <w:r w:rsidRPr="00BE44AC">
        <w:rPr>
          <w:lang w:val="es-ES_tradnl"/>
        </w:rPr>
        <w:t xml:space="preserve">4.6 Formation of </w:t>
      </w:r>
      <w:r w:rsidR="004860AE">
        <w:rPr>
          <w:lang w:val="es-ES_tradnl"/>
        </w:rPr>
        <w:t>m</w:t>
      </w:r>
      <w:r w:rsidRPr="00BE44AC">
        <w:rPr>
          <w:lang w:val="es-ES_tradnl"/>
        </w:rPr>
        <w:t xml:space="preserve">etastable </w:t>
      </w:r>
      <w:r w:rsidR="004860AE">
        <w:rPr>
          <w:lang w:val="es-ES_tradnl"/>
        </w:rPr>
        <w:t>p</w:t>
      </w:r>
      <w:r w:rsidRPr="00BE44AC">
        <w:rPr>
          <w:lang w:val="es-ES_tradnl"/>
        </w:rPr>
        <w:t xml:space="preserve">hases by </w:t>
      </w:r>
      <w:r w:rsidR="004860AE">
        <w:rPr>
          <w:lang w:val="es-ES_tradnl"/>
        </w:rPr>
        <w:t>s</w:t>
      </w:r>
      <w:r w:rsidRPr="00BE44AC">
        <w:rPr>
          <w:lang w:val="es-ES_tradnl"/>
        </w:rPr>
        <w:t>upercooling</w:t>
      </w:r>
    </w:p>
    <w:p w14:paraId="41C3626C" w14:textId="6D7BB5A2" w:rsidR="00066174" w:rsidRPr="00BE44AC" w:rsidRDefault="00066174" w:rsidP="00066174">
      <w:pPr>
        <w:ind w:left="720"/>
        <w:rPr>
          <w:lang w:val="es-ES_tradnl"/>
        </w:rPr>
      </w:pPr>
      <w:r w:rsidRPr="00BE44AC">
        <w:rPr>
          <w:lang w:val="es-ES_tradnl"/>
        </w:rPr>
        <w:t>4.7 Innoculants</w:t>
      </w:r>
    </w:p>
    <w:p w14:paraId="7FA39356" w14:textId="77777777" w:rsidR="00066174" w:rsidRPr="00BE44AC" w:rsidRDefault="00066174" w:rsidP="00066174">
      <w:pPr>
        <w:rPr>
          <w:lang w:val="es-ES_tradnl"/>
        </w:rPr>
      </w:pPr>
      <w:r w:rsidRPr="00BE44AC">
        <w:rPr>
          <w:lang w:val="es-ES_tradnl"/>
        </w:rPr>
        <w:t xml:space="preserve">5. Interface </w:t>
      </w:r>
      <w:r w:rsidR="004860AE">
        <w:rPr>
          <w:lang w:val="es-ES_tradnl"/>
        </w:rPr>
        <w:t>kin</w:t>
      </w:r>
      <w:r w:rsidRPr="00BE44AC">
        <w:rPr>
          <w:lang w:val="es-ES_tradnl"/>
        </w:rPr>
        <w:t>etics</w:t>
      </w:r>
    </w:p>
    <w:p w14:paraId="41583CBC" w14:textId="3DF3F014" w:rsidR="00066174" w:rsidRPr="00BE44AC" w:rsidRDefault="00066174" w:rsidP="00066174">
      <w:pPr>
        <w:ind w:left="720"/>
        <w:rPr>
          <w:lang w:val="es-ES_tradnl"/>
        </w:rPr>
      </w:pPr>
      <w:r w:rsidRPr="00BE44AC">
        <w:rPr>
          <w:lang w:val="es-ES_tradnl"/>
        </w:rPr>
        <w:t>5.1 Pure materials</w:t>
      </w:r>
    </w:p>
    <w:p w14:paraId="711EC0C0" w14:textId="524DFC37" w:rsidR="00066174" w:rsidRPr="00BE44AC" w:rsidRDefault="00066174" w:rsidP="00066174">
      <w:pPr>
        <w:ind w:left="1440"/>
        <w:rPr>
          <w:lang w:val="es-ES_tradnl"/>
        </w:rPr>
      </w:pPr>
      <w:r w:rsidRPr="00BE44AC">
        <w:rPr>
          <w:lang w:val="es-ES_tradnl"/>
        </w:rPr>
        <w:t xml:space="preserve">5.1.1  Interface </w:t>
      </w:r>
      <w:r w:rsidR="004860AE">
        <w:rPr>
          <w:lang w:val="es-ES_tradnl"/>
        </w:rPr>
        <w:t>s</w:t>
      </w:r>
      <w:r w:rsidRPr="00BE44AC">
        <w:rPr>
          <w:lang w:val="es-ES_tradnl"/>
        </w:rPr>
        <w:t>tructure</w:t>
      </w:r>
    </w:p>
    <w:p w14:paraId="43D57864" w14:textId="14D1B8BA" w:rsidR="00066174" w:rsidRPr="00BE44AC" w:rsidRDefault="00066174" w:rsidP="00066174">
      <w:pPr>
        <w:ind w:left="1440"/>
        <w:rPr>
          <w:lang w:val="es-ES_tradnl"/>
        </w:rPr>
      </w:pPr>
      <w:r w:rsidRPr="00BE44AC">
        <w:rPr>
          <w:lang w:val="es-ES_tradnl"/>
        </w:rPr>
        <w:t xml:space="preserve">5.1.2  Continuous </w:t>
      </w:r>
      <w:r w:rsidR="004860AE">
        <w:rPr>
          <w:lang w:val="es-ES_tradnl"/>
        </w:rPr>
        <w:t>g</w:t>
      </w:r>
      <w:r w:rsidRPr="00BE44AC">
        <w:rPr>
          <w:lang w:val="es-ES_tradnl"/>
        </w:rPr>
        <w:t>rowth</w:t>
      </w:r>
    </w:p>
    <w:p w14:paraId="6F786ADE" w14:textId="4CA87CE1" w:rsidR="00066174" w:rsidRPr="00BE44AC" w:rsidRDefault="00066174" w:rsidP="00066174">
      <w:pPr>
        <w:ind w:left="1440"/>
        <w:rPr>
          <w:lang w:val="es-ES_tradnl"/>
        </w:rPr>
      </w:pPr>
      <w:r w:rsidRPr="00BE44AC">
        <w:rPr>
          <w:lang w:val="es-ES_tradnl"/>
        </w:rPr>
        <w:t>5.1.3</w:t>
      </w:r>
      <w:r w:rsidR="009E5794">
        <w:rPr>
          <w:lang w:val="es-ES_tradnl"/>
        </w:rPr>
        <w:t xml:space="preserve"> </w:t>
      </w:r>
      <w:r w:rsidRPr="00BE44AC">
        <w:rPr>
          <w:lang w:val="es-ES_tradnl"/>
        </w:rPr>
        <w:t xml:space="preserve"> Facetted cr</w:t>
      </w:r>
      <w:r w:rsidR="004201E7">
        <w:rPr>
          <w:lang w:val="es-ES_tradnl"/>
        </w:rPr>
        <w:t>yst</w:t>
      </w:r>
      <w:r w:rsidRPr="00BE44AC">
        <w:rPr>
          <w:lang w:val="es-ES_tradnl"/>
        </w:rPr>
        <w:t>al growth</w:t>
      </w:r>
    </w:p>
    <w:p w14:paraId="79A8BEFB" w14:textId="77777777" w:rsidR="00066174" w:rsidRPr="00BE44AC" w:rsidRDefault="00066174" w:rsidP="00066174">
      <w:pPr>
        <w:ind w:left="720"/>
      </w:pPr>
      <w:r w:rsidRPr="00BE44AC">
        <w:t xml:space="preserve">5.2 Binary </w:t>
      </w:r>
      <w:r w:rsidR="004860AE">
        <w:t>a</w:t>
      </w:r>
      <w:r w:rsidRPr="00BE44AC">
        <w:t>lloys</w:t>
      </w:r>
    </w:p>
    <w:p w14:paraId="59B39898" w14:textId="76CB9E40" w:rsidR="00066174" w:rsidRPr="00BE44AC" w:rsidRDefault="00066174" w:rsidP="00066174">
      <w:pPr>
        <w:ind w:left="1440"/>
      </w:pPr>
      <w:r w:rsidRPr="00BE44AC">
        <w:t>5.2.1 Interface temperature</w:t>
      </w:r>
    </w:p>
    <w:p w14:paraId="59F1F155" w14:textId="7C82E745" w:rsidR="00066174" w:rsidRPr="00BE44AC" w:rsidRDefault="00066174" w:rsidP="00066174">
      <w:pPr>
        <w:ind w:left="1440"/>
      </w:pPr>
      <w:r w:rsidRPr="00BE44AC">
        <w:t>5.2.2 Partition coefficient</w:t>
      </w:r>
      <w:r w:rsidR="00DE0922">
        <w:t xml:space="preserve"> – solute trapping</w:t>
      </w:r>
    </w:p>
    <w:p w14:paraId="31C43C38" w14:textId="44EF432B" w:rsidR="00066174" w:rsidRPr="00BE44AC" w:rsidRDefault="00066174" w:rsidP="00066174">
      <w:pPr>
        <w:ind w:left="1440"/>
      </w:pPr>
      <w:r w:rsidRPr="00BE44AC">
        <w:t xml:space="preserve">5.2.3 </w:t>
      </w:r>
      <w:r w:rsidR="004860AE">
        <w:t xml:space="preserve">Long range order - </w:t>
      </w:r>
      <w:r w:rsidR="009E5794">
        <w:t>d</w:t>
      </w:r>
      <w:r w:rsidRPr="00BE44AC">
        <w:t>isorder trapping</w:t>
      </w:r>
    </w:p>
    <w:p w14:paraId="5047113A" w14:textId="325FBB08" w:rsidR="00066174" w:rsidRPr="00BE44AC" w:rsidRDefault="00066174" w:rsidP="00066174">
      <w:r w:rsidRPr="00BE44AC">
        <w:t xml:space="preserve">6. Solidification of </w:t>
      </w:r>
      <w:r w:rsidR="004860AE">
        <w:t>a</w:t>
      </w:r>
      <w:r w:rsidRPr="00BE44AC">
        <w:t xml:space="preserve">lloys with </w:t>
      </w:r>
      <w:r w:rsidR="004860AE">
        <w:t>p</w:t>
      </w:r>
      <w:r w:rsidRPr="00BE44AC">
        <w:t xml:space="preserve">lanar and </w:t>
      </w:r>
      <w:r w:rsidR="004860AE">
        <w:t>n</w:t>
      </w:r>
      <w:r w:rsidRPr="00BE44AC">
        <w:t xml:space="preserve">early </w:t>
      </w:r>
      <w:r w:rsidR="004860AE">
        <w:t>p</w:t>
      </w:r>
      <w:r w:rsidRPr="00BE44AC">
        <w:t xml:space="preserve">lanar </w:t>
      </w:r>
      <w:r w:rsidR="00E26411">
        <w:t>liquid-solid (</w:t>
      </w:r>
      <w:r w:rsidR="004201E7">
        <w:t>L-S</w:t>
      </w:r>
      <w:r w:rsidR="00E26411">
        <w:t>)</w:t>
      </w:r>
      <w:r w:rsidRPr="00BE44AC">
        <w:t xml:space="preserve"> </w:t>
      </w:r>
      <w:r w:rsidR="004860AE">
        <w:t>i</w:t>
      </w:r>
      <w:r w:rsidRPr="00BE44AC">
        <w:t>nterfaces</w:t>
      </w:r>
    </w:p>
    <w:p w14:paraId="516CB297" w14:textId="29F0A143" w:rsidR="00066174" w:rsidRPr="00BE44AC" w:rsidRDefault="00066174" w:rsidP="00066174">
      <w:pPr>
        <w:ind w:left="720"/>
      </w:pPr>
      <w:r w:rsidRPr="00BE44AC">
        <w:t xml:space="preserve">6.1 General </w:t>
      </w:r>
      <w:r w:rsidR="004860AE">
        <w:t>f</w:t>
      </w:r>
      <w:r w:rsidRPr="00BE44AC">
        <w:t xml:space="preserve">ormulation of </w:t>
      </w:r>
      <w:r w:rsidR="004860AE">
        <w:t>o</w:t>
      </w:r>
      <w:r w:rsidRPr="00BE44AC">
        <w:t xml:space="preserve">ne </w:t>
      </w:r>
      <w:r w:rsidR="004860AE">
        <w:t>d</w:t>
      </w:r>
      <w:r w:rsidRPr="00BE44AC">
        <w:t xml:space="preserve">imensional </w:t>
      </w:r>
      <w:r w:rsidR="004860AE">
        <w:t>g</w:t>
      </w:r>
      <w:r w:rsidRPr="00BE44AC">
        <w:t>rowth</w:t>
      </w:r>
    </w:p>
    <w:p w14:paraId="520C207F" w14:textId="0F675C9D" w:rsidR="00066174" w:rsidRPr="00BE44AC" w:rsidRDefault="00066174" w:rsidP="00066174">
      <w:pPr>
        <w:ind w:left="720"/>
      </w:pPr>
      <w:r w:rsidRPr="00BE44AC">
        <w:t xml:space="preserve">6.2 Solute </w:t>
      </w:r>
      <w:r w:rsidR="004860AE">
        <w:t>r</w:t>
      </w:r>
      <w:r w:rsidRPr="00BE44AC">
        <w:t xml:space="preserve">edistribution </w:t>
      </w:r>
      <w:r w:rsidR="006E6FC2" w:rsidRPr="00BE44AC">
        <w:t>during</w:t>
      </w:r>
      <w:r w:rsidRPr="00BE44AC">
        <w:t xml:space="preserve"> </w:t>
      </w:r>
      <w:r w:rsidR="004860AE">
        <w:t>o</w:t>
      </w:r>
      <w:r w:rsidRPr="00BE44AC">
        <w:t xml:space="preserve">ne </w:t>
      </w:r>
      <w:r w:rsidR="004860AE">
        <w:t>d</w:t>
      </w:r>
      <w:r w:rsidRPr="00BE44AC">
        <w:t xml:space="preserve">imensional </w:t>
      </w:r>
      <w:r w:rsidR="004860AE">
        <w:t>s</w:t>
      </w:r>
      <w:r w:rsidRPr="00BE44AC">
        <w:t>olidification</w:t>
      </w:r>
    </w:p>
    <w:p w14:paraId="36479994" w14:textId="77777777" w:rsidR="00066174" w:rsidRPr="00BE44AC" w:rsidRDefault="00066174" w:rsidP="00066174">
      <w:pPr>
        <w:ind w:left="1440"/>
      </w:pPr>
      <w:r w:rsidRPr="00BE44AC">
        <w:t xml:space="preserve">6.2.1. </w:t>
      </w:r>
      <w:r w:rsidR="004860AE" w:rsidRPr="00BE44AC">
        <w:t>Equilibrium freezing</w:t>
      </w:r>
    </w:p>
    <w:p w14:paraId="73DB9CC0" w14:textId="77777777" w:rsidR="00066174" w:rsidRPr="00BE44AC" w:rsidRDefault="004860AE" w:rsidP="00066174">
      <w:pPr>
        <w:ind w:left="1440"/>
        <w:rPr>
          <w:lang w:val="es-ES_tradnl"/>
        </w:rPr>
      </w:pPr>
      <w:r w:rsidRPr="00BE44AC">
        <w:rPr>
          <w:lang w:val="es-ES_tradnl"/>
        </w:rPr>
        <w:t>6.2.2. Complete</w:t>
      </w:r>
      <w:r w:rsidRPr="000569E8">
        <w:t xml:space="preserve"> liquid</w:t>
      </w:r>
      <w:r w:rsidRPr="00BE44AC">
        <w:rPr>
          <w:lang w:val="es-ES_tradnl"/>
        </w:rPr>
        <w:t xml:space="preserve"> mixing, with no solid diffusion</w:t>
      </w:r>
    </w:p>
    <w:p w14:paraId="4B1977B9" w14:textId="0B589B46" w:rsidR="00066174" w:rsidRPr="00BE44AC" w:rsidRDefault="004860AE" w:rsidP="00066174">
      <w:pPr>
        <w:ind w:left="1440"/>
        <w:rPr>
          <w:lang w:val="es-ES_tradnl"/>
        </w:rPr>
      </w:pPr>
      <w:r w:rsidRPr="00BE44AC">
        <w:rPr>
          <w:lang w:val="es-ES_tradnl"/>
        </w:rPr>
        <w:lastRenderedPageBreak/>
        <w:t>6.2.3 Solid diffusion during solidification</w:t>
      </w:r>
    </w:p>
    <w:p w14:paraId="2B12C55B" w14:textId="614994A9" w:rsidR="00066174" w:rsidRPr="00BE44AC" w:rsidRDefault="00066174" w:rsidP="00066174">
      <w:pPr>
        <w:ind w:left="1440"/>
        <w:rPr>
          <w:lang w:val="es-ES_tradnl"/>
        </w:rPr>
      </w:pPr>
      <w:r w:rsidRPr="00BE44AC">
        <w:rPr>
          <w:lang w:val="es-ES_tradnl"/>
        </w:rPr>
        <w:t>6.2.4</w:t>
      </w:r>
      <w:r w:rsidR="004860AE" w:rsidRPr="00BE44AC">
        <w:rPr>
          <w:lang w:val="es-ES_tradnl"/>
        </w:rPr>
        <w:t xml:space="preserve"> Steady state diffusion controlled freezing</w:t>
      </w:r>
    </w:p>
    <w:p w14:paraId="0A2A0309" w14:textId="5ED8F521" w:rsidR="00066174" w:rsidRPr="00BE44AC" w:rsidRDefault="004860AE" w:rsidP="00066174">
      <w:pPr>
        <w:ind w:left="1440"/>
        <w:rPr>
          <w:lang w:val="es-ES_tradnl"/>
        </w:rPr>
      </w:pPr>
      <w:r>
        <w:rPr>
          <w:lang w:val="es-ES_tradnl"/>
        </w:rPr>
        <w:t xml:space="preserve">6.2.5 Convection effects - </w:t>
      </w:r>
      <w:r w:rsidRPr="00BE44AC">
        <w:rPr>
          <w:lang w:val="es-ES_tradnl"/>
        </w:rPr>
        <w:t>Freezing with partial mixing in the liquid (boundary layer approach)</w:t>
      </w:r>
    </w:p>
    <w:p w14:paraId="08C334FC" w14:textId="4440D5BE" w:rsidR="00066174" w:rsidRPr="00BE44AC" w:rsidRDefault="004860AE" w:rsidP="00066174">
      <w:pPr>
        <w:ind w:left="1440"/>
        <w:rPr>
          <w:lang w:val="es-ES_tradnl"/>
        </w:rPr>
      </w:pPr>
      <w:r w:rsidRPr="00BE44AC">
        <w:rPr>
          <w:lang w:val="es-ES_tradnl"/>
        </w:rPr>
        <w:t>6.2.6  Zone melting</w:t>
      </w:r>
    </w:p>
    <w:p w14:paraId="43D44A50" w14:textId="16AC23DF" w:rsidR="00066174" w:rsidRPr="00BE44AC" w:rsidRDefault="00066174" w:rsidP="00066174">
      <w:pPr>
        <w:ind w:left="720"/>
        <w:rPr>
          <w:lang w:val="es-ES_tradnl"/>
        </w:rPr>
      </w:pPr>
      <w:r w:rsidRPr="00BE44AC">
        <w:rPr>
          <w:lang w:val="es-ES_tradnl"/>
        </w:rPr>
        <w:t xml:space="preserve">6.3 </w:t>
      </w:r>
      <w:r w:rsidR="004860AE" w:rsidRPr="00BE44AC">
        <w:rPr>
          <w:lang w:val="es-ES_tradnl"/>
        </w:rPr>
        <w:t>Lateral segregation</w:t>
      </w:r>
    </w:p>
    <w:p w14:paraId="4233C3B1" w14:textId="64E8F0C2" w:rsidR="00066174" w:rsidRPr="00BE44AC" w:rsidRDefault="004860AE" w:rsidP="00066174">
      <w:pPr>
        <w:ind w:left="720"/>
        <w:rPr>
          <w:lang w:val="es-ES_tradnl"/>
        </w:rPr>
      </w:pPr>
      <w:r w:rsidRPr="00BE44AC">
        <w:rPr>
          <w:lang w:val="es-ES_tradnl"/>
        </w:rPr>
        <w:t xml:space="preserve">6.4 </w:t>
      </w:r>
      <w:r>
        <w:rPr>
          <w:lang w:val="es-ES_tradnl"/>
        </w:rPr>
        <w:t>M</w:t>
      </w:r>
      <w:r w:rsidRPr="00BE44AC">
        <w:rPr>
          <w:lang w:val="es-ES_tradnl"/>
        </w:rPr>
        <w:t>orphological stability of a planar interface</w:t>
      </w:r>
    </w:p>
    <w:p w14:paraId="56E734F7" w14:textId="57693F02" w:rsidR="00066174" w:rsidRPr="00BE44AC" w:rsidRDefault="00066174" w:rsidP="00066174">
      <w:pPr>
        <w:ind w:left="1440"/>
        <w:rPr>
          <w:lang w:val="es-ES_tradnl"/>
        </w:rPr>
      </w:pPr>
      <w:r w:rsidRPr="00BE44AC">
        <w:rPr>
          <w:lang w:val="es-ES_tradnl"/>
        </w:rPr>
        <w:t>6.4.1 Theory</w:t>
      </w:r>
    </w:p>
    <w:p w14:paraId="7EE7D57F" w14:textId="7BA30537" w:rsidR="00066174" w:rsidRPr="00BE44AC" w:rsidRDefault="00066174" w:rsidP="00066174">
      <w:pPr>
        <w:ind w:left="1440"/>
        <w:rPr>
          <w:lang w:val="es-ES_tradnl"/>
        </w:rPr>
      </w:pPr>
      <w:r w:rsidRPr="00BE44AC">
        <w:rPr>
          <w:lang w:val="es-ES_tradnl"/>
        </w:rPr>
        <w:t>6.4.2 Relationship to constitutional supercooling</w:t>
      </w:r>
    </w:p>
    <w:p w14:paraId="1EF66D50" w14:textId="380C18D9" w:rsidR="00066174" w:rsidRPr="00BE44AC" w:rsidRDefault="00066174" w:rsidP="00066174">
      <w:pPr>
        <w:ind w:left="1440"/>
        <w:rPr>
          <w:lang w:val="es-ES_tradnl"/>
        </w:rPr>
      </w:pPr>
      <w:r w:rsidRPr="00BE44AC">
        <w:rPr>
          <w:lang w:val="es-ES_tradnl"/>
        </w:rPr>
        <w:t>6.4.3 Experiments</w:t>
      </w:r>
    </w:p>
    <w:p w14:paraId="6ECC596C" w14:textId="43221F10" w:rsidR="00066174" w:rsidRPr="00BE44AC" w:rsidRDefault="00066174" w:rsidP="00066174">
      <w:pPr>
        <w:ind w:left="1440"/>
        <w:rPr>
          <w:lang w:val="es-ES_tradnl"/>
        </w:rPr>
      </w:pPr>
      <w:r w:rsidRPr="00BE44AC">
        <w:rPr>
          <w:lang w:val="es-ES_tradnl"/>
        </w:rPr>
        <w:t>6.4.4 Further theoretical developments</w:t>
      </w:r>
    </w:p>
    <w:p w14:paraId="308F6964" w14:textId="0F0E87AD" w:rsidR="00066174" w:rsidRPr="00BE44AC" w:rsidRDefault="00066174" w:rsidP="00066174">
      <w:pPr>
        <w:ind w:left="720"/>
        <w:rPr>
          <w:lang w:val="es-ES_tradnl"/>
        </w:rPr>
      </w:pPr>
      <w:r w:rsidRPr="00BE44AC">
        <w:rPr>
          <w:lang w:val="es-ES_tradnl"/>
        </w:rPr>
        <w:t xml:space="preserve">6.5 Coupled </w:t>
      </w:r>
      <w:r w:rsidR="004860AE">
        <w:rPr>
          <w:lang w:val="es-ES_tradnl"/>
        </w:rPr>
        <w:t>i</w:t>
      </w:r>
      <w:r w:rsidRPr="00BE44AC">
        <w:rPr>
          <w:lang w:val="es-ES_tradnl"/>
        </w:rPr>
        <w:t xml:space="preserve">nterface and </w:t>
      </w:r>
      <w:r w:rsidR="004860AE">
        <w:rPr>
          <w:lang w:val="es-ES_tradnl"/>
        </w:rPr>
        <w:t>f</w:t>
      </w:r>
      <w:r w:rsidRPr="00BE44AC">
        <w:rPr>
          <w:lang w:val="es-ES_tradnl"/>
        </w:rPr>
        <w:t xml:space="preserve">luid </w:t>
      </w:r>
      <w:r w:rsidR="004860AE">
        <w:rPr>
          <w:lang w:val="es-ES_tradnl"/>
        </w:rPr>
        <w:t>f</w:t>
      </w:r>
      <w:r w:rsidRPr="00BE44AC">
        <w:rPr>
          <w:lang w:val="es-ES_tradnl"/>
        </w:rPr>
        <w:t>low</w:t>
      </w:r>
      <w:r w:rsidR="004860AE">
        <w:rPr>
          <w:lang w:val="es-ES_tradnl"/>
        </w:rPr>
        <w:t xml:space="preserve"> i</w:t>
      </w:r>
      <w:r w:rsidRPr="00BE44AC">
        <w:rPr>
          <w:lang w:val="es-ES_tradnl"/>
        </w:rPr>
        <w:t>nstabilities</w:t>
      </w:r>
    </w:p>
    <w:p w14:paraId="08CADD33" w14:textId="77777777" w:rsidR="00066174" w:rsidRPr="00BE44AC" w:rsidRDefault="00066174" w:rsidP="00066174">
      <w:pPr>
        <w:rPr>
          <w:lang w:val="es-ES_tradnl"/>
        </w:rPr>
      </w:pPr>
      <w:r w:rsidRPr="00BE44AC">
        <w:rPr>
          <w:lang w:val="es-ES_tradnl"/>
        </w:rPr>
        <w:t xml:space="preserve">7. Cellular and </w:t>
      </w:r>
      <w:r w:rsidR="004860AE">
        <w:rPr>
          <w:lang w:val="es-ES_tradnl"/>
        </w:rPr>
        <w:t>d</w:t>
      </w:r>
      <w:r w:rsidRPr="00BE44AC">
        <w:rPr>
          <w:lang w:val="es-ES_tradnl"/>
        </w:rPr>
        <w:t xml:space="preserve">endritic </w:t>
      </w:r>
      <w:r w:rsidR="004860AE">
        <w:rPr>
          <w:lang w:val="es-ES_tradnl"/>
        </w:rPr>
        <w:t>s</w:t>
      </w:r>
      <w:r w:rsidRPr="00BE44AC">
        <w:rPr>
          <w:lang w:val="es-ES_tradnl"/>
        </w:rPr>
        <w:t xml:space="preserve">olidification   </w:t>
      </w:r>
    </w:p>
    <w:p w14:paraId="6994A605" w14:textId="3B77A9AD" w:rsidR="00066174" w:rsidRPr="00BE44AC" w:rsidRDefault="00066174" w:rsidP="00066174">
      <w:pPr>
        <w:ind w:left="720"/>
        <w:rPr>
          <w:lang w:val="es-ES_tradnl"/>
        </w:rPr>
      </w:pPr>
      <w:r w:rsidRPr="00BE44AC">
        <w:rPr>
          <w:lang w:val="es-ES_tradnl"/>
        </w:rPr>
        <w:t xml:space="preserve">7.1  Alloy </w:t>
      </w:r>
      <w:r w:rsidR="004860AE">
        <w:rPr>
          <w:lang w:val="es-ES_tradnl"/>
        </w:rPr>
        <w:t>d</w:t>
      </w:r>
      <w:r w:rsidRPr="00BE44AC">
        <w:rPr>
          <w:lang w:val="es-ES_tradnl"/>
        </w:rPr>
        <w:t xml:space="preserve">endritic </w:t>
      </w:r>
      <w:r w:rsidR="004860AE">
        <w:rPr>
          <w:lang w:val="es-ES_tradnl"/>
        </w:rPr>
        <w:t>g</w:t>
      </w:r>
      <w:r w:rsidRPr="00BE44AC">
        <w:rPr>
          <w:lang w:val="es-ES_tradnl"/>
        </w:rPr>
        <w:t>rowth</w:t>
      </w:r>
    </w:p>
    <w:p w14:paraId="06B20C60" w14:textId="78B523AB" w:rsidR="00066174" w:rsidRPr="00BE44AC" w:rsidRDefault="00066174" w:rsidP="00066174">
      <w:pPr>
        <w:ind w:left="1440"/>
        <w:rPr>
          <w:lang w:val="es-ES_tradnl"/>
        </w:rPr>
      </w:pPr>
      <w:r w:rsidRPr="00BE44AC">
        <w:rPr>
          <w:lang w:val="es-ES_tradnl"/>
        </w:rPr>
        <w:t xml:space="preserve">7.1.1 Theory of the </w:t>
      </w:r>
      <w:r w:rsidR="004860AE">
        <w:rPr>
          <w:lang w:val="es-ES_tradnl"/>
        </w:rPr>
        <w:t>t</w:t>
      </w:r>
      <w:r w:rsidRPr="00BE44AC">
        <w:rPr>
          <w:lang w:val="es-ES_tradnl"/>
        </w:rPr>
        <w:t xml:space="preserve">ip </w:t>
      </w:r>
      <w:r w:rsidR="004860AE">
        <w:rPr>
          <w:lang w:val="es-ES_tradnl"/>
        </w:rPr>
        <w:t>r</w:t>
      </w:r>
      <w:r w:rsidRPr="00BE44AC">
        <w:rPr>
          <w:lang w:val="es-ES_tradnl"/>
        </w:rPr>
        <w:t>egion</w:t>
      </w:r>
    </w:p>
    <w:p w14:paraId="77916A55" w14:textId="58263E72" w:rsidR="00066174" w:rsidRPr="00BE44AC" w:rsidRDefault="00066174" w:rsidP="00066174">
      <w:pPr>
        <w:ind w:left="1440"/>
        <w:rPr>
          <w:lang w:val="es-ES_tradnl"/>
        </w:rPr>
      </w:pPr>
      <w:r w:rsidRPr="00BE44AC">
        <w:rPr>
          <w:lang w:val="es-ES_tradnl"/>
        </w:rPr>
        <w:t>7.1.2</w:t>
      </w:r>
      <w:r w:rsidR="004860AE">
        <w:rPr>
          <w:lang w:val="es-ES_tradnl"/>
        </w:rPr>
        <w:t xml:space="preserve"> The radius vs. </w:t>
      </w:r>
      <w:r w:rsidRPr="00BE44AC">
        <w:rPr>
          <w:lang w:val="es-ES_tradnl"/>
        </w:rPr>
        <w:t>velocity selection criterion</w:t>
      </w:r>
    </w:p>
    <w:p w14:paraId="20A92635" w14:textId="4E3687D6" w:rsidR="00066174" w:rsidRPr="00BE44AC" w:rsidRDefault="00066174" w:rsidP="00066174">
      <w:pPr>
        <w:ind w:left="1440"/>
        <w:rPr>
          <w:lang w:val="es-ES_tradnl"/>
        </w:rPr>
      </w:pPr>
      <w:r w:rsidRPr="00BE44AC">
        <w:rPr>
          <w:lang w:val="es-ES_tradnl"/>
        </w:rPr>
        <w:t>7.1.3</w:t>
      </w:r>
      <w:r w:rsidR="004860AE">
        <w:rPr>
          <w:lang w:val="es-ES_tradnl"/>
        </w:rPr>
        <w:t xml:space="preserve"> </w:t>
      </w:r>
      <w:r w:rsidRPr="00BE44AC">
        <w:rPr>
          <w:lang w:val="es-ES_tradnl"/>
        </w:rPr>
        <w:t xml:space="preserve">Details of the </w:t>
      </w:r>
      <w:r w:rsidR="004860AE">
        <w:rPr>
          <w:lang w:val="es-ES_tradnl"/>
        </w:rPr>
        <w:t>m</w:t>
      </w:r>
      <w:r w:rsidRPr="00BE44AC">
        <w:rPr>
          <w:lang w:val="es-ES_tradnl"/>
        </w:rPr>
        <w:t xml:space="preserve">arginal </w:t>
      </w:r>
      <w:r w:rsidR="004860AE">
        <w:rPr>
          <w:lang w:val="es-ES_tradnl"/>
        </w:rPr>
        <w:t>s</w:t>
      </w:r>
      <w:r w:rsidRPr="00BE44AC">
        <w:rPr>
          <w:lang w:val="es-ES_tradnl"/>
        </w:rPr>
        <w:t xml:space="preserve">tability </w:t>
      </w:r>
      <w:r w:rsidR="004860AE">
        <w:rPr>
          <w:lang w:val="es-ES_tradnl"/>
        </w:rPr>
        <w:t>c</w:t>
      </w:r>
      <w:r w:rsidRPr="00BE44AC">
        <w:rPr>
          <w:lang w:val="es-ES_tradnl"/>
        </w:rPr>
        <w:t>riterion</w:t>
      </w:r>
    </w:p>
    <w:p w14:paraId="142B8551" w14:textId="1D05F037" w:rsidR="00066174" w:rsidRPr="00BE44AC" w:rsidRDefault="00066174" w:rsidP="00066174">
      <w:pPr>
        <w:ind w:left="1440"/>
        <w:rPr>
          <w:lang w:val="es-ES_tradnl"/>
        </w:rPr>
      </w:pPr>
      <w:r w:rsidRPr="00BE44AC">
        <w:rPr>
          <w:lang w:val="es-ES_tradnl"/>
        </w:rPr>
        <w:t xml:space="preserve">7.1.4 Approximate </w:t>
      </w:r>
      <w:r w:rsidR="004860AE">
        <w:rPr>
          <w:lang w:val="es-ES_tradnl"/>
        </w:rPr>
        <w:t>t</w:t>
      </w:r>
      <w:r w:rsidRPr="00BE44AC">
        <w:rPr>
          <w:lang w:val="es-ES_tradnl"/>
        </w:rPr>
        <w:t xml:space="preserve">heory for </w:t>
      </w:r>
      <w:r w:rsidR="004860AE">
        <w:rPr>
          <w:lang w:val="es-ES_tradnl"/>
        </w:rPr>
        <w:t>l</w:t>
      </w:r>
      <w:r w:rsidRPr="00BE44AC">
        <w:rPr>
          <w:lang w:val="es-ES_tradnl"/>
        </w:rPr>
        <w:t xml:space="preserve">ow </w:t>
      </w:r>
      <w:r w:rsidR="004860AE">
        <w:rPr>
          <w:lang w:val="es-ES_tradnl"/>
        </w:rPr>
        <w:t>s</w:t>
      </w:r>
      <w:r w:rsidRPr="00BE44AC">
        <w:rPr>
          <w:lang w:val="es-ES_tradnl"/>
        </w:rPr>
        <w:t>upercooling</w:t>
      </w:r>
    </w:p>
    <w:p w14:paraId="64A62188" w14:textId="07DD2ECC" w:rsidR="00066174" w:rsidRPr="00BE44AC" w:rsidRDefault="00066174" w:rsidP="00066174">
      <w:pPr>
        <w:ind w:left="1440"/>
        <w:rPr>
          <w:lang w:val="es-ES_tradnl"/>
        </w:rPr>
      </w:pPr>
      <w:r w:rsidRPr="00BE44AC">
        <w:rPr>
          <w:lang w:val="es-ES_tradnl"/>
        </w:rPr>
        <w:t xml:space="preserve">7.1.5 Experiments on </w:t>
      </w:r>
      <w:r w:rsidR="004860AE">
        <w:rPr>
          <w:lang w:val="es-ES_tradnl"/>
        </w:rPr>
        <w:t>d</w:t>
      </w:r>
      <w:r w:rsidRPr="00BE44AC">
        <w:rPr>
          <w:lang w:val="es-ES_tradnl"/>
        </w:rPr>
        <w:t xml:space="preserve">endritic </w:t>
      </w:r>
      <w:r w:rsidR="004860AE">
        <w:rPr>
          <w:lang w:val="es-ES_tradnl"/>
        </w:rPr>
        <w:t>g</w:t>
      </w:r>
      <w:r w:rsidRPr="00BE44AC">
        <w:rPr>
          <w:lang w:val="es-ES_tradnl"/>
        </w:rPr>
        <w:t>rowth</w:t>
      </w:r>
    </w:p>
    <w:p w14:paraId="54614595" w14:textId="77777777" w:rsidR="00066174" w:rsidRPr="00BE44AC" w:rsidRDefault="00066174" w:rsidP="00066174">
      <w:pPr>
        <w:ind w:left="720"/>
      </w:pPr>
      <w:r w:rsidRPr="00BE44AC">
        <w:t xml:space="preserve">7.2 Cell and </w:t>
      </w:r>
      <w:r w:rsidR="004860AE">
        <w:t>d</w:t>
      </w:r>
      <w:r w:rsidRPr="00BE44AC">
        <w:t xml:space="preserve">endrite </w:t>
      </w:r>
      <w:r w:rsidR="004860AE">
        <w:t>s</w:t>
      </w:r>
      <w:r w:rsidRPr="00BE44AC">
        <w:t>pacings</w:t>
      </w:r>
    </w:p>
    <w:p w14:paraId="32B7438A" w14:textId="4B590028" w:rsidR="00066174" w:rsidRPr="00BE44AC" w:rsidRDefault="00066174" w:rsidP="00066174">
      <w:pPr>
        <w:ind w:left="1440"/>
      </w:pPr>
      <w:r w:rsidRPr="00BE44AC">
        <w:t xml:space="preserve">7.2.1 Numerical </w:t>
      </w:r>
      <w:r w:rsidR="004860AE">
        <w:t>c</w:t>
      </w:r>
      <w:r w:rsidRPr="00BE44AC">
        <w:t xml:space="preserve">alculations of </w:t>
      </w:r>
      <w:r w:rsidR="004860AE">
        <w:t>a</w:t>
      </w:r>
      <w:r w:rsidRPr="00BE44AC">
        <w:t xml:space="preserve">rrayed </w:t>
      </w:r>
      <w:r w:rsidR="004860AE">
        <w:t>c</w:t>
      </w:r>
      <w:r w:rsidRPr="00BE44AC">
        <w:t xml:space="preserve">ell and </w:t>
      </w:r>
      <w:r w:rsidR="004860AE">
        <w:t>d</w:t>
      </w:r>
      <w:r w:rsidRPr="00BE44AC">
        <w:t xml:space="preserve">endrite </w:t>
      </w:r>
      <w:r w:rsidR="004860AE">
        <w:t>p</w:t>
      </w:r>
      <w:r w:rsidRPr="00BE44AC">
        <w:t>rimary spacings</w:t>
      </w:r>
    </w:p>
    <w:p w14:paraId="3BA6D9E1" w14:textId="3067D347" w:rsidR="00066174" w:rsidRPr="00BE44AC" w:rsidRDefault="00066174" w:rsidP="00066174">
      <w:pPr>
        <w:ind w:left="1440"/>
      </w:pPr>
      <w:r w:rsidRPr="00BE44AC">
        <w:t xml:space="preserve">7.2.2 Analytical </w:t>
      </w:r>
      <w:r w:rsidR="004860AE">
        <w:t>e</w:t>
      </w:r>
      <w:r w:rsidRPr="00BE44AC">
        <w:t xml:space="preserve">xpressions for </w:t>
      </w:r>
      <w:r w:rsidR="004860AE">
        <w:t>p</w:t>
      </w:r>
      <w:r w:rsidRPr="00BE44AC">
        <w:t xml:space="preserve">rimary </w:t>
      </w:r>
      <w:r w:rsidR="004860AE">
        <w:t>s</w:t>
      </w:r>
      <w:r w:rsidRPr="00BE44AC">
        <w:t>pacing</w:t>
      </w:r>
    </w:p>
    <w:p w14:paraId="0B0150ED" w14:textId="1A210EFB" w:rsidR="00066174" w:rsidRPr="00BE44AC" w:rsidRDefault="00066174" w:rsidP="00066174">
      <w:pPr>
        <w:ind w:left="1440"/>
      </w:pPr>
      <w:r w:rsidRPr="00BE44AC">
        <w:t xml:space="preserve">7.2.3 Secondary </w:t>
      </w:r>
      <w:r w:rsidR="004860AE">
        <w:t>d</w:t>
      </w:r>
      <w:r w:rsidRPr="00BE44AC">
        <w:t xml:space="preserve">endrite </w:t>
      </w:r>
      <w:r w:rsidR="004860AE">
        <w:t>a</w:t>
      </w:r>
      <w:r w:rsidRPr="00BE44AC">
        <w:t xml:space="preserve">rm </w:t>
      </w:r>
      <w:r w:rsidR="004860AE">
        <w:t>s</w:t>
      </w:r>
      <w:r w:rsidRPr="00BE44AC">
        <w:t>pacing</w:t>
      </w:r>
    </w:p>
    <w:p w14:paraId="4C8A52D0" w14:textId="014871E7" w:rsidR="00066174" w:rsidRDefault="00066174" w:rsidP="00066174">
      <w:pPr>
        <w:ind w:left="720"/>
      </w:pPr>
      <w:r w:rsidRPr="00BE44AC">
        <w:t>7.3</w:t>
      </w:r>
      <w:r w:rsidR="006E6FC2">
        <w:t xml:space="preserve"> </w:t>
      </w:r>
      <w:r w:rsidRPr="00BE44AC">
        <w:t>Microsegregation</w:t>
      </w:r>
    </w:p>
    <w:p w14:paraId="7197D0AC" w14:textId="53465FAB" w:rsidR="00F472BF" w:rsidRPr="00BE44AC" w:rsidRDefault="00F472BF" w:rsidP="00F472BF">
      <w:pPr>
        <w:ind w:left="1440"/>
      </w:pPr>
      <w:r w:rsidRPr="00BE44AC">
        <w:t>7.3.</w:t>
      </w:r>
      <w:r>
        <w:t>1</w:t>
      </w:r>
      <w:r w:rsidRPr="00BE44AC">
        <w:t xml:space="preserve"> Phase field approach to modeling microsegregation during dendritic growth</w:t>
      </w:r>
    </w:p>
    <w:p w14:paraId="682D51E4" w14:textId="4DD0F82A" w:rsidR="00066174" w:rsidRPr="00BE44AC" w:rsidRDefault="00066174" w:rsidP="00066174">
      <w:pPr>
        <w:ind w:left="1440"/>
      </w:pPr>
      <w:r w:rsidRPr="00BE44AC">
        <w:t>7.3.</w:t>
      </w:r>
      <w:r w:rsidR="00F472BF">
        <w:t>2</w:t>
      </w:r>
      <w:r w:rsidRPr="00BE44AC">
        <w:t xml:space="preserve"> Scheil approximation</w:t>
      </w:r>
    </w:p>
    <w:p w14:paraId="2DAB77F6" w14:textId="64CD4EC7" w:rsidR="00066174" w:rsidRPr="00BE44AC" w:rsidRDefault="00066174" w:rsidP="00066174">
      <w:pPr>
        <w:ind w:left="1440"/>
      </w:pPr>
      <w:r w:rsidRPr="00BE44AC">
        <w:t>7.3.</w:t>
      </w:r>
      <w:r w:rsidR="00F472BF">
        <w:t>3</w:t>
      </w:r>
      <w:r w:rsidRPr="00BE44AC">
        <w:t xml:space="preserve"> </w:t>
      </w:r>
      <w:r w:rsidR="00DE0922">
        <w:t>Modifications of</w:t>
      </w:r>
      <w:r w:rsidRPr="00BE44AC">
        <w:t xml:space="preserve"> Scheil approach </w:t>
      </w:r>
    </w:p>
    <w:p w14:paraId="2625F3EE" w14:textId="33541B3C" w:rsidR="00066174" w:rsidRPr="00BE44AC" w:rsidRDefault="00066174" w:rsidP="00066174">
      <w:pPr>
        <w:ind w:left="2160"/>
      </w:pPr>
      <w:r w:rsidRPr="00BE44AC">
        <w:t>7.3.</w:t>
      </w:r>
      <w:r w:rsidR="00F472BF">
        <w:t>3</w:t>
      </w:r>
      <w:r w:rsidRPr="00BE44AC">
        <w:t>.1 Liquid diffusion</w:t>
      </w:r>
    </w:p>
    <w:p w14:paraId="190BC9F4" w14:textId="3CA598B3" w:rsidR="00066174" w:rsidRPr="00BE44AC" w:rsidRDefault="00066174" w:rsidP="00066174">
      <w:pPr>
        <w:ind w:left="2160"/>
      </w:pPr>
      <w:r w:rsidRPr="00BE44AC">
        <w:t>7.3.</w:t>
      </w:r>
      <w:r w:rsidR="00F472BF">
        <w:t>3</w:t>
      </w:r>
      <w:r w:rsidRPr="00BE44AC">
        <w:t xml:space="preserve">.2 </w:t>
      </w:r>
      <w:r w:rsidR="00DE0922">
        <w:t>S</w:t>
      </w:r>
      <w:r w:rsidRPr="00BE44AC">
        <w:t>olid diffusion</w:t>
      </w:r>
    </w:p>
    <w:p w14:paraId="744F5CF8" w14:textId="37DFE4F1" w:rsidR="00066174" w:rsidRPr="00BE44AC" w:rsidRDefault="00066174" w:rsidP="00066174">
      <w:pPr>
        <w:ind w:left="720"/>
      </w:pPr>
      <w:r w:rsidRPr="00BE44AC">
        <w:t xml:space="preserve">7.4 Solidification of </w:t>
      </w:r>
      <w:r w:rsidR="004860AE">
        <w:t>t</w:t>
      </w:r>
      <w:r w:rsidRPr="00BE44AC">
        <w:t xml:space="preserve">ernary </w:t>
      </w:r>
      <w:r w:rsidR="004860AE">
        <w:t>a</w:t>
      </w:r>
      <w:r w:rsidRPr="00BE44AC">
        <w:t>lloys</w:t>
      </w:r>
    </w:p>
    <w:p w14:paraId="23AE934D" w14:textId="235ECA31" w:rsidR="00066174" w:rsidRPr="00BE44AC" w:rsidRDefault="00066174" w:rsidP="00066174">
      <w:pPr>
        <w:ind w:left="720"/>
      </w:pPr>
      <w:r w:rsidRPr="00BE44AC">
        <w:t>7.5 Example of ternary solidification path analysis derived from a thermodynamic database</w:t>
      </w:r>
    </w:p>
    <w:p w14:paraId="7B55B887" w14:textId="77777777" w:rsidR="00066174" w:rsidRPr="00BE44AC" w:rsidRDefault="00066174" w:rsidP="00066174">
      <w:r w:rsidRPr="00BE44AC">
        <w:t xml:space="preserve">8. Polyphase </w:t>
      </w:r>
      <w:r w:rsidR="004860AE">
        <w:t>s</w:t>
      </w:r>
      <w:r w:rsidRPr="00BE44AC">
        <w:t>olidification</w:t>
      </w:r>
    </w:p>
    <w:p w14:paraId="2294FECB" w14:textId="067F8F13" w:rsidR="00066174" w:rsidRPr="00BE44AC" w:rsidRDefault="00066174" w:rsidP="00066174">
      <w:pPr>
        <w:ind w:left="720"/>
      </w:pPr>
      <w:r w:rsidRPr="00BE44AC">
        <w:t>8.1 Eutectic solidification</w:t>
      </w:r>
    </w:p>
    <w:p w14:paraId="48FF6D04" w14:textId="66A07423" w:rsidR="00066174" w:rsidRPr="00BE44AC" w:rsidRDefault="00066174" w:rsidP="00066174">
      <w:pPr>
        <w:ind w:left="1440"/>
      </w:pPr>
      <w:r w:rsidRPr="00BE44AC">
        <w:t>8.1.1</w:t>
      </w:r>
      <w:r w:rsidR="006E6FC2">
        <w:t xml:space="preserve"> </w:t>
      </w:r>
      <w:r w:rsidRPr="00BE44AC">
        <w:t>Eutectic classification</w:t>
      </w:r>
    </w:p>
    <w:p w14:paraId="0A05FFEF" w14:textId="3494514F" w:rsidR="00066174" w:rsidRPr="00BE44AC" w:rsidRDefault="00066174" w:rsidP="00066174">
      <w:pPr>
        <w:ind w:left="1440"/>
      </w:pPr>
      <w:r w:rsidRPr="00BE44AC">
        <w:t>8.1.2 Non-facetted -</w:t>
      </w:r>
      <w:r w:rsidR="004860AE">
        <w:t>-</w:t>
      </w:r>
      <w:r w:rsidRPr="00BE44AC">
        <w:t xml:space="preserve"> </w:t>
      </w:r>
      <w:r>
        <w:t>n</w:t>
      </w:r>
      <w:r w:rsidRPr="00BE44AC">
        <w:t>on-facetted eutectics</w:t>
      </w:r>
    </w:p>
    <w:p w14:paraId="23382042" w14:textId="3900216F" w:rsidR="00066174" w:rsidRPr="00BE44AC" w:rsidRDefault="00066174" w:rsidP="00066174">
      <w:pPr>
        <w:ind w:left="1440"/>
      </w:pPr>
      <w:r w:rsidRPr="00BE44AC">
        <w:t>8.1.3</w:t>
      </w:r>
      <w:r w:rsidR="006E6FC2">
        <w:t xml:space="preserve"> </w:t>
      </w:r>
      <w:r w:rsidRPr="00BE44AC">
        <w:t>Non-facetted</w:t>
      </w:r>
      <w:r w:rsidR="004860AE">
        <w:t xml:space="preserve"> </w:t>
      </w:r>
      <w:r w:rsidRPr="00BE44AC">
        <w:t>-</w:t>
      </w:r>
      <w:r w:rsidR="004860AE">
        <w:t xml:space="preserve">- </w:t>
      </w:r>
      <w:r w:rsidRPr="00BE44AC">
        <w:t>facetted eutectics</w:t>
      </w:r>
    </w:p>
    <w:p w14:paraId="3B3A52CD" w14:textId="550F8214" w:rsidR="00066174" w:rsidRPr="00BE44AC" w:rsidRDefault="00066174" w:rsidP="00066174">
      <w:pPr>
        <w:ind w:left="1440"/>
      </w:pPr>
      <w:r w:rsidRPr="00BE44AC">
        <w:t>8.1.4 Eutectic cells and eutectic dendrites</w:t>
      </w:r>
    </w:p>
    <w:p w14:paraId="47875F9C" w14:textId="4EFE228A" w:rsidR="00066174" w:rsidRPr="00BE44AC" w:rsidRDefault="00066174" w:rsidP="00066174">
      <w:pPr>
        <w:ind w:left="1440"/>
      </w:pPr>
      <w:r w:rsidRPr="00BE44AC">
        <w:t xml:space="preserve">8.1.5 Competitive </w:t>
      </w:r>
      <w:r w:rsidR="004860AE">
        <w:t>g</w:t>
      </w:r>
      <w:r w:rsidRPr="00BE44AC">
        <w:t xml:space="preserve">rowth - </w:t>
      </w:r>
      <w:r w:rsidR="004860AE">
        <w:t>c</w:t>
      </w:r>
      <w:r w:rsidRPr="00BE44AC">
        <w:t xml:space="preserve">oupled </w:t>
      </w:r>
      <w:r w:rsidR="004860AE">
        <w:t>z</w:t>
      </w:r>
      <w:r w:rsidRPr="00BE44AC">
        <w:t>one</w:t>
      </w:r>
    </w:p>
    <w:p w14:paraId="2F6BB50C" w14:textId="067FE9D8" w:rsidR="00066174" w:rsidRPr="00BE44AC" w:rsidRDefault="00066174" w:rsidP="00066174">
      <w:pPr>
        <w:ind w:left="1440"/>
      </w:pPr>
      <w:r w:rsidRPr="00BE44AC">
        <w:t>8.1.6 Divorced eutectics</w:t>
      </w:r>
    </w:p>
    <w:p w14:paraId="520D4AE0" w14:textId="743AB18C" w:rsidR="00066174" w:rsidRPr="00BE44AC" w:rsidRDefault="00066174" w:rsidP="00066174">
      <w:pPr>
        <w:ind w:left="1440"/>
      </w:pPr>
      <w:r w:rsidRPr="00BE44AC">
        <w:t>8.1.7 Rapid solidification of eutectic alloys</w:t>
      </w:r>
    </w:p>
    <w:p w14:paraId="62FE5215" w14:textId="77777777" w:rsidR="00066174" w:rsidRPr="00BE44AC" w:rsidRDefault="004201E7" w:rsidP="00066174">
      <w:pPr>
        <w:ind w:left="2160"/>
      </w:pPr>
      <w:r>
        <w:t xml:space="preserve">8.1.7.1 </w:t>
      </w:r>
      <w:r w:rsidR="008D4BD4" w:rsidRPr="008D4BD4">
        <w:t xml:space="preserve">Modification of </w:t>
      </w:r>
      <w:r w:rsidR="008D4BD4">
        <w:t>e</w:t>
      </w:r>
      <w:r w:rsidR="00066174" w:rsidRPr="00BE44AC">
        <w:t>utectic theory</w:t>
      </w:r>
    </w:p>
    <w:p w14:paraId="519FE03F" w14:textId="77777777" w:rsidR="00066174" w:rsidRPr="00F472BF" w:rsidRDefault="004201E7" w:rsidP="00066174">
      <w:pPr>
        <w:ind w:left="2160"/>
      </w:pPr>
      <w:r>
        <w:t xml:space="preserve">8.1.7.2 </w:t>
      </w:r>
      <w:r w:rsidR="00066174" w:rsidRPr="00BE44AC">
        <w:t>Experiments</w:t>
      </w:r>
      <w:r w:rsidR="008D4BD4">
        <w:t xml:space="preserve"> </w:t>
      </w:r>
      <w:r w:rsidR="00F472BF" w:rsidRPr="00F472BF">
        <w:t>– glass formation and microsegregation free crystalline solidification</w:t>
      </w:r>
    </w:p>
    <w:p w14:paraId="7D6AAAF2" w14:textId="77777777" w:rsidR="00066174" w:rsidRPr="00BE44AC" w:rsidRDefault="004201E7" w:rsidP="00066174">
      <w:pPr>
        <w:ind w:left="2160"/>
      </w:pPr>
      <w:r>
        <w:t xml:space="preserve">8.1.7.3 </w:t>
      </w:r>
      <w:r w:rsidR="00066174" w:rsidRPr="00BE44AC">
        <w:t>Metastable crystalline phase formation</w:t>
      </w:r>
    </w:p>
    <w:p w14:paraId="002D12DC" w14:textId="0ABA3CE7" w:rsidR="00066174" w:rsidRPr="00BE44AC" w:rsidRDefault="00066174" w:rsidP="00066174">
      <w:pPr>
        <w:ind w:left="1440"/>
      </w:pPr>
      <w:r w:rsidRPr="00BE44AC">
        <w:lastRenderedPageBreak/>
        <w:t xml:space="preserve">8.1.8 Eutectic </w:t>
      </w:r>
      <w:r w:rsidR="004860AE">
        <w:t>c</w:t>
      </w:r>
      <w:r w:rsidRPr="00BE44AC">
        <w:t xml:space="preserve">asting </w:t>
      </w:r>
      <w:r w:rsidR="004860AE">
        <w:t>a</w:t>
      </w:r>
      <w:r w:rsidRPr="00BE44AC">
        <w:t>lloys</w:t>
      </w:r>
    </w:p>
    <w:p w14:paraId="5C3928A9" w14:textId="5A610002" w:rsidR="00066174" w:rsidRPr="00BE44AC" w:rsidRDefault="00066174" w:rsidP="00066174">
      <w:pPr>
        <w:ind w:left="2160"/>
      </w:pPr>
      <w:r w:rsidRPr="00BE44AC">
        <w:t xml:space="preserve">8.1.8.1 Aluminum-Silicon </w:t>
      </w:r>
      <w:r w:rsidR="004860AE">
        <w:t>a</w:t>
      </w:r>
      <w:r w:rsidRPr="00BE44AC">
        <w:t>lloys</w:t>
      </w:r>
    </w:p>
    <w:p w14:paraId="17D9B1B7" w14:textId="77777777" w:rsidR="00066174" w:rsidRPr="00BE44AC" w:rsidRDefault="00066174" w:rsidP="00066174">
      <w:pPr>
        <w:ind w:left="2160"/>
      </w:pPr>
      <w:r w:rsidRPr="00BE44AC">
        <w:t xml:space="preserve">8.1.8.2 Cast </w:t>
      </w:r>
      <w:r w:rsidR="004860AE">
        <w:t>i</w:t>
      </w:r>
      <w:r w:rsidRPr="00BE44AC">
        <w:t>ron</w:t>
      </w:r>
    </w:p>
    <w:p w14:paraId="158384F0" w14:textId="25BF12E8" w:rsidR="00066174" w:rsidRPr="00BE44AC" w:rsidRDefault="00066174" w:rsidP="00066174">
      <w:pPr>
        <w:ind w:left="720"/>
      </w:pPr>
      <w:r w:rsidRPr="00BE44AC">
        <w:t>8.2 Monotectic solidification</w:t>
      </w:r>
    </w:p>
    <w:p w14:paraId="718F9B4A" w14:textId="2E450F78" w:rsidR="00066174" w:rsidRPr="00BE44AC" w:rsidRDefault="00066174" w:rsidP="00066174">
      <w:pPr>
        <w:ind w:left="1440"/>
      </w:pPr>
      <w:r w:rsidRPr="00BE44AC">
        <w:t xml:space="preserve">8.2.1 Directional </w:t>
      </w:r>
      <w:r w:rsidR="004860AE">
        <w:t>s</w:t>
      </w:r>
      <w:r w:rsidRPr="00BE44AC">
        <w:t xml:space="preserve">olidification of </w:t>
      </w:r>
      <w:r w:rsidR="004860AE">
        <w:t>m</w:t>
      </w:r>
      <w:r w:rsidRPr="00BE44AC">
        <w:t xml:space="preserve">onotectic </w:t>
      </w:r>
      <w:r w:rsidR="004860AE">
        <w:t>a</w:t>
      </w:r>
      <w:r w:rsidRPr="00BE44AC">
        <w:t>lloys</w:t>
      </w:r>
    </w:p>
    <w:p w14:paraId="2D455740" w14:textId="2A6F497C" w:rsidR="00066174" w:rsidRPr="00BE44AC" w:rsidRDefault="00066174" w:rsidP="00066174">
      <w:pPr>
        <w:ind w:left="1440"/>
      </w:pPr>
      <w:r w:rsidRPr="00BE44AC">
        <w:t>8.2.2</w:t>
      </w:r>
      <w:r w:rsidR="006E6FC2">
        <w:t xml:space="preserve"> </w:t>
      </w:r>
      <w:r w:rsidRPr="00BE44AC">
        <w:t xml:space="preserve">Rapid </w:t>
      </w:r>
      <w:r w:rsidR="004860AE">
        <w:t>s</w:t>
      </w:r>
      <w:r w:rsidRPr="00BE44AC">
        <w:t xml:space="preserve">olidification of </w:t>
      </w:r>
      <w:r w:rsidR="004860AE">
        <w:t>m</w:t>
      </w:r>
      <w:r w:rsidRPr="00BE44AC">
        <w:t xml:space="preserve">onotectic </w:t>
      </w:r>
      <w:r w:rsidR="004860AE">
        <w:t>a</w:t>
      </w:r>
      <w:r w:rsidRPr="00BE44AC">
        <w:t>lloys</w:t>
      </w:r>
    </w:p>
    <w:p w14:paraId="58310558" w14:textId="77777777" w:rsidR="00066174" w:rsidRPr="00BE44AC" w:rsidRDefault="00066174" w:rsidP="00066174">
      <w:pPr>
        <w:ind w:left="720"/>
      </w:pPr>
      <w:r w:rsidRPr="00BE44AC">
        <w:t>8.3 Peritectic Solidification</w:t>
      </w:r>
    </w:p>
    <w:p w14:paraId="6BA6EBAA" w14:textId="0A62DA30" w:rsidR="00066174" w:rsidRPr="00BE44AC" w:rsidRDefault="00066174" w:rsidP="00066174">
      <w:pPr>
        <w:ind w:left="1440"/>
      </w:pPr>
      <w:r w:rsidRPr="00BE44AC">
        <w:t>8.3.1 Peritectic solidification during dendritic growth</w:t>
      </w:r>
    </w:p>
    <w:p w14:paraId="7DABCBC5" w14:textId="0D592980" w:rsidR="00066174" w:rsidRPr="00BE44AC" w:rsidRDefault="00066174" w:rsidP="00066174">
      <w:pPr>
        <w:ind w:left="1440"/>
      </w:pPr>
      <w:r w:rsidRPr="00BE44AC">
        <w:t>8.3.2 Aligned peritectic growth</w:t>
      </w:r>
    </w:p>
    <w:p w14:paraId="1FD95BAE" w14:textId="3099C09C" w:rsidR="007F1427" w:rsidRPr="00BE44AC" w:rsidRDefault="00066174" w:rsidP="007F1427">
      <w:pPr>
        <w:ind w:left="1440"/>
      </w:pPr>
      <w:r w:rsidRPr="00BE44AC">
        <w:t xml:space="preserve">8.3.3 Rapid </w:t>
      </w:r>
      <w:r w:rsidR="004860AE">
        <w:t>s</w:t>
      </w:r>
      <w:r w:rsidRPr="00BE44AC">
        <w:t xml:space="preserve">olidification of </w:t>
      </w:r>
      <w:r w:rsidR="004860AE">
        <w:t>p</w:t>
      </w:r>
      <w:r w:rsidRPr="00BE44AC">
        <w:t xml:space="preserve">eritectic </w:t>
      </w:r>
      <w:r w:rsidR="004860AE">
        <w:t>s</w:t>
      </w:r>
      <w:r w:rsidRPr="00BE44AC">
        <w:t>ystems</w:t>
      </w:r>
    </w:p>
    <w:p w14:paraId="3E139736" w14:textId="77777777" w:rsidR="00066174" w:rsidRPr="00BE44AC" w:rsidRDefault="00066174" w:rsidP="00066174">
      <w:r w:rsidRPr="00BE44AC">
        <w:t>9. Fluid Flow and Casting Structure</w:t>
      </w:r>
    </w:p>
    <w:p w14:paraId="109CCE7C" w14:textId="157EE17D" w:rsidR="00066174" w:rsidRPr="00BE44AC" w:rsidRDefault="00066174" w:rsidP="00066174">
      <w:pPr>
        <w:ind w:left="720"/>
      </w:pPr>
      <w:r w:rsidRPr="00BE44AC">
        <w:t>9.1 General aspects of fluid flow in casting</w:t>
      </w:r>
    </w:p>
    <w:p w14:paraId="6AAA12AF" w14:textId="3F9D3075" w:rsidR="00066174" w:rsidRPr="00BE44AC" w:rsidRDefault="00066174" w:rsidP="00066174">
      <w:pPr>
        <w:ind w:left="720"/>
      </w:pPr>
      <w:r w:rsidRPr="00BE44AC">
        <w:t>9.2 Effect of flow on the grain size of castings</w:t>
      </w:r>
    </w:p>
    <w:p w14:paraId="199BA0CA" w14:textId="0C58CD40" w:rsidR="00066174" w:rsidRPr="002A1C2A" w:rsidRDefault="00066174" w:rsidP="00066174">
      <w:pPr>
        <w:ind w:left="1440"/>
      </w:pPr>
      <w:r w:rsidRPr="002A1C2A">
        <w:t>9.2.1</w:t>
      </w:r>
      <w:r w:rsidR="004860AE">
        <w:t xml:space="preserve"> </w:t>
      </w:r>
      <w:r w:rsidRPr="002A1C2A">
        <w:t>Ingot structure</w:t>
      </w:r>
    </w:p>
    <w:p w14:paraId="0274175D" w14:textId="45C6D46F" w:rsidR="00066174" w:rsidRPr="002A1C2A" w:rsidRDefault="00066174" w:rsidP="00066174">
      <w:pPr>
        <w:ind w:left="2160"/>
      </w:pPr>
      <w:r w:rsidRPr="002A1C2A">
        <w:t xml:space="preserve">9.2.1.1 Chill </w:t>
      </w:r>
      <w:r w:rsidR="004860AE">
        <w:t>z</w:t>
      </w:r>
      <w:r w:rsidRPr="002A1C2A">
        <w:t>one</w:t>
      </w:r>
    </w:p>
    <w:p w14:paraId="3AB1042E" w14:textId="77D08B66" w:rsidR="00066174" w:rsidRPr="002A1C2A" w:rsidRDefault="00066174" w:rsidP="00066174">
      <w:pPr>
        <w:ind w:left="2160"/>
      </w:pPr>
      <w:r w:rsidRPr="002A1C2A">
        <w:t xml:space="preserve">9.2.1.2 Columnar </w:t>
      </w:r>
      <w:r w:rsidR="004860AE">
        <w:t>z</w:t>
      </w:r>
      <w:r w:rsidRPr="002A1C2A">
        <w:t>one</w:t>
      </w:r>
    </w:p>
    <w:p w14:paraId="33FA37CC" w14:textId="1680C989" w:rsidR="00066174" w:rsidRPr="00BE44AC" w:rsidRDefault="00066174" w:rsidP="00066174">
      <w:pPr>
        <w:ind w:left="2160"/>
      </w:pPr>
      <w:r w:rsidRPr="00BE44AC">
        <w:t xml:space="preserve">9.2.1.3 Central </w:t>
      </w:r>
      <w:r w:rsidR="004860AE">
        <w:t>e</w:t>
      </w:r>
      <w:r w:rsidRPr="00BE44AC">
        <w:t xml:space="preserve">quiaxed </w:t>
      </w:r>
      <w:r w:rsidR="004860AE">
        <w:t>z</w:t>
      </w:r>
      <w:r w:rsidRPr="00BE44AC">
        <w:t>one</w:t>
      </w:r>
    </w:p>
    <w:p w14:paraId="213B6AD9" w14:textId="65C03B73" w:rsidR="00066174" w:rsidRPr="00BE44AC" w:rsidRDefault="00066174" w:rsidP="00066174">
      <w:pPr>
        <w:ind w:left="1440"/>
      </w:pPr>
      <w:r w:rsidRPr="00BE44AC">
        <w:t>9.2.2 Source of growth sites</w:t>
      </w:r>
    </w:p>
    <w:p w14:paraId="7F7EC338" w14:textId="1AB58AD7" w:rsidR="00066174" w:rsidRPr="00BE44AC" w:rsidRDefault="00066174" w:rsidP="00066174">
      <w:pPr>
        <w:ind w:left="2160"/>
      </w:pPr>
      <w:r w:rsidRPr="00BE44AC">
        <w:t>9.2.2.1 Heterogeneous sites and grain refiners</w:t>
      </w:r>
    </w:p>
    <w:p w14:paraId="3D144AFB" w14:textId="419C0856" w:rsidR="00066174" w:rsidRPr="00BE44AC" w:rsidRDefault="00066174" w:rsidP="00066174">
      <w:pPr>
        <w:ind w:left="2160"/>
      </w:pPr>
      <w:r w:rsidRPr="00BE44AC">
        <w:t>9.2.2.2 Dendrite fragments</w:t>
      </w:r>
    </w:p>
    <w:p w14:paraId="4E8D60F7" w14:textId="77777777" w:rsidR="00066174" w:rsidRPr="00BE44AC" w:rsidRDefault="00066174" w:rsidP="00066174">
      <w:pPr>
        <w:ind w:left="1440"/>
      </w:pPr>
      <w:r w:rsidRPr="00BE44AC">
        <w:t xml:space="preserve">9.2.3 </w:t>
      </w:r>
      <w:r>
        <w:t>Viability</w:t>
      </w:r>
      <w:r w:rsidRPr="00BE44AC">
        <w:t xml:space="preserve"> of growth sites</w:t>
      </w:r>
      <w:r>
        <w:t xml:space="preserve"> for equiaxed solidification</w:t>
      </w:r>
    </w:p>
    <w:p w14:paraId="20CDBF25" w14:textId="19F8A7DB" w:rsidR="00066174" w:rsidRPr="00BE44AC" w:rsidRDefault="00066174" w:rsidP="00066174">
      <w:pPr>
        <w:ind w:left="2160"/>
      </w:pPr>
      <w:r w:rsidRPr="00BE44AC">
        <w:t xml:space="preserve">9.2.3.1 Columnar to </w:t>
      </w:r>
      <w:r w:rsidR="004860AE">
        <w:t>e</w:t>
      </w:r>
      <w:r w:rsidRPr="00BE44AC">
        <w:t>quiaxed transition (CET)</w:t>
      </w:r>
    </w:p>
    <w:p w14:paraId="102AB900" w14:textId="734C4383" w:rsidR="00066174" w:rsidRPr="00BE44AC" w:rsidRDefault="00066174" w:rsidP="00066174">
      <w:pPr>
        <w:ind w:left="2160"/>
      </w:pPr>
      <w:r w:rsidRPr="00BE44AC">
        <w:t xml:space="preserve">9.2.3.2 </w:t>
      </w:r>
      <w:r>
        <w:t>Details of f</w:t>
      </w:r>
      <w:r w:rsidRPr="00BE44AC">
        <w:t>ragment survival</w:t>
      </w:r>
    </w:p>
    <w:p w14:paraId="5207DE36" w14:textId="4FC6F951" w:rsidR="00066174" w:rsidRDefault="00066174" w:rsidP="00066174">
      <w:pPr>
        <w:ind w:left="720"/>
      </w:pPr>
      <w:r w:rsidRPr="00BE44AC">
        <w:t>9.3 Macrosegregation</w:t>
      </w:r>
    </w:p>
    <w:p w14:paraId="12E493B6" w14:textId="77777777" w:rsidR="00066174" w:rsidRDefault="00066174" w:rsidP="00066174">
      <w:pPr>
        <w:ind w:left="720"/>
      </w:pPr>
      <w:r>
        <w:tab/>
        <w:t>9.3.1 Macrosegregation models for columnar structures</w:t>
      </w:r>
    </w:p>
    <w:p w14:paraId="66037BA4" w14:textId="77777777" w:rsidR="00066174" w:rsidRDefault="00066174" w:rsidP="00066174">
      <w:pPr>
        <w:ind w:left="720"/>
      </w:pPr>
      <w:r>
        <w:tab/>
      </w:r>
      <w:r>
        <w:tab/>
        <w:t>9.3.1.1 Modification of the Scheil equation to include flow</w:t>
      </w:r>
    </w:p>
    <w:p w14:paraId="2EAB2A35" w14:textId="77777777" w:rsidR="00066174" w:rsidRDefault="00066174" w:rsidP="00066174">
      <w:pPr>
        <w:ind w:left="720"/>
      </w:pPr>
      <w:r>
        <w:tab/>
      </w:r>
      <w:r>
        <w:tab/>
      </w:r>
      <w:r w:rsidRPr="00545EE7">
        <w:t xml:space="preserve">9.3.1.2 Solution of the transport equations for macrosegregation </w:t>
      </w:r>
      <w:r>
        <w:tab/>
      </w:r>
      <w:r>
        <w:tab/>
      </w:r>
      <w:r>
        <w:tab/>
      </w:r>
      <w:r>
        <w:tab/>
      </w:r>
      <w:r>
        <w:tab/>
      </w:r>
      <w:r w:rsidRPr="00545EE7">
        <w:t>during columnar solidification</w:t>
      </w:r>
    </w:p>
    <w:p w14:paraId="777EEEBE" w14:textId="77777777" w:rsidR="00066174" w:rsidRPr="00545EE7" w:rsidRDefault="00066174" w:rsidP="00066174">
      <w:pPr>
        <w:ind w:left="720"/>
      </w:pPr>
      <w:r w:rsidRPr="00545EE7">
        <w:t xml:space="preserve"> </w:t>
      </w:r>
      <w:r>
        <w:tab/>
      </w:r>
      <w:r w:rsidRPr="00545EE7">
        <w:t>9.3.</w:t>
      </w:r>
      <w:r>
        <w:t>2</w:t>
      </w:r>
      <w:r w:rsidRPr="00545EE7">
        <w:t xml:space="preserve"> Macrosegregation models for equiaxed structures</w:t>
      </w:r>
    </w:p>
    <w:p w14:paraId="5B99F7C4" w14:textId="1F5774AA" w:rsidR="00066174" w:rsidRPr="00BE44AC" w:rsidRDefault="00066174" w:rsidP="00066174">
      <w:pPr>
        <w:ind w:left="720"/>
      </w:pPr>
      <w:r w:rsidRPr="00BE44AC">
        <w:t xml:space="preserve">9.4 Porosity </w:t>
      </w:r>
    </w:p>
    <w:p w14:paraId="3CC30713" w14:textId="7923683C" w:rsidR="00066174" w:rsidRPr="00BE44AC" w:rsidRDefault="00066174" w:rsidP="00066174">
      <w:pPr>
        <w:ind w:left="1440"/>
      </w:pPr>
      <w:r w:rsidRPr="00BE44AC">
        <w:t>9.4.1 Porosity</w:t>
      </w:r>
    </w:p>
    <w:p w14:paraId="20F33AD2" w14:textId="5E62B4C4" w:rsidR="00066174" w:rsidRDefault="00066174" w:rsidP="00066174">
      <w:pPr>
        <w:ind w:left="1440"/>
      </w:pPr>
      <w:r w:rsidRPr="00BE44AC">
        <w:t>9.4.2 Microporosity</w:t>
      </w:r>
    </w:p>
    <w:p w14:paraId="2E2458BE" w14:textId="77777777" w:rsidR="00066174" w:rsidRDefault="00066174" w:rsidP="00066174">
      <w:pPr>
        <w:ind w:left="2160"/>
        <w:rPr>
          <w:spacing w:val="-3"/>
        </w:rPr>
      </w:pPr>
      <w:r w:rsidRPr="00170B8F">
        <w:rPr>
          <w:spacing w:val="-3"/>
        </w:rPr>
        <w:t>9.4.2.1 Criteri</w:t>
      </w:r>
      <w:r>
        <w:rPr>
          <w:spacing w:val="-3"/>
        </w:rPr>
        <w:t>a</w:t>
      </w:r>
      <w:r w:rsidRPr="00170B8F">
        <w:rPr>
          <w:spacing w:val="-3"/>
        </w:rPr>
        <w:t xml:space="preserve"> </w:t>
      </w:r>
      <w:r w:rsidR="004860AE">
        <w:rPr>
          <w:spacing w:val="-3"/>
        </w:rPr>
        <w:t>f</w:t>
      </w:r>
      <w:r w:rsidRPr="00170B8F">
        <w:rPr>
          <w:spacing w:val="-3"/>
        </w:rPr>
        <w:t>unctions</w:t>
      </w:r>
    </w:p>
    <w:p w14:paraId="436D2B51" w14:textId="77777777" w:rsidR="00066174" w:rsidRDefault="00066174" w:rsidP="00066174">
      <w:pPr>
        <w:ind w:left="2160"/>
      </w:pPr>
      <w:r w:rsidRPr="00170B8F">
        <w:t>9.4.2.2 Fluid flow calculations of microporosity in columnar structures</w:t>
      </w:r>
    </w:p>
    <w:p w14:paraId="4E23A867" w14:textId="77777777" w:rsidR="00066174" w:rsidRPr="00170B8F" w:rsidRDefault="00066174" w:rsidP="00066174">
      <w:pPr>
        <w:ind w:left="2160"/>
      </w:pPr>
      <w:r w:rsidRPr="00170B8F">
        <w:t>9.4.2.3 Calculations of microporosity in equiaxed structures</w:t>
      </w:r>
    </w:p>
    <w:p w14:paraId="4900596D" w14:textId="77777777" w:rsidR="00066174" w:rsidRDefault="00066174" w:rsidP="00066174">
      <w:pPr>
        <w:ind w:left="720"/>
      </w:pPr>
      <w:r>
        <w:t>9.5</w:t>
      </w:r>
      <w:r w:rsidR="004860AE">
        <w:t>.</w:t>
      </w:r>
      <w:r>
        <w:t xml:space="preserve"> </w:t>
      </w:r>
      <w:r w:rsidRPr="00BE44AC">
        <w:t>Inclusions</w:t>
      </w:r>
    </w:p>
    <w:p w14:paraId="2D73748E" w14:textId="77777777" w:rsidR="00066174" w:rsidRDefault="00066174" w:rsidP="00066174">
      <w:pPr>
        <w:ind w:left="1440"/>
      </w:pPr>
      <w:r>
        <w:t>9.5.1 Primary inclusions</w:t>
      </w:r>
    </w:p>
    <w:p w14:paraId="414B29C7" w14:textId="77777777" w:rsidR="00066174" w:rsidRDefault="00066174" w:rsidP="00066174">
      <w:pPr>
        <w:ind w:left="1440"/>
      </w:pPr>
      <w:r>
        <w:t>9.5.2 Secondary inclusions</w:t>
      </w:r>
    </w:p>
    <w:p w14:paraId="7B8E87FD" w14:textId="77777777" w:rsidR="00066174" w:rsidRPr="00BE44AC" w:rsidRDefault="002006B3" w:rsidP="00066174">
      <w:pPr>
        <w:ind w:left="1440"/>
      </w:pPr>
      <w:r>
        <w:t xml:space="preserve">9.5.2 </w:t>
      </w:r>
      <w:r w:rsidRPr="00170B8F">
        <w:t>Inclusion</w:t>
      </w:r>
      <w:r w:rsidR="00066174" w:rsidRPr="00170B8F">
        <w:t xml:space="preserve"> pushing/entrapment</w:t>
      </w:r>
      <w:r w:rsidR="00066174">
        <w:t xml:space="preserve"> </w:t>
      </w:r>
    </w:p>
    <w:p w14:paraId="2603E6CE" w14:textId="77777777" w:rsidR="00066174" w:rsidRDefault="00066174" w:rsidP="00066174">
      <w:pPr>
        <w:ind w:left="720"/>
      </w:pPr>
      <w:r w:rsidRPr="00BE44AC">
        <w:t>9.</w:t>
      </w:r>
      <w:r>
        <w:t>6</w:t>
      </w:r>
      <w:r w:rsidRPr="00BE44AC">
        <w:t>. Fluidity</w:t>
      </w:r>
    </w:p>
    <w:p w14:paraId="7EBA23E8" w14:textId="564A26DD" w:rsidR="00066174" w:rsidRPr="00BE44AC" w:rsidRDefault="00066174" w:rsidP="00066174">
      <w:r w:rsidRPr="00BE44AC">
        <w:t>10</w:t>
      </w:r>
      <w:r>
        <w:t>.</w:t>
      </w:r>
      <w:r w:rsidRPr="00BE44AC">
        <w:t xml:space="preserve"> </w:t>
      </w:r>
      <w:r>
        <w:t xml:space="preserve"> </w:t>
      </w:r>
      <w:r w:rsidR="009E5794">
        <w:t xml:space="preserve">Additive </w:t>
      </w:r>
      <w:r w:rsidR="00E922D9">
        <w:t>m</w:t>
      </w:r>
      <w:r w:rsidR="009E5794">
        <w:t xml:space="preserve">anufacturing of </w:t>
      </w:r>
      <w:r w:rsidR="00E922D9">
        <w:t>m</w:t>
      </w:r>
      <w:r w:rsidR="009E5794">
        <w:t>etals</w:t>
      </w:r>
    </w:p>
    <w:p w14:paraId="46006887" w14:textId="28CE8949" w:rsidR="00066174" w:rsidRPr="00BE44AC" w:rsidRDefault="00066174" w:rsidP="00066174">
      <w:pPr>
        <w:ind w:left="720"/>
      </w:pPr>
      <w:r w:rsidRPr="00BE44AC">
        <w:t xml:space="preserve">10.1 </w:t>
      </w:r>
      <w:r w:rsidR="00BF4033">
        <w:t>Introduction</w:t>
      </w:r>
    </w:p>
    <w:p w14:paraId="4AEA7617" w14:textId="50F457B4" w:rsidR="00066174" w:rsidRDefault="00066174" w:rsidP="00066174">
      <w:pPr>
        <w:ind w:left="720"/>
      </w:pPr>
      <w:r w:rsidRPr="00BE44AC">
        <w:t xml:space="preserve">10.2 </w:t>
      </w:r>
      <w:r w:rsidR="00BF4033" w:rsidRPr="00BF4033">
        <w:t xml:space="preserve">Common </w:t>
      </w:r>
      <w:r w:rsidR="00E922D9">
        <w:t>t</w:t>
      </w:r>
      <w:r w:rsidR="00BF4033" w:rsidRPr="00BF4033">
        <w:t xml:space="preserve">ypes of </w:t>
      </w:r>
      <w:r w:rsidR="00E922D9">
        <w:t>m</w:t>
      </w:r>
      <w:r w:rsidR="00BF4033" w:rsidRPr="00BF4033">
        <w:t>etal</w:t>
      </w:r>
      <w:r w:rsidR="00E26411">
        <w:t xml:space="preserve"> additive manufacturing</w:t>
      </w:r>
      <w:r w:rsidR="00BF4033" w:rsidRPr="00BF4033">
        <w:t xml:space="preserve"> </w:t>
      </w:r>
      <w:r w:rsidR="00E26411">
        <w:t>(</w:t>
      </w:r>
      <w:r w:rsidR="00BF4033" w:rsidRPr="00BF4033">
        <w:t xml:space="preserve">AM </w:t>
      </w:r>
      <w:r w:rsidR="00E26411">
        <w:t xml:space="preserve">) </w:t>
      </w:r>
      <w:r w:rsidR="00E922D9">
        <w:t>p</w:t>
      </w:r>
      <w:r w:rsidR="00BF4033" w:rsidRPr="00BF4033">
        <w:t>rocesses</w:t>
      </w:r>
      <w:r w:rsidR="00BF4033" w:rsidRPr="00BF4033" w:rsidDel="00BF4033">
        <w:t xml:space="preserve"> </w:t>
      </w:r>
    </w:p>
    <w:p w14:paraId="23D26F7E" w14:textId="3C5CAA4C" w:rsidR="00BF4033" w:rsidRPr="00BE44AC" w:rsidRDefault="00BF4033" w:rsidP="00BF4033">
      <w:pPr>
        <w:ind w:left="1440"/>
        <w:outlineLvl w:val="0"/>
      </w:pPr>
      <w:r w:rsidRPr="00BE44AC">
        <w:t>10.</w:t>
      </w:r>
      <w:r w:rsidR="00E922D9">
        <w:t>2</w:t>
      </w:r>
      <w:r w:rsidRPr="00BE44AC">
        <w:t>.</w:t>
      </w:r>
      <w:r w:rsidR="00E922D9">
        <w:t xml:space="preserve">1 </w:t>
      </w:r>
      <w:r w:rsidRPr="00BE44AC">
        <w:t>M</w:t>
      </w:r>
      <w:r w:rsidR="00E922D9">
        <w:t>aterial extrusion</w:t>
      </w:r>
    </w:p>
    <w:p w14:paraId="5B0C03F9" w14:textId="4A1AB8A0" w:rsidR="00BF4033" w:rsidRDefault="00BF4033" w:rsidP="00BF4033">
      <w:pPr>
        <w:ind w:left="1440"/>
        <w:outlineLvl w:val="0"/>
      </w:pPr>
      <w:r w:rsidRPr="00BE44AC">
        <w:t>10.</w:t>
      </w:r>
      <w:r w:rsidR="00E922D9">
        <w:t>2</w:t>
      </w:r>
      <w:r w:rsidRPr="00BE44AC">
        <w:t>.</w:t>
      </w:r>
      <w:r w:rsidR="00E922D9">
        <w:t>2</w:t>
      </w:r>
      <w:r w:rsidRPr="00BE44AC">
        <w:t xml:space="preserve"> </w:t>
      </w:r>
      <w:r w:rsidR="00E922D9">
        <w:t>Laser powder bed fusion (LPBF)</w:t>
      </w:r>
    </w:p>
    <w:p w14:paraId="5CEAF71F" w14:textId="484DE998" w:rsidR="00E922D9" w:rsidRDefault="00E922D9" w:rsidP="00BF4033">
      <w:pPr>
        <w:ind w:left="1440"/>
        <w:outlineLvl w:val="0"/>
      </w:pPr>
      <w:r>
        <w:lastRenderedPageBreak/>
        <w:t>10.2.3 Direct energy deposition (DED)</w:t>
      </w:r>
    </w:p>
    <w:p w14:paraId="6A98512D" w14:textId="77777777" w:rsidR="00E922D9" w:rsidRDefault="00E922D9" w:rsidP="00BF4033">
      <w:pPr>
        <w:ind w:left="1440"/>
        <w:outlineLvl w:val="0"/>
      </w:pPr>
      <w:r>
        <w:t xml:space="preserve">10.2.4 </w:t>
      </w:r>
      <w:r w:rsidRPr="00E922D9">
        <w:t>Material Jetting (MJ) and Binder Jetting (BJ)</w:t>
      </w:r>
    </w:p>
    <w:p w14:paraId="4F3E77B2" w14:textId="2CF1843B" w:rsidR="00E922D9" w:rsidRPr="00BE44AC" w:rsidRDefault="00E922D9" w:rsidP="00BF4033">
      <w:pPr>
        <w:ind w:left="1440"/>
        <w:outlineLvl w:val="0"/>
      </w:pPr>
      <w:r>
        <w:t xml:space="preserve">10.2.5 Solid state AM </w:t>
      </w:r>
    </w:p>
    <w:p w14:paraId="1FC12D7E" w14:textId="0BBD9D7F" w:rsidR="00066174" w:rsidRDefault="00A35D36" w:rsidP="003E0F31">
      <w:r>
        <w:tab/>
      </w:r>
      <w:r w:rsidR="00066174" w:rsidRPr="00BE44AC">
        <w:t xml:space="preserve">10.3 </w:t>
      </w:r>
      <w:r w:rsidR="00E922D9" w:rsidRPr="00E922D9">
        <w:t>Typical Machines/Tools Used for Metal AM Processes</w:t>
      </w:r>
    </w:p>
    <w:p w14:paraId="22161146" w14:textId="77E8BF6B" w:rsidR="00E922D9" w:rsidRPr="00BE44AC" w:rsidRDefault="00E922D9" w:rsidP="00E922D9">
      <w:pPr>
        <w:ind w:left="1440"/>
        <w:outlineLvl w:val="0"/>
      </w:pPr>
      <w:r w:rsidRPr="00BE44AC">
        <w:t>10.</w:t>
      </w:r>
      <w:r>
        <w:t>3</w:t>
      </w:r>
      <w:r w:rsidRPr="00BE44AC">
        <w:t>.</w:t>
      </w:r>
      <w:r>
        <w:t xml:space="preserve">1 </w:t>
      </w:r>
      <w:r w:rsidR="00A35D36">
        <w:t>Powder bed systems</w:t>
      </w:r>
    </w:p>
    <w:p w14:paraId="43A15E0E" w14:textId="0F3EF018" w:rsidR="00E922D9" w:rsidRDefault="00E922D9" w:rsidP="00E922D9">
      <w:pPr>
        <w:ind w:left="1440"/>
        <w:outlineLvl w:val="0"/>
      </w:pPr>
      <w:r w:rsidRPr="00BE44AC">
        <w:t>10.</w:t>
      </w:r>
      <w:r>
        <w:t>3</w:t>
      </w:r>
      <w:r w:rsidRPr="00BE44AC">
        <w:t>.</w:t>
      </w:r>
      <w:r>
        <w:t>2</w:t>
      </w:r>
      <w:r w:rsidRPr="00BE44AC">
        <w:t xml:space="preserve"> </w:t>
      </w:r>
      <w:r w:rsidR="00A35D36">
        <w:t>Powder feed systems</w:t>
      </w:r>
    </w:p>
    <w:p w14:paraId="20A21EB2" w14:textId="536EA5BE" w:rsidR="00E922D9" w:rsidRDefault="00E922D9" w:rsidP="00E922D9">
      <w:pPr>
        <w:ind w:left="1440"/>
        <w:outlineLvl w:val="0"/>
      </w:pPr>
      <w:r>
        <w:t xml:space="preserve">10.3.3 </w:t>
      </w:r>
      <w:r w:rsidR="00A35D36">
        <w:t>Wire feed systems</w:t>
      </w:r>
    </w:p>
    <w:p w14:paraId="50FB0C25" w14:textId="044FBFE5" w:rsidR="00066174" w:rsidRPr="00BE44AC" w:rsidRDefault="00066174" w:rsidP="00066174">
      <w:pPr>
        <w:ind w:left="720"/>
      </w:pPr>
      <w:r w:rsidRPr="00BE44AC">
        <w:t xml:space="preserve">10.4 </w:t>
      </w:r>
      <w:r w:rsidR="007F1427">
        <w:t>Physics of metal AM processes</w:t>
      </w:r>
    </w:p>
    <w:p w14:paraId="4A0DCB52" w14:textId="020ADF92" w:rsidR="00066174" w:rsidRPr="00BE44AC" w:rsidRDefault="00066174" w:rsidP="00066174">
      <w:pPr>
        <w:ind w:left="1440"/>
      </w:pPr>
      <w:r w:rsidRPr="00BE44AC">
        <w:t xml:space="preserve">10.4.1 </w:t>
      </w:r>
      <w:r w:rsidR="007F1427" w:rsidRPr="007F1427">
        <w:t xml:space="preserve">Continuum level models for fluid flow, heat transfer, and </w:t>
      </w:r>
      <w:r w:rsidR="00C15F82" w:rsidRPr="00C15F82">
        <w:t>thermomechanical analysis</w:t>
      </w:r>
    </w:p>
    <w:p w14:paraId="0E3DE780" w14:textId="21868877" w:rsidR="00066174" w:rsidRDefault="00066174" w:rsidP="00066174">
      <w:pPr>
        <w:ind w:left="1440"/>
      </w:pPr>
      <w:r w:rsidRPr="00BE44AC">
        <w:t xml:space="preserve">10.4.2 </w:t>
      </w:r>
      <w:r w:rsidR="007F1427" w:rsidRPr="007F1427">
        <w:t>Mesoscale models for microstructural evolution</w:t>
      </w:r>
    </w:p>
    <w:p w14:paraId="132E8227" w14:textId="5A201CD3" w:rsidR="007F1427" w:rsidRDefault="007F1427" w:rsidP="007F1427">
      <w:pPr>
        <w:ind w:left="1440" w:firstLine="720"/>
      </w:pPr>
      <w:r>
        <w:t>10.4.2.1 Phase field method</w:t>
      </w:r>
    </w:p>
    <w:p w14:paraId="76650633" w14:textId="621AAC79" w:rsidR="007F1427" w:rsidRDefault="007F1427" w:rsidP="003E0F31">
      <w:pPr>
        <w:ind w:left="1440" w:firstLine="720"/>
      </w:pPr>
      <w:r>
        <w:t>10.4.2.2 Cellular automata method</w:t>
      </w:r>
    </w:p>
    <w:p w14:paraId="4B59126F" w14:textId="762F84A1" w:rsidR="007F1427" w:rsidRDefault="007F1427" w:rsidP="007F1427">
      <w:pPr>
        <w:ind w:left="1440"/>
      </w:pPr>
      <w:r>
        <w:t xml:space="preserve">10.4.3 </w:t>
      </w:r>
      <w:r w:rsidR="00584101" w:rsidRPr="00584101">
        <w:t>Model Coupling Approaches</w:t>
      </w:r>
    </w:p>
    <w:p w14:paraId="5E069DFC" w14:textId="52EA7884" w:rsidR="00554C08" w:rsidRPr="00BE44AC" w:rsidRDefault="00554C08" w:rsidP="007F1427">
      <w:pPr>
        <w:ind w:left="1440"/>
      </w:pPr>
      <w:r>
        <w:t>10.4.4 AM Uncertainty Quantification (UQ)</w:t>
      </w:r>
    </w:p>
    <w:p w14:paraId="128589F1" w14:textId="028174DC" w:rsidR="00066174" w:rsidRDefault="00066174" w:rsidP="00066174">
      <w:pPr>
        <w:ind w:left="720"/>
      </w:pPr>
      <w:r w:rsidRPr="00BE44AC">
        <w:t xml:space="preserve">10.5 </w:t>
      </w:r>
      <w:r w:rsidR="007F1427">
        <w:t>Common alloys used</w:t>
      </w:r>
    </w:p>
    <w:p w14:paraId="4145B1B8" w14:textId="2757519D" w:rsidR="007F1427" w:rsidRPr="00BE44AC" w:rsidRDefault="007F1427" w:rsidP="007F1427">
      <w:pPr>
        <w:ind w:left="1440"/>
        <w:outlineLvl w:val="0"/>
      </w:pPr>
      <w:r w:rsidRPr="00BE44AC">
        <w:t>10.</w:t>
      </w:r>
      <w:r>
        <w:t>5</w:t>
      </w:r>
      <w:r w:rsidRPr="00BE44AC">
        <w:t>.</w:t>
      </w:r>
      <w:r>
        <w:t>1 Ti alloys</w:t>
      </w:r>
    </w:p>
    <w:p w14:paraId="29BFC945" w14:textId="3F76BFD8" w:rsidR="007F1427" w:rsidRDefault="007F1427" w:rsidP="007F1427">
      <w:pPr>
        <w:ind w:left="1440"/>
        <w:outlineLvl w:val="0"/>
      </w:pPr>
      <w:r w:rsidRPr="00BE44AC">
        <w:t>10.</w:t>
      </w:r>
      <w:r>
        <w:t>5</w:t>
      </w:r>
      <w:r w:rsidRPr="00BE44AC">
        <w:t>.</w:t>
      </w:r>
      <w:r>
        <w:t>2</w:t>
      </w:r>
      <w:r w:rsidRPr="00BE44AC">
        <w:t xml:space="preserve"> </w:t>
      </w:r>
      <w:r>
        <w:t>Ni alloys</w:t>
      </w:r>
    </w:p>
    <w:p w14:paraId="3D992559" w14:textId="14F4623D" w:rsidR="007F1427" w:rsidRDefault="007F1427" w:rsidP="007F1427">
      <w:pPr>
        <w:ind w:left="1440"/>
        <w:outlineLvl w:val="0"/>
      </w:pPr>
      <w:r>
        <w:t>10.5.3 Fe alloys</w:t>
      </w:r>
    </w:p>
    <w:p w14:paraId="373A9389" w14:textId="1CA054CA" w:rsidR="007F1427" w:rsidRDefault="007F1427" w:rsidP="007F1427">
      <w:pPr>
        <w:ind w:left="1440"/>
        <w:outlineLvl w:val="0"/>
      </w:pPr>
      <w:r>
        <w:t>10.5.4 Co alloys</w:t>
      </w:r>
    </w:p>
    <w:p w14:paraId="61C7F795" w14:textId="57A0D13D" w:rsidR="007F1427" w:rsidRDefault="007F1427" w:rsidP="007F1427">
      <w:pPr>
        <w:ind w:left="1440"/>
        <w:outlineLvl w:val="0"/>
      </w:pPr>
      <w:r>
        <w:t>10.5.5 Cu alloys</w:t>
      </w:r>
    </w:p>
    <w:p w14:paraId="3A3EC531" w14:textId="774D10B9" w:rsidR="007F1427" w:rsidRDefault="007F1427" w:rsidP="007F1427">
      <w:pPr>
        <w:ind w:left="1440"/>
        <w:outlineLvl w:val="0"/>
      </w:pPr>
      <w:r>
        <w:t>10.5.6 Al alloys</w:t>
      </w:r>
    </w:p>
    <w:p w14:paraId="604D435F" w14:textId="02096333" w:rsidR="007F1427" w:rsidRDefault="007F1427" w:rsidP="007F1427">
      <w:pPr>
        <w:ind w:left="1440"/>
        <w:outlineLvl w:val="0"/>
      </w:pPr>
      <w:r>
        <w:t>10.5.7 Mg alloys</w:t>
      </w:r>
    </w:p>
    <w:p w14:paraId="2809B0A1" w14:textId="3B6CC608" w:rsidR="00066174" w:rsidRDefault="00066174" w:rsidP="00066174">
      <w:pPr>
        <w:ind w:left="720"/>
      </w:pPr>
      <w:r w:rsidRPr="00BE44AC">
        <w:t xml:space="preserve">10.6 </w:t>
      </w:r>
      <w:r w:rsidR="007F1427">
        <w:t>Mechanical properties</w:t>
      </w:r>
    </w:p>
    <w:p w14:paraId="3A143068" w14:textId="06D99EE8" w:rsidR="007F1427" w:rsidRPr="00BE44AC" w:rsidRDefault="007F1427" w:rsidP="007F1427">
      <w:pPr>
        <w:ind w:left="1440"/>
        <w:outlineLvl w:val="0"/>
      </w:pPr>
      <w:r w:rsidRPr="00BE44AC">
        <w:t>10.</w:t>
      </w:r>
      <w:r>
        <w:t>6</w:t>
      </w:r>
      <w:r w:rsidRPr="00BE44AC">
        <w:t>.</w:t>
      </w:r>
      <w:r>
        <w:t xml:space="preserve">1 </w:t>
      </w:r>
      <w:r w:rsidR="001E4CA1">
        <w:t>Cu</w:t>
      </w:r>
      <w:r>
        <w:t xml:space="preserve"> alloys</w:t>
      </w:r>
    </w:p>
    <w:p w14:paraId="3391DF3F" w14:textId="43D13382" w:rsidR="007F1427" w:rsidRDefault="007F1427" w:rsidP="007F1427">
      <w:pPr>
        <w:ind w:left="1440"/>
        <w:outlineLvl w:val="0"/>
      </w:pPr>
      <w:r w:rsidRPr="00BE44AC">
        <w:t>10.</w:t>
      </w:r>
      <w:r>
        <w:t>6</w:t>
      </w:r>
      <w:r w:rsidRPr="00BE44AC">
        <w:t>.</w:t>
      </w:r>
      <w:r>
        <w:t>2</w:t>
      </w:r>
      <w:r w:rsidRPr="00BE44AC">
        <w:t xml:space="preserve"> </w:t>
      </w:r>
      <w:r>
        <w:t>Ni alloys</w:t>
      </w:r>
    </w:p>
    <w:p w14:paraId="7E2E4914" w14:textId="32172F58" w:rsidR="007F1427" w:rsidRDefault="007F1427" w:rsidP="007F1427">
      <w:pPr>
        <w:ind w:left="1440"/>
        <w:outlineLvl w:val="0"/>
      </w:pPr>
      <w:r>
        <w:t xml:space="preserve">10.6.3 </w:t>
      </w:r>
      <w:r w:rsidR="001E4CA1">
        <w:t>Al</w:t>
      </w:r>
      <w:r>
        <w:t xml:space="preserve"> alloys</w:t>
      </w:r>
    </w:p>
    <w:p w14:paraId="50B67242" w14:textId="6ABC75AE" w:rsidR="007F1427" w:rsidRDefault="007F1427" w:rsidP="007F1427">
      <w:pPr>
        <w:ind w:left="1440"/>
        <w:outlineLvl w:val="0"/>
      </w:pPr>
      <w:r>
        <w:t xml:space="preserve">10.6.4 </w:t>
      </w:r>
      <w:r w:rsidR="001E4CA1">
        <w:t>Ti</w:t>
      </w:r>
      <w:r>
        <w:t xml:space="preserve"> alloys</w:t>
      </w:r>
    </w:p>
    <w:p w14:paraId="024A40B2" w14:textId="464B6D51" w:rsidR="007F1427" w:rsidRDefault="007F1427" w:rsidP="007F1427">
      <w:pPr>
        <w:ind w:left="1440"/>
        <w:outlineLvl w:val="0"/>
      </w:pPr>
      <w:r>
        <w:t xml:space="preserve">10.6.5 </w:t>
      </w:r>
      <w:r w:rsidR="001E4CA1">
        <w:t>Fe</w:t>
      </w:r>
      <w:r>
        <w:t xml:space="preserve"> alloys</w:t>
      </w:r>
    </w:p>
    <w:p w14:paraId="75A0A3A9" w14:textId="705B18CF" w:rsidR="007F1427" w:rsidRDefault="007F1427" w:rsidP="007F1427">
      <w:pPr>
        <w:ind w:left="1440"/>
        <w:outlineLvl w:val="0"/>
      </w:pPr>
      <w:r>
        <w:t xml:space="preserve">10.6.6 </w:t>
      </w:r>
      <w:r w:rsidR="001E4CA1">
        <w:t>Co</w:t>
      </w:r>
      <w:r>
        <w:t xml:space="preserve"> alloys</w:t>
      </w:r>
    </w:p>
    <w:p w14:paraId="2A2AD9B8" w14:textId="77777777" w:rsidR="00066174" w:rsidRPr="00BE44AC" w:rsidRDefault="00066174" w:rsidP="00066174">
      <w:pPr>
        <w:ind w:left="1440"/>
      </w:pPr>
    </w:p>
    <w:p w14:paraId="48EF4368" w14:textId="77777777" w:rsidR="00DE03C1" w:rsidRDefault="00066174" w:rsidP="00066174">
      <w:pPr>
        <w:widowControl w:val="0"/>
        <w:suppressAutoHyphens/>
        <w:autoSpaceDE w:val="0"/>
        <w:autoSpaceDN w:val="0"/>
        <w:adjustRightInd w:val="0"/>
        <w:spacing w:line="240" w:lineRule="atLeast"/>
      </w:pPr>
      <w:r w:rsidRPr="00BE44AC">
        <w:rPr>
          <w:bCs/>
          <w:spacing w:val="-3"/>
        </w:rPr>
        <w:t>References</w:t>
      </w:r>
      <w:r>
        <w:rPr>
          <w:b/>
          <w:bCs/>
        </w:rPr>
        <w:br w:type="page"/>
      </w:r>
    </w:p>
    <w:p w14:paraId="1DF9C546" w14:textId="77777777" w:rsidR="00DE03C1" w:rsidRDefault="00DE03C1" w:rsidP="00066174">
      <w:pPr>
        <w:pStyle w:val="subtitulo"/>
        <w:spacing w:line="360" w:lineRule="atLeast"/>
        <w:jc w:val="center"/>
      </w:pPr>
      <w:r>
        <w:rPr>
          <w:i/>
          <w:iCs/>
        </w:rPr>
        <w:lastRenderedPageBreak/>
        <w:t>1. Introduction</w:t>
      </w:r>
    </w:p>
    <w:p w14:paraId="1211D5C4" w14:textId="77777777" w:rsidR="00DE03C1" w:rsidRDefault="00DE03C1" w:rsidP="00DE03C1">
      <w:pPr>
        <w:tabs>
          <w:tab w:val="left" w:pos="-1440"/>
          <w:tab w:val="left" w:pos="-720"/>
        </w:tabs>
        <w:suppressAutoHyphens/>
        <w:spacing w:line="360" w:lineRule="atLeast"/>
      </w:pPr>
    </w:p>
    <w:p w14:paraId="514270AE" w14:textId="6C7F9386" w:rsidR="00DE03C1" w:rsidRDefault="00DE03C1" w:rsidP="00066174">
      <w:pPr>
        <w:tabs>
          <w:tab w:val="left" w:pos="-1440"/>
          <w:tab w:val="left" w:pos="-720"/>
        </w:tabs>
        <w:suppressAutoHyphens/>
        <w:spacing w:line="360" w:lineRule="auto"/>
        <w:rPr>
          <w:spacing w:val="-3"/>
        </w:rPr>
      </w:pPr>
      <w:r>
        <w:rPr>
          <w:spacing w:val="-3"/>
        </w:rPr>
        <w:tab/>
      </w:r>
      <w:r w:rsidR="008D4BD4">
        <w:rPr>
          <w:spacing w:val="-3"/>
        </w:rPr>
        <w:t>A</w:t>
      </w:r>
      <w:r>
        <w:rPr>
          <w:spacing w:val="-3"/>
        </w:rPr>
        <w:t xml:space="preserve"> general view of the formation of the solid from its melt</w:t>
      </w:r>
      <w:r w:rsidR="008D4BD4">
        <w:rPr>
          <w:spacing w:val="-3"/>
        </w:rPr>
        <w:t xml:space="preserve"> is given</w:t>
      </w:r>
      <w:r>
        <w:rPr>
          <w:spacing w:val="-3"/>
        </w:rPr>
        <w:t>. Th</w:t>
      </w:r>
      <w:r w:rsidR="008D4BD4">
        <w:rPr>
          <w:spacing w:val="-3"/>
        </w:rPr>
        <w:t>e</w:t>
      </w:r>
      <w:r>
        <w:rPr>
          <w:spacing w:val="-3"/>
        </w:rPr>
        <w:t xml:space="preserve"> </w:t>
      </w:r>
      <w:r w:rsidR="008D4BD4">
        <w:rPr>
          <w:spacing w:val="-3"/>
        </w:rPr>
        <w:t xml:space="preserve">macroscopic </w:t>
      </w:r>
      <w:r>
        <w:rPr>
          <w:spacing w:val="-3"/>
        </w:rPr>
        <w:t>process is driven by the extraction of heat from the melt</w:t>
      </w:r>
      <w:r w:rsidR="008D4BD4">
        <w:rPr>
          <w:spacing w:val="-3"/>
        </w:rPr>
        <w:t>,</w:t>
      </w:r>
      <w:r>
        <w:rPr>
          <w:spacing w:val="-3"/>
        </w:rPr>
        <w:t xml:space="preserve"> but fluid flow </w:t>
      </w:r>
      <w:r w:rsidR="008D4BD4">
        <w:rPr>
          <w:spacing w:val="-3"/>
        </w:rPr>
        <w:t>is also relevant.</w:t>
      </w:r>
      <w:r>
        <w:rPr>
          <w:spacing w:val="-3"/>
        </w:rPr>
        <w:t xml:space="preserve"> Thus </w:t>
      </w:r>
      <w:r w:rsidR="008D4BD4">
        <w:rPr>
          <w:spacing w:val="-3"/>
        </w:rPr>
        <w:t>the first</w:t>
      </w:r>
      <w:r>
        <w:rPr>
          <w:spacing w:val="-3"/>
        </w:rPr>
        <w:t xml:space="preserve"> section deals with transport phenomena. </w:t>
      </w:r>
      <w:r w:rsidR="008D4BD4">
        <w:rPr>
          <w:spacing w:val="-3"/>
        </w:rPr>
        <w:t xml:space="preserve">Transport, including species diffusion, also plays a role in microscopic processes. </w:t>
      </w:r>
      <w:r w:rsidR="00315CA5">
        <w:rPr>
          <w:spacing w:val="-3"/>
        </w:rPr>
        <w:t>Microstructural development is then explored through an examination of t</w:t>
      </w:r>
      <w:r w:rsidR="008D4BD4">
        <w:rPr>
          <w:spacing w:val="-3"/>
        </w:rPr>
        <w:t>hermodynamic</w:t>
      </w:r>
      <w:r w:rsidR="009E5794">
        <w:rPr>
          <w:spacing w:val="-3"/>
        </w:rPr>
        <w:t>s</w:t>
      </w:r>
      <w:r w:rsidR="008D4BD4">
        <w:rPr>
          <w:spacing w:val="-3"/>
        </w:rPr>
        <w:t xml:space="preserve"> </w:t>
      </w:r>
      <w:r w:rsidR="00315CA5">
        <w:rPr>
          <w:spacing w:val="-3"/>
        </w:rPr>
        <w:t>with a</w:t>
      </w:r>
      <w:r w:rsidR="008D4BD4">
        <w:rPr>
          <w:spacing w:val="-3"/>
        </w:rPr>
        <w:t xml:space="preserve"> description of p</w:t>
      </w:r>
      <w:r>
        <w:rPr>
          <w:spacing w:val="-3"/>
        </w:rPr>
        <w:t>hase diagrams</w:t>
      </w:r>
      <w:r w:rsidR="008D4BD4">
        <w:rPr>
          <w:spacing w:val="-3"/>
        </w:rPr>
        <w:t xml:space="preserve"> and their </w:t>
      </w:r>
      <w:r>
        <w:rPr>
          <w:spacing w:val="-3"/>
        </w:rPr>
        <w:t xml:space="preserve">associated thermodynamic </w:t>
      </w:r>
      <w:r w:rsidR="00F05ABB">
        <w:rPr>
          <w:spacing w:val="-3"/>
        </w:rPr>
        <w:t xml:space="preserve">databases and </w:t>
      </w:r>
      <w:r w:rsidR="008D4BD4">
        <w:rPr>
          <w:spacing w:val="-3"/>
        </w:rPr>
        <w:t>computational methods</w:t>
      </w:r>
      <w:r w:rsidR="00315CA5">
        <w:rPr>
          <w:spacing w:val="-3"/>
        </w:rPr>
        <w:t>.</w:t>
      </w:r>
      <w:r w:rsidR="00F05ABB">
        <w:rPr>
          <w:spacing w:val="-3"/>
        </w:rPr>
        <w:t xml:space="preserve"> </w:t>
      </w:r>
      <w:r w:rsidR="00315CA5">
        <w:rPr>
          <w:spacing w:val="-3"/>
        </w:rPr>
        <w:t>F</w:t>
      </w:r>
      <w:r>
        <w:rPr>
          <w:spacing w:val="-3"/>
        </w:rPr>
        <w:t>ollowing sections treat nucleation, interface attachment kinetics, solute distribution, cellular and dendritic growth</w:t>
      </w:r>
      <w:r w:rsidR="003A1131">
        <w:rPr>
          <w:spacing w:val="-3"/>
        </w:rPr>
        <w:t>,</w:t>
      </w:r>
      <w:r>
        <w:rPr>
          <w:spacing w:val="-3"/>
        </w:rPr>
        <w:t xml:space="preserve"> and polyphase solidification. Subsequently, the effect of </w:t>
      </w:r>
      <w:r w:rsidR="00315CA5">
        <w:rPr>
          <w:spacing w:val="-3"/>
        </w:rPr>
        <w:t>fluid</w:t>
      </w:r>
      <w:r w:rsidR="008D4BD4">
        <w:rPr>
          <w:spacing w:val="-3"/>
        </w:rPr>
        <w:t xml:space="preserve"> </w:t>
      </w:r>
      <w:r w:rsidR="00315CA5">
        <w:rPr>
          <w:spacing w:val="-3"/>
        </w:rPr>
        <w:t>flow</w:t>
      </w:r>
      <w:r>
        <w:rPr>
          <w:spacing w:val="-3"/>
        </w:rPr>
        <w:t xml:space="preserve"> on the grain structure of castings, macrosegregation and porosity are treated. Finally we provide a </w:t>
      </w:r>
      <w:r w:rsidR="0051249A">
        <w:rPr>
          <w:spacing w:val="-3"/>
        </w:rPr>
        <w:t xml:space="preserve">brief </w:t>
      </w:r>
      <w:r>
        <w:rPr>
          <w:spacing w:val="-3"/>
        </w:rPr>
        <w:t xml:space="preserve">discussion of </w:t>
      </w:r>
      <w:r w:rsidR="003F13EA">
        <w:rPr>
          <w:spacing w:val="-3"/>
        </w:rPr>
        <w:t xml:space="preserve">metal additive manufacturing </w:t>
      </w:r>
      <w:r>
        <w:rPr>
          <w:spacing w:val="-3"/>
        </w:rPr>
        <w:t>processes employing various aspects of solidification.</w:t>
      </w:r>
    </w:p>
    <w:p w14:paraId="7CE9B10D" w14:textId="77777777" w:rsidR="00DE03C1" w:rsidRDefault="00DE03C1" w:rsidP="00066174">
      <w:pPr>
        <w:tabs>
          <w:tab w:val="left" w:pos="-1440"/>
          <w:tab w:val="left" w:pos="-720"/>
        </w:tabs>
        <w:suppressAutoHyphens/>
        <w:spacing w:line="360" w:lineRule="auto"/>
        <w:rPr>
          <w:spacing w:val="-3"/>
        </w:rPr>
      </w:pPr>
    </w:p>
    <w:p w14:paraId="2C3A4ADE" w14:textId="18001538" w:rsidR="0038040F" w:rsidRDefault="00DE03C1" w:rsidP="00066174">
      <w:pPr>
        <w:tabs>
          <w:tab w:val="left" w:pos="-1440"/>
          <w:tab w:val="left" w:pos="-720"/>
        </w:tabs>
        <w:suppressAutoHyphens/>
        <w:spacing w:line="360" w:lineRule="auto"/>
        <w:rPr>
          <w:spacing w:val="-3"/>
        </w:rPr>
      </w:pPr>
      <w:r>
        <w:rPr>
          <w:spacing w:val="-3"/>
        </w:rPr>
        <w:tab/>
        <w:t xml:space="preserve">It is to be noted that this document builds on the </w:t>
      </w:r>
      <w:r w:rsidR="003A1131">
        <w:rPr>
          <w:spacing w:val="-3"/>
        </w:rPr>
        <w:t xml:space="preserve">previous </w:t>
      </w:r>
      <w:r>
        <w:rPr>
          <w:spacing w:val="-3"/>
        </w:rPr>
        <w:t xml:space="preserve">versions of this chapter </w:t>
      </w:r>
      <w:r w:rsidR="00315CA5">
        <w:rPr>
          <w:spacing w:val="-3"/>
        </w:rPr>
        <w:t>authored by William Tiller and Herald</w:t>
      </w:r>
      <w:r w:rsidR="009E5794">
        <w:rPr>
          <w:spacing w:val="-3"/>
        </w:rPr>
        <w:t>o</w:t>
      </w:r>
      <w:r w:rsidR="00315CA5">
        <w:rPr>
          <w:spacing w:val="-3"/>
        </w:rPr>
        <w:t xml:space="preserve"> Biloni </w:t>
      </w:r>
      <w:r>
        <w:rPr>
          <w:spacing w:val="-3"/>
        </w:rPr>
        <w:t xml:space="preserve">in earlier editions of </w:t>
      </w:r>
      <w:r w:rsidRPr="00C63667">
        <w:rPr>
          <w:spacing w:val="-3"/>
          <w:u w:val="single"/>
        </w:rPr>
        <w:t>Physical Metallurgy</w:t>
      </w:r>
      <w:r w:rsidR="009E5794" w:rsidRPr="003E0F31">
        <w:rPr>
          <w:spacing w:val="-3"/>
        </w:rPr>
        <w:t xml:space="preserve"> </w:t>
      </w:r>
      <w:r w:rsidR="004C4362">
        <w:rPr>
          <w:spacing w:val="-3"/>
        </w:rPr>
        <w:t xml:space="preserve">(Biloni [1983], Biloni and Boettinger [1996]) </w:t>
      </w:r>
      <w:r w:rsidR="009E5794">
        <w:rPr>
          <w:spacing w:val="-3"/>
          <w:u w:val="single"/>
        </w:rPr>
        <w:t>and the present authors</w:t>
      </w:r>
      <w:r w:rsidR="00530CAE">
        <w:rPr>
          <w:spacing w:val="-3"/>
          <w:u w:val="single"/>
        </w:rPr>
        <w:t xml:space="preserve"> (Boettinger and Banerjee [2014])</w:t>
      </w:r>
      <w:r w:rsidR="00315CA5">
        <w:rPr>
          <w:spacing w:val="-3"/>
          <w:u w:val="single"/>
        </w:rPr>
        <w:t>.</w:t>
      </w:r>
      <w:r>
        <w:rPr>
          <w:spacing w:val="-3"/>
        </w:rPr>
        <w:t xml:space="preserve"> To them we are indebted. The reader is referred to several new monographs on the subject of solidification for different perspectives on this topic:  Dantzig and Rappaz [20</w:t>
      </w:r>
      <w:r w:rsidR="009E5794">
        <w:rPr>
          <w:spacing w:val="-3"/>
        </w:rPr>
        <w:t>1</w:t>
      </w:r>
      <w:r w:rsidR="004C4362">
        <w:rPr>
          <w:spacing w:val="-3"/>
        </w:rPr>
        <w:t>6</w:t>
      </w:r>
      <w:r>
        <w:rPr>
          <w:spacing w:val="-3"/>
        </w:rPr>
        <w:t xml:space="preserve">], </w:t>
      </w:r>
      <w:r w:rsidR="003A1131">
        <w:rPr>
          <w:spacing w:val="-3"/>
        </w:rPr>
        <w:t xml:space="preserve">Stefanescu </w:t>
      </w:r>
      <w:r>
        <w:rPr>
          <w:spacing w:val="-3"/>
        </w:rPr>
        <w:t>[201</w:t>
      </w:r>
      <w:r w:rsidR="007566AD">
        <w:rPr>
          <w:spacing w:val="-3"/>
        </w:rPr>
        <w:t>5</w:t>
      </w:r>
      <w:r>
        <w:rPr>
          <w:spacing w:val="-3"/>
        </w:rPr>
        <w:t>], Kelton and Greer [2010]</w:t>
      </w:r>
      <w:r w:rsidRPr="009C089A">
        <w:rPr>
          <w:spacing w:val="-3"/>
        </w:rPr>
        <w:t xml:space="preserve"> </w:t>
      </w:r>
      <w:r>
        <w:rPr>
          <w:spacing w:val="-3"/>
        </w:rPr>
        <w:t>and Glicksman [201</w:t>
      </w:r>
      <w:r w:rsidR="007566AD">
        <w:rPr>
          <w:spacing w:val="-3"/>
        </w:rPr>
        <w:t>4</w:t>
      </w:r>
      <w:r>
        <w:rPr>
          <w:spacing w:val="-3"/>
        </w:rPr>
        <w:t xml:space="preserve">]. </w:t>
      </w:r>
      <w:r w:rsidR="006867A7">
        <w:rPr>
          <w:spacing w:val="-3"/>
        </w:rPr>
        <w:t xml:space="preserve">Articles by Boettinger et al. (2000) and Asta et al. (2009) summarize progress and future challenges in the area of solidification.  </w:t>
      </w:r>
      <w:r w:rsidR="00431089">
        <w:rPr>
          <w:spacing w:val="-3"/>
        </w:rPr>
        <w:t>Kurz et al. (2021) discuss p</w:t>
      </w:r>
      <w:r w:rsidR="00431089" w:rsidRPr="00431089">
        <w:rPr>
          <w:spacing w:val="-3"/>
        </w:rPr>
        <w:t xml:space="preserve">rogress in modelling </w:t>
      </w:r>
      <w:r w:rsidR="00431089">
        <w:rPr>
          <w:spacing w:val="-3"/>
        </w:rPr>
        <w:t xml:space="preserve">the development of metal </w:t>
      </w:r>
      <w:r w:rsidR="00431089" w:rsidRPr="00431089">
        <w:rPr>
          <w:spacing w:val="-3"/>
        </w:rPr>
        <w:t>solidification microstructures</w:t>
      </w:r>
      <w:r w:rsidR="00431089">
        <w:rPr>
          <w:spacing w:val="-3"/>
        </w:rPr>
        <w:t>.</w:t>
      </w:r>
    </w:p>
    <w:p w14:paraId="5356E5F6" w14:textId="77777777" w:rsidR="007363EF" w:rsidRDefault="007363EF" w:rsidP="00F05ABB">
      <w:pPr>
        <w:tabs>
          <w:tab w:val="left" w:pos="-1440"/>
          <w:tab w:val="left" w:pos="-720"/>
        </w:tabs>
        <w:suppressAutoHyphens/>
        <w:spacing w:line="360" w:lineRule="atLeast"/>
        <w:rPr>
          <w:spacing w:val="-3"/>
        </w:rPr>
      </w:pPr>
    </w:p>
    <w:p w14:paraId="47C0FADD" w14:textId="77777777" w:rsidR="008F1180" w:rsidRPr="00BE44AC" w:rsidRDefault="008F1180" w:rsidP="00E4243D">
      <w:pPr>
        <w:suppressAutoHyphens/>
        <w:jc w:val="both"/>
        <w:rPr>
          <w:bCs/>
          <w:spacing w:val="-3"/>
        </w:rPr>
      </w:pPr>
    </w:p>
    <w:p w14:paraId="5164CAB9" w14:textId="77777777" w:rsidR="00015B17" w:rsidRDefault="00015B17" w:rsidP="00015B17">
      <w:pPr>
        <w:spacing w:line="360" w:lineRule="auto"/>
        <w:jc w:val="center"/>
        <w:outlineLvl w:val="0"/>
        <w:rPr>
          <w:b/>
          <w:i/>
        </w:rPr>
      </w:pPr>
      <w:r>
        <w:rPr>
          <w:bCs/>
          <w:spacing w:val="-3"/>
        </w:rPr>
        <w:br w:type="page"/>
      </w:r>
      <w:r w:rsidRPr="003A58C4">
        <w:rPr>
          <w:b/>
        </w:rPr>
        <w:lastRenderedPageBreak/>
        <w:t xml:space="preserve">2. </w:t>
      </w:r>
      <w:r w:rsidRPr="003A58C4">
        <w:rPr>
          <w:b/>
          <w:i/>
        </w:rPr>
        <w:t>Transport phenomena during solidification</w:t>
      </w:r>
    </w:p>
    <w:p w14:paraId="22C1FE44" w14:textId="77777777" w:rsidR="00066174" w:rsidRPr="003A58C4" w:rsidRDefault="00066174" w:rsidP="00015B17">
      <w:pPr>
        <w:spacing w:line="360" w:lineRule="auto"/>
        <w:jc w:val="center"/>
        <w:outlineLvl w:val="0"/>
        <w:rPr>
          <w:b/>
        </w:rPr>
      </w:pPr>
    </w:p>
    <w:p w14:paraId="07442F21" w14:textId="563AD225" w:rsidR="00015B17" w:rsidRDefault="00015B17" w:rsidP="00015B17">
      <w:pPr>
        <w:spacing w:line="360" w:lineRule="auto"/>
      </w:pPr>
      <w:r w:rsidRPr="003A58C4">
        <w:tab/>
        <w:t>Solidification is driven primarily by heat transfer from the liquid through the solid</w:t>
      </w:r>
      <w:r w:rsidR="00315CA5">
        <w:t xml:space="preserve"> being formed</w:t>
      </w:r>
      <w:r w:rsidRPr="003A58C4">
        <w:t xml:space="preserve"> and </w:t>
      </w:r>
      <w:r w:rsidR="00315CA5">
        <w:t xml:space="preserve">through the </w:t>
      </w:r>
      <w:r w:rsidRPr="003A58C4">
        <w:t xml:space="preserve">mold into to the surroundings to remove liquid metal superheat and heat of fusion. </w:t>
      </w:r>
      <w:r>
        <w:t>Occasionally</w:t>
      </w:r>
      <w:r w:rsidR="004201E7">
        <w:t>,</w:t>
      </w:r>
      <w:r>
        <w:t xml:space="preserve"> part of the heat of fusion flows into the liquid if it is supercooled. </w:t>
      </w:r>
      <w:r w:rsidR="00315CA5">
        <w:t>Unlike s</w:t>
      </w:r>
      <w:r w:rsidRPr="003A58C4">
        <w:t xml:space="preserve">olid state metallurgical phase transformations </w:t>
      </w:r>
      <w:r w:rsidR="00315CA5">
        <w:t xml:space="preserve">that </w:t>
      </w:r>
      <w:r w:rsidRPr="003A58C4">
        <w:t>generally involve much smaller heats of transformation</w:t>
      </w:r>
      <w:r w:rsidR="00315CA5">
        <w:t>, solidification involves important considerations of temperature gradients and heat flow.</w:t>
      </w:r>
      <w:r w:rsidRPr="003A58C4">
        <w:t xml:space="preserve"> </w:t>
      </w:r>
      <w:r>
        <w:t xml:space="preserve"> Because the liquid and solid have different concentrations</w:t>
      </w:r>
      <w:r w:rsidR="000B355E">
        <w:t xml:space="preserve"> near the moving liquid-solid (L-S) interface</w:t>
      </w:r>
      <w:r>
        <w:t xml:space="preserve">, </w:t>
      </w:r>
      <w:r w:rsidRPr="003A58C4">
        <w:t xml:space="preserve">gradients </w:t>
      </w:r>
      <w:r>
        <w:t xml:space="preserve">of concentration and </w:t>
      </w:r>
      <w:r w:rsidR="00315CA5">
        <w:t xml:space="preserve">the resultant </w:t>
      </w:r>
      <w:r>
        <w:t xml:space="preserve">diffusion of alloying additions also must be considered in both </w:t>
      </w:r>
      <w:r w:rsidRPr="003A58C4">
        <w:t xml:space="preserve">the liquid and the solid. Understanding is </w:t>
      </w:r>
      <w:r>
        <w:t xml:space="preserve">further </w:t>
      </w:r>
      <w:r w:rsidRPr="003A58C4">
        <w:t xml:space="preserve">complicated by the resultant density variations </w:t>
      </w:r>
      <w:r>
        <w:t xml:space="preserve">that occur </w:t>
      </w:r>
      <w:r w:rsidRPr="003A58C4">
        <w:t xml:space="preserve">in the liquid that </w:t>
      </w:r>
      <w:r>
        <w:t xml:space="preserve">lead to </w:t>
      </w:r>
      <w:r w:rsidRPr="003A58C4">
        <w:t>buoyancy driven convection. Motion of the mold and contraction in the solidifying metal also contribute to the liquid movement. Therefore, solidification includes energy, mass, species, and momentum transport. The formal treatment of this problem involves additional complexity as a consequence of the continuous generation of latent heat at the L</w:t>
      </w:r>
      <w:r w:rsidR="004201E7">
        <w:t>-S</w:t>
      </w:r>
      <w:r w:rsidRPr="003A58C4">
        <w:t xml:space="preserve"> interface, and the variation of the thermophysical properties of the metal-mold system with temperature. Transport processes are important not only on the scale of the casting</w:t>
      </w:r>
      <w:r w:rsidR="00C96BFD">
        <w:t>,</w:t>
      </w:r>
      <w:r w:rsidRPr="003A58C4">
        <w:t xml:space="preserve"> but also on the scale of the microscopic shape of the moving liquid-solid interface. This interface can be </w:t>
      </w:r>
      <w:r w:rsidR="00094468">
        <w:t>planar</w:t>
      </w:r>
      <w:r w:rsidRPr="003A58C4">
        <w:t>, cellular</w:t>
      </w:r>
      <w:r w:rsidR="00C96BFD">
        <w:t>,</w:t>
      </w:r>
      <w:r w:rsidRPr="003A58C4">
        <w:t xml:space="preserve"> or dendritic</w:t>
      </w:r>
      <w:r w:rsidR="00C96BFD">
        <w:t>.</w:t>
      </w:r>
      <w:r w:rsidRPr="003A58C4">
        <w:t xml:space="preserve"> </w:t>
      </w:r>
      <w:r w:rsidR="00C96BFD">
        <w:t>These features</w:t>
      </w:r>
      <w:r w:rsidR="00C96BFD" w:rsidRPr="003A58C4">
        <w:t xml:space="preserve"> </w:t>
      </w:r>
      <w:r w:rsidRPr="003A58C4">
        <w:t>produce the microstructure of the solidified alloy.  The coupling of the macroscopic and microscopic transport process</w:t>
      </w:r>
      <w:r w:rsidR="00315CA5">
        <w:t>es</w:t>
      </w:r>
      <w:r w:rsidRPr="003A58C4">
        <w:t xml:space="preserve"> is an essential feature of solidification.</w:t>
      </w:r>
    </w:p>
    <w:p w14:paraId="5DD0AFD9" w14:textId="77777777" w:rsidR="00066174" w:rsidRPr="003A58C4" w:rsidRDefault="00066174" w:rsidP="00015B17">
      <w:pPr>
        <w:spacing w:line="360" w:lineRule="auto"/>
      </w:pPr>
    </w:p>
    <w:p w14:paraId="29F6EDC7" w14:textId="77777777" w:rsidR="00015B17" w:rsidRDefault="00015B17" w:rsidP="00015B17">
      <w:pPr>
        <w:spacing w:line="360" w:lineRule="auto"/>
      </w:pPr>
      <w:r w:rsidRPr="003A58C4">
        <w:tab/>
        <w:t xml:space="preserve">In the this section we describe: 1) the general transport equations and extract simpler equations used to obtain analytical expressions for heat transfer and solute diffusion in the solid/liquid metal system; 2) the complex situation of the heat transfer coefficient </w:t>
      </w:r>
      <w:r>
        <w:t xml:space="preserve">between </w:t>
      </w:r>
      <w:r w:rsidRPr="003A58C4">
        <w:t xml:space="preserve"> metal </w:t>
      </w:r>
      <w:r>
        <w:t>and</w:t>
      </w:r>
      <w:r w:rsidRPr="003A58C4">
        <w:t xml:space="preserve"> mold wall; 3) examples of heat flow analysis in 1-D as well as the use of controlled </w:t>
      </w:r>
      <w:r>
        <w:t xml:space="preserve"> (directional) </w:t>
      </w:r>
      <w:r w:rsidRPr="003A58C4">
        <w:t>solidification for research purposes and 4) general aspects of software packages used to numerically treat the complex casting shapes involved in industrial foundry applications.</w:t>
      </w:r>
    </w:p>
    <w:p w14:paraId="010CABE3" w14:textId="77777777" w:rsidR="00066174" w:rsidRPr="003A58C4" w:rsidRDefault="00066174" w:rsidP="00015B17">
      <w:pPr>
        <w:spacing w:line="360" w:lineRule="auto"/>
      </w:pPr>
    </w:p>
    <w:p w14:paraId="5E2AC69B" w14:textId="77777777" w:rsidR="00015B17" w:rsidRDefault="00015B17" w:rsidP="00015B17">
      <w:pPr>
        <w:spacing w:line="360" w:lineRule="auto"/>
        <w:outlineLvl w:val="0"/>
        <w:rPr>
          <w:b/>
        </w:rPr>
      </w:pPr>
      <w:r w:rsidRPr="003A58C4">
        <w:rPr>
          <w:b/>
        </w:rPr>
        <w:lastRenderedPageBreak/>
        <w:t>2.1 General transport equations</w:t>
      </w:r>
    </w:p>
    <w:p w14:paraId="2A12096B" w14:textId="77777777" w:rsidR="00066174" w:rsidRPr="003A58C4" w:rsidRDefault="00066174" w:rsidP="00015B17">
      <w:pPr>
        <w:spacing w:line="360" w:lineRule="auto"/>
        <w:outlineLvl w:val="0"/>
        <w:rPr>
          <w:b/>
        </w:rPr>
      </w:pPr>
    </w:p>
    <w:p w14:paraId="11001C66" w14:textId="77777777" w:rsidR="00015B17" w:rsidRDefault="00015B17" w:rsidP="00015B17">
      <w:pPr>
        <w:spacing w:line="360" w:lineRule="auto"/>
        <w:outlineLvl w:val="0"/>
        <w:rPr>
          <w:b/>
        </w:rPr>
      </w:pPr>
      <w:r w:rsidRPr="003A58C4">
        <w:rPr>
          <w:b/>
        </w:rPr>
        <w:t>2.1.1 Energy transport</w:t>
      </w:r>
    </w:p>
    <w:p w14:paraId="4C4E3651" w14:textId="77777777" w:rsidR="00066174" w:rsidRPr="003A58C4" w:rsidRDefault="00066174" w:rsidP="00015B17">
      <w:pPr>
        <w:spacing w:line="360" w:lineRule="auto"/>
        <w:outlineLvl w:val="0"/>
        <w:rPr>
          <w:b/>
        </w:rPr>
      </w:pPr>
    </w:p>
    <w:p w14:paraId="6F86A348" w14:textId="77777777" w:rsidR="006E6FC2" w:rsidRDefault="00015B17" w:rsidP="00015B17">
      <w:pPr>
        <w:spacing w:line="360" w:lineRule="auto"/>
      </w:pPr>
      <w:r w:rsidRPr="003A58C4">
        <w:tab/>
        <w:t xml:space="preserve">The transport equation for thermal energy </w:t>
      </w:r>
      <w:r w:rsidRPr="003A58C4">
        <w:rPr>
          <w:position w:val="-4"/>
        </w:rPr>
        <w:object w:dxaOrig="400" w:dyaOrig="300" w14:anchorId="2BF2ED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65pt;height:14.95pt" o:ole="">
            <v:imagedata r:id="rId8" o:title=""/>
          </v:shape>
          <o:OLEObject Type="Embed" ProgID="Equation.DSMT4" ShapeID="_x0000_i1025" DrawAspect="Content" ObjectID="_1840626591" r:id="rId9"/>
        </w:object>
      </w:r>
      <w:r w:rsidRPr="003A58C4">
        <w:t>(enthalpy/volume) is given by</w:t>
      </w:r>
    </w:p>
    <w:p w14:paraId="1B32E38A" w14:textId="77777777" w:rsidR="00015B17" w:rsidRPr="003A58C4" w:rsidRDefault="00015B17" w:rsidP="00015B17">
      <w:pPr>
        <w:spacing w:line="360" w:lineRule="auto"/>
      </w:pPr>
      <w:r w:rsidRPr="003A58C4">
        <w:t xml:space="preserve"> </w:t>
      </w:r>
    </w:p>
    <w:p w14:paraId="0A4FEBA5" w14:textId="77777777" w:rsidR="00015B17" w:rsidRDefault="00015B17" w:rsidP="00015B17">
      <w:pPr>
        <w:spacing w:line="360" w:lineRule="auto"/>
        <w:jc w:val="center"/>
      </w:pPr>
      <w:r w:rsidRPr="003A58C4">
        <w:rPr>
          <w:position w:val="-4"/>
        </w:rPr>
        <w:object w:dxaOrig="180" w:dyaOrig="279" w14:anchorId="217AF337">
          <v:shape id="_x0000_i1026" type="#_x0000_t75" style="width:9.35pt;height:14.05pt" o:ole="">
            <v:imagedata r:id="rId10" o:title=""/>
          </v:shape>
          <o:OLEObject Type="Embed" ProgID="Equation.DSMT4" ShapeID="_x0000_i1026" DrawAspect="Content" ObjectID="_1840626592" r:id="rId11"/>
        </w:object>
      </w:r>
      <w:r w:rsidRPr="003A58C4">
        <w:rPr>
          <w:position w:val="-24"/>
        </w:rPr>
        <w:object w:dxaOrig="3180" w:dyaOrig="620" w14:anchorId="04D15322">
          <v:shape id="_x0000_i1027" type="#_x0000_t75" style="width:158.95pt;height:31.8pt" o:ole="">
            <v:imagedata r:id="rId12" o:title=""/>
          </v:shape>
          <o:OLEObject Type="Embed" ProgID="Equation.DSMT4" ShapeID="_x0000_i1027" DrawAspect="Content" ObjectID="_1840626593" r:id="rId13"/>
        </w:object>
      </w:r>
      <w:r w:rsidR="006E6FC2">
        <w:t>,</w:t>
      </w:r>
      <w:r w:rsidRPr="003A58C4">
        <w:tab/>
      </w:r>
      <w:r w:rsidRPr="003A58C4">
        <w:tab/>
      </w:r>
      <w:r w:rsidRPr="003A58C4">
        <w:tab/>
        <w:t>(2.1)</w:t>
      </w:r>
    </w:p>
    <w:p w14:paraId="370FC97F" w14:textId="77777777" w:rsidR="006E6FC2" w:rsidRPr="003A58C4" w:rsidRDefault="006E6FC2" w:rsidP="00015B17">
      <w:pPr>
        <w:spacing w:line="360" w:lineRule="auto"/>
        <w:jc w:val="center"/>
      </w:pPr>
    </w:p>
    <w:p w14:paraId="73B1DB95" w14:textId="77777777" w:rsidR="00015B17" w:rsidRDefault="006E6FC2" w:rsidP="00015B17">
      <w:pPr>
        <w:spacing w:line="360" w:lineRule="auto"/>
      </w:pPr>
      <w:r>
        <w:t>w</w:t>
      </w:r>
      <w:r w:rsidR="00015B17" w:rsidRPr="003A58C4">
        <w:t>here</w:t>
      </w:r>
      <w:r w:rsidR="003A1131">
        <w:t>,</w:t>
      </w:r>
      <w:r w:rsidR="00015B17" w:rsidRPr="003A58C4">
        <w:t xml:space="preserve"> </w:t>
      </w:r>
      <w:r w:rsidR="00015B17" w:rsidRPr="003A58C4">
        <w:rPr>
          <w:position w:val="-6"/>
        </w:rPr>
        <w:object w:dxaOrig="200" w:dyaOrig="279" w14:anchorId="6D6F0422">
          <v:shape id="_x0000_i1028" type="#_x0000_t75" style="width:9.35pt;height:14.05pt" o:ole="">
            <v:imagedata r:id="rId14" o:title=""/>
          </v:shape>
          <o:OLEObject Type="Embed" ProgID="Equation.DSMT4" ShapeID="_x0000_i1028" DrawAspect="Content" ObjectID="_1840626594" r:id="rId15"/>
        </w:object>
      </w:r>
      <w:r w:rsidR="00015B17" w:rsidRPr="003A58C4">
        <w:t xml:space="preserve"> is the medium velocity, </w:t>
      </w:r>
      <w:r w:rsidR="00C96BFD" w:rsidRPr="00C96BFD">
        <w:rPr>
          <w:i/>
        </w:rPr>
        <w:t>t</w:t>
      </w:r>
      <w:r w:rsidR="00C96BFD">
        <w:t xml:space="preserve"> is the time, </w:t>
      </w:r>
      <w:r w:rsidR="00015B17" w:rsidRPr="003A58C4">
        <w:rPr>
          <w:i/>
        </w:rPr>
        <w:t>k</w:t>
      </w:r>
      <w:r w:rsidR="00015B17" w:rsidRPr="003A58C4">
        <w:t xml:space="preserve"> is the thermal conductivity and </w:t>
      </w:r>
      <w:r w:rsidR="00015B17" w:rsidRPr="003A58C4">
        <w:rPr>
          <w:i/>
        </w:rPr>
        <w:t>T</w:t>
      </w:r>
      <w:r w:rsidR="00015B17" w:rsidRPr="003A58C4">
        <w:t xml:space="preserve"> is the temperature</w:t>
      </w:r>
      <w:r w:rsidR="00015B17" w:rsidRPr="003A58C4">
        <w:rPr>
          <w:i/>
        </w:rPr>
        <w:t xml:space="preserve">. </w:t>
      </w:r>
      <w:r w:rsidR="00015B17" w:rsidRPr="003A58C4">
        <w:t xml:space="preserve">There are two approaches to solving this equation: One treats the liquid, solid and mold separately with matching boundary conditions on the interfaces. The other treats the </w:t>
      </w:r>
      <w:r w:rsidR="00015B17">
        <w:t>liquid</w:t>
      </w:r>
      <w:r w:rsidR="003A1131">
        <w:t>-</w:t>
      </w:r>
      <w:r w:rsidR="00015B17">
        <w:t xml:space="preserve">solid </w:t>
      </w:r>
      <w:r w:rsidR="00015B17" w:rsidRPr="003A58C4">
        <w:t>system as a single domain.</w:t>
      </w:r>
    </w:p>
    <w:p w14:paraId="0941EA27" w14:textId="77777777" w:rsidR="00066174" w:rsidRPr="003A58C4" w:rsidRDefault="00066174" w:rsidP="00015B17">
      <w:pPr>
        <w:spacing w:line="360" w:lineRule="auto"/>
      </w:pPr>
    </w:p>
    <w:p w14:paraId="40C099EF" w14:textId="77777777" w:rsidR="00015B17" w:rsidRDefault="00015B17" w:rsidP="00015B17">
      <w:pPr>
        <w:spacing w:line="360" w:lineRule="auto"/>
      </w:pPr>
      <w:r w:rsidRPr="003A58C4">
        <w:tab/>
        <w:t xml:space="preserve">Separate treatment of the phases is only practical when the shape of the interface between the solid and the liquid is relatively smooth, as in some cases for the solidification of pure substances or dilute alloys. </w:t>
      </w:r>
      <w:r>
        <w:t xml:space="preserve">To obtain the simplest equation for heat flow one </w:t>
      </w:r>
      <w:r w:rsidRPr="003A58C4">
        <w:t>assum</w:t>
      </w:r>
      <w:r>
        <w:t>es</w:t>
      </w:r>
      <w:r w:rsidRPr="003A58C4">
        <w:t xml:space="preserve"> constant density in each phase</w:t>
      </w:r>
      <w:r>
        <w:t xml:space="preserve"> and </w:t>
      </w:r>
      <w:r w:rsidRPr="003A58C4">
        <w:t>the absence of fluid flow</w:t>
      </w:r>
      <w:r>
        <w:t xml:space="preserve">. </w:t>
      </w:r>
      <w:r w:rsidRPr="003A58C4">
        <w:t xml:space="preserve"> </w:t>
      </w:r>
      <w:r>
        <w:t>Using</w:t>
      </w:r>
      <w:r w:rsidRPr="003A58C4">
        <w:rPr>
          <w:position w:val="-12"/>
        </w:rPr>
        <w:object w:dxaOrig="2000" w:dyaOrig="380" w14:anchorId="56FE82D0">
          <v:shape id="_x0000_i1029" type="#_x0000_t75" style="width:100.05pt;height:18.7pt" o:ole="">
            <v:imagedata r:id="rId16" o:title=""/>
          </v:shape>
          <o:OLEObject Type="Embed" ProgID="Equation.DSMT4" ShapeID="_x0000_i1029" DrawAspect="Content" ObjectID="_1840626595" r:id="rId17"/>
        </w:object>
      </w:r>
      <w:r w:rsidRPr="003A58C4">
        <w:t>, where</w:t>
      </w:r>
      <w:r w:rsidRPr="003A58C4">
        <w:rPr>
          <w:position w:val="-12"/>
        </w:rPr>
        <w:object w:dxaOrig="400" w:dyaOrig="380" w14:anchorId="7CED4624">
          <v:shape id="_x0000_i1030" type="#_x0000_t75" style="width:19.65pt;height:18.7pt" o:ole="">
            <v:imagedata r:id="rId18" o:title=""/>
          </v:shape>
          <o:OLEObject Type="Embed" ProgID="Equation.DSMT4" ShapeID="_x0000_i1030" DrawAspect="Content" ObjectID="_1840626596" r:id="rId19"/>
        </w:object>
      </w:r>
      <w:r w:rsidRPr="003A58C4">
        <w:t xml:space="preserve"> is </w:t>
      </w:r>
      <w:r>
        <w:t>a</w:t>
      </w:r>
      <w:r w:rsidRPr="003A58C4">
        <w:t xml:space="preserve"> reference enthalpy and </w:t>
      </w:r>
      <w:r w:rsidRPr="003A58C4">
        <w:rPr>
          <w:position w:val="-10"/>
        </w:rPr>
        <w:object w:dxaOrig="340" w:dyaOrig="360" w14:anchorId="35A8D874">
          <v:shape id="_x0000_i1031" type="#_x0000_t75" style="width:16.85pt;height:17.75pt" o:ole="">
            <v:imagedata r:id="rId20" o:title=""/>
          </v:shape>
          <o:OLEObject Type="Embed" ProgID="Equation.DSMT4" ShapeID="_x0000_i1031" DrawAspect="Content" ObjectID="_1840626597" r:id="rId21"/>
        </w:object>
      </w:r>
      <w:r w:rsidRPr="003A58C4">
        <w:t xml:space="preserve">is </w:t>
      </w:r>
      <w:r>
        <w:t xml:space="preserve">the </w:t>
      </w:r>
      <w:r w:rsidRPr="003A58C4">
        <w:t>heat capacity per unit volume</w:t>
      </w:r>
      <w:r>
        <w:t xml:space="preserve">, </w:t>
      </w:r>
      <w:r w:rsidRPr="003A58C4">
        <w:t xml:space="preserve">the pure conduction heat diffusion equation </w:t>
      </w:r>
      <w:r>
        <w:t>is</w:t>
      </w:r>
      <w:r w:rsidRPr="003A58C4">
        <w:t xml:space="preserve"> obtained separately for the solid and liquid; viz.,</w:t>
      </w:r>
    </w:p>
    <w:p w14:paraId="37DE2F68" w14:textId="77777777" w:rsidR="006E6FC2" w:rsidRPr="003A58C4" w:rsidRDefault="006E6FC2" w:rsidP="00015B17">
      <w:pPr>
        <w:spacing w:line="360" w:lineRule="auto"/>
      </w:pPr>
    </w:p>
    <w:p w14:paraId="61CD6A7E" w14:textId="77777777" w:rsidR="00015B17" w:rsidRDefault="00015B17" w:rsidP="00015B17">
      <w:pPr>
        <w:spacing w:line="360" w:lineRule="auto"/>
        <w:jc w:val="center"/>
      </w:pPr>
      <w:r w:rsidRPr="003A58C4">
        <w:rPr>
          <w:position w:val="-24"/>
        </w:rPr>
        <w:object w:dxaOrig="1219" w:dyaOrig="620" w14:anchorId="298499E8">
          <v:shape id="_x0000_i1032" type="#_x0000_t75" style="width:61.7pt;height:31.8pt" o:ole="">
            <v:imagedata r:id="rId22" o:title=""/>
          </v:shape>
          <o:OLEObject Type="Embed" ProgID="Equation.DSMT4" ShapeID="_x0000_i1032" DrawAspect="Content" ObjectID="_1840626598" r:id="rId23"/>
        </w:object>
      </w:r>
      <w:r w:rsidRPr="003A58C4">
        <w:tab/>
      </w:r>
      <w:r w:rsidR="002006B3">
        <w:t>,</w:t>
      </w:r>
      <w:r w:rsidRPr="003A58C4">
        <w:tab/>
        <w:t>(2.2)</w:t>
      </w:r>
    </w:p>
    <w:p w14:paraId="207B4914" w14:textId="77777777" w:rsidR="006E6FC2" w:rsidRPr="003A58C4" w:rsidRDefault="006E6FC2" w:rsidP="00015B17">
      <w:pPr>
        <w:spacing w:line="360" w:lineRule="auto"/>
        <w:jc w:val="center"/>
      </w:pPr>
    </w:p>
    <w:p w14:paraId="34AF4DEC" w14:textId="77777777" w:rsidR="00015B17" w:rsidRDefault="00015B17" w:rsidP="00015B17">
      <w:pPr>
        <w:spacing w:line="360" w:lineRule="auto"/>
      </w:pPr>
      <w:r>
        <w:t xml:space="preserve">if </w:t>
      </w:r>
      <w:r w:rsidRPr="003A58C4">
        <w:rPr>
          <w:position w:val="-10"/>
        </w:rPr>
        <w:object w:dxaOrig="340" w:dyaOrig="360" w14:anchorId="5F1122DC">
          <v:shape id="_x0000_i1033" type="#_x0000_t75" style="width:16.85pt;height:17.75pt" o:ole="">
            <v:imagedata r:id="rId20" o:title=""/>
          </v:shape>
          <o:OLEObject Type="Embed" ProgID="Equation.DSMT4" ShapeID="_x0000_i1033" DrawAspect="Content" ObjectID="_1840626599" r:id="rId24"/>
        </w:object>
      </w:r>
      <w:r>
        <w:t xml:space="preserve">is assumed constant and </w:t>
      </w:r>
      <w:r w:rsidRPr="003A58C4">
        <w:t xml:space="preserve">where </w:t>
      </w:r>
      <w:r w:rsidRPr="003A58C4">
        <w:rPr>
          <w:position w:val="-10"/>
        </w:rPr>
        <w:object w:dxaOrig="999" w:dyaOrig="360" w14:anchorId="2F733A00">
          <v:shape id="_x0000_i1034" type="#_x0000_t75" style="width:50.5pt;height:17.75pt" o:ole="">
            <v:imagedata r:id="rId25" o:title=""/>
          </v:shape>
          <o:OLEObject Type="Embed" ProgID="Equation.DSMT4" ShapeID="_x0000_i1034" DrawAspect="Content" ObjectID="_1840626600" r:id="rId26"/>
        </w:object>
      </w:r>
      <w:r>
        <w:t>is the thermal diffusivity. T</w:t>
      </w:r>
      <w:r w:rsidRPr="003A58C4">
        <w:t xml:space="preserve">he matching boundary conditions at the interface between the solid and liquid region </w:t>
      </w:r>
      <w:r>
        <w:t xml:space="preserve">are </w:t>
      </w:r>
      <w:r w:rsidRPr="003A58C4">
        <w:t>given by</w:t>
      </w:r>
    </w:p>
    <w:p w14:paraId="444D1F6A" w14:textId="77777777" w:rsidR="006E6FC2" w:rsidRPr="003A58C4" w:rsidRDefault="006E6FC2" w:rsidP="00015B17">
      <w:pPr>
        <w:spacing w:line="360" w:lineRule="auto"/>
      </w:pPr>
    </w:p>
    <w:p w14:paraId="5DBB06B0" w14:textId="77777777" w:rsidR="00015B17" w:rsidRDefault="00015B17" w:rsidP="00015B17">
      <w:pPr>
        <w:spacing w:line="360" w:lineRule="auto"/>
        <w:jc w:val="center"/>
      </w:pPr>
      <w:r w:rsidRPr="003A58C4">
        <w:rPr>
          <w:position w:val="-12"/>
        </w:rPr>
        <w:object w:dxaOrig="1240" w:dyaOrig="380" w14:anchorId="7284D0F0">
          <v:shape id="_x0000_i1035" type="#_x0000_t75" style="width:61.7pt;height:18.7pt" o:ole="">
            <v:imagedata r:id="rId27" o:title=""/>
          </v:shape>
          <o:OLEObject Type="Embed" ProgID="Equation.DSMT4" ShapeID="_x0000_i1035" DrawAspect="Content" ObjectID="_1840626601" r:id="rId28"/>
        </w:object>
      </w:r>
      <w:r w:rsidRPr="003A58C4">
        <w:tab/>
      </w:r>
      <w:r w:rsidRPr="003A58C4">
        <w:tab/>
        <w:t>(2.3)</w:t>
      </w:r>
    </w:p>
    <w:p w14:paraId="6AFC7E54" w14:textId="77777777" w:rsidR="00015B17" w:rsidRPr="003A58C4" w:rsidRDefault="00015B17" w:rsidP="00015B17">
      <w:pPr>
        <w:spacing w:line="360" w:lineRule="auto"/>
        <w:jc w:val="center"/>
      </w:pPr>
      <w:r w:rsidRPr="005969B9">
        <w:rPr>
          <w:position w:val="-16"/>
        </w:rPr>
        <w:object w:dxaOrig="2180" w:dyaOrig="499" w14:anchorId="6C507734">
          <v:shape id="_x0000_i1036" type="#_x0000_t75" style="width:108.45pt;height:25.25pt" o:ole="">
            <v:imagedata r:id="rId29" o:title=""/>
          </v:shape>
          <o:OLEObject Type="Embed" ProgID="Equation.DSMT4" ShapeID="_x0000_i1036" DrawAspect="Content" ObjectID="_1840626602" r:id="rId30"/>
        </w:object>
      </w:r>
      <w:r w:rsidR="002006B3">
        <w:t>.</w:t>
      </w:r>
      <w:r>
        <w:tab/>
        <w:t xml:space="preserve"> (</w:t>
      </w:r>
      <w:r w:rsidRPr="003A58C4">
        <w:t>2.4)</w:t>
      </w:r>
    </w:p>
    <w:p w14:paraId="73874809" w14:textId="0799D10A" w:rsidR="00015B17" w:rsidRDefault="00015B17" w:rsidP="00FF47AD">
      <w:pPr>
        <w:spacing w:line="360" w:lineRule="auto"/>
      </w:pPr>
      <w:r w:rsidRPr="003A58C4">
        <w:lastRenderedPageBreak/>
        <w:t xml:space="preserve">Here </w:t>
      </w:r>
      <w:r w:rsidRPr="00D5623D">
        <w:rPr>
          <w:position w:val="-10"/>
        </w:rPr>
        <w:object w:dxaOrig="279" w:dyaOrig="360" w14:anchorId="65F9F502">
          <v:shape id="_x0000_i1037" type="#_x0000_t75" style="width:14.05pt;height:17.75pt" o:ole="">
            <v:imagedata r:id="rId31" o:title=""/>
          </v:shape>
          <o:OLEObject Type="Embed" ProgID="Equation.DSMT4" ShapeID="_x0000_i1037" DrawAspect="Content" ObjectID="_1840626603" r:id="rId32"/>
        </w:object>
      </w:r>
      <w:r w:rsidRPr="003A58C4">
        <w:t>= liquid temperature</w:t>
      </w:r>
      <w:r>
        <w:t xml:space="preserve"> at the interface</w:t>
      </w:r>
      <w:r w:rsidRPr="003A58C4">
        <w:t xml:space="preserve">, </w:t>
      </w:r>
      <w:r w:rsidRPr="00D5623D">
        <w:rPr>
          <w:position w:val="-12"/>
        </w:rPr>
        <w:object w:dxaOrig="279" w:dyaOrig="380" w14:anchorId="413935F4">
          <v:shape id="_x0000_i1038" type="#_x0000_t75" style="width:14.05pt;height:18.7pt" o:ole="">
            <v:imagedata r:id="rId33" o:title=""/>
          </v:shape>
          <o:OLEObject Type="Embed" ProgID="Equation.DSMT4" ShapeID="_x0000_i1038" DrawAspect="Content" ObjectID="_1840626604" r:id="rId34"/>
        </w:object>
      </w:r>
      <w:r w:rsidRPr="003A58C4">
        <w:t xml:space="preserve"> = solid temperature</w:t>
      </w:r>
      <w:r>
        <w:t xml:space="preserve"> at the interface</w:t>
      </w:r>
      <w:r w:rsidRPr="003A58C4">
        <w:t>,</w:t>
      </w:r>
      <w:r>
        <w:t xml:space="preserve"> and </w:t>
      </w:r>
      <w:r w:rsidRPr="003A58C4">
        <w:rPr>
          <w:i/>
        </w:rPr>
        <w:t>T</w:t>
      </w:r>
      <w:r w:rsidRPr="00883A53">
        <w:rPr>
          <w:i/>
          <w:sz w:val="26"/>
          <w:vertAlign w:val="superscript"/>
        </w:rPr>
        <w:t>*</w:t>
      </w:r>
      <w:r w:rsidRPr="003A58C4">
        <w:rPr>
          <w:i/>
          <w:vertAlign w:val="subscript"/>
        </w:rPr>
        <w:t xml:space="preserve"> </w:t>
      </w:r>
      <w:r w:rsidRPr="003A58C4">
        <w:t xml:space="preserve">=   interface temperature that </w:t>
      </w:r>
      <w:r>
        <w:t xml:space="preserve">in general </w:t>
      </w:r>
      <w:r w:rsidRPr="003A58C4">
        <w:t>depend</w:t>
      </w:r>
      <w:r>
        <w:t>s</w:t>
      </w:r>
      <w:r w:rsidRPr="003A58C4">
        <w:t xml:space="preserve"> on </w:t>
      </w:r>
      <w:r>
        <w:t xml:space="preserve">liquid </w:t>
      </w:r>
      <w:r w:rsidRPr="003A58C4">
        <w:t xml:space="preserve">composition, </w:t>
      </w:r>
      <w:r>
        <w:t xml:space="preserve">interface </w:t>
      </w:r>
      <w:r w:rsidRPr="003A58C4">
        <w:t xml:space="preserve">curvature and </w:t>
      </w:r>
      <w:r>
        <w:t xml:space="preserve">the normal component of the interface velocity, </w:t>
      </w:r>
      <w:r w:rsidRPr="003B279B">
        <w:rPr>
          <w:position w:val="-6"/>
        </w:rPr>
        <w:object w:dxaOrig="240" w:dyaOrig="279" w14:anchorId="4AD79E84">
          <v:shape id="_x0000_i1039" type="#_x0000_t75" style="width:12.15pt;height:14.05pt" o:ole="">
            <v:imagedata r:id="rId35" o:title=""/>
          </v:shape>
          <o:OLEObject Type="Embed" ProgID="Equation.DSMT4" ShapeID="_x0000_i1039" DrawAspect="Content" ObjectID="_1840626605" r:id="rId36"/>
        </w:object>
      </w:r>
      <w:r w:rsidRPr="003A58C4">
        <w:t xml:space="preserve"> (see § 5)</w:t>
      </w:r>
      <w:r>
        <w:t xml:space="preserve">; </w:t>
      </w:r>
      <w:r w:rsidRPr="003A58C4">
        <w:rPr>
          <w:i/>
        </w:rPr>
        <w:t>k</w:t>
      </w:r>
      <w:r w:rsidRPr="00FF47AD">
        <w:rPr>
          <w:i/>
          <w:sz w:val="26"/>
          <w:szCs w:val="26"/>
          <w:vertAlign w:val="subscript"/>
        </w:rPr>
        <w:t>S</w:t>
      </w:r>
      <w:r w:rsidRPr="003A58C4">
        <w:t xml:space="preserve"> = solid thermal conductivity, </w:t>
      </w:r>
      <w:r w:rsidRPr="003A58C4">
        <w:rPr>
          <w:i/>
        </w:rPr>
        <w:t>k</w:t>
      </w:r>
      <w:r w:rsidRPr="00727E8A">
        <w:rPr>
          <w:i/>
          <w:sz w:val="26"/>
          <w:szCs w:val="26"/>
          <w:vertAlign w:val="subscript"/>
        </w:rPr>
        <w:t>L</w:t>
      </w:r>
      <w:r w:rsidRPr="003A58C4">
        <w:t xml:space="preserve"> = liquid thermal conductivity, </w:t>
      </w:r>
      <w:r w:rsidRPr="005969B9">
        <w:rPr>
          <w:position w:val="-16"/>
        </w:rPr>
        <w:object w:dxaOrig="460" w:dyaOrig="499" w14:anchorId="4CE915BA">
          <v:shape id="_x0000_i1040" type="#_x0000_t75" style="width:23.4pt;height:24.3pt" o:ole="">
            <v:imagedata r:id="rId37" o:title=""/>
          </v:shape>
          <o:OLEObject Type="Embed" ProgID="Equation.DSMT4" ShapeID="_x0000_i1040" DrawAspect="Content" ObjectID="_1840626606" r:id="rId38"/>
        </w:object>
      </w:r>
      <w:r w:rsidRPr="003A58C4">
        <w:t>and</w:t>
      </w:r>
      <w:r w:rsidRPr="0017204A">
        <w:rPr>
          <w:position w:val="-16"/>
        </w:rPr>
        <w:object w:dxaOrig="460" w:dyaOrig="499" w14:anchorId="24F3705E">
          <v:shape id="_x0000_i1041" type="#_x0000_t75" style="width:23.4pt;height:24.3pt" o:ole="">
            <v:imagedata r:id="rId39" o:title=""/>
          </v:shape>
          <o:OLEObject Type="Embed" ProgID="Equation.DSMT4" ShapeID="_x0000_i1041" DrawAspect="Content" ObjectID="_1840626607" r:id="rId40"/>
        </w:object>
      </w:r>
      <w:r w:rsidRPr="003A58C4">
        <w:t xml:space="preserve">are the </w:t>
      </w:r>
      <w:r>
        <w:t>normal components</w:t>
      </w:r>
      <w:r w:rsidRPr="003A58C4">
        <w:rPr>
          <w:i/>
        </w:rPr>
        <w:t xml:space="preserve"> </w:t>
      </w:r>
      <w:r w:rsidRPr="003A58C4">
        <w:t xml:space="preserve">of the </w:t>
      </w:r>
      <w:r w:rsidR="003A1131">
        <w:t>temperature</w:t>
      </w:r>
      <w:r w:rsidR="003A1131" w:rsidRPr="003A58C4">
        <w:t xml:space="preserve"> </w:t>
      </w:r>
      <w:r w:rsidRPr="003A58C4">
        <w:t>gradient</w:t>
      </w:r>
      <w:r>
        <w:t>s</w:t>
      </w:r>
      <w:r w:rsidRPr="003A58C4">
        <w:t xml:space="preserve"> in the </w:t>
      </w:r>
      <w:r>
        <w:t xml:space="preserve">liquid and </w:t>
      </w:r>
      <w:r w:rsidRPr="003A58C4">
        <w:t xml:space="preserve">solid </w:t>
      </w:r>
      <w:r>
        <w:t xml:space="preserve">and </w:t>
      </w:r>
      <w:r w:rsidRPr="003A58C4">
        <w:t xml:space="preserve"> </w:t>
      </w:r>
      <m:oMath>
        <m:sSub>
          <m:sSubPr>
            <m:ctrlPr>
              <w:rPr>
                <w:rFonts w:ascii="Cambria Math" w:hAnsi="Cambria Math"/>
                <w:i/>
                <w:sz w:val="26"/>
                <w:szCs w:val="26"/>
              </w:rPr>
            </m:ctrlPr>
          </m:sSubPr>
          <m:e>
            <m:r>
              <w:rPr>
                <w:rFonts w:ascii="Cambria Math"/>
                <w:sz w:val="26"/>
                <w:szCs w:val="26"/>
              </w:rPr>
              <m:t>L</m:t>
            </m:r>
          </m:e>
          <m:sub>
            <m:r>
              <w:rPr>
                <w:rFonts w:ascii="Cambria Math"/>
                <w:sz w:val="26"/>
                <w:szCs w:val="26"/>
              </w:rPr>
              <m:t>v</m:t>
            </m:r>
          </m:sub>
        </m:sSub>
      </m:oMath>
      <w:r w:rsidRPr="003A58C4">
        <w:t xml:space="preserve"> = volumetric latent heat.</w:t>
      </w:r>
      <w:r>
        <w:t xml:space="preserve"> This form of the heat flow equation and matching conditions will be used to develop the various microstructure models in </w:t>
      </w:r>
      <w:r w:rsidRPr="003A58C4">
        <w:t>§</w:t>
      </w:r>
      <w:r>
        <w:t xml:space="preserve"> 4-8.</w:t>
      </w:r>
    </w:p>
    <w:p w14:paraId="27E37449" w14:textId="77777777" w:rsidR="00066174" w:rsidRPr="003A58C4" w:rsidRDefault="00066174" w:rsidP="00015B17">
      <w:pPr>
        <w:spacing w:line="360" w:lineRule="auto"/>
      </w:pPr>
    </w:p>
    <w:p w14:paraId="5BF0E777" w14:textId="7C0882CC" w:rsidR="00015B17" w:rsidRDefault="00015B17" w:rsidP="00015B17">
      <w:pPr>
        <w:spacing w:line="360" w:lineRule="auto"/>
      </w:pPr>
      <w:r w:rsidRPr="003A58C4">
        <w:tab/>
        <w:t xml:space="preserve">The single domain treatment is used for most numerical software packages for </w:t>
      </w:r>
      <w:r w:rsidR="00D937C4">
        <w:t xml:space="preserve">the </w:t>
      </w:r>
      <w:r w:rsidR="00D937C4" w:rsidRPr="003A58C4">
        <w:t xml:space="preserve">modeling </w:t>
      </w:r>
      <w:r w:rsidR="00D937C4">
        <w:t xml:space="preserve">of </w:t>
      </w:r>
      <w:r w:rsidRPr="003A58C4">
        <w:t xml:space="preserve">casting of alloys </w:t>
      </w:r>
      <w:r>
        <w:t xml:space="preserve">especially those </w:t>
      </w:r>
      <w:r w:rsidRPr="003A58C4">
        <w:t xml:space="preserve">involving dendritic solidification. It solves the transport in a single computational domain that includes fully liquid, mushy zone and fully solid regions. The </w:t>
      </w:r>
      <w:r w:rsidR="00E37E55">
        <w:t>two-phase</w:t>
      </w:r>
      <w:r w:rsidR="00C62F6F">
        <w:t xml:space="preserve"> </w:t>
      </w:r>
      <w:r w:rsidRPr="003A58C4">
        <w:t>mushy dendritic region is characterized by a volume fraction of liquid</w:t>
      </w:r>
      <w:r w:rsidRPr="0062306E">
        <w:rPr>
          <w:position w:val="-10"/>
        </w:rPr>
        <w:object w:dxaOrig="300" w:dyaOrig="340" w14:anchorId="3A944048">
          <v:shape id="_x0000_i1042" type="#_x0000_t75" style="width:14.95pt;height:16.85pt" o:ole="">
            <v:imagedata r:id="rId41" o:title=""/>
          </v:shape>
          <o:OLEObject Type="Embed" ProgID="Equation.DSMT4" ShapeID="_x0000_i1042" DrawAspect="Content" ObjectID="_1840626608" r:id="rId42"/>
        </w:object>
      </w:r>
      <w:r>
        <w:t xml:space="preserve">, </w:t>
      </w:r>
      <w:r w:rsidRPr="003A58C4">
        <w:t>and a volume fraction of solid</w:t>
      </w:r>
      <w:r w:rsidRPr="0062306E">
        <w:rPr>
          <w:position w:val="-12"/>
        </w:rPr>
        <w:object w:dxaOrig="300" w:dyaOrig="360" w14:anchorId="6472D30F">
          <v:shape id="_x0000_i1043" type="#_x0000_t75" style="width:14.95pt;height:17.75pt" o:ole="">
            <v:imagedata r:id="rId43" o:title=""/>
          </v:shape>
          <o:OLEObject Type="Embed" ProgID="Equation.DSMT4" ShapeID="_x0000_i1043" DrawAspect="Content" ObjectID="_1840626609" r:id="rId44"/>
        </w:object>
      </w:r>
      <w:r w:rsidRPr="003A58C4">
        <w:t xml:space="preserve">that sum to unity. In </w:t>
      </w:r>
      <w:r w:rsidR="00E37E55" w:rsidRPr="003A58C4">
        <w:t>general,</w:t>
      </w:r>
      <w:r w:rsidRPr="003A58C4">
        <w:t xml:space="preserve"> these fractions are functions of position </w:t>
      </w:r>
      <w:r w:rsidR="00D937C4">
        <w:t>and time and represent a coarse-</w:t>
      </w:r>
      <w:r w:rsidRPr="003A58C4">
        <w:t xml:space="preserve">grained view of the mush. </w:t>
      </w:r>
      <w:r>
        <w:t>Early work on s</w:t>
      </w:r>
      <w:r w:rsidRPr="003A58C4">
        <w:t xml:space="preserve">ingle domain methods </w:t>
      </w:r>
      <w:r>
        <w:t>was</w:t>
      </w:r>
      <w:r w:rsidRPr="003A58C4">
        <w:t xml:space="preserve"> presented by Bennon and Incropera [1987</w:t>
      </w:r>
      <w:r w:rsidR="009D4554">
        <w:t>a, 1987b</w:t>
      </w:r>
      <w:r w:rsidRPr="003A58C4">
        <w:t>], Rappaz and Stefanescu [1988] and Rappaz [1989].  The enthalpy for a solid-liquid system can be described as</w:t>
      </w:r>
    </w:p>
    <w:p w14:paraId="43EC9CFE" w14:textId="77777777" w:rsidR="009D4554" w:rsidRPr="003A58C4" w:rsidRDefault="009D4554" w:rsidP="00015B17">
      <w:pPr>
        <w:spacing w:line="360" w:lineRule="auto"/>
      </w:pPr>
    </w:p>
    <w:p w14:paraId="674F912A" w14:textId="77777777" w:rsidR="00015B17" w:rsidRDefault="00015B17" w:rsidP="00015B17">
      <w:pPr>
        <w:spacing w:line="360" w:lineRule="auto"/>
        <w:jc w:val="center"/>
      </w:pPr>
      <w:r w:rsidRPr="003A58C4">
        <w:rPr>
          <w:position w:val="-14"/>
        </w:rPr>
        <w:object w:dxaOrig="2520" w:dyaOrig="400" w14:anchorId="2417DC8A">
          <v:shape id="_x0000_i1044" type="#_x0000_t75" style="width:127.15pt;height:19.65pt" o:ole="">
            <v:imagedata r:id="rId45" o:title=""/>
          </v:shape>
          <o:OLEObject Type="Embed" ProgID="Equation.DSMT4" ShapeID="_x0000_i1044" DrawAspect="Content" ObjectID="_1840626610" r:id="rId46"/>
        </w:object>
      </w:r>
      <w:r w:rsidRPr="003A58C4">
        <w:t xml:space="preserve">  </w:t>
      </w:r>
      <w:r w:rsidR="002006B3">
        <w:t>.</w:t>
      </w:r>
      <w:r w:rsidRPr="003A58C4">
        <w:tab/>
      </w:r>
      <w:r w:rsidRPr="003A58C4">
        <w:tab/>
        <w:t xml:space="preserve"> (2.5)</w:t>
      </w:r>
    </w:p>
    <w:p w14:paraId="7280F0BD" w14:textId="77777777" w:rsidR="00066174" w:rsidRPr="003A58C4" w:rsidRDefault="00066174" w:rsidP="00015B17">
      <w:pPr>
        <w:spacing w:line="360" w:lineRule="auto"/>
        <w:jc w:val="center"/>
      </w:pPr>
    </w:p>
    <w:p w14:paraId="57A085DC" w14:textId="63742409" w:rsidR="00015B17" w:rsidRDefault="00015B17" w:rsidP="00015B17">
      <w:pPr>
        <w:spacing w:line="360" w:lineRule="auto"/>
      </w:pPr>
      <w:r>
        <w:t>The</w:t>
      </w:r>
      <w:r w:rsidRPr="003A58C4">
        <w:t xml:space="preserve"> enthalpy of the liquid phase and solid phase are functions of temperature and composition that</w:t>
      </w:r>
      <w:r>
        <w:t xml:space="preserve"> also</w:t>
      </w:r>
      <w:r w:rsidRPr="003A58C4">
        <w:t xml:space="preserve"> depend on position and time just like the fraction solid. </w:t>
      </w:r>
      <w:r>
        <w:t xml:space="preserve">If </w:t>
      </w:r>
      <w:r w:rsidRPr="003A58C4">
        <w:t>we assume that the liquid and solid enthalpies are only functions of temperature and that in addition the solid fraction is only a function of temperature. Then one obtains</w:t>
      </w:r>
      <w:r w:rsidR="00E37E55">
        <w:t>:</w:t>
      </w:r>
    </w:p>
    <w:p w14:paraId="443C24DC" w14:textId="77777777" w:rsidR="00066174" w:rsidRPr="003A58C4" w:rsidRDefault="00066174" w:rsidP="00015B17">
      <w:pPr>
        <w:spacing w:line="360" w:lineRule="auto"/>
      </w:pPr>
    </w:p>
    <w:p w14:paraId="525EE0E4" w14:textId="77777777" w:rsidR="00015B17" w:rsidRDefault="000B0A1A" w:rsidP="00015B17">
      <w:pPr>
        <w:spacing w:line="360" w:lineRule="auto"/>
        <w:jc w:val="center"/>
      </w:pPr>
      <w:r w:rsidRPr="003A58C4">
        <w:rPr>
          <w:position w:val="-16"/>
        </w:rPr>
        <w:object w:dxaOrig="4620" w:dyaOrig="440" w14:anchorId="427457CD">
          <v:shape id="_x0000_i1045" type="#_x0000_t75" style="width:230.95pt;height:21.5pt" o:ole="">
            <v:imagedata r:id="rId47" o:title=""/>
          </v:shape>
          <o:OLEObject Type="Embed" ProgID="Equation.DSMT4" ShapeID="_x0000_i1045" DrawAspect="Content" ObjectID="_1840626611" r:id="rId48"/>
        </w:object>
      </w:r>
      <w:r w:rsidR="002006B3">
        <w:t>.</w:t>
      </w:r>
      <w:r w:rsidR="00015B17" w:rsidRPr="003A58C4">
        <w:tab/>
      </w:r>
      <w:r w:rsidR="00015B17" w:rsidRPr="003A58C4">
        <w:tab/>
        <w:t>(2.6)</w:t>
      </w:r>
    </w:p>
    <w:p w14:paraId="1CE663EC" w14:textId="77777777" w:rsidR="00066174" w:rsidRPr="003A58C4" w:rsidRDefault="00066174" w:rsidP="00015B17">
      <w:pPr>
        <w:spacing w:line="360" w:lineRule="auto"/>
        <w:jc w:val="center"/>
      </w:pPr>
    </w:p>
    <w:p w14:paraId="4D940716" w14:textId="77777777" w:rsidR="00015B17" w:rsidRDefault="00015B17" w:rsidP="00015B17">
      <w:pPr>
        <w:spacing w:line="360" w:lineRule="auto"/>
      </w:pPr>
      <w:r w:rsidRPr="003A58C4">
        <w:t xml:space="preserve">Neglecting the advection term, Eqn. 2.1 becomes </w:t>
      </w:r>
    </w:p>
    <w:p w14:paraId="42E0B33B" w14:textId="77777777" w:rsidR="00066174" w:rsidRPr="003A58C4" w:rsidRDefault="00066174" w:rsidP="00015B17">
      <w:pPr>
        <w:spacing w:line="360" w:lineRule="auto"/>
      </w:pPr>
    </w:p>
    <w:p w14:paraId="4148A8EA" w14:textId="77777777" w:rsidR="00015B17" w:rsidRDefault="00015B17" w:rsidP="00015B17">
      <w:pPr>
        <w:spacing w:line="360" w:lineRule="auto"/>
        <w:jc w:val="center"/>
      </w:pPr>
      <w:r w:rsidRPr="003A58C4">
        <w:rPr>
          <w:position w:val="-24"/>
        </w:rPr>
        <w:object w:dxaOrig="3340" w:dyaOrig="620" w14:anchorId="045919C2">
          <v:shape id="_x0000_i1046" type="#_x0000_t75" style="width:167.4pt;height:31.8pt" o:ole="">
            <v:imagedata r:id="rId49" o:title=""/>
          </v:shape>
          <o:OLEObject Type="Embed" ProgID="Equation.DSMT4" ShapeID="_x0000_i1046" DrawAspect="Content" ObjectID="_1840626612" r:id="rId50"/>
        </w:object>
      </w:r>
      <w:r w:rsidRPr="003A58C4">
        <w:tab/>
      </w:r>
      <w:r w:rsidR="002006B3">
        <w:t>.</w:t>
      </w:r>
      <w:r w:rsidRPr="003A58C4">
        <w:tab/>
      </w:r>
      <w:r>
        <w:t xml:space="preserve">                        </w:t>
      </w:r>
      <w:r w:rsidRPr="003A58C4">
        <w:t>(2.7)</w:t>
      </w:r>
    </w:p>
    <w:p w14:paraId="1B84E19E" w14:textId="77777777" w:rsidR="00066174" w:rsidRPr="003A58C4" w:rsidRDefault="00066174" w:rsidP="00015B17">
      <w:pPr>
        <w:spacing w:line="360" w:lineRule="auto"/>
        <w:jc w:val="center"/>
      </w:pPr>
    </w:p>
    <w:p w14:paraId="53D01E3F" w14:textId="77777777" w:rsidR="00015B17" w:rsidRDefault="00015B17" w:rsidP="00015B17">
      <w:pPr>
        <w:spacing w:line="360" w:lineRule="auto"/>
      </w:pPr>
      <w:r w:rsidRPr="003A58C4">
        <w:tab/>
      </w:r>
      <w:r>
        <w:t>The n</w:t>
      </w:r>
      <w:r w:rsidRPr="003A58C4">
        <w:t xml:space="preserve">umerical implementation of single domain methods is subdivided into two </w:t>
      </w:r>
      <w:r>
        <w:t xml:space="preserve">main </w:t>
      </w:r>
      <w:r w:rsidRPr="003A58C4">
        <w:t xml:space="preserve">approaches; the effective </w:t>
      </w:r>
      <w:r>
        <w:t xml:space="preserve">(modified) </w:t>
      </w:r>
      <w:r w:rsidRPr="003A58C4">
        <w:t>specific heat method and the enthalpy method</w:t>
      </w:r>
      <w:r>
        <w:t xml:space="preserve">. </w:t>
      </w:r>
      <w:r w:rsidRPr="003A58C4">
        <w:t>Rappaz [1989] discusse</w:t>
      </w:r>
      <w:r>
        <w:t>s</w:t>
      </w:r>
      <w:r w:rsidRPr="003A58C4">
        <w:t xml:space="preserve"> the advantages and disadvantag</w:t>
      </w:r>
      <w:r>
        <w:t xml:space="preserve">es of each. </w:t>
      </w:r>
      <w:r w:rsidRPr="003A58C4">
        <w:t>In the modified specific heat method, Eqn (2.7) is written as</w:t>
      </w:r>
    </w:p>
    <w:p w14:paraId="72254B66" w14:textId="77777777" w:rsidR="00066174" w:rsidRPr="003A58C4" w:rsidRDefault="00066174" w:rsidP="00015B17">
      <w:pPr>
        <w:spacing w:line="360" w:lineRule="auto"/>
      </w:pPr>
    </w:p>
    <w:p w14:paraId="1BCA7334" w14:textId="77777777" w:rsidR="00015B17" w:rsidRDefault="00015B17" w:rsidP="00015B17">
      <w:pPr>
        <w:spacing w:line="360" w:lineRule="auto"/>
        <w:jc w:val="center"/>
      </w:pPr>
      <w:r w:rsidRPr="003A58C4">
        <w:rPr>
          <w:position w:val="-24"/>
        </w:rPr>
        <w:object w:dxaOrig="2120" w:dyaOrig="620" w14:anchorId="693DE97C">
          <v:shape id="_x0000_i1047" type="#_x0000_t75" style="width:105.65pt;height:31.8pt" o:ole="">
            <v:imagedata r:id="rId51" o:title=""/>
          </v:shape>
          <o:OLEObject Type="Embed" ProgID="Equation.DSMT4" ShapeID="_x0000_i1047" DrawAspect="Content" ObjectID="_1840626613" r:id="rId52"/>
        </w:object>
      </w:r>
      <w:r w:rsidR="002006B3">
        <w:t>,</w:t>
      </w:r>
      <w:r w:rsidRPr="003A58C4">
        <w:tab/>
      </w:r>
      <w:r w:rsidRPr="003A58C4">
        <w:tab/>
        <w:t>(2.8)</w:t>
      </w:r>
    </w:p>
    <w:p w14:paraId="40B26224" w14:textId="77777777" w:rsidR="00066174" w:rsidRPr="003A58C4" w:rsidRDefault="00066174" w:rsidP="00015B17">
      <w:pPr>
        <w:spacing w:line="360" w:lineRule="auto"/>
        <w:jc w:val="center"/>
      </w:pPr>
    </w:p>
    <w:p w14:paraId="166BC729" w14:textId="1EE9132D" w:rsidR="00015B17" w:rsidRDefault="002006B3" w:rsidP="00015B17">
      <w:pPr>
        <w:spacing w:line="360" w:lineRule="auto"/>
      </w:pPr>
      <w:r>
        <w:t>w</w:t>
      </w:r>
      <w:r w:rsidR="00015B17" w:rsidRPr="003A58C4">
        <w:t xml:space="preserve">here, </w:t>
      </w:r>
      <w:r w:rsidR="00015B17" w:rsidRPr="003A58C4">
        <w:fldChar w:fldCharType="begin"/>
      </w:r>
      <w:r w:rsidR="00015B17" w:rsidRPr="003A58C4">
        <w:instrText xml:space="preserve"> QUOTE </w:instrText>
      </w:r>
      <m:oMath>
        <m:sSubSup>
          <m:sSubSupPr>
            <m:ctrlPr>
              <w:rPr>
                <w:rFonts w:ascii="Cambria Math" w:hAnsi="Cambria Math"/>
                <w:i/>
              </w:rPr>
            </m:ctrlPr>
          </m:sSubSupPr>
          <m:e>
            <m:r>
              <m:rPr>
                <m:sty m:val="p"/>
              </m:rPr>
              <w:rPr>
                <w:rFonts w:ascii="Cambria Math" w:hAnsi="Cambria Math"/>
              </w:rPr>
              <m:t>C</m:t>
            </m:r>
          </m:e>
          <m:sub>
            <m:r>
              <m:rPr>
                <m:sty m:val="p"/>
              </m:rPr>
              <w:rPr>
                <w:rFonts w:ascii="Cambria Math" w:hAnsi="Cambria Math"/>
              </w:rPr>
              <m:t>p</m:t>
            </m:r>
          </m:sub>
          <m:sup>
            <m:r>
              <m:rPr>
                <m:sty m:val="p"/>
              </m:rPr>
              <w:rPr>
                <w:rFonts w:ascii="Cambria Math" w:hAnsi="Cambria Math"/>
              </w:rPr>
              <m:t xml:space="preserve">e </m:t>
            </m:r>
          </m:sup>
        </m:sSubSup>
      </m:oMath>
      <w:r w:rsidR="00015B17" w:rsidRPr="003A58C4">
        <w:instrText xml:space="preserve"> </w:instrText>
      </w:r>
      <w:r w:rsidR="00015B17" w:rsidRPr="003A58C4">
        <w:fldChar w:fldCharType="separate"/>
      </w:r>
      <w:r w:rsidR="00015B17" w:rsidRPr="003A58C4">
        <w:rPr>
          <w:position w:val="-12"/>
        </w:rPr>
        <w:object w:dxaOrig="340" w:dyaOrig="380" w14:anchorId="5373D93D">
          <v:shape id="_x0000_i1048" type="#_x0000_t75" style="width:16.85pt;height:18.7pt" o:ole="">
            <v:imagedata r:id="rId53" o:title=""/>
          </v:shape>
          <o:OLEObject Type="Embed" ProgID="Equation.DSMT4" ShapeID="_x0000_i1048" DrawAspect="Content" ObjectID="_1840626614" r:id="rId54"/>
        </w:object>
      </w:r>
      <w:r w:rsidR="00015B17" w:rsidRPr="003A58C4">
        <w:fldChar w:fldCharType="end"/>
      </w:r>
      <w:r w:rsidR="00015B17" w:rsidRPr="003A58C4">
        <w:t xml:space="preserve"> is the </w:t>
      </w:r>
      <w:r w:rsidR="00015B17">
        <w:t>modifi</w:t>
      </w:r>
      <w:r w:rsidR="00015B17" w:rsidRPr="003A58C4">
        <w:t>ed specific heat given by</w:t>
      </w:r>
    </w:p>
    <w:p w14:paraId="3FC43FB2" w14:textId="77777777" w:rsidR="00066174" w:rsidRPr="003A58C4" w:rsidRDefault="00066174" w:rsidP="00015B17">
      <w:pPr>
        <w:spacing w:line="360" w:lineRule="auto"/>
      </w:pPr>
    </w:p>
    <w:p w14:paraId="66CC544C" w14:textId="77777777" w:rsidR="00015B17" w:rsidRDefault="00015B17" w:rsidP="00015B17">
      <w:pPr>
        <w:spacing w:line="360" w:lineRule="auto"/>
        <w:jc w:val="center"/>
      </w:pPr>
      <w:r w:rsidRPr="003A58C4">
        <w:rPr>
          <w:position w:val="-24"/>
        </w:rPr>
        <w:object w:dxaOrig="1780" w:dyaOrig="620" w14:anchorId="1E61E9B4">
          <v:shape id="_x0000_i1049" type="#_x0000_t75" style="width:88.85pt;height:31.8pt" o:ole="">
            <v:imagedata r:id="rId55" o:title=""/>
          </v:shape>
          <o:OLEObject Type="Embed" ProgID="Equation.DSMT4" ShapeID="_x0000_i1049" DrawAspect="Content" ObjectID="_1840626615" r:id="rId56"/>
        </w:object>
      </w:r>
      <w:r w:rsidR="002006B3">
        <w:t>.</w:t>
      </w:r>
      <w:r w:rsidRPr="003A58C4">
        <w:t xml:space="preserve">  </w:t>
      </w:r>
      <w:r w:rsidRPr="003A58C4">
        <w:tab/>
      </w:r>
      <w:r w:rsidRPr="003A58C4">
        <w:tab/>
        <w:t>(2.9)</w:t>
      </w:r>
    </w:p>
    <w:p w14:paraId="47CAD022" w14:textId="6D8ECC3C" w:rsidR="00066174" w:rsidRDefault="006A68AE" w:rsidP="006A68AE">
      <w:pPr>
        <w:spacing w:line="360" w:lineRule="auto"/>
      </w:pPr>
      <w:r w:rsidRPr="003A58C4">
        <w:t xml:space="preserve">Although, the modified specific heat is easy to implement in a numerical code, it offers some numerical challenges. This is due to the fact that there is </w:t>
      </w:r>
      <w:r>
        <w:t xml:space="preserve">typically a </w:t>
      </w:r>
      <w:r w:rsidRPr="003A58C4">
        <w:t>strong variation of the modified specific heat at the liquidus or eutectic temperature</w:t>
      </w:r>
      <w:r>
        <w:t xml:space="preserve"> due to</w:t>
      </w:r>
      <w:r w:rsidRPr="003A58C4">
        <w:t xml:space="preserve"> the</w:t>
      </w:r>
      <w:r>
        <w:t xml:space="preserve"> </w:t>
      </w:r>
      <w:r w:rsidR="00D937C4">
        <w:t xml:space="preserve">large </w:t>
      </w:r>
      <w:r>
        <w:t>value of the</w:t>
      </w:r>
      <w:r w:rsidRPr="003A58C4">
        <w:t xml:space="preserve"> </w:t>
      </w:r>
      <w:r w:rsidRPr="003A58C4">
        <w:rPr>
          <w:position w:val="-24"/>
        </w:rPr>
        <w:object w:dxaOrig="460" w:dyaOrig="620" w14:anchorId="710E4708">
          <v:shape id="_x0000_i1050" type="#_x0000_t75" style="width:23.4pt;height:31.8pt" o:ole="">
            <v:imagedata r:id="rId57" o:title=""/>
          </v:shape>
          <o:OLEObject Type="Embed" ProgID="Equation.DSMT4" ShapeID="_x0000_i1050" DrawAspect="Content" ObjectID="_1840626616" r:id="rId58"/>
        </w:object>
      </w:r>
      <w:r w:rsidRPr="003A58C4">
        <w:t xml:space="preserve"> term</w:t>
      </w:r>
      <w:r>
        <w:t xml:space="preserve">. </w:t>
      </w:r>
      <w:r w:rsidR="00E37E55">
        <w:t>Nevertheless,</w:t>
      </w:r>
      <w:r>
        <w:t xml:space="preserve"> m</w:t>
      </w:r>
      <w:r w:rsidRPr="003A58C4">
        <w:t xml:space="preserve">ost commercial casting software typically employs the </w:t>
      </w:r>
      <w:r>
        <w:t>modifi</w:t>
      </w:r>
      <w:r w:rsidRPr="003A58C4">
        <w:t>ed specific heat method</w:t>
      </w:r>
      <w:r>
        <w:t>.</w:t>
      </w:r>
    </w:p>
    <w:p w14:paraId="4A9F911A" w14:textId="77777777" w:rsidR="006A68AE" w:rsidRPr="003A58C4" w:rsidRDefault="006A68AE" w:rsidP="006A68AE">
      <w:pPr>
        <w:spacing w:line="360" w:lineRule="auto"/>
      </w:pPr>
    </w:p>
    <w:p w14:paraId="668E69BC" w14:textId="1A3E0B04" w:rsidR="00015B17" w:rsidRDefault="00015B17" w:rsidP="00E37E55">
      <w:pPr>
        <w:spacing w:line="360" w:lineRule="auto"/>
      </w:pPr>
      <w:r>
        <w:tab/>
      </w:r>
      <w:r w:rsidRPr="003A58C4">
        <w:t>In standard macroscopic modeling of solidification</w:t>
      </w:r>
      <w:r w:rsidR="00C62F6F">
        <w:t>,</w:t>
      </w:r>
      <w:r w:rsidRPr="003A58C4">
        <w:t xml:space="preserve"> the relationship</w:t>
      </w:r>
      <w:r>
        <w:t>,</w:t>
      </w:r>
      <m:oMath>
        <m:r>
          <w:rPr>
            <w:rFonts w:ascii="Cambria Math" w:hAnsi="Cambria Math"/>
          </w:rPr>
          <m:t xml:space="preserve"> </m:t>
        </m:r>
        <m:sSub>
          <m:sSubPr>
            <m:ctrlPr>
              <w:rPr>
                <w:rFonts w:ascii="Cambria Math" w:hAnsi="Cambria Math"/>
                <w:i/>
                <w:sz w:val="26"/>
                <w:szCs w:val="26"/>
              </w:rPr>
            </m:ctrlPr>
          </m:sSubPr>
          <m:e>
            <m:r>
              <w:rPr>
                <w:rFonts w:ascii="Cambria Math"/>
                <w:sz w:val="26"/>
                <w:szCs w:val="26"/>
              </w:rPr>
              <m:t>g</m:t>
            </m:r>
          </m:e>
          <m:sub>
            <m:r>
              <w:rPr>
                <w:rFonts w:ascii="Cambria Math"/>
                <w:sz w:val="26"/>
                <w:szCs w:val="26"/>
              </w:rPr>
              <m:t>S</m:t>
            </m:r>
          </m:sub>
        </m:sSub>
        <m:d>
          <m:dPr>
            <m:ctrlPr>
              <w:rPr>
                <w:rFonts w:ascii="Cambria Math" w:hAnsi="Cambria Math"/>
                <w:i/>
                <w:sz w:val="26"/>
                <w:szCs w:val="26"/>
              </w:rPr>
            </m:ctrlPr>
          </m:dPr>
          <m:e>
            <m:r>
              <w:rPr>
                <w:rFonts w:ascii="Cambria Math"/>
                <w:sz w:val="26"/>
                <w:szCs w:val="26"/>
              </w:rPr>
              <m:t>T</m:t>
            </m:r>
          </m:e>
        </m:d>
      </m:oMath>
      <w:r>
        <w:t xml:space="preserve">, or </w:t>
      </w:r>
      <w:r w:rsidRPr="003A58C4">
        <w:fldChar w:fldCharType="begin"/>
      </w:r>
      <w:r w:rsidRPr="003A58C4">
        <w:instrText xml:space="preserve"> QUOTE </w:instrText>
      </w:r>
      <m:oMath>
        <m:sSubSup>
          <m:sSubSupPr>
            <m:ctrlPr>
              <w:rPr>
                <w:rFonts w:ascii="Cambria Math" w:hAnsi="Cambria Math"/>
                <w:i/>
              </w:rPr>
            </m:ctrlPr>
          </m:sSubSupPr>
          <m:e>
            <m:r>
              <m:rPr>
                <m:sty m:val="p"/>
              </m:rPr>
              <w:rPr>
                <w:rFonts w:ascii="Cambria Math" w:hAnsi="Cambria Math"/>
              </w:rPr>
              <m:t>C</m:t>
            </m:r>
          </m:e>
          <m:sub>
            <m:r>
              <m:rPr>
                <m:sty m:val="p"/>
              </m:rPr>
              <w:rPr>
                <w:rFonts w:ascii="Cambria Math" w:hAnsi="Cambria Math"/>
              </w:rPr>
              <m:t>p</m:t>
            </m:r>
          </m:sub>
          <m:sup>
            <m:r>
              <m:rPr>
                <m:sty m:val="p"/>
              </m:rPr>
              <w:rPr>
                <w:rFonts w:ascii="Cambria Math" w:hAnsi="Cambria Math"/>
              </w:rPr>
              <m:t>e</m:t>
            </m:r>
          </m:sup>
        </m:sSubSup>
      </m:oMath>
      <w:r w:rsidRPr="003A58C4">
        <w:instrText xml:space="preserve"> </w:instrText>
      </w:r>
      <w:r w:rsidRPr="003A58C4">
        <w:fldChar w:fldCharType="separate"/>
      </w:r>
      <w:r w:rsidRPr="003A58C4">
        <w:fldChar w:fldCharType="end"/>
      </w:r>
      <m:oMath>
        <m:sSubSup>
          <m:sSubSupPr>
            <m:ctrlPr>
              <w:rPr>
                <w:rFonts w:ascii="Cambria Math" w:hAnsi="Cambria Math"/>
                <w:i/>
                <w:sz w:val="26"/>
                <w:szCs w:val="26"/>
              </w:rPr>
            </m:ctrlPr>
          </m:sSubSupPr>
          <m:e>
            <m:r>
              <w:rPr>
                <w:rFonts w:ascii="Cambria Math"/>
                <w:sz w:val="26"/>
                <w:szCs w:val="26"/>
              </w:rPr>
              <m:t>C</m:t>
            </m:r>
          </m:e>
          <m:sub>
            <m:r>
              <w:rPr>
                <w:rFonts w:ascii="Cambria Math"/>
                <w:sz w:val="26"/>
                <w:szCs w:val="26"/>
              </w:rPr>
              <m:t>e</m:t>
            </m:r>
          </m:sub>
          <m:sup>
            <m:r>
              <w:rPr>
                <w:rFonts w:ascii="Cambria Math"/>
                <w:sz w:val="26"/>
                <w:szCs w:val="26"/>
              </w:rPr>
              <m:t>V</m:t>
            </m:r>
          </m:sup>
        </m:sSubSup>
        <m:d>
          <m:dPr>
            <m:ctrlPr>
              <w:rPr>
                <w:rFonts w:ascii="Cambria Math" w:hAnsi="Cambria Math"/>
                <w:i/>
                <w:sz w:val="26"/>
                <w:szCs w:val="26"/>
              </w:rPr>
            </m:ctrlPr>
          </m:dPr>
          <m:e>
            <m:r>
              <w:rPr>
                <w:rFonts w:ascii="Cambria Math"/>
                <w:sz w:val="26"/>
                <w:szCs w:val="26"/>
              </w:rPr>
              <m:t>T</m:t>
            </m:r>
          </m:e>
        </m:d>
      </m:oMath>
      <w:r w:rsidRPr="003A58C4">
        <w:fldChar w:fldCharType="begin"/>
      </w:r>
      <w:r w:rsidRPr="003A58C4">
        <w:instrText xml:space="preserve"> QUOTE </w:instrText>
      </w:r>
      <m:oMath>
        <m:acc>
          <m:accPr>
            <m:chr m:val="̅"/>
            <m:ctrlPr>
              <w:rPr>
                <w:rFonts w:ascii="Cambria Math" w:hAnsi="Cambria Math"/>
                <w:i/>
              </w:rPr>
            </m:ctrlPr>
          </m:accPr>
          <m:e>
            <m:r>
              <m:rPr>
                <m:sty m:val="p"/>
              </m:rPr>
              <w:rPr>
                <w:rFonts w:ascii="Cambria Math" w:hAnsi="Cambria Math"/>
              </w:rPr>
              <m:t>h</m:t>
            </m:r>
          </m:e>
        </m:acc>
        <m:d>
          <m:dPr>
            <m:ctrlPr>
              <w:rPr>
                <w:rFonts w:ascii="Cambria Math" w:hAnsi="Cambria Math"/>
                <w:i/>
              </w:rPr>
            </m:ctrlPr>
          </m:dPr>
          <m:e>
            <m:r>
              <m:rPr>
                <m:sty m:val="p"/>
              </m:rPr>
              <w:rPr>
                <w:rFonts w:ascii="Cambria Math" w:hAnsi="Cambria Math"/>
              </w:rPr>
              <m:t>T</m:t>
            </m:r>
          </m:e>
        </m:d>
      </m:oMath>
      <w:r w:rsidRPr="003A58C4">
        <w:instrText xml:space="preserve"> </w:instrText>
      </w:r>
      <w:r w:rsidRPr="003A58C4">
        <w:fldChar w:fldCharType="separate"/>
      </w:r>
      <w:r w:rsidRPr="003A58C4">
        <w:fldChar w:fldCharType="end"/>
      </w:r>
      <w:r w:rsidRPr="003A58C4">
        <w:t xml:space="preserve"> can be deduced </w:t>
      </w:r>
      <w:r w:rsidR="00D937C4" w:rsidRPr="003A58C4">
        <w:t xml:space="preserve">either </w:t>
      </w:r>
      <w:r w:rsidRPr="003A58C4">
        <w:t>from</w:t>
      </w:r>
      <w:r w:rsidR="00E37E55">
        <w:t xml:space="preserve"> Differential Thermal Analysis (</w:t>
      </w:r>
      <w:r w:rsidRPr="003A58C4">
        <w:t>DTA</w:t>
      </w:r>
      <w:r w:rsidR="00E37E55">
        <w:t>)</w:t>
      </w:r>
      <w:r w:rsidRPr="003A58C4">
        <w:t xml:space="preserve">-type measurements or from solute </w:t>
      </w:r>
      <w:r w:rsidR="00CA2840">
        <w:t>microseg</w:t>
      </w:r>
      <w:r w:rsidR="00FF47AD">
        <w:t>reg</w:t>
      </w:r>
      <w:r w:rsidR="00CA2840">
        <w:t>ation</w:t>
      </w:r>
      <w:r w:rsidRPr="003A58C4">
        <w:t xml:space="preserve"> models </w:t>
      </w:r>
      <w:r w:rsidR="00CA2840">
        <w:t xml:space="preserve">(such as </w:t>
      </w:r>
      <w:r w:rsidRPr="003A58C4">
        <w:t>th</w:t>
      </w:r>
      <w:r w:rsidR="00CA2840">
        <w:t>at</w:t>
      </w:r>
      <w:r w:rsidRPr="003A58C4">
        <w:t xml:space="preserve"> of Scheil [1942]</w:t>
      </w:r>
      <w:r w:rsidR="00CA2840">
        <w:t>)</w:t>
      </w:r>
      <w:r w:rsidRPr="003A58C4">
        <w:t xml:space="preserve"> or </w:t>
      </w:r>
      <w:r>
        <w:t xml:space="preserve">its modifications for dendrite tip kinetics or solid diffusion </w:t>
      </w:r>
      <w:r w:rsidRPr="003A58C4">
        <w:t xml:space="preserve">to be discussed in § </w:t>
      </w:r>
      <w:r>
        <w:t>7</w:t>
      </w:r>
      <w:r w:rsidRPr="003A58C4">
        <w:t>.</w:t>
      </w:r>
      <w:r>
        <w:t xml:space="preserve"> </w:t>
      </w:r>
      <w:r w:rsidR="00CA2840">
        <w:t>These models can be combined with a thermodynamic alloy data</w:t>
      </w:r>
      <w:r w:rsidRPr="003A58C4">
        <w:t xml:space="preserve">base </w:t>
      </w:r>
      <w:r>
        <w:t xml:space="preserve">(described in </w:t>
      </w:r>
      <w:r w:rsidRPr="003A58C4">
        <w:t>§</w:t>
      </w:r>
      <w:r>
        <w:t xml:space="preserve">3) </w:t>
      </w:r>
      <w:r w:rsidR="00CA2840">
        <w:t xml:space="preserve">to provide </w:t>
      </w:r>
      <w:r w:rsidRPr="003A58C4">
        <w:t xml:space="preserve">a detailed description of the enthalpy of </w:t>
      </w:r>
      <w:r>
        <w:t xml:space="preserve">each </w:t>
      </w:r>
      <w:r w:rsidRPr="003A58C4">
        <w:t>phase</w:t>
      </w:r>
      <w:r>
        <w:t xml:space="preserve"> and consequently the heat capacity and heat of fusion</w:t>
      </w:r>
      <w:r w:rsidR="00CA2840">
        <w:t>.</w:t>
      </w:r>
      <w:r>
        <w:t xml:space="preserve">  </w:t>
      </w:r>
      <w:r w:rsidR="006A68AE">
        <w:t xml:space="preserve">The </w:t>
      </w:r>
      <w:r w:rsidR="00CA2840">
        <w:t xml:space="preserve">experimental </w:t>
      </w:r>
      <w:r w:rsidR="006A68AE">
        <w:t xml:space="preserve">interpretation of DTA-type </w:t>
      </w:r>
      <w:r w:rsidR="00D937C4">
        <w:t>measurements</w:t>
      </w:r>
      <w:r w:rsidR="006A68AE">
        <w:t xml:space="preserve"> is complicated by the thermal lags of standard instruments. These lags are due to the spatial separation of the temperature sensors and the melt. An analysis of these lags and </w:t>
      </w:r>
      <w:r w:rsidR="006A68AE">
        <w:lastRenderedPageBreak/>
        <w:t>the use of enthalpy-temperature information obtain</w:t>
      </w:r>
      <w:r w:rsidR="00CA2840">
        <w:t>ed</w:t>
      </w:r>
      <w:r w:rsidR="006A68AE">
        <w:t xml:space="preserve"> from a</w:t>
      </w:r>
      <w:r w:rsidR="00CD7156">
        <w:t xml:space="preserve"> </w:t>
      </w:r>
      <w:r w:rsidR="00CD7156" w:rsidRPr="00CD7156">
        <w:t>C</w:t>
      </w:r>
      <w:r w:rsidR="00CD7156">
        <w:t>al</w:t>
      </w:r>
      <w:r w:rsidR="00CD7156" w:rsidRPr="00CD7156">
        <w:t>culation of Phase Diagrams</w:t>
      </w:r>
      <w:r w:rsidR="006A68AE">
        <w:t xml:space="preserve"> </w:t>
      </w:r>
      <w:r w:rsidR="00CD7156">
        <w:t>(</w:t>
      </w:r>
      <w:r w:rsidR="006A68AE">
        <w:t>Calphad</w:t>
      </w:r>
      <w:r w:rsidR="00CD7156">
        <w:t>)</w:t>
      </w:r>
      <w:r w:rsidR="006A68AE">
        <w:t xml:space="preserve"> type database to simulate the DTA response of complex alloys is given by </w:t>
      </w:r>
      <w:r w:rsidR="00FF47AD">
        <w:t>Boettinger</w:t>
      </w:r>
      <w:r w:rsidR="006A68AE">
        <w:t xml:space="preserve"> and Kattner [2002]. </w:t>
      </w:r>
    </w:p>
    <w:p w14:paraId="007B4298" w14:textId="77777777" w:rsidR="00066174" w:rsidRDefault="00066174" w:rsidP="00015B17">
      <w:pPr>
        <w:spacing w:line="360" w:lineRule="auto"/>
      </w:pPr>
    </w:p>
    <w:p w14:paraId="13B666E9" w14:textId="08C91C9E" w:rsidR="00015B17" w:rsidRDefault="00015B17" w:rsidP="00015B17">
      <w:pPr>
        <w:spacing w:line="360" w:lineRule="auto"/>
      </w:pPr>
      <w:r>
        <w:tab/>
        <w:t xml:space="preserve">In the enthalpy method the change in enthalpy is the independent variable, which is solved at each time step. In numerical </w:t>
      </w:r>
      <w:r w:rsidR="00D937C4">
        <w:t>approaches</w:t>
      </w:r>
      <w:r>
        <w:t xml:space="preserve">, Eqn. 2.1 is solved (ignoring advection for the time being for the sake of explanation only) by tracking both enthalpy and temperature at each computational node. In an explicit formulation, </w:t>
      </w:r>
      <w:r w:rsidR="00D937C4">
        <w:t xml:space="preserve">the </w:t>
      </w:r>
      <w:r>
        <w:t xml:space="preserve">enthalpy at each node at time </w:t>
      </w:r>
      <w:r w:rsidRPr="003B279B">
        <w:rPr>
          <w:i/>
        </w:rPr>
        <w:t>t</w:t>
      </w:r>
      <w:r w:rsidRPr="00727E8A">
        <w:rPr>
          <w:i/>
          <w:sz w:val="26"/>
          <w:vertAlign w:val="subscript"/>
        </w:rPr>
        <w:t>n+1</w:t>
      </w:r>
      <w:r>
        <w:t xml:space="preserve"> is obtained by knowing </w:t>
      </w:r>
      <w:r w:rsidR="00D937C4">
        <w:t xml:space="preserve">the </w:t>
      </w:r>
      <w:r>
        <w:t xml:space="preserve">nodal enthalpies at time </w:t>
      </w:r>
      <w:r w:rsidRPr="003B279B">
        <w:rPr>
          <w:i/>
        </w:rPr>
        <w:t>t</w:t>
      </w:r>
      <w:r w:rsidRPr="00727E8A">
        <w:rPr>
          <w:i/>
          <w:sz w:val="26"/>
          <w:vertAlign w:val="subscript"/>
        </w:rPr>
        <w:t>n</w:t>
      </w:r>
      <w:r>
        <w:t xml:space="preserve"> and evaluating the right side of Eqn. 2.1 at time </w:t>
      </w:r>
      <w:r w:rsidRPr="003B279B">
        <w:rPr>
          <w:i/>
        </w:rPr>
        <w:t>t</w:t>
      </w:r>
      <w:r w:rsidRPr="00727E8A">
        <w:rPr>
          <w:i/>
          <w:sz w:val="26"/>
          <w:vertAlign w:val="subscript"/>
        </w:rPr>
        <w:t>n</w:t>
      </w:r>
      <w:r>
        <w:t xml:space="preserve">. Then, nodal temperatures at time </w:t>
      </w:r>
      <w:r w:rsidRPr="003B279B">
        <w:rPr>
          <w:i/>
        </w:rPr>
        <w:t>t</w:t>
      </w:r>
      <w:r w:rsidRPr="00727E8A">
        <w:rPr>
          <w:i/>
          <w:sz w:val="26"/>
          <w:vertAlign w:val="subscript"/>
        </w:rPr>
        <w:t>n+1</w:t>
      </w:r>
      <w:r>
        <w:t xml:space="preserve"> can be updated from an enthalpy vs. temperature relationship such as the one given in Eqn. 2.6. However, the accuracy of the explicit scheme can be questionable because of its strong dependence on the time step increment. Implementation of the enthalpy method is also difficult in the implicit form. This is because it is difficult to ascertain if </w:t>
      </w:r>
      <w:r w:rsidR="00D937C4">
        <w:t xml:space="preserve">the </w:t>
      </w:r>
      <w:r>
        <w:t xml:space="preserve">proper relation between enthalpy and temperature is maintained during the solution. To address some of the challenges with the implementation of the enthalpy method, </w:t>
      </w:r>
      <w:r w:rsidRPr="003A58C4">
        <w:t>Dantzig and Rappaz (20</w:t>
      </w:r>
      <w:r w:rsidR="004C4362">
        <w:t>16</w:t>
      </w:r>
      <w:r w:rsidRPr="003A58C4">
        <w:t xml:space="preserve">) introduced the </w:t>
      </w:r>
      <w:r w:rsidRPr="008F7685">
        <w:t>Enthalpy-Specific Heat Method</w:t>
      </w:r>
      <w:r>
        <w:t xml:space="preserve">, which involves evaluation of the right side of Eqn. 2.1 at time </w:t>
      </w:r>
      <w:r w:rsidRPr="003B279B">
        <w:rPr>
          <w:i/>
        </w:rPr>
        <w:t>t</w:t>
      </w:r>
      <w:r w:rsidRPr="00727E8A">
        <w:rPr>
          <w:i/>
          <w:sz w:val="26"/>
          <w:vertAlign w:val="subscript"/>
        </w:rPr>
        <w:t>n+1</w:t>
      </w:r>
      <w:r>
        <w:t xml:space="preserve"> and manipulation of the </w:t>
      </w:r>
      <w:r w:rsidR="00CD7156">
        <w:t>left-hand</w:t>
      </w:r>
      <w:r>
        <w:t xml:space="preserve"> side of Eqn. 2.1 using the effective specific heat</w:t>
      </w:r>
      <w:r w:rsidRPr="003A58C4">
        <w:t>.</w:t>
      </w:r>
      <w:r>
        <w:t xml:space="preserve"> A predictor-corrector approach is used to obtain the nodal temperatures at time t</w:t>
      </w:r>
      <w:r w:rsidRPr="00727E8A">
        <w:rPr>
          <w:sz w:val="26"/>
          <w:vertAlign w:val="subscript"/>
        </w:rPr>
        <w:t>n+1</w:t>
      </w:r>
      <w:r>
        <w:t xml:space="preserve">. Nodal temperatures are the independent variables in this formulation. </w:t>
      </w:r>
      <w:r w:rsidRPr="003A58C4">
        <w:t xml:space="preserve">A useful variation of the enthalpy method is called </w:t>
      </w:r>
      <w:r w:rsidRPr="008F7685">
        <w:t>Temperature Recovery Method</w:t>
      </w:r>
      <w:r>
        <w:t xml:space="preserve"> (Tszeng et al</w:t>
      </w:r>
      <w:r w:rsidR="007C57DA">
        <w:t>.</w:t>
      </w:r>
      <w:r>
        <w:t xml:space="preserve"> [1989]).  </w:t>
      </w:r>
      <w:r w:rsidRPr="003A58C4">
        <w:t>A</w:t>
      </w:r>
      <w:r w:rsidR="00C62F6F">
        <w:t>n</w:t>
      </w:r>
      <w:r w:rsidRPr="003A58C4">
        <w:t xml:space="preserve"> article by Felice et al. [2009] suggests that </w:t>
      </w:r>
      <w:r w:rsidR="00C96BFD">
        <w:t xml:space="preserve">the </w:t>
      </w:r>
      <w:r w:rsidRPr="003A58C4">
        <w:t>enthalpy method converges faster than the direct temperature solution approach.</w:t>
      </w:r>
    </w:p>
    <w:p w14:paraId="5796BA22" w14:textId="77777777" w:rsidR="00066174" w:rsidRPr="003A58C4" w:rsidRDefault="00066174" w:rsidP="00015B17">
      <w:pPr>
        <w:spacing w:line="360" w:lineRule="auto"/>
      </w:pPr>
    </w:p>
    <w:p w14:paraId="4C6F8640" w14:textId="77777777" w:rsidR="00EE2159" w:rsidRDefault="00015B17" w:rsidP="00015B17">
      <w:pPr>
        <w:spacing w:line="360" w:lineRule="auto"/>
      </w:pPr>
      <w:r w:rsidRPr="003A58C4">
        <w:tab/>
        <w:t xml:space="preserve">More complex methods, where </w:t>
      </w:r>
      <w:r w:rsidRPr="005567D8">
        <w:rPr>
          <w:position w:val="-12"/>
        </w:rPr>
        <w:object w:dxaOrig="300" w:dyaOrig="360" w14:anchorId="7B2477AB">
          <v:shape id="_x0000_i1051" type="#_x0000_t75" style="width:14.95pt;height:17.75pt" o:ole="">
            <v:imagedata r:id="rId59" o:title=""/>
          </v:shape>
          <o:OLEObject Type="Embed" ProgID="Equation.DSMT4" ShapeID="_x0000_i1051" DrawAspect="Content" ObjectID="_1840626617" r:id="rId60"/>
        </w:object>
      </w:r>
      <w:r>
        <w:t xml:space="preserve"> </w:t>
      </w:r>
      <w:r w:rsidRPr="003A58C4">
        <w:t>is not simpl</w:t>
      </w:r>
      <w:r>
        <w:t>y</w:t>
      </w:r>
      <w:r w:rsidRPr="003A58C4">
        <w:t xml:space="preserve"> a function of </w:t>
      </w:r>
      <w:r w:rsidRPr="003A58C4">
        <w:rPr>
          <w:i/>
        </w:rPr>
        <w:t>T</w:t>
      </w:r>
      <w:r w:rsidRPr="003A58C4">
        <w:t>, must be considered if the details of nucleation and growth are to be coupled to the macroscopic heat flow (RAPPAZ [1989]</w:t>
      </w:r>
      <w:r>
        <w:t>)</w:t>
      </w:r>
      <w:r w:rsidRPr="003A58C4">
        <w:t xml:space="preserve">. For example, for columnar dendritic growth, </w:t>
      </w:r>
      <w:r w:rsidRPr="003A58C4">
        <w:rPr>
          <w:position w:val="-12"/>
        </w:rPr>
        <w:object w:dxaOrig="300" w:dyaOrig="360" w14:anchorId="410FE284">
          <v:shape id="_x0000_i1052" type="#_x0000_t75" style="width:14.95pt;height:17.75pt" o:ole="">
            <v:imagedata r:id="rId61" o:title=""/>
          </v:shape>
          <o:OLEObject Type="Embed" ProgID="Equation.DSMT4" ShapeID="_x0000_i1052" DrawAspect="Content" ObjectID="_1840626618" r:id="rId62"/>
        </w:object>
      </w:r>
      <w:r w:rsidRPr="003A58C4">
        <w:t xml:space="preserve"> depends on the local isotherm velocity and temperature gradient, as well as the temperature. For solidification involving equiaxed microstructures, the growth of solidifying grains depends on </w:t>
      </w:r>
      <w:r>
        <w:t xml:space="preserve">the </w:t>
      </w:r>
      <w:r w:rsidRPr="003A58C4">
        <w:t xml:space="preserve">local undercooling. In addition, the solidification path is dependent on </w:t>
      </w:r>
      <w:r>
        <w:t xml:space="preserve">the </w:t>
      </w:r>
      <w:r w:rsidRPr="003A58C4">
        <w:lastRenderedPageBreak/>
        <w:t>number of nucleated grains in the undercooled melt.</w:t>
      </w:r>
      <w:r>
        <w:t xml:space="preserve"> The microstructure at a given location is obtained by </w:t>
      </w:r>
      <w:r w:rsidR="00EE2159">
        <w:t>coupling</w:t>
      </w:r>
      <w:r>
        <w:t xml:space="preserve"> the macroscopic heat diffusion equation with a microscopic model that allows for nucleation and growth of grains based on local cooling conditions.</w:t>
      </w:r>
    </w:p>
    <w:p w14:paraId="6D7E29F4" w14:textId="77777777" w:rsidR="00EE2159" w:rsidRDefault="00EE2159" w:rsidP="00015B17">
      <w:pPr>
        <w:spacing w:line="360" w:lineRule="auto"/>
      </w:pPr>
    </w:p>
    <w:p w14:paraId="1C1C5447" w14:textId="265B7EF0" w:rsidR="00015B17" w:rsidRDefault="00EE2159" w:rsidP="00015B17">
      <w:pPr>
        <w:spacing w:line="360" w:lineRule="auto"/>
      </w:pPr>
      <w:r>
        <w:tab/>
      </w:r>
      <w:r w:rsidR="00015B17">
        <w:t xml:space="preserve">There are various approaches available for modeling the evolution of microstructure. In the simplest form, deterministic models are used to compute nucleation and growth of grains that are assumed to be motionless. The output of these microscopic models is the change in volume fraction of solid, </w:t>
      </w:r>
      <w:r w:rsidR="00015B17" w:rsidRPr="006B7141">
        <w:rPr>
          <w:i/>
        </w:rPr>
        <w:t>dg</w:t>
      </w:r>
      <w:r w:rsidR="00015B17" w:rsidRPr="003E0F31">
        <w:rPr>
          <w:i/>
          <w:sz w:val="26"/>
          <w:szCs w:val="26"/>
          <w:vertAlign w:val="subscript"/>
        </w:rPr>
        <w:t>s</w:t>
      </w:r>
      <w:r w:rsidR="00015B17">
        <w:t xml:space="preserve"> at each time step, </w:t>
      </w:r>
      <w:r w:rsidR="00015B17" w:rsidRPr="006B7141">
        <w:rPr>
          <w:i/>
        </w:rPr>
        <w:t>dt</w:t>
      </w:r>
      <w:r w:rsidR="00015B17">
        <w:t xml:space="preserve">. The microscopic models are coupled with the macroscopic heat diffusion Eqn. (2.7) through </w:t>
      </w:r>
      <w:r w:rsidR="00015B17" w:rsidRPr="006B7141">
        <w:rPr>
          <w:i/>
        </w:rPr>
        <w:t>dg</w:t>
      </w:r>
      <w:r w:rsidR="00015B17" w:rsidRPr="00727E8A">
        <w:rPr>
          <w:i/>
          <w:sz w:val="26"/>
          <w:vertAlign w:val="subscript"/>
        </w:rPr>
        <w:t>s</w:t>
      </w:r>
      <w:r w:rsidR="00015B17">
        <w:t>. A representative volume is assumed at each macroscopic node (in a typical finite element formulation) in which the microscopic model equations are solved (see Fig. 2.1). As shown in the figure, each computational node in the macroscopic computation domain is associated with a representative volume. This volume associated with a macroscopic node is essentially the locus of points that lie closer to the node of interest than to a neighboring node. A simple model often assumes that this representative volume is closed to mass and momentum transport. This means that transport of grains (nucleated elsewhere) through advection into this representative volume is ignored. Details of coupling issues and their effects on time step and computational efficiency are discussed by Rappaz (1989) and Stefanescu (20</w:t>
      </w:r>
      <w:r w:rsidR="004C4362">
        <w:t>15</w:t>
      </w:r>
      <w:r w:rsidR="00015B17">
        <w:t>).</w:t>
      </w:r>
    </w:p>
    <w:p w14:paraId="05D9EB28" w14:textId="77777777" w:rsidR="00066174" w:rsidRDefault="00066174" w:rsidP="00015B17">
      <w:pPr>
        <w:spacing w:line="360" w:lineRule="auto"/>
      </w:pPr>
    </w:p>
    <w:p w14:paraId="141F1C53" w14:textId="77777777" w:rsidR="00015B17" w:rsidRDefault="00015B17" w:rsidP="00015B17">
      <w:pPr>
        <w:spacing w:line="360" w:lineRule="auto"/>
        <w:rPr>
          <w:b/>
        </w:rPr>
      </w:pPr>
      <w:r w:rsidRPr="003A58C4">
        <w:rPr>
          <w:b/>
        </w:rPr>
        <w:t>2.1.2 Species (solute) transport</w:t>
      </w:r>
      <w:r>
        <w:rPr>
          <w:b/>
        </w:rPr>
        <w:t xml:space="preserve"> </w:t>
      </w:r>
    </w:p>
    <w:p w14:paraId="088E57E0" w14:textId="77777777" w:rsidR="00066174" w:rsidRDefault="00066174" w:rsidP="00015B17">
      <w:pPr>
        <w:spacing w:line="360" w:lineRule="auto"/>
        <w:rPr>
          <w:b/>
        </w:rPr>
      </w:pPr>
    </w:p>
    <w:p w14:paraId="57CDD6EF" w14:textId="43930453" w:rsidR="00015B17" w:rsidRDefault="00015B17" w:rsidP="00015B17">
      <w:pPr>
        <w:spacing w:line="360" w:lineRule="auto"/>
        <w:ind w:firstLine="720"/>
      </w:pPr>
      <w:r>
        <w:t xml:space="preserve">Species (solute) transport during solidification is important in determining the segregation in the final solidified part.  </w:t>
      </w:r>
      <w:r w:rsidRPr="003A58C4">
        <w:t xml:space="preserve">The species transport equation is obtained for </w:t>
      </w:r>
      <w:r>
        <w:t>concentration</w:t>
      </w:r>
      <w:r w:rsidRPr="003A58C4">
        <w:t xml:space="preserve">, </w:t>
      </w:r>
      <w:r w:rsidRPr="003A58C4">
        <w:rPr>
          <w:i/>
        </w:rPr>
        <w:t>C</w:t>
      </w:r>
      <w:r w:rsidR="00C62F6F">
        <w:t xml:space="preserve">, </w:t>
      </w:r>
      <w:r>
        <w:t>mass/volume,</w:t>
      </w:r>
      <w:r w:rsidRPr="003A58C4">
        <w:t xml:space="preserve"> using a solute diffusivity,</w:t>
      </w:r>
      <w:r w:rsidRPr="003A58C4">
        <w:rPr>
          <w:i/>
        </w:rPr>
        <w:t xml:space="preserve"> D,</w:t>
      </w:r>
      <w:r w:rsidRPr="003A58C4">
        <w:t xml:space="preserve"> in a similar manner to energy transport as</w:t>
      </w:r>
    </w:p>
    <w:p w14:paraId="0EBB6F43" w14:textId="77777777" w:rsidR="00066174" w:rsidRDefault="00066174" w:rsidP="00015B17">
      <w:pPr>
        <w:spacing w:line="360" w:lineRule="auto"/>
        <w:ind w:firstLine="720"/>
      </w:pPr>
    </w:p>
    <w:p w14:paraId="47A8080D" w14:textId="77777777" w:rsidR="00015B17" w:rsidRDefault="00015B17" w:rsidP="00015B17">
      <w:pPr>
        <w:spacing w:line="360" w:lineRule="auto"/>
        <w:jc w:val="center"/>
      </w:pPr>
      <w:r w:rsidRPr="00EB0A05">
        <w:rPr>
          <w:position w:val="-24"/>
        </w:rPr>
        <w:object w:dxaOrig="2659" w:dyaOrig="620" w14:anchorId="1971C47D">
          <v:shape id="_x0000_i1053" type="#_x0000_t75" style="width:133.7pt;height:31.8pt" o:ole="">
            <v:imagedata r:id="rId63" o:title=""/>
          </v:shape>
          <o:OLEObject Type="Embed" ProgID="Equation.DSMT4" ShapeID="_x0000_i1053" DrawAspect="Content" ObjectID="_1840626619" r:id="rId64"/>
        </w:object>
      </w:r>
      <w:r>
        <w:tab/>
      </w:r>
      <w:r w:rsidR="002006B3">
        <w:t>.</w:t>
      </w:r>
      <w:r>
        <w:tab/>
        <w:t>(2.10)</w:t>
      </w:r>
    </w:p>
    <w:p w14:paraId="1449A2BB" w14:textId="77777777" w:rsidR="00066174" w:rsidRPr="003A58C4" w:rsidRDefault="00066174" w:rsidP="00015B17">
      <w:pPr>
        <w:spacing w:line="360" w:lineRule="auto"/>
        <w:jc w:val="center"/>
      </w:pPr>
    </w:p>
    <w:p w14:paraId="67F4A8C3" w14:textId="1F21971B" w:rsidR="00015B17" w:rsidRDefault="00015B17" w:rsidP="00015B17">
      <w:pPr>
        <w:spacing w:line="360" w:lineRule="auto"/>
      </w:pPr>
      <w:r w:rsidRPr="003A58C4">
        <w:lastRenderedPageBreak/>
        <w:t>Again</w:t>
      </w:r>
      <w:r w:rsidR="00C96BFD">
        <w:t>,</w:t>
      </w:r>
      <w:r w:rsidRPr="003A58C4">
        <w:t xml:space="preserve"> this equation can be solved by treating the liquid and solid as different regions with a moving interface or as a single domain using average quantities.</w:t>
      </w:r>
      <w:r>
        <w:t xml:space="preserve"> </w:t>
      </w:r>
      <w:r w:rsidRPr="003A58C4">
        <w:t xml:space="preserve">For the </w:t>
      </w:r>
      <w:r w:rsidR="00CD7156" w:rsidRPr="003A58C4">
        <w:t>two-domain</w:t>
      </w:r>
      <w:r w:rsidRPr="003A58C4">
        <w:t xml:space="preserve"> method we </w:t>
      </w:r>
      <w:r>
        <w:t xml:space="preserve">can </w:t>
      </w:r>
      <w:r w:rsidRPr="003A58C4">
        <w:t xml:space="preserve">again obtain a simple diffusion equation </w:t>
      </w:r>
      <w:r>
        <w:t xml:space="preserve">only </w:t>
      </w:r>
      <w:r w:rsidRPr="003A58C4">
        <w:t xml:space="preserve">by neglecting fluid flow, </w:t>
      </w:r>
    </w:p>
    <w:p w14:paraId="2FFB2FF6" w14:textId="77777777" w:rsidR="00066174" w:rsidRDefault="00066174" w:rsidP="00015B17">
      <w:pPr>
        <w:spacing w:line="360" w:lineRule="auto"/>
      </w:pPr>
    </w:p>
    <w:p w14:paraId="526BB227" w14:textId="77777777" w:rsidR="00015B17" w:rsidRDefault="00015B17" w:rsidP="00015B17">
      <w:pPr>
        <w:tabs>
          <w:tab w:val="left" w:pos="-720"/>
        </w:tabs>
        <w:suppressAutoHyphens/>
        <w:spacing w:line="360" w:lineRule="auto"/>
        <w:jc w:val="center"/>
      </w:pPr>
      <w:r w:rsidRPr="00EB0A05">
        <w:rPr>
          <w:position w:val="-24"/>
        </w:rPr>
        <w:object w:dxaOrig="1260" w:dyaOrig="620" w14:anchorId="3C8B9D6B">
          <v:shape id="_x0000_i1054" type="#_x0000_t75" style="width:62.65pt;height:31.8pt" o:ole="">
            <v:imagedata r:id="rId65" o:title=""/>
          </v:shape>
          <o:OLEObject Type="Embed" ProgID="Equation.DSMT4" ShapeID="_x0000_i1054" DrawAspect="Content" ObjectID="_1840626620" r:id="rId66"/>
        </w:object>
      </w:r>
      <w:r>
        <w:tab/>
      </w:r>
      <w:r w:rsidR="002006B3">
        <w:t>,</w:t>
      </w:r>
      <w:r>
        <w:tab/>
      </w:r>
      <w:r>
        <w:tab/>
      </w:r>
      <w:r>
        <w:tab/>
        <w:t>(2.11)</w:t>
      </w:r>
    </w:p>
    <w:p w14:paraId="089E6E71" w14:textId="77777777" w:rsidR="00066174" w:rsidRPr="003A58C4" w:rsidRDefault="00066174" w:rsidP="00015B17">
      <w:pPr>
        <w:tabs>
          <w:tab w:val="left" w:pos="-720"/>
        </w:tabs>
        <w:suppressAutoHyphens/>
        <w:spacing w:line="360" w:lineRule="auto"/>
        <w:jc w:val="center"/>
      </w:pPr>
    </w:p>
    <w:p w14:paraId="40FFAA96" w14:textId="77777777" w:rsidR="00015B17" w:rsidRDefault="00015B17" w:rsidP="00015B17">
      <w:pPr>
        <w:spacing w:line="360" w:lineRule="auto"/>
      </w:pPr>
      <w:r>
        <w:t xml:space="preserve">that is solved separately in the liquid and solid with matching conditions on the liquid solid interface. </w:t>
      </w:r>
      <w:r w:rsidRPr="003A58C4">
        <w:t>The values of the concentrations on the liquid and solid sides of the interface</w:t>
      </w:r>
      <w:r>
        <w:t>,</w:t>
      </w:r>
      <w:r w:rsidRPr="003A58C4">
        <w:t xml:space="preserve"> </w:t>
      </w:r>
      <w:r w:rsidRPr="0017204A">
        <w:rPr>
          <w:i/>
          <w:position w:val="-10"/>
        </w:rPr>
        <w:object w:dxaOrig="320" w:dyaOrig="360" w14:anchorId="5322D994">
          <v:shape id="_x0000_i1055" type="#_x0000_t75" style="width:16.85pt;height:17.75pt" o:ole="">
            <v:imagedata r:id="rId67" o:title=""/>
          </v:shape>
          <o:OLEObject Type="Embed" ProgID="Equation.DSMT4" ShapeID="_x0000_i1055" DrawAspect="Content" ObjectID="_1840626621" r:id="rId68"/>
        </w:object>
      </w:r>
      <w:r w:rsidRPr="003A58C4">
        <w:t xml:space="preserve"> and</w:t>
      </w:r>
      <w:r w:rsidRPr="0017204A">
        <w:rPr>
          <w:i/>
          <w:position w:val="-12"/>
        </w:rPr>
        <w:object w:dxaOrig="320" w:dyaOrig="380" w14:anchorId="7B01D615">
          <v:shape id="_x0000_i1056" type="#_x0000_t75" style="width:16.85pt;height:18.7pt" o:ole="">
            <v:imagedata r:id="rId69" o:title=""/>
          </v:shape>
          <o:OLEObject Type="Embed" ProgID="Equation.DSMT4" ShapeID="_x0000_i1056" DrawAspect="Content" ObjectID="_1840626622" r:id="rId70"/>
        </w:object>
      </w:r>
      <w:r>
        <w:rPr>
          <w:i/>
        </w:rPr>
        <w:t xml:space="preserve">, </w:t>
      </w:r>
      <w:r w:rsidRPr="003A58C4">
        <w:t xml:space="preserve">are </w:t>
      </w:r>
      <w:r>
        <w:t xml:space="preserve">generally </w:t>
      </w:r>
      <w:r w:rsidRPr="003A58C4">
        <w:t xml:space="preserve">different. </w:t>
      </w:r>
      <w:r w:rsidR="00EE2159">
        <w:t>The possible choices for the local v</w:t>
      </w:r>
      <w:r w:rsidRPr="003A58C4">
        <w:t xml:space="preserve">alues for these concentrations will be described in </w:t>
      </w:r>
      <w:r>
        <w:t xml:space="preserve">§ </w:t>
      </w:r>
      <w:r w:rsidRPr="003A58C4">
        <w:t>3 and are related to the phase diagram at the temperature of the interface</w:t>
      </w:r>
      <w:r>
        <w:t xml:space="preserve"> or to more complex velocity dependent description described in § 5</w:t>
      </w:r>
      <w:r w:rsidRPr="003A58C4">
        <w:t>.</w:t>
      </w:r>
      <w:r>
        <w:t xml:space="preserve"> The</w:t>
      </w:r>
      <w:r w:rsidRPr="003A58C4">
        <w:t xml:space="preserve"> </w:t>
      </w:r>
      <w:r>
        <w:t xml:space="preserve">flux </w:t>
      </w:r>
      <w:r w:rsidRPr="003A58C4">
        <w:t xml:space="preserve">boundary conditions at the </w:t>
      </w:r>
      <w:r w:rsidR="00C96BFD">
        <w:t>L-S</w:t>
      </w:r>
      <w:r w:rsidRPr="003A58C4">
        <w:t xml:space="preserve"> interface </w:t>
      </w:r>
      <w:r>
        <w:t>is</w:t>
      </w:r>
    </w:p>
    <w:p w14:paraId="2B40058D" w14:textId="77777777" w:rsidR="00066174" w:rsidRDefault="00066174" w:rsidP="00015B17">
      <w:pPr>
        <w:spacing w:line="360" w:lineRule="auto"/>
      </w:pPr>
    </w:p>
    <w:p w14:paraId="5221A985" w14:textId="77777777" w:rsidR="00015B17" w:rsidRPr="003A58C4" w:rsidRDefault="00015B17" w:rsidP="00015B17">
      <w:pPr>
        <w:spacing w:line="360" w:lineRule="auto"/>
        <w:jc w:val="center"/>
      </w:pPr>
      <w:r w:rsidRPr="005969B9">
        <w:rPr>
          <w:position w:val="-16"/>
        </w:rPr>
        <w:object w:dxaOrig="3060" w:dyaOrig="499" w14:anchorId="107EE33C">
          <v:shape id="_x0000_i1057" type="#_x0000_t75" style="width:153.35pt;height:25.25pt" o:ole="">
            <v:imagedata r:id="rId71" o:title=""/>
          </v:shape>
          <o:OLEObject Type="Embed" ProgID="Equation.DSMT4" ShapeID="_x0000_i1057" DrawAspect="Content" ObjectID="_1840626623" r:id="rId72"/>
        </w:object>
      </w:r>
      <w:r w:rsidR="002006B3">
        <w:t>,</w:t>
      </w:r>
      <w:r>
        <w:tab/>
        <w:t>(2.12)</w:t>
      </w:r>
    </w:p>
    <w:p w14:paraId="70712F1A" w14:textId="77777777" w:rsidR="00015B17" w:rsidRDefault="00015B17" w:rsidP="00015B17">
      <w:pPr>
        <w:spacing w:line="360" w:lineRule="auto"/>
      </w:pPr>
      <w:r w:rsidRPr="003A58C4">
        <w:t xml:space="preserve">where </w:t>
      </w:r>
      <w:r w:rsidRPr="003A58C4">
        <w:rPr>
          <w:i/>
        </w:rPr>
        <w:t>D</w:t>
      </w:r>
      <w:r w:rsidRPr="00727E8A">
        <w:rPr>
          <w:i/>
          <w:sz w:val="26"/>
          <w:vertAlign w:val="subscript"/>
        </w:rPr>
        <w:t>L</w:t>
      </w:r>
      <w:r w:rsidRPr="003A58C4">
        <w:t xml:space="preserve"> and </w:t>
      </w:r>
      <w:r w:rsidRPr="003A58C4">
        <w:rPr>
          <w:i/>
        </w:rPr>
        <w:t>D</w:t>
      </w:r>
      <w:r w:rsidRPr="00727E8A">
        <w:rPr>
          <w:i/>
          <w:sz w:val="26"/>
          <w:vertAlign w:val="subscript"/>
        </w:rPr>
        <w:t>S</w:t>
      </w:r>
      <w:r w:rsidRPr="003A58C4">
        <w:t xml:space="preserve"> are the liquid and solid solute diffusivities, </w:t>
      </w:r>
      <w:r w:rsidRPr="005969B9">
        <w:rPr>
          <w:position w:val="-16"/>
        </w:rPr>
        <w:object w:dxaOrig="480" w:dyaOrig="499" w14:anchorId="6EE03528">
          <v:shape id="_x0000_i1058" type="#_x0000_t75" style="width:24.3pt;height:24.3pt" o:ole="">
            <v:imagedata r:id="rId73" o:title=""/>
          </v:shape>
          <o:OLEObject Type="Embed" ProgID="Equation.DSMT4" ShapeID="_x0000_i1058" DrawAspect="Content" ObjectID="_1840626624" r:id="rId74"/>
        </w:object>
      </w:r>
      <w:r w:rsidRPr="003A58C4">
        <w:t>and</w:t>
      </w:r>
      <w:r w:rsidRPr="0017204A">
        <w:rPr>
          <w:position w:val="-16"/>
        </w:rPr>
        <w:object w:dxaOrig="480" w:dyaOrig="499" w14:anchorId="2A6440DC">
          <v:shape id="_x0000_i1059" type="#_x0000_t75" style="width:24.3pt;height:24.3pt" o:ole="">
            <v:imagedata r:id="rId75" o:title=""/>
          </v:shape>
          <o:OLEObject Type="Embed" ProgID="Equation.DSMT4" ShapeID="_x0000_i1059" DrawAspect="Content" ObjectID="_1840626625" r:id="rId76"/>
        </w:object>
      </w:r>
      <w:r w:rsidRPr="003A58C4">
        <w:t xml:space="preserve">are the </w:t>
      </w:r>
      <w:r>
        <w:t xml:space="preserve">normal components of the </w:t>
      </w:r>
      <w:r w:rsidRPr="003A58C4">
        <w:t>concentration gradients at the interface in the liquid and solid</w:t>
      </w:r>
      <w:r w:rsidR="00C96BFD">
        <w:t>,</w:t>
      </w:r>
      <w:r>
        <w:t xml:space="preserve"> and </w:t>
      </w:r>
      <w:r w:rsidRPr="003B279B">
        <w:rPr>
          <w:position w:val="-6"/>
        </w:rPr>
        <w:object w:dxaOrig="240" w:dyaOrig="279" w14:anchorId="6318FF2D">
          <v:shape id="_x0000_i1060" type="#_x0000_t75" style="width:12.15pt;height:14.05pt" o:ole="">
            <v:imagedata r:id="rId77" o:title=""/>
          </v:shape>
          <o:OLEObject Type="Embed" ProgID="Equation.DSMT4" ShapeID="_x0000_i1060" DrawAspect="Content" ObjectID="_1840626626" r:id="rId78"/>
        </w:object>
      </w:r>
      <w:r>
        <w:t>is the normal component of the interface velocity</w:t>
      </w:r>
      <w:r w:rsidRPr="003A58C4">
        <w:t xml:space="preserve">. </w:t>
      </w:r>
    </w:p>
    <w:p w14:paraId="4128E5D7" w14:textId="77777777" w:rsidR="00066174" w:rsidRPr="003A58C4" w:rsidRDefault="00066174" w:rsidP="00015B17">
      <w:pPr>
        <w:spacing w:line="360" w:lineRule="auto"/>
      </w:pPr>
    </w:p>
    <w:p w14:paraId="59064A70" w14:textId="66AE9915" w:rsidR="00066174" w:rsidRDefault="00015B17" w:rsidP="00015B17">
      <w:pPr>
        <w:spacing w:line="360" w:lineRule="auto"/>
      </w:pPr>
      <w:r w:rsidRPr="003A58C4">
        <w:tab/>
      </w:r>
      <w:r>
        <w:t xml:space="preserve">For the single domain method, the concepts of volume averaging proposed by Ni and Beckermann (1991) can be employed. Because it is too time consuming to solve exact conservation equations on a microscopic scale over an entire casting, macroscopic models are developed over a finite sized representative volume element (RVE) by using volume averaging (see Fig. 2.2). This volume element will contain both solid and liquid phases in the mushy zone.  This volume is selected to be larger than individual phase particles in the mixture but small enough to retain spatial variations of properties in the mixture. </w:t>
      </w:r>
      <w:r w:rsidR="00CD7156">
        <w:t>Typically,</w:t>
      </w:r>
      <w:r>
        <w:t xml:space="preserve"> the size of this volume is of the order of several dendrite arm spacings but less than the characteristic length of the mushy zone</w:t>
      </w:r>
      <w:r w:rsidRPr="00136394">
        <w:t xml:space="preserve"> </w:t>
      </w:r>
      <w:r>
        <w:t>in the heat flow direction.</w:t>
      </w:r>
    </w:p>
    <w:p w14:paraId="616282A7" w14:textId="77777777" w:rsidR="00015B17" w:rsidRDefault="00015B17" w:rsidP="00015B17">
      <w:pPr>
        <w:spacing w:line="360" w:lineRule="auto"/>
      </w:pPr>
      <w:r>
        <w:lastRenderedPageBreak/>
        <w:tab/>
      </w:r>
    </w:p>
    <w:p w14:paraId="1B3B23F3" w14:textId="77777777" w:rsidR="00015B17" w:rsidRDefault="00015B17" w:rsidP="00015B17">
      <w:pPr>
        <w:spacing w:line="360" w:lineRule="auto"/>
        <w:ind w:firstLine="720"/>
      </w:pPr>
      <w:r>
        <w:t xml:space="preserve">Average quantities of species concentration are computed over this representative volume element. For a two-phase </w:t>
      </w:r>
      <w:r w:rsidR="004201E7">
        <w:t>L-S</w:t>
      </w:r>
      <w:r>
        <w:t xml:space="preserve"> mixture involving two components, the average concentration in the RVE is given by</w:t>
      </w:r>
    </w:p>
    <w:p w14:paraId="46DEEE9A" w14:textId="77777777" w:rsidR="00066174" w:rsidRDefault="00066174" w:rsidP="00015B17">
      <w:pPr>
        <w:spacing w:line="360" w:lineRule="auto"/>
        <w:ind w:firstLine="720"/>
      </w:pPr>
    </w:p>
    <w:p w14:paraId="7174752A" w14:textId="77777777" w:rsidR="00066174" w:rsidRDefault="00015B17" w:rsidP="00015B17">
      <w:pPr>
        <w:spacing w:line="360" w:lineRule="auto"/>
        <w:ind w:left="720" w:firstLine="720"/>
      </w:pPr>
      <w:r w:rsidRPr="00B94198">
        <w:rPr>
          <w:position w:val="-34"/>
        </w:rPr>
        <w:object w:dxaOrig="4520" w:dyaOrig="620" w14:anchorId="51025795">
          <v:shape id="_x0000_i1061" type="#_x0000_t75" style="width:226.3pt;height:31.8pt" o:ole="">
            <v:imagedata r:id="rId79" o:title=""/>
          </v:shape>
          <o:OLEObject Type="Embed" ProgID="Equation.DSMT4" ShapeID="_x0000_i1061" DrawAspect="Content" ObjectID="_1840626627" r:id="rId80"/>
        </w:object>
      </w:r>
      <w:r w:rsidR="002006B3">
        <w:t xml:space="preserve"> , </w:t>
      </w:r>
      <w:r w:rsidR="002006B3">
        <w:tab/>
        <w:t>(2.13)</w:t>
      </w:r>
      <w:r>
        <w:t xml:space="preserve">   </w:t>
      </w:r>
    </w:p>
    <w:p w14:paraId="1BBFC9B1" w14:textId="77777777" w:rsidR="00015B17" w:rsidRDefault="00015B17" w:rsidP="00015B17">
      <w:pPr>
        <w:spacing w:line="360" w:lineRule="auto"/>
        <w:ind w:left="720" w:firstLine="720"/>
      </w:pPr>
      <w:r>
        <w:t xml:space="preserve">                     </w:t>
      </w:r>
    </w:p>
    <w:p w14:paraId="27A9417A" w14:textId="77777777" w:rsidR="00015B17" w:rsidRDefault="002006B3" w:rsidP="00015B17">
      <w:pPr>
        <w:spacing w:line="360" w:lineRule="auto"/>
      </w:pPr>
      <w:r>
        <w:t>w</w:t>
      </w:r>
      <w:r w:rsidR="00015B17">
        <w:t xml:space="preserve">here </w:t>
      </w:r>
      <w:r w:rsidR="00015B17" w:rsidRPr="001B3EFC">
        <w:rPr>
          <w:position w:val="-14"/>
        </w:rPr>
        <w:object w:dxaOrig="520" w:dyaOrig="400" w14:anchorId="61E6E118">
          <v:shape id="_x0000_i1062" type="#_x0000_t75" style="width:25.25pt;height:19.65pt" o:ole="">
            <v:imagedata r:id="rId81" o:title=""/>
          </v:shape>
          <o:OLEObject Type="Embed" ProgID="Equation.DSMT4" ShapeID="_x0000_i1062" DrawAspect="Content" ObjectID="_1840626628" r:id="rId82"/>
        </w:object>
      </w:r>
      <w:r w:rsidR="00015B17">
        <w:t xml:space="preserve"> are </w:t>
      </w:r>
      <w:r w:rsidR="00015B17" w:rsidRPr="001B3EFC">
        <w:rPr>
          <w:position w:val="-14"/>
        </w:rPr>
        <w:object w:dxaOrig="520" w:dyaOrig="400" w14:anchorId="71563A1F">
          <v:shape id="_x0000_i1063" type="#_x0000_t75" style="width:25.25pt;height:19.65pt" o:ole="">
            <v:imagedata r:id="rId83" o:title=""/>
          </v:shape>
          <o:OLEObject Type="Embed" ProgID="Equation.DSMT4" ShapeID="_x0000_i1063" DrawAspect="Content" ObjectID="_1840626629" r:id="rId84"/>
        </w:object>
      </w:r>
      <w:r w:rsidR="00015B17">
        <w:t xml:space="preserve"> are the average concentrations of the liquid and solid in the RVE. These averages as well as </w:t>
      </w:r>
      <w:r w:rsidR="00015B17" w:rsidRPr="001B3EFC">
        <w:rPr>
          <w:position w:val="-10"/>
        </w:rPr>
        <w:object w:dxaOrig="300" w:dyaOrig="340" w14:anchorId="1400A064">
          <v:shape id="_x0000_i1064" type="#_x0000_t75" style="width:14.95pt;height:16.85pt" o:ole="">
            <v:imagedata r:id="rId85" o:title=""/>
          </v:shape>
          <o:OLEObject Type="Embed" ProgID="Equation.DSMT4" ShapeID="_x0000_i1064" DrawAspect="Content" ObjectID="_1840626630" r:id="rId86"/>
        </w:object>
      </w:r>
      <w:r w:rsidR="00015B17">
        <w:t xml:space="preserve"> and</w:t>
      </w:r>
      <w:r w:rsidR="00015B17" w:rsidRPr="001B3EFC">
        <w:rPr>
          <w:position w:val="-12"/>
        </w:rPr>
        <w:object w:dxaOrig="300" w:dyaOrig="360" w14:anchorId="7715C9CE">
          <v:shape id="_x0000_i1065" type="#_x0000_t75" style="width:14.95pt;height:17.75pt" o:ole="">
            <v:imagedata r:id="rId87" o:title=""/>
          </v:shape>
          <o:OLEObject Type="Embed" ProgID="Equation.DSMT4" ShapeID="_x0000_i1065" DrawAspect="Content" ObjectID="_1840626631" r:id="rId88"/>
        </w:object>
      </w:r>
      <w:r w:rsidR="00015B17">
        <w:t xml:space="preserve"> vary as functions of position and time in the different RVE’s that represent the system. </w:t>
      </w:r>
      <w:r w:rsidR="000C5254">
        <w:t xml:space="preserve">Defining </w:t>
      </w:r>
      <w:r w:rsidR="000C5254" w:rsidRPr="00204BCD">
        <w:rPr>
          <w:position w:val="-12"/>
        </w:rPr>
        <w:object w:dxaOrig="279" w:dyaOrig="360" w14:anchorId="19EBEDDB">
          <v:shape id="_x0000_i1066" type="#_x0000_t75" style="width:14.05pt;height:17.75pt" o:ole="">
            <v:imagedata r:id="rId89" o:title=""/>
          </v:shape>
          <o:OLEObject Type="Embed" ProgID="Equation.DSMT4" ShapeID="_x0000_i1066" DrawAspect="Content" ObjectID="_1840626632" r:id="rId90"/>
        </w:object>
      </w:r>
      <w:r w:rsidR="000C5254">
        <w:t xml:space="preserve">and </w:t>
      </w:r>
      <w:r w:rsidR="000C5254" w:rsidRPr="000C5254">
        <w:rPr>
          <w:position w:val="-10"/>
        </w:rPr>
        <w:object w:dxaOrig="300" w:dyaOrig="340" w14:anchorId="0B10B484">
          <v:shape id="_x0000_i1067" type="#_x0000_t75" style="width:14.95pt;height:16.85pt" o:ole="">
            <v:imagedata r:id="rId91" o:title=""/>
          </v:shape>
          <o:OLEObject Type="Embed" ProgID="Equation.DSMT4" ShapeID="_x0000_i1067" DrawAspect="Content" ObjectID="_1840626633" r:id="rId92"/>
        </w:object>
      </w:r>
      <w:r w:rsidR="000C5254">
        <w:t xml:space="preserve"> as velocities of solid and liquid phase and u</w:t>
      </w:r>
      <w:r w:rsidR="00015B17">
        <w:t>sing Eqn. 2.10, t</w:t>
      </w:r>
      <w:r w:rsidR="00015B17" w:rsidRPr="003A58C4">
        <w:t>he solute conservation equation can be written as</w:t>
      </w:r>
    </w:p>
    <w:p w14:paraId="2341A550" w14:textId="77777777" w:rsidR="00066174" w:rsidRDefault="00066174" w:rsidP="00015B17">
      <w:pPr>
        <w:spacing w:line="360" w:lineRule="auto"/>
      </w:pPr>
    </w:p>
    <w:p w14:paraId="286FA630" w14:textId="77777777" w:rsidR="00015B17" w:rsidRPr="003A58C4" w:rsidRDefault="00015B17" w:rsidP="00015B17">
      <w:pPr>
        <w:spacing w:line="360" w:lineRule="auto"/>
        <w:jc w:val="center"/>
      </w:pPr>
      <w:r w:rsidRPr="006F00AA">
        <w:rPr>
          <w:position w:val="-24"/>
        </w:rPr>
        <w:object w:dxaOrig="7860" w:dyaOrig="700" w14:anchorId="1AE9EA25">
          <v:shape id="_x0000_i1068" type="#_x0000_t75" style="width:393.65pt;height:35.55pt" o:ole="">
            <v:imagedata r:id="rId93" o:title=""/>
          </v:shape>
          <o:OLEObject Type="Embed" ProgID="Equation.DSMT4" ShapeID="_x0000_i1068" DrawAspect="Content" ObjectID="_1840626634" r:id="rId94"/>
        </w:object>
      </w:r>
      <w:r>
        <w:tab/>
      </w:r>
      <w:r w:rsidR="002006B3">
        <w:t>.</w:t>
      </w:r>
      <w:r>
        <w:tab/>
        <w:t>(2.1</w:t>
      </w:r>
      <w:r w:rsidR="002006B3">
        <w:t>4</w:t>
      </w:r>
      <w:r>
        <w:t>)</w:t>
      </w:r>
    </w:p>
    <w:p w14:paraId="5E4734C9" w14:textId="77777777" w:rsidR="00015B17" w:rsidRDefault="00015B17" w:rsidP="00015B17">
      <w:pPr>
        <w:spacing w:line="360" w:lineRule="auto"/>
        <w:ind w:firstLine="720"/>
      </w:pPr>
      <w:r>
        <w:t xml:space="preserve">To recover models like the Scheil approach to be described in § 5 and § 7, the liquid is assumed to be uniform in concentration on the scale of the RVE and </w:t>
      </w:r>
      <w:r w:rsidRPr="00655AD3">
        <w:rPr>
          <w:position w:val="-14"/>
        </w:rPr>
        <w:object w:dxaOrig="520" w:dyaOrig="400" w14:anchorId="1AC85E24">
          <v:shape id="_x0000_i1069" type="#_x0000_t75" style="width:25.25pt;height:19.65pt" o:ole="">
            <v:imagedata r:id="rId95" o:title=""/>
          </v:shape>
          <o:OLEObject Type="Embed" ProgID="Equation.DSMT4" ShapeID="_x0000_i1069" DrawAspect="Content" ObjectID="_1840626635" r:id="rId96"/>
        </w:object>
      </w:r>
      <w:r>
        <w:t xml:space="preserve"> is replaced by</w:t>
      </w:r>
      <w:r w:rsidRPr="008439F8">
        <w:rPr>
          <w:position w:val="-10"/>
        </w:rPr>
        <w:object w:dxaOrig="320" w:dyaOrig="360" w14:anchorId="13D0569C">
          <v:shape id="_x0000_i1070" type="#_x0000_t75" style="width:16.85pt;height:17.75pt" o:ole="">
            <v:imagedata r:id="rId97" o:title=""/>
          </v:shape>
          <o:OLEObject Type="Embed" ProgID="Equation.DSMT4" ShapeID="_x0000_i1070" DrawAspect="Content" ObjectID="_1840626636" r:id="rId98"/>
        </w:object>
      </w:r>
      <w:r>
        <w:t>.</w:t>
      </w:r>
    </w:p>
    <w:p w14:paraId="6CC0E972" w14:textId="77777777" w:rsidR="00066174" w:rsidRDefault="00066174" w:rsidP="00015B17">
      <w:pPr>
        <w:spacing w:line="360" w:lineRule="auto"/>
        <w:ind w:firstLine="720"/>
      </w:pPr>
    </w:p>
    <w:p w14:paraId="3FC89FDE" w14:textId="5333B642" w:rsidR="00066174" w:rsidRDefault="00015B17" w:rsidP="00015B17">
      <w:pPr>
        <w:spacing w:line="360" w:lineRule="auto"/>
      </w:pPr>
      <w:r>
        <w:tab/>
        <w:t>Eqn. 2.1</w:t>
      </w:r>
      <w:r w:rsidR="002006B3">
        <w:t>4</w:t>
      </w:r>
      <w:r>
        <w:t xml:space="preserve"> takes the general form of a conservation equation: </w:t>
      </w:r>
      <w:r w:rsidRPr="003A58C4">
        <w:t xml:space="preserve">accumulation of solute is described by the first term; advection of solute due to solid and liquid motion is given by the second term. The </w:t>
      </w:r>
      <w:r w:rsidR="00CD7156" w:rsidRPr="003A58C4">
        <w:t>right-hand</w:t>
      </w:r>
      <w:r w:rsidRPr="003A58C4">
        <w:t xml:space="preserve"> term </w:t>
      </w:r>
      <w:r>
        <w:t>is the diffusive term</w:t>
      </w:r>
      <w:r w:rsidRPr="003A58C4">
        <w:t>. Eqn</w:t>
      </w:r>
      <w:r>
        <w:t>. 2.1</w:t>
      </w:r>
      <w:r w:rsidR="002006B3">
        <w:t>4</w:t>
      </w:r>
      <w:r w:rsidRPr="003A58C4">
        <w:t xml:space="preserve"> can be written in advection-diffusion form for mixture composition by substituting </w:t>
      </w:r>
      <w:r w:rsidRPr="00B65C1D">
        <w:rPr>
          <w:position w:val="-10"/>
        </w:rPr>
        <w:object w:dxaOrig="200" w:dyaOrig="320" w14:anchorId="3A9755BF">
          <v:shape id="_x0000_i1071" type="#_x0000_t75" style="width:10.3pt;height:16.85pt" o:ole="">
            <v:imagedata r:id="rId99" o:title=""/>
          </v:shape>
          <o:OLEObject Type="Embed" ProgID="Equation.DSMT4" ShapeID="_x0000_i1071" DrawAspect="Content" ObjectID="_1840626637" r:id="rId100"/>
        </w:object>
      </w:r>
      <w:r>
        <w:t xml:space="preserve">for </w:t>
      </w:r>
      <w:r w:rsidRPr="003A58C4">
        <w:t>the average mixture composition</w:t>
      </w:r>
      <w:r>
        <w:t>,</w:t>
      </w:r>
      <w:r w:rsidRPr="0032126C">
        <w:rPr>
          <w:position w:val="-10"/>
        </w:rPr>
        <w:object w:dxaOrig="320" w:dyaOrig="380" w14:anchorId="5AC14744">
          <v:shape id="_x0000_i1072" type="#_x0000_t75" style="width:16.85pt;height:18.7pt" o:ole="">
            <v:imagedata r:id="rId101" o:title=""/>
          </v:shape>
          <o:OLEObject Type="Embed" ProgID="Equation.DSMT4" ShapeID="_x0000_i1072" DrawAspect="Content" ObjectID="_1840626638" r:id="rId102"/>
        </w:object>
      </w:r>
      <w:r>
        <w:t xml:space="preserve">, where </w:t>
      </w:r>
      <w:r w:rsidRPr="00B65C1D">
        <w:rPr>
          <w:position w:val="-10"/>
        </w:rPr>
        <w:object w:dxaOrig="200" w:dyaOrig="320" w14:anchorId="43D7F576">
          <v:shape id="_x0000_i1073" type="#_x0000_t75" style="width:10.3pt;height:16.85pt" o:ole="">
            <v:imagedata r:id="rId99" o:title=""/>
          </v:shape>
          <o:OLEObject Type="Embed" ProgID="Equation.DSMT4" ShapeID="_x0000_i1073" DrawAspect="Content" ObjectID="_1840626639" r:id="rId103"/>
        </w:object>
      </w:r>
      <w:r w:rsidR="00EE2159">
        <w:t xml:space="preserve"> </w:t>
      </w:r>
      <w:r>
        <w:t xml:space="preserve">is the transported quantity as </w:t>
      </w:r>
    </w:p>
    <w:p w14:paraId="0EA9DF65" w14:textId="77777777" w:rsidR="00F726FE" w:rsidRDefault="00F726FE" w:rsidP="00015B17">
      <w:pPr>
        <w:spacing w:line="360" w:lineRule="auto"/>
      </w:pPr>
    </w:p>
    <w:p w14:paraId="25EBCDB4" w14:textId="77777777" w:rsidR="00015B17" w:rsidRDefault="00015B17" w:rsidP="00015B17">
      <w:pPr>
        <w:spacing w:line="360" w:lineRule="auto"/>
        <w:ind w:left="1440" w:firstLine="720"/>
      </w:pPr>
      <w:r w:rsidRPr="00925A6C">
        <w:rPr>
          <w:position w:val="-24"/>
        </w:rPr>
        <w:object w:dxaOrig="2940" w:dyaOrig="620" w14:anchorId="4EF09013">
          <v:shape id="_x0000_i1074" type="#_x0000_t75" style="width:146.8pt;height:31.8pt" o:ole="">
            <v:imagedata r:id="rId104" o:title=""/>
          </v:shape>
          <o:OLEObject Type="Embed" ProgID="Equation.DSMT4" ShapeID="_x0000_i1074" DrawAspect="Content" ObjectID="_1840626640" r:id="rId105"/>
        </w:object>
      </w:r>
      <w:r>
        <w:t xml:space="preserve">  </w:t>
      </w:r>
      <w:r w:rsidR="002006B3">
        <w:t>,</w:t>
      </w:r>
      <w:r>
        <w:t xml:space="preserve">             (2.1</w:t>
      </w:r>
      <w:r w:rsidR="002006B3">
        <w:t>5</w:t>
      </w:r>
      <w:r>
        <w:t>)</w:t>
      </w:r>
    </w:p>
    <w:p w14:paraId="623F4C14" w14:textId="77777777" w:rsidR="00066174" w:rsidRDefault="00066174" w:rsidP="00015B17">
      <w:pPr>
        <w:spacing w:line="360" w:lineRule="auto"/>
        <w:ind w:left="1440" w:firstLine="720"/>
      </w:pPr>
    </w:p>
    <w:p w14:paraId="3156855E" w14:textId="77777777" w:rsidR="00015B17" w:rsidRDefault="002006B3" w:rsidP="00015B17">
      <w:pPr>
        <w:spacing w:line="360" w:lineRule="auto"/>
      </w:pPr>
      <w:r>
        <w:lastRenderedPageBreak/>
        <w:t>w</w:t>
      </w:r>
      <w:r w:rsidR="00015B17">
        <w:t xml:space="preserve">here, </w:t>
      </w:r>
      <w:r w:rsidR="00015B17" w:rsidRPr="009379C6">
        <w:rPr>
          <w:position w:val="-14"/>
        </w:rPr>
        <w:object w:dxaOrig="279" w:dyaOrig="380" w14:anchorId="7DD40B6E">
          <v:shape id="_x0000_i1075" type="#_x0000_t75" style="width:14.05pt;height:18.7pt" o:ole="">
            <v:imagedata r:id="rId106" o:title=""/>
          </v:shape>
          <o:OLEObject Type="Embed" ProgID="Equation.DSMT4" ShapeID="_x0000_i1075" DrawAspect="Content" ObjectID="_1840626641" r:id="rId107"/>
        </w:object>
      </w:r>
      <w:r w:rsidR="00015B17">
        <w:t>is the source term. Equations written in advection-diffusion form are suitable for easy implementation in time-implicit solution in numerical algorithms employed in commercial software.</w:t>
      </w:r>
    </w:p>
    <w:p w14:paraId="5F47226A" w14:textId="77777777" w:rsidR="00066174" w:rsidRDefault="00066174" w:rsidP="00015B17">
      <w:pPr>
        <w:spacing w:line="360" w:lineRule="auto"/>
      </w:pPr>
    </w:p>
    <w:p w14:paraId="47003059" w14:textId="77777777" w:rsidR="00015B17" w:rsidRDefault="00015B17" w:rsidP="00015B17">
      <w:pPr>
        <w:spacing w:line="360" w:lineRule="auto"/>
        <w:outlineLvl w:val="0"/>
        <w:rPr>
          <w:b/>
        </w:rPr>
      </w:pPr>
      <w:r w:rsidRPr="003A58C4">
        <w:rPr>
          <w:b/>
        </w:rPr>
        <w:t>2.1.3</w:t>
      </w:r>
      <w:r w:rsidRPr="003A58C4">
        <w:t xml:space="preserve"> </w:t>
      </w:r>
      <w:r w:rsidRPr="00136394">
        <w:rPr>
          <w:b/>
        </w:rPr>
        <w:t>Mass and Momentum tran</w:t>
      </w:r>
      <w:r>
        <w:rPr>
          <w:b/>
        </w:rPr>
        <w:t xml:space="preserve">sport </w:t>
      </w:r>
    </w:p>
    <w:p w14:paraId="6D4B9920" w14:textId="77777777" w:rsidR="00066174" w:rsidRPr="003A58C4" w:rsidRDefault="00066174" w:rsidP="00015B17">
      <w:pPr>
        <w:spacing w:line="360" w:lineRule="auto"/>
        <w:outlineLvl w:val="0"/>
      </w:pPr>
    </w:p>
    <w:p w14:paraId="083E55D1" w14:textId="77777777" w:rsidR="00066174" w:rsidRDefault="00015B17" w:rsidP="00015B17">
      <w:pPr>
        <w:spacing w:line="360" w:lineRule="auto"/>
      </w:pPr>
      <w:r>
        <w:tab/>
      </w:r>
      <w:r w:rsidRPr="003A58C4">
        <w:t>Convection within the melt is important and influences solidification at both the macroscopic and microscopic levels. At the macroscopic level it can change the shape of the isotherms</w:t>
      </w:r>
      <w:r>
        <w:t xml:space="preserve">, </w:t>
      </w:r>
      <w:r w:rsidRPr="003A58C4">
        <w:t>reduce the thermal gradients within the liquid region</w:t>
      </w:r>
      <w:r>
        <w:t xml:space="preserve"> and alter the mode of species transport from diffusive to convective</w:t>
      </w:r>
      <w:r w:rsidRPr="003A58C4">
        <w:t xml:space="preserve">. </w:t>
      </w:r>
      <w:r>
        <w:t>C</w:t>
      </w:r>
      <w:r w:rsidRPr="003A58C4">
        <w:t xml:space="preserve">onvection </w:t>
      </w:r>
      <w:r>
        <w:t>can cause long range transport of individual species that leads to macrosegregation. T</w:t>
      </w:r>
      <w:r w:rsidRPr="003A58C4">
        <w:t>he orientation of columnar dendritic structure, the occurrence of the columnar-to-equiaxed (CET) transition and nucleation initiated by dendrite arm detachment ar</w:t>
      </w:r>
      <w:r>
        <w:t xml:space="preserve">e all influenced by convection </w:t>
      </w:r>
      <w:r w:rsidRPr="003A58C4">
        <w:t>(see § 9).</w:t>
      </w:r>
      <w:r>
        <w:t xml:space="preserve"> During the casting process fluid flow occurs both during mold filling and due to natural convection. Once mold filling is complete, natural convection may occur due to thermal and solutal gradients. In addition, surface tension gradients at the free surface can produce shear stresses which affect convection. In the mushy region, volume change in solidification can alter the fluid flow.</w:t>
      </w:r>
    </w:p>
    <w:p w14:paraId="5A6EE9B2" w14:textId="77777777" w:rsidR="00015B17" w:rsidRDefault="00015B17" w:rsidP="00015B17">
      <w:pPr>
        <w:spacing w:line="360" w:lineRule="auto"/>
      </w:pPr>
      <w:r>
        <w:t xml:space="preserve"> </w:t>
      </w:r>
    </w:p>
    <w:p w14:paraId="6C084966" w14:textId="77777777" w:rsidR="00015B17" w:rsidRDefault="00015B17" w:rsidP="00015B17">
      <w:pPr>
        <w:spacing w:line="360" w:lineRule="auto"/>
        <w:ind w:firstLine="720"/>
      </w:pPr>
      <w:r>
        <w:t xml:space="preserve">The influence of convection on the thermal field can be considered in several ways. In the simplest approach, the advection term in Eqn. 2.1 is replaced by an increased thermal conductivity of the metal. In the most comprehensive approach, the fluid flow is solved by fully coupling the solution of the energy equation (2.1) with </w:t>
      </w:r>
      <w:r w:rsidR="00997666">
        <w:t xml:space="preserve">the </w:t>
      </w:r>
      <w:r>
        <w:t>solution of equations for momentum conservation and mass conservation.</w:t>
      </w:r>
    </w:p>
    <w:p w14:paraId="14F4B1F0" w14:textId="77777777" w:rsidR="00066174" w:rsidRDefault="00066174" w:rsidP="00015B17">
      <w:pPr>
        <w:spacing w:line="360" w:lineRule="auto"/>
        <w:ind w:firstLine="720"/>
      </w:pPr>
    </w:p>
    <w:p w14:paraId="0A5AFC9D" w14:textId="77777777" w:rsidR="00E65F4E" w:rsidRDefault="00015B17" w:rsidP="00015B17">
      <w:pPr>
        <w:spacing w:line="360" w:lineRule="auto"/>
        <w:ind w:firstLine="720"/>
      </w:pPr>
      <w:r>
        <w:t>As done for energy and species transport, we will first describe the mass and momentum conservation equation for the two-domain approach and then we will write such equations for the one</w:t>
      </w:r>
      <w:r w:rsidR="00693642">
        <w:t>-</w:t>
      </w:r>
      <w:r>
        <w:t xml:space="preserve">domain approach. In the two-domain approach, the fluid flow equations are solved only in the liquid region and the velocity is usually assigned a zero value at the liquid-solid interface and everywhere in the solid region. The solution of the fluid dynamics equations provides time dependent values of liquid velocity and pressure </w:t>
      </w:r>
      <w:r>
        <w:lastRenderedPageBreak/>
        <w:t xml:space="preserve">over the computation domain. The </w:t>
      </w:r>
      <w:r w:rsidRPr="003A58C4">
        <w:t xml:space="preserve">Navier-Stokes equations describe </w:t>
      </w:r>
      <w:r w:rsidR="00997666">
        <w:t xml:space="preserve">the </w:t>
      </w:r>
      <w:r w:rsidRPr="003A58C4">
        <w:t>conservation of linear momentum, which along with mass conservation (continuity equation)</w:t>
      </w:r>
      <w:r w:rsidR="00693642">
        <w:t>,</w:t>
      </w:r>
      <w:r w:rsidRPr="003A58C4">
        <w:t xml:space="preserve"> are needed to describe the flow and pressure field</w:t>
      </w:r>
      <w:r w:rsidR="00693642">
        <w:t>s</w:t>
      </w:r>
      <w:r w:rsidRPr="003A58C4">
        <w:t xml:space="preserve">. General forms of these equations </w:t>
      </w:r>
      <w:r w:rsidR="00F726FE" w:rsidRPr="003A58C4">
        <w:t xml:space="preserve">for a Newtonian fluid </w:t>
      </w:r>
      <w:r w:rsidRPr="003A58C4">
        <w:t xml:space="preserve">are given </w:t>
      </w:r>
      <w:r>
        <w:t xml:space="preserve">by </w:t>
      </w:r>
    </w:p>
    <w:p w14:paraId="5F99BDE4" w14:textId="77777777" w:rsidR="00F726FE" w:rsidRDefault="00F726FE" w:rsidP="00015B17">
      <w:pPr>
        <w:spacing w:line="360" w:lineRule="auto"/>
        <w:ind w:firstLine="720"/>
      </w:pPr>
    </w:p>
    <w:p w14:paraId="2816D023" w14:textId="77777777" w:rsidR="00015B17" w:rsidRPr="003A58C4" w:rsidRDefault="00015B17" w:rsidP="00015B17">
      <w:pPr>
        <w:spacing w:line="360" w:lineRule="auto"/>
        <w:ind w:firstLine="720"/>
        <w:jc w:val="center"/>
      </w:pPr>
      <w:r w:rsidRPr="00B879F2">
        <w:rPr>
          <w:position w:val="-24"/>
        </w:rPr>
        <w:object w:dxaOrig="3720" w:dyaOrig="620" w14:anchorId="4AC775B1">
          <v:shape id="_x0000_i1076" type="#_x0000_t75" style="width:186.1pt;height:31.8pt" o:ole="">
            <v:imagedata r:id="rId108" o:title=""/>
          </v:shape>
          <o:OLEObject Type="Embed" ProgID="Equation.DSMT4" ShapeID="_x0000_i1076" DrawAspect="Content" ObjectID="_1840626642" r:id="rId109"/>
        </w:object>
      </w:r>
      <w:r>
        <w:t xml:space="preserve">                (2.1</w:t>
      </w:r>
      <w:r w:rsidR="002006B3">
        <w:t>6</w:t>
      </w:r>
      <w:r>
        <w:t>)</w:t>
      </w:r>
    </w:p>
    <w:p w14:paraId="0E3B8F4E" w14:textId="77777777" w:rsidR="00015B17" w:rsidRDefault="00015B17" w:rsidP="00015B17">
      <w:pPr>
        <w:spacing w:line="360" w:lineRule="auto"/>
        <w:jc w:val="center"/>
      </w:pPr>
      <w:r w:rsidRPr="003B075D">
        <w:rPr>
          <w:position w:val="-24"/>
        </w:rPr>
        <w:object w:dxaOrig="1540" w:dyaOrig="620" w14:anchorId="60FAF585">
          <v:shape id="_x0000_i1077" type="#_x0000_t75" style="width:77.6pt;height:31.8pt" o:ole="">
            <v:imagedata r:id="rId110" o:title=""/>
          </v:shape>
          <o:OLEObject Type="Embed" ProgID="Equation.DSMT4" ShapeID="_x0000_i1077" DrawAspect="Content" ObjectID="_1840626643" r:id="rId111"/>
        </w:object>
      </w:r>
      <w:r w:rsidR="002006B3">
        <w:t>.</w:t>
      </w:r>
      <w:r>
        <w:t xml:space="preserve"> </w:t>
      </w:r>
      <w:r>
        <w:tab/>
      </w:r>
      <w:r>
        <w:tab/>
      </w:r>
      <w:r>
        <w:tab/>
        <w:t>(2.1</w:t>
      </w:r>
      <w:r w:rsidR="002006B3">
        <w:t>7</w:t>
      </w:r>
      <w:r>
        <w:t>)</w:t>
      </w:r>
    </w:p>
    <w:p w14:paraId="1DF56CD8" w14:textId="77777777" w:rsidR="00E65F4E" w:rsidRPr="003A58C4" w:rsidRDefault="00E65F4E" w:rsidP="00015B17">
      <w:pPr>
        <w:spacing w:line="360" w:lineRule="auto"/>
        <w:jc w:val="center"/>
      </w:pPr>
    </w:p>
    <w:p w14:paraId="6B5D5536" w14:textId="77777777" w:rsidR="00015B17" w:rsidRDefault="00015B17" w:rsidP="00015B17">
      <w:pPr>
        <w:spacing w:line="360" w:lineRule="auto"/>
      </w:pPr>
      <w:r w:rsidRPr="003A58C4">
        <w:t xml:space="preserve">The first two terms on the left side of </w:t>
      </w:r>
      <w:r>
        <w:t>Eqn.</w:t>
      </w:r>
      <w:r w:rsidRPr="003A58C4">
        <w:t xml:space="preserve"> (</w:t>
      </w:r>
      <w:r>
        <w:t>2.1</w:t>
      </w:r>
      <w:r w:rsidR="002006B3">
        <w:t>6</w:t>
      </w:r>
      <w:r w:rsidRPr="003A58C4">
        <w:t xml:space="preserve">) describe </w:t>
      </w:r>
      <w:r w:rsidR="00997666">
        <w:t xml:space="preserve">the </w:t>
      </w:r>
      <w:r w:rsidRPr="003A58C4">
        <w:t>local and convective acceleration of</w:t>
      </w:r>
      <w:r>
        <w:t xml:space="preserve"> </w:t>
      </w:r>
      <w:r w:rsidRPr="003A58C4">
        <w:t xml:space="preserve">the liquid and the first term on the right is </w:t>
      </w:r>
      <w:r w:rsidR="00997666">
        <w:t xml:space="preserve">the </w:t>
      </w:r>
      <w:r w:rsidRPr="003A58C4">
        <w:t>viscous shear force, the second term is the pressure gradient, and the third term on the right contains body forces.</w:t>
      </w:r>
      <w:r>
        <w:t xml:space="preserve"> Note that </w:t>
      </w:r>
      <w:r w:rsidRPr="00542B51">
        <w:rPr>
          <w:position w:val="-10"/>
        </w:rPr>
        <w:object w:dxaOrig="240" w:dyaOrig="260" w14:anchorId="16A9D094">
          <v:shape id="_x0000_i1078" type="#_x0000_t75" style="width:12.15pt;height:13.1pt" o:ole="">
            <v:imagedata r:id="rId112" o:title=""/>
          </v:shape>
          <o:OLEObject Type="Embed" ProgID="Equation.DSMT4" ShapeID="_x0000_i1078" DrawAspect="Content" ObjectID="_1840626644" r:id="rId113"/>
        </w:object>
      </w:r>
      <w:r>
        <w:t xml:space="preserve">and </w:t>
      </w:r>
      <w:r w:rsidRPr="00542B51">
        <w:rPr>
          <w:position w:val="-10"/>
        </w:rPr>
        <w:object w:dxaOrig="200" w:dyaOrig="260" w14:anchorId="0BB36867">
          <v:shape id="_x0000_i1079" type="#_x0000_t75" style="width:10.3pt;height:13.1pt" o:ole="">
            <v:imagedata r:id="rId114" o:title=""/>
          </v:shape>
          <o:OLEObject Type="Embed" ProgID="Equation.DSMT4" ShapeID="_x0000_i1079" DrawAspect="Content" ObjectID="_1840626645" r:id="rId115"/>
        </w:object>
      </w:r>
      <w:r>
        <w:t xml:space="preserve">are density and viscosity respectively. </w:t>
      </w:r>
    </w:p>
    <w:p w14:paraId="769AE20A" w14:textId="77777777" w:rsidR="00E65F4E" w:rsidRDefault="00E65F4E" w:rsidP="00015B17">
      <w:pPr>
        <w:spacing w:line="360" w:lineRule="auto"/>
      </w:pPr>
    </w:p>
    <w:p w14:paraId="2EDE895A" w14:textId="49CB3D3D" w:rsidR="00015B17" w:rsidRDefault="00015B17" w:rsidP="00015B17">
      <w:pPr>
        <w:spacing w:line="360" w:lineRule="auto"/>
        <w:ind w:firstLine="720"/>
      </w:pPr>
      <w:r>
        <w:t xml:space="preserve">In the two-domain approach, matching conditions for the continuity and Navier-Stokes equations need to be derived at the solid-liquid interface moving at a velocity </w:t>
      </w:r>
      <w:r w:rsidR="00997666">
        <w:t xml:space="preserve">of </w:t>
      </w:r>
      <w:r w:rsidRPr="00C213C2">
        <w:rPr>
          <w:position w:val="-6"/>
        </w:rPr>
        <w:object w:dxaOrig="260" w:dyaOrig="320" w14:anchorId="7CB8F874">
          <v:shape id="_x0000_i1080" type="#_x0000_t75" style="width:13.1pt;height:16.85pt" o:ole="">
            <v:imagedata r:id="rId116" o:title=""/>
          </v:shape>
          <o:OLEObject Type="Embed" ProgID="Equation.DSMT4" ShapeID="_x0000_i1080" DrawAspect="Content" ObjectID="_1840626646" r:id="rId117"/>
        </w:object>
      </w:r>
      <w:r>
        <w:t xml:space="preserve">. Here we establish the matching (jump) condition only for the continuity equation as it is relevant to solidification shrinkage.  Let us assume a control volume containing solid-liquid region having an interface area of </w:t>
      </w:r>
      <w:r w:rsidRPr="00F35F0E">
        <w:rPr>
          <w:i/>
        </w:rPr>
        <w:t>S</w:t>
      </w:r>
      <w:r>
        <w:t xml:space="preserve">. Also, let us assume that the interface has a finite thickness. The velocity of the solid and liquid at the interface are denoted as </w:t>
      </w:r>
      <w:r w:rsidRPr="00C1121D">
        <w:rPr>
          <w:position w:val="-12"/>
        </w:rPr>
        <w:object w:dxaOrig="260" w:dyaOrig="380" w14:anchorId="5F206D74">
          <v:shape id="_x0000_i1081" type="#_x0000_t75" style="width:13.1pt;height:18.7pt" o:ole="">
            <v:imagedata r:id="rId118" o:title=""/>
          </v:shape>
          <o:OLEObject Type="Embed" ProgID="Equation.DSMT4" ShapeID="_x0000_i1081" DrawAspect="Content" ObjectID="_1840626647" r:id="rId119"/>
        </w:object>
      </w:r>
      <w:r>
        <w:t xml:space="preserve"> and </w:t>
      </w:r>
      <w:r w:rsidRPr="00B879F2">
        <w:rPr>
          <w:position w:val="-12"/>
        </w:rPr>
        <w:object w:dxaOrig="300" w:dyaOrig="380" w14:anchorId="7A13E9F5">
          <v:shape id="_x0000_i1082" type="#_x0000_t75" style="width:14.95pt;height:18.7pt" o:ole="">
            <v:imagedata r:id="rId120" o:title=""/>
          </v:shape>
          <o:OLEObject Type="Embed" ProgID="Equation.DSMT4" ShapeID="_x0000_i1082" DrawAspect="Content" ObjectID="_1840626648" r:id="rId121"/>
        </w:object>
      </w:r>
      <w:r>
        <w:t>. The integral form of Eqn. (2.1</w:t>
      </w:r>
      <w:r w:rsidR="002006B3">
        <w:t>7</w:t>
      </w:r>
      <w:r>
        <w:t xml:space="preserve">) can be written as </w:t>
      </w:r>
    </w:p>
    <w:p w14:paraId="2A4814F1" w14:textId="77777777" w:rsidR="00E65F4E" w:rsidRDefault="00E65F4E" w:rsidP="00015B17">
      <w:pPr>
        <w:spacing w:line="360" w:lineRule="auto"/>
        <w:ind w:firstLine="720"/>
      </w:pPr>
    </w:p>
    <w:p w14:paraId="2A5833D3" w14:textId="77777777" w:rsidR="00015B17" w:rsidRDefault="00015B17" w:rsidP="00015B17">
      <w:pPr>
        <w:spacing w:line="360" w:lineRule="auto"/>
        <w:jc w:val="center"/>
      </w:pPr>
      <w:r w:rsidRPr="00B53AD4">
        <w:rPr>
          <w:position w:val="-32"/>
        </w:rPr>
        <w:object w:dxaOrig="1820" w:dyaOrig="700" w14:anchorId="69034EA4">
          <v:shape id="_x0000_i1083" type="#_x0000_t75" style="width:89.75pt;height:35.55pt" o:ole="">
            <v:imagedata r:id="rId122" o:title=""/>
          </v:shape>
          <o:OLEObject Type="Embed" ProgID="Equation.DSMT4" ShapeID="_x0000_i1083" DrawAspect="Content" ObjectID="_1840626649" r:id="rId123"/>
        </w:object>
      </w:r>
      <w:r>
        <w:tab/>
      </w:r>
      <w:r w:rsidR="002006B3">
        <w:t>.</w:t>
      </w:r>
      <w:r>
        <w:tab/>
      </w:r>
      <w:r>
        <w:tab/>
      </w:r>
      <w:r>
        <w:tab/>
        <w:t>(2.1</w:t>
      </w:r>
      <w:r w:rsidR="002006B3">
        <w:t>8</w:t>
      </w:r>
      <w:r>
        <w:t>)</w:t>
      </w:r>
    </w:p>
    <w:p w14:paraId="14C8EA11" w14:textId="77777777" w:rsidR="00E65F4E" w:rsidRDefault="00E65F4E" w:rsidP="00015B17">
      <w:pPr>
        <w:spacing w:line="360" w:lineRule="auto"/>
        <w:jc w:val="center"/>
      </w:pPr>
    </w:p>
    <w:p w14:paraId="7AC83B6E" w14:textId="77777777" w:rsidR="00015B17" w:rsidRDefault="00015B17" w:rsidP="00015B17">
      <w:pPr>
        <w:spacing w:line="360" w:lineRule="auto"/>
      </w:pPr>
      <w:r w:rsidRPr="009103EE">
        <w:t>Using Gauss</w:t>
      </w:r>
      <w:r>
        <w:t>’s</w:t>
      </w:r>
      <w:r w:rsidRPr="009103EE">
        <w:t xml:space="preserve"> theorem, the above equation can be written as</w:t>
      </w:r>
    </w:p>
    <w:p w14:paraId="6E9CE012" w14:textId="77777777" w:rsidR="00E65F4E" w:rsidRPr="009103EE" w:rsidRDefault="00E65F4E" w:rsidP="00015B17">
      <w:pPr>
        <w:spacing w:line="360" w:lineRule="auto"/>
      </w:pPr>
    </w:p>
    <w:p w14:paraId="134D0F26" w14:textId="77777777" w:rsidR="00015B17" w:rsidRDefault="00015B17" w:rsidP="00015B17">
      <w:pPr>
        <w:spacing w:line="360" w:lineRule="auto"/>
        <w:jc w:val="center"/>
      </w:pPr>
      <w:r w:rsidRPr="00B879F2">
        <w:rPr>
          <w:position w:val="-32"/>
        </w:rPr>
        <w:object w:dxaOrig="2060" w:dyaOrig="700" w14:anchorId="3EECE67C">
          <v:shape id="_x0000_i1084" type="#_x0000_t75" style="width:103.8pt;height:35.55pt" o:ole="">
            <v:imagedata r:id="rId124" o:title=""/>
          </v:shape>
          <o:OLEObject Type="Embed" ProgID="Equation.DSMT4" ShapeID="_x0000_i1084" DrawAspect="Content" ObjectID="_1840626650" r:id="rId125"/>
        </w:object>
      </w:r>
      <w:r>
        <w:tab/>
      </w:r>
      <w:r w:rsidR="002006B3">
        <w:t>.</w:t>
      </w:r>
      <w:r>
        <w:tab/>
      </w:r>
      <w:r>
        <w:tab/>
      </w:r>
      <w:r>
        <w:tab/>
        <w:t>(2.1</w:t>
      </w:r>
      <w:r w:rsidR="002006B3">
        <w:t>9</w:t>
      </w:r>
      <w:r>
        <w:t>)</w:t>
      </w:r>
    </w:p>
    <w:p w14:paraId="0E4ADAFB" w14:textId="77777777" w:rsidR="00E65F4E" w:rsidRDefault="00E65F4E" w:rsidP="00015B17">
      <w:pPr>
        <w:spacing w:line="360" w:lineRule="auto"/>
        <w:jc w:val="center"/>
      </w:pPr>
    </w:p>
    <w:p w14:paraId="68BF8F2C" w14:textId="1642866D" w:rsidR="00015B17" w:rsidRDefault="00015B17" w:rsidP="00015B17">
      <w:pPr>
        <w:spacing w:line="360" w:lineRule="auto"/>
      </w:pPr>
      <w:r>
        <w:lastRenderedPageBreak/>
        <w:t xml:space="preserve">In the limit when the thickness of the interface tends to zero, the volume integral in the above equation becomes zero and the following expression can be written (note that the difference in velocity between the liquid or solid phase velocity and the interface velocity </w:t>
      </w:r>
      <w:r w:rsidRPr="00E96B1F">
        <w:rPr>
          <w:position w:val="-6"/>
        </w:rPr>
        <w:object w:dxaOrig="240" w:dyaOrig="340" w14:anchorId="068E8FB8">
          <v:shape id="_x0000_i1085" type="#_x0000_t75" style="width:12.15pt;height:16.85pt" o:ole="">
            <v:imagedata r:id="rId126" o:title=""/>
          </v:shape>
          <o:OLEObject Type="Embed" ProgID="Equation.DSMT4" ShapeID="_x0000_i1085" DrawAspect="Content" ObjectID="_1840626651" r:id="rId127"/>
        </w:object>
      </w:r>
      <w:r>
        <w:t xml:space="preserve"> needs to be considered as the </w:t>
      </w:r>
      <w:r w:rsidR="004201E7">
        <w:t>L-S</w:t>
      </w:r>
      <w:r>
        <w:t xml:space="preserve"> interface itself is moving)</w:t>
      </w:r>
      <w:r w:rsidR="002006B3">
        <w:t>,</w:t>
      </w:r>
    </w:p>
    <w:p w14:paraId="17E46979" w14:textId="77777777" w:rsidR="00E65F4E" w:rsidRDefault="00E65F4E" w:rsidP="00015B17">
      <w:pPr>
        <w:spacing w:line="360" w:lineRule="auto"/>
      </w:pPr>
    </w:p>
    <w:p w14:paraId="30AEFC4F" w14:textId="77777777" w:rsidR="00015B17" w:rsidRDefault="00015B17" w:rsidP="00015B17">
      <w:pPr>
        <w:spacing w:line="360" w:lineRule="auto"/>
        <w:ind w:left="1440" w:firstLine="720"/>
      </w:pPr>
      <w:r w:rsidRPr="00E96B1F">
        <w:rPr>
          <w:position w:val="-18"/>
        </w:rPr>
        <w:object w:dxaOrig="3159" w:dyaOrig="480" w14:anchorId="262C4396">
          <v:shape id="_x0000_i1086" type="#_x0000_t75" style="width:158.05pt;height:24.3pt" o:ole="">
            <v:imagedata r:id="rId128" o:title=""/>
          </v:shape>
          <o:OLEObject Type="Embed" ProgID="Equation.DSMT4" ShapeID="_x0000_i1086" DrawAspect="Content" ObjectID="_1840626652" r:id="rId129"/>
        </w:object>
      </w:r>
      <w:r w:rsidR="002006B3">
        <w:t>.</w:t>
      </w:r>
      <w:r>
        <w:tab/>
        <w:t>(2.</w:t>
      </w:r>
      <w:r w:rsidR="002006B3">
        <w:t>20</w:t>
      </w:r>
      <w:r>
        <w:t>)</w:t>
      </w:r>
    </w:p>
    <w:p w14:paraId="441222C3" w14:textId="77777777" w:rsidR="00E65F4E" w:rsidRDefault="00E65F4E" w:rsidP="00015B17">
      <w:pPr>
        <w:spacing w:line="360" w:lineRule="auto"/>
        <w:ind w:left="1440" w:firstLine="720"/>
      </w:pPr>
    </w:p>
    <w:p w14:paraId="06CC784C" w14:textId="112BBF18" w:rsidR="00015B17" w:rsidRDefault="00015B17" w:rsidP="00015B17">
      <w:pPr>
        <w:spacing w:line="360" w:lineRule="auto"/>
      </w:pPr>
      <w:r>
        <w:t>If the velocity of the solid is taken as zero (e.g., solid does not move once it forms), then the fluid flow required to feed the change in density at the interface is obtained by rearranging the above equation</w:t>
      </w:r>
      <w:r w:rsidR="00997666">
        <w:t xml:space="preserve"> and is given by</w:t>
      </w:r>
    </w:p>
    <w:p w14:paraId="6D2FACD6" w14:textId="77777777" w:rsidR="00E65F4E" w:rsidRDefault="00E65F4E" w:rsidP="00015B17">
      <w:pPr>
        <w:spacing w:line="360" w:lineRule="auto"/>
      </w:pPr>
    </w:p>
    <w:p w14:paraId="5906748B" w14:textId="77777777" w:rsidR="00015B17" w:rsidRDefault="00015B17" w:rsidP="00015B17">
      <w:pPr>
        <w:spacing w:line="360" w:lineRule="auto"/>
        <w:ind w:left="1440" w:firstLine="720"/>
      </w:pPr>
      <w:r w:rsidRPr="009103EE">
        <w:rPr>
          <w:position w:val="-10"/>
        </w:rPr>
        <w:object w:dxaOrig="1600" w:dyaOrig="380" w14:anchorId="0B299EBF">
          <v:shape id="_x0000_i1087" type="#_x0000_t75" style="width:80.4pt;height:18.7pt" o:ole="">
            <v:imagedata r:id="rId130" o:title=""/>
          </v:shape>
          <o:OLEObject Type="Embed" ProgID="Equation.DSMT4" ShapeID="_x0000_i1087" DrawAspect="Content" ObjectID="_1840626653" r:id="rId131"/>
        </w:object>
      </w:r>
      <w:r w:rsidR="002006B3">
        <w:t>,</w:t>
      </w:r>
      <w:r>
        <w:tab/>
      </w:r>
      <w:r>
        <w:tab/>
      </w:r>
      <w:r>
        <w:tab/>
      </w:r>
      <w:r>
        <w:tab/>
        <w:t>(2.2</w:t>
      </w:r>
      <w:r w:rsidR="002006B3">
        <w:t>1</w:t>
      </w:r>
      <w:r>
        <w:t>)</w:t>
      </w:r>
    </w:p>
    <w:p w14:paraId="67B1DA6D" w14:textId="01E3F6F2" w:rsidR="00015B17" w:rsidRDefault="002006B3" w:rsidP="00015B17">
      <w:pPr>
        <w:spacing w:line="360" w:lineRule="auto"/>
      </w:pPr>
      <w:r>
        <w:t>w</w:t>
      </w:r>
      <w:r w:rsidR="00015B17">
        <w:t xml:space="preserve">here </w:t>
      </w:r>
      <w:r w:rsidR="00015B17" w:rsidRPr="00962ECC">
        <w:rPr>
          <w:i/>
        </w:rPr>
        <w:t>β</w:t>
      </w:r>
      <w:r w:rsidR="00015B17">
        <w:t xml:space="preserve"> is the solidification shrinkage factor defined as </w:t>
      </w:r>
      <w:r w:rsidR="00015B17" w:rsidRPr="00962ECC">
        <w:rPr>
          <w:position w:val="-14"/>
        </w:rPr>
        <w:object w:dxaOrig="1300" w:dyaOrig="400" w14:anchorId="56BBC347">
          <v:shape id="_x0000_i1088" type="#_x0000_t75" style="width:66.4pt;height:19.65pt" o:ole="">
            <v:imagedata r:id="rId132" o:title=""/>
          </v:shape>
          <o:OLEObject Type="Embed" ProgID="Equation.DSMT4" ShapeID="_x0000_i1088" DrawAspect="Content" ObjectID="_1840626654" r:id="rId133"/>
        </w:object>
      </w:r>
      <w:r w:rsidR="00015B17">
        <w:t xml:space="preserve">. Because the solid is usually </w:t>
      </w:r>
      <w:r w:rsidR="005F6459">
        <w:t>denser</w:t>
      </w:r>
      <w:r w:rsidR="00015B17">
        <w:t xml:space="preserve"> than the liquid, the liquid flow velocity is negative for a solidifying liquid (</w:t>
      </w:r>
      <w:r w:rsidR="00015B17" w:rsidRPr="00E96B1F">
        <w:rPr>
          <w:position w:val="-6"/>
        </w:rPr>
        <w:object w:dxaOrig="920" w:dyaOrig="340" w14:anchorId="7C3F55FA">
          <v:shape id="_x0000_i1089" type="#_x0000_t75" style="width:46.75pt;height:16.85pt" o:ole="">
            <v:imagedata r:id="rId134" o:title=""/>
          </v:shape>
          <o:OLEObject Type="Embed" ProgID="Equation.DSMT4" ShapeID="_x0000_i1089" DrawAspect="Content" ObjectID="_1840626655" r:id="rId135"/>
        </w:object>
      </w:r>
      <w:r w:rsidR="00015B17">
        <w:t xml:space="preserve">); i.e., the liquid flows toward the freezing L-S interface to feed the shrinkage. </w:t>
      </w:r>
    </w:p>
    <w:p w14:paraId="2D1570F3" w14:textId="77777777" w:rsidR="00E65F4E" w:rsidRDefault="00E65F4E" w:rsidP="00015B17">
      <w:pPr>
        <w:spacing w:line="360" w:lineRule="auto"/>
      </w:pPr>
    </w:p>
    <w:p w14:paraId="2A9ADC97" w14:textId="77777777" w:rsidR="00015B17" w:rsidRDefault="00015B17" w:rsidP="00015B17">
      <w:pPr>
        <w:spacing w:line="360" w:lineRule="auto"/>
        <w:ind w:firstLine="720"/>
      </w:pPr>
      <w:r>
        <w:t>In the single domain approach, average equations for the liquid phase in the mushy region Eqn.</w:t>
      </w:r>
      <w:r w:rsidRPr="003A58C4">
        <w:t xml:space="preserve"> (</w:t>
      </w:r>
      <w:r>
        <w:t>2.1</w:t>
      </w:r>
      <w:r w:rsidR="002006B3">
        <w:t>6</w:t>
      </w:r>
      <w:r w:rsidRPr="003A58C4">
        <w:t>) and (</w:t>
      </w:r>
      <w:r>
        <w:t>2.1</w:t>
      </w:r>
      <w:r w:rsidR="002006B3">
        <w:t>7</w:t>
      </w:r>
      <w:r w:rsidRPr="003A58C4">
        <w:t xml:space="preserve">) can be written following </w:t>
      </w:r>
      <w:r>
        <w:t>the volume averaging technique proposed by Ni and Beckermann</w:t>
      </w:r>
      <w:r w:rsidRPr="003A58C4">
        <w:t xml:space="preserve"> (19</w:t>
      </w:r>
      <w:r>
        <w:t>91</w:t>
      </w:r>
      <w:r w:rsidRPr="003A58C4">
        <w:t>) as</w:t>
      </w:r>
    </w:p>
    <w:p w14:paraId="120D5D2F" w14:textId="77777777" w:rsidR="00E65F4E" w:rsidRDefault="00E65F4E" w:rsidP="00015B17">
      <w:pPr>
        <w:spacing w:line="360" w:lineRule="auto"/>
        <w:ind w:firstLine="720"/>
      </w:pPr>
    </w:p>
    <w:p w14:paraId="25BC7CC3" w14:textId="77777777" w:rsidR="00015B17" w:rsidRDefault="00693642" w:rsidP="00015B17">
      <w:pPr>
        <w:spacing w:line="360" w:lineRule="auto"/>
        <w:ind w:firstLine="720"/>
      </w:pPr>
      <w:r w:rsidRPr="00A522C5">
        <w:rPr>
          <w:position w:val="-24"/>
        </w:rPr>
        <w:object w:dxaOrig="6880" w:dyaOrig="620" w14:anchorId="24D25A33">
          <v:shape id="_x0000_i1090" type="#_x0000_t75" style="width:344.1pt;height:31.8pt" o:ole="">
            <v:imagedata r:id="rId136" o:title=""/>
          </v:shape>
          <o:OLEObject Type="Embed" ProgID="Equation.DSMT4" ShapeID="_x0000_i1090" DrawAspect="Content" ObjectID="_1840626656" r:id="rId137"/>
        </w:object>
      </w:r>
      <w:r w:rsidR="00015B17">
        <w:tab/>
        <w:t>(2.2</w:t>
      </w:r>
      <w:r w:rsidR="002006B3">
        <w:t>2</w:t>
      </w:r>
      <w:r w:rsidR="00015B17">
        <w:t>)</w:t>
      </w:r>
    </w:p>
    <w:p w14:paraId="4B0B1084" w14:textId="77777777" w:rsidR="00015B17" w:rsidRDefault="00015B17" w:rsidP="00015B17">
      <w:pPr>
        <w:spacing w:line="360" w:lineRule="auto"/>
        <w:ind w:firstLine="720"/>
      </w:pPr>
      <w:r w:rsidRPr="00390367">
        <w:rPr>
          <w:position w:val="-24"/>
        </w:rPr>
        <w:object w:dxaOrig="2180" w:dyaOrig="620" w14:anchorId="34DB0C1A">
          <v:shape id="_x0000_i1091" type="#_x0000_t75" style="width:108.45pt;height:31.8pt" o:ole="">
            <v:imagedata r:id="rId138" o:title=""/>
          </v:shape>
          <o:OLEObject Type="Embed" ProgID="Equation.DSMT4" ShapeID="_x0000_i1091" DrawAspect="Content" ObjectID="_1840626657" r:id="rId139"/>
        </w:object>
      </w:r>
      <w:r w:rsidR="002006B3">
        <w:t>,</w:t>
      </w:r>
      <w:r>
        <w:tab/>
      </w:r>
      <w:r>
        <w:tab/>
      </w:r>
      <w:r>
        <w:tab/>
      </w:r>
      <w:r>
        <w:tab/>
      </w:r>
      <w:r>
        <w:tab/>
      </w:r>
      <w:r>
        <w:tab/>
      </w:r>
      <w:r>
        <w:tab/>
        <w:t>(2.2</w:t>
      </w:r>
      <w:r w:rsidR="002006B3">
        <w:t>3</w:t>
      </w:r>
      <w:r>
        <w:t>)</w:t>
      </w:r>
    </w:p>
    <w:p w14:paraId="02858354" w14:textId="77777777" w:rsidR="00E65F4E" w:rsidRDefault="00E65F4E" w:rsidP="00015B17">
      <w:pPr>
        <w:spacing w:line="360" w:lineRule="auto"/>
      </w:pPr>
    </w:p>
    <w:p w14:paraId="570BEC28" w14:textId="564EB7BC" w:rsidR="00015B17" w:rsidRDefault="002006B3" w:rsidP="00015B17">
      <w:pPr>
        <w:spacing w:line="360" w:lineRule="auto"/>
      </w:pPr>
      <w:r>
        <w:t>w</w:t>
      </w:r>
      <w:r w:rsidR="00015B17">
        <w:t>here</w:t>
      </w:r>
      <w:r w:rsidR="00015B17" w:rsidRPr="005D6609">
        <w:t xml:space="preserve"> </w:t>
      </w:r>
      <w:r w:rsidR="00015B17">
        <w:t xml:space="preserve">the solid has been assumed to be rigid and stationary, </w:t>
      </w:r>
      <w:r w:rsidR="00015B17" w:rsidRPr="005D6609">
        <w:rPr>
          <w:position w:val="-10"/>
        </w:rPr>
        <w:object w:dxaOrig="240" w:dyaOrig="300" w14:anchorId="526C166A">
          <v:shape id="_x0000_i1092" type="#_x0000_t75" style="width:12.15pt;height:14.95pt" o:ole="">
            <v:imagedata r:id="rId140" o:title=""/>
          </v:shape>
          <o:OLEObject Type="Embed" ProgID="Equation.DSMT4" ShapeID="_x0000_i1092" DrawAspect="Content" ObjectID="_1840626658" r:id="rId141"/>
        </w:object>
      </w:r>
      <w:r w:rsidR="00015B17">
        <w:t xml:space="preserve"> is the volume averaged density in the RVE</w:t>
      </w:r>
      <w:r w:rsidR="00693642">
        <w:t xml:space="preserve"> and</w:t>
      </w:r>
      <w:r w:rsidR="00015B17">
        <w:t xml:space="preserve"> </w:t>
      </w:r>
      <w:r w:rsidR="00015B17" w:rsidRPr="005D6609">
        <w:rPr>
          <w:i/>
        </w:rPr>
        <w:t>K</w:t>
      </w:r>
      <w:r w:rsidR="00015B17">
        <w:t xml:space="preserve"> is the permeability in the mushy zone. Note also that the right hand side of Eqn. (2.2</w:t>
      </w:r>
      <w:r>
        <w:t>2</w:t>
      </w:r>
      <w:r w:rsidR="00015B17">
        <w:t xml:space="preserve">) contains </w:t>
      </w:r>
      <w:r w:rsidR="00015B17" w:rsidRPr="000432E5">
        <w:t>extra terms that result from the volume averaging process</w:t>
      </w:r>
      <w:r w:rsidR="00015B17">
        <w:t xml:space="preserve"> (included in the body force term)</w:t>
      </w:r>
      <w:r w:rsidR="00015B17" w:rsidRPr="000432E5">
        <w:t xml:space="preserve"> </w:t>
      </w:r>
      <w:r w:rsidR="00015B17">
        <w:t xml:space="preserve">and forces due to flow through porous media </w:t>
      </w:r>
      <w:r w:rsidR="00015B17">
        <w:lastRenderedPageBreak/>
        <w:t>governed by Darcy’s law (last term on right hand side) as described below by Eqn. (2.2</w:t>
      </w:r>
      <w:r>
        <w:t>5</w:t>
      </w:r>
      <w:r w:rsidR="00015B17">
        <w:t xml:space="preserve">). </w:t>
      </w:r>
      <w:r w:rsidR="00693642">
        <w:t xml:space="preserve">This term </w:t>
      </w:r>
      <w:r w:rsidR="00693642" w:rsidRPr="00797B56">
        <w:t>drive</w:t>
      </w:r>
      <w:r w:rsidR="00693642">
        <w:t>s</w:t>
      </w:r>
      <w:r w:rsidR="00693642" w:rsidRPr="00797B56">
        <w:t xml:space="preserve"> the velocities to zero when the material is fully solid</w:t>
      </w:r>
      <w:r w:rsidR="00693642">
        <w:t xml:space="preserve">. </w:t>
      </w:r>
      <w:r w:rsidR="00015B17">
        <w:t xml:space="preserve">These equations can only be solved using a numerical approach for an arbitrary casting geometry. </w:t>
      </w:r>
      <w:r w:rsidR="00015B17" w:rsidRPr="003A58C4">
        <w:t>Accurate modeling of flow and pressure field</w:t>
      </w:r>
      <w:r w:rsidR="00693642">
        <w:t>s</w:t>
      </w:r>
      <w:r w:rsidR="00015B17" w:rsidRPr="003A58C4">
        <w:t xml:space="preserve"> requires consideration of density variations in the solidification process, turbulence modeling </w:t>
      </w:r>
      <w:r w:rsidR="00693642">
        <w:t>(</w:t>
      </w:r>
      <w:r w:rsidR="00015B17" w:rsidRPr="003A58C4">
        <w:t>especially during the filling process</w:t>
      </w:r>
      <w:r w:rsidR="00693642">
        <w:t>)</w:t>
      </w:r>
      <w:r w:rsidR="00015B17" w:rsidRPr="003A58C4">
        <w:t>, and consideration of momentum transfer between liquid and solid phases through suitable source terms.</w:t>
      </w:r>
      <w:r w:rsidR="00015B17">
        <w:t xml:space="preserve"> </w:t>
      </w:r>
    </w:p>
    <w:p w14:paraId="7F6F8EAD" w14:textId="77777777" w:rsidR="00E65F4E" w:rsidRPr="00452F0B" w:rsidRDefault="00E65F4E" w:rsidP="00015B17">
      <w:pPr>
        <w:spacing w:line="360" w:lineRule="auto"/>
        <w:rPr>
          <w:color w:val="FF0000"/>
        </w:rPr>
      </w:pPr>
    </w:p>
    <w:p w14:paraId="75C17303" w14:textId="77777777" w:rsidR="00E65F4E" w:rsidRDefault="00015B17" w:rsidP="00015B17">
      <w:pPr>
        <w:spacing w:line="360" w:lineRule="auto"/>
      </w:pPr>
      <w:r>
        <w:tab/>
        <w:t xml:space="preserve">Modeling the free surface during mold filling is a very difficult problem. One method that is widely used is the one introduced by </w:t>
      </w:r>
      <w:r w:rsidRPr="00A408ED">
        <w:t>Hirt (1981)</w:t>
      </w:r>
      <w:r>
        <w:t xml:space="preserve"> and is called the volume of fluid method (VOF). The VOF equation is an equation similar to the continuity Eqn. 2.1</w:t>
      </w:r>
      <w:r w:rsidR="002006B3">
        <w:t>7,</w:t>
      </w:r>
    </w:p>
    <w:p w14:paraId="19663726" w14:textId="77777777" w:rsidR="00015B17" w:rsidRDefault="00015B17" w:rsidP="00015B17">
      <w:pPr>
        <w:spacing w:line="360" w:lineRule="auto"/>
        <w:ind w:left="720" w:firstLine="720"/>
      </w:pPr>
      <w:r w:rsidRPr="00D36EAD">
        <w:rPr>
          <w:position w:val="-24"/>
        </w:rPr>
        <w:object w:dxaOrig="2600" w:dyaOrig="660" w14:anchorId="17A4B99A">
          <v:shape id="_x0000_i1093" type="#_x0000_t75" style="width:129.95pt;height:31.8pt" o:ole="">
            <v:imagedata r:id="rId142" o:title=""/>
          </v:shape>
          <o:OLEObject Type="Embed" ProgID="Equation.DSMT4" ShapeID="_x0000_i1093" DrawAspect="Content" ObjectID="_1840626659" r:id="rId143"/>
        </w:object>
      </w:r>
      <w:r>
        <w:t xml:space="preserve">       </w:t>
      </w:r>
      <w:r w:rsidR="002006B3">
        <w:t>.</w:t>
      </w:r>
      <w:r>
        <w:t xml:space="preserve">               (2.2</w:t>
      </w:r>
      <w:r w:rsidR="002006B3">
        <w:t>4</w:t>
      </w:r>
      <w:r>
        <w:t>)</w:t>
      </w:r>
    </w:p>
    <w:p w14:paraId="015E666E" w14:textId="77777777" w:rsidR="00E65F4E" w:rsidRDefault="00E65F4E" w:rsidP="00015B17">
      <w:pPr>
        <w:spacing w:line="360" w:lineRule="auto"/>
        <w:ind w:left="720" w:firstLine="720"/>
      </w:pPr>
    </w:p>
    <w:p w14:paraId="1D8C313A" w14:textId="77777777" w:rsidR="00015B17" w:rsidRDefault="00015B17" w:rsidP="00015B17">
      <w:pPr>
        <w:spacing w:line="360" w:lineRule="auto"/>
      </w:pPr>
      <w:r>
        <w:tab/>
        <w:t xml:space="preserve">Here, volume function, </w:t>
      </w:r>
      <w:r w:rsidRPr="00693642">
        <w:rPr>
          <w:i/>
        </w:rPr>
        <w:t>F</w:t>
      </w:r>
      <w:r>
        <w:t xml:space="preserve"> is assigned a value of 1 in the fully liquid region, while it has a value of zero in gas (or air) region. Eqn. 2.2</w:t>
      </w:r>
      <w:r w:rsidR="002006B3">
        <w:t>4</w:t>
      </w:r>
      <w:r>
        <w:t xml:space="preserve"> is solved along with all the other basic conservation equations to track the free surface at each time.</w:t>
      </w:r>
    </w:p>
    <w:p w14:paraId="26493871" w14:textId="77777777" w:rsidR="00E65F4E" w:rsidRDefault="00E65F4E" w:rsidP="00015B17">
      <w:pPr>
        <w:spacing w:line="360" w:lineRule="auto"/>
      </w:pPr>
    </w:p>
    <w:p w14:paraId="62071922" w14:textId="77777777" w:rsidR="00015B17" w:rsidRDefault="00015B17" w:rsidP="00015B17">
      <w:pPr>
        <w:spacing w:line="360" w:lineRule="auto"/>
      </w:pPr>
      <w:r>
        <w:tab/>
        <w:t xml:space="preserve">Fluid flow models need to be capable </w:t>
      </w:r>
      <w:r w:rsidR="00693642">
        <w:t xml:space="preserve">of </w:t>
      </w:r>
      <w:r>
        <w:t>describ</w:t>
      </w:r>
      <w:r w:rsidR="00693642">
        <w:t>ing</w:t>
      </w:r>
      <w:r>
        <w:t xml:space="preserve"> flow through the mushy zone. Fluid flow through a solidifying region will be influenced by the morphology of the dendrite network in the mushy zone. Most numerical models treat flow in the mushy zone as a flow through a porous media obeying Darcy’s law </w:t>
      </w:r>
      <w:r w:rsidR="00F726FE">
        <w:t>(Poirier, 1987) as</w:t>
      </w:r>
    </w:p>
    <w:p w14:paraId="455C19E3" w14:textId="77777777" w:rsidR="00F726FE" w:rsidRDefault="00F726FE" w:rsidP="00015B17">
      <w:pPr>
        <w:spacing w:line="360" w:lineRule="auto"/>
      </w:pPr>
    </w:p>
    <w:p w14:paraId="7959E43D" w14:textId="77777777" w:rsidR="00015B17" w:rsidRDefault="00015B17" w:rsidP="00015B17">
      <w:pPr>
        <w:spacing w:line="360" w:lineRule="auto"/>
        <w:ind w:left="720" w:firstLine="720"/>
        <w:jc w:val="center"/>
      </w:pPr>
      <w:r w:rsidRPr="00393F7D">
        <w:rPr>
          <w:position w:val="-30"/>
        </w:rPr>
        <w:object w:dxaOrig="2240" w:dyaOrig="680" w14:anchorId="2570FB4D">
          <v:shape id="_x0000_i1094" type="#_x0000_t75" style="width:112.2pt;height:33.65pt" o:ole="">
            <v:imagedata r:id="rId144" o:title=""/>
          </v:shape>
          <o:OLEObject Type="Embed" ProgID="Equation.DSMT4" ShapeID="_x0000_i1094" DrawAspect="Content" ObjectID="_1840626660" r:id="rId145"/>
        </w:object>
      </w:r>
      <w:r>
        <w:t xml:space="preserve"> </w:t>
      </w:r>
      <w:r w:rsidR="00693642">
        <w:t>,</w:t>
      </w:r>
      <w:r>
        <w:t xml:space="preserve">              (2.2</w:t>
      </w:r>
      <w:r w:rsidR="002006B3">
        <w:t>5</w:t>
      </w:r>
      <w:r>
        <w:t>)</w:t>
      </w:r>
    </w:p>
    <w:p w14:paraId="08960302" w14:textId="77777777" w:rsidR="00E65F4E" w:rsidRDefault="00E65F4E" w:rsidP="00015B17">
      <w:pPr>
        <w:spacing w:line="360" w:lineRule="auto"/>
        <w:ind w:left="720" w:firstLine="720"/>
        <w:jc w:val="center"/>
      </w:pPr>
    </w:p>
    <w:p w14:paraId="7DFE072A" w14:textId="77777777" w:rsidR="00E65F4E" w:rsidRDefault="00693642" w:rsidP="00015B17">
      <w:pPr>
        <w:spacing w:line="360" w:lineRule="auto"/>
      </w:pPr>
      <w:r>
        <w:t>w</w:t>
      </w:r>
      <w:r w:rsidR="00015B17">
        <w:t xml:space="preserve">here, </w:t>
      </w:r>
      <w:r w:rsidR="00015B17" w:rsidRPr="00542B51">
        <w:rPr>
          <w:position w:val="-12"/>
        </w:rPr>
        <w:object w:dxaOrig="300" w:dyaOrig="360" w14:anchorId="7A656ED8">
          <v:shape id="_x0000_i1095" type="#_x0000_t75" style="width:14.95pt;height:17.75pt" o:ole="">
            <v:imagedata r:id="rId146" o:title=""/>
          </v:shape>
          <o:OLEObject Type="Embed" ProgID="Equation.DSMT4" ShapeID="_x0000_i1095" DrawAspect="Content" ObjectID="_1840626661" r:id="rId147"/>
        </w:object>
      </w:r>
      <w:r w:rsidR="00015B17">
        <w:t xml:space="preserve"> is liquid velocity, </w:t>
      </w:r>
      <w:r w:rsidR="00015B17" w:rsidRPr="004259E6">
        <w:rPr>
          <w:i/>
        </w:rPr>
        <w:t>K</w:t>
      </w:r>
      <w:r w:rsidR="00015B17">
        <w:t xml:space="preserve"> is the permeability in the mushy zone, </w:t>
      </w:r>
      <w:r w:rsidR="00015B17">
        <w:rPr>
          <w:i/>
        </w:rPr>
        <w:sym w:font="Symbol" w:char="F068"/>
      </w:r>
      <w:r w:rsidR="00015B17">
        <w:rPr>
          <w:i/>
        </w:rPr>
        <w:t xml:space="preserve"> </w:t>
      </w:r>
      <w:r w:rsidR="00015B17">
        <w:t xml:space="preserve">is the viscosity, </w:t>
      </w:r>
      <w:r w:rsidR="00015B17" w:rsidRPr="004259E6">
        <w:rPr>
          <w:i/>
        </w:rPr>
        <w:t>g</w:t>
      </w:r>
      <w:r w:rsidR="00015B17" w:rsidRPr="003E0F31">
        <w:rPr>
          <w:i/>
          <w:sz w:val="26"/>
          <w:vertAlign w:val="subscript"/>
        </w:rPr>
        <w:t>L</w:t>
      </w:r>
      <w:r w:rsidR="00015B17">
        <w:t xml:space="preserve"> is the liquid volume fraction. The permeability of the dendrite network is empirically determined with either the Hagen-Poiseuille or Blake-Kozeny model (Poirier, 1987). For example, the permeability in the Blake-Kozeny model is given by </w:t>
      </w:r>
    </w:p>
    <w:p w14:paraId="1565D33E" w14:textId="77777777" w:rsidR="00F726FE" w:rsidRDefault="00F726FE" w:rsidP="00015B17">
      <w:pPr>
        <w:spacing w:line="360" w:lineRule="auto"/>
      </w:pPr>
    </w:p>
    <w:p w14:paraId="7E65A419" w14:textId="77777777" w:rsidR="00015B17" w:rsidRDefault="00015B17" w:rsidP="00015B17">
      <w:pPr>
        <w:spacing w:line="360" w:lineRule="auto"/>
        <w:ind w:left="720" w:firstLine="720"/>
        <w:jc w:val="center"/>
      </w:pPr>
      <w:r w:rsidRPr="00A9179F">
        <w:rPr>
          <w:position w:val="-38"/>
        </w:rPr>
        <w:object w:dxaOrig="1280" w:dyaOrig="800" w14:anchorId="205A4550">
          <v:shape id="_x0000_i1096" type="#_x0000_t75" style="width:63.6pt;height:40.2pt" o:ole="">
            <v:imagedata r:id="rId148" o:title=""/>
          </v:shape>
          <o:OLEObject Type="Embed" ProgID="Equation.DSMT4" ShapeID="_x0000_i1096" DrawAspect="Content" ObjectID="_1840626662" r:id="rId149"/>
        </w:object>
      </w:r>
      <w:r w:rsidR="00693642">
        <w:t>,</w:t>
      </w:r>
      <w:r>
        <w:t xml:space="preserve">                           (2.2</w:t>
      </w:r>
      <w:r w:rsidR="002006B3">
        <w:t>6</w:t>
      </w:r>
      <w:r>
        <w:t>)</w:t>
      </w:r>
    </w:p>
    <w:p w14:paraId="1C55443A" w14:textId="77777777" w:rsidR="00E65F4E" w:rsidRDefault="00E65F4E" w:rsidP="00015B17">
      <w:pPr>
        <w:spacing w:line="360" w:lineRule="auto"/>
        <w:ind w:left="720" w:firstLine="720"/>
        <w:jc w:val="center"/>
      </w:pPr>
    </w:p>
    <w:p w14:paraId="0E272357" w14:textId="77777777" w:rsidR="00015B17" w:rsidRDefault="00693642" w:rsidP="00015B17">
      <w:pPr>
        <w:spacing w:line="360" w:lineRule="auto"/>
      </w:pPr>
      <w:r>
        <w:t>w</w:t>
      </w:r>
      <w:r w:rsidR="00015B17">
        <w:t xml:space="preserve">here, </w:t>
      </w:r>
      <w:r w:rsidR="00015B17" w:rsidRPr="00A01883">
        <w:rPr>
          <w:i/>
        </w:rPr>
        <w:t>C</w:t>
      </w:r>
      <w:r w:rsidR="00015B17">
        <w:t xml:space="preserve"> is a constant that depends on the geometry of the flow channel; </w:t>
      </w:r>
      <w:r w:rsidR="00015B17" w:rsidRPr="00A01883">
        <w:rPr>
          <w:i/>
        </w:rPr>
        <w:t xml:space="preserve">d </w:t>
      </w:r>
      <w:r w:rsidR="00015B17">
        <w:t>is a characteristic dimension of the solid microstructure usually related to the dendrite arm spacing. We will revisit the issue of permeability in dendritic structure</w:t>
      </w:r>
      <w:r w:rsidR="00997666">
        <w:t>s</w:t>
      </w:r>
      <w:r w:rsidR="00015B17">
        <w:t xml:space="preserve"> in §9.3.</w:t>
      </w:r>
    </w:p>
    <w:p w14:paraId="0E8371E9" w14:textId="77777777" w:rsidR="00015B17" w:rsidRPr="003A58C4" w:rsidRDefault="00015B17" w:rsidP="00015B17">
      <w:pPr>
        <w:spacing w:line="360" w:lineRule="auto"/>
      </w:pPr>
    </w:p>
    <w:p w14:paraId="63B5BF0D" w14:textId="77777777" w:rsidR="00015B17" w:rsidRPr="003A58C4" w:rsidRDefault="00015B17" w:rsidP="00015B17">
      <w:pPr>
        <w:spacing w:line="360" w:lineRule="auto"/>
        <w:outlineLvl w:val="0"/>
        <w:rPr>
          <w:b/>
        </w:rPr>
      </w:pPr>
      <w:r w:rsidRPr="003A58C4">
        <w:rPr>
          <w:b/>
        </w:rPr>
        <w:t>2. 2 Heat transfer at the metal-mold interface</w:t>
      </w:r>
    </w:p>
    <w:p w14:paraId="4E6F3388" w14:textId="77777777" w:rsidR="00015B17" w:rsidRDefault="00015B17" w:rsidP="00015B17">
      <w:pPr>
        <w:spacing w:line="360" w:lineRule="auto"/>
      </w:pPr>
      <w:r>
        <w:tab/>
      </w:r>
      <w:r w:rsidRPr="003A58C4">
        <w:t xml:space="preserve">The heat flow from the solidifying metal is often limited by the metal-mold thermal resistance. This resistance is quantified by the value of the heat transfer coefficient, </w:t>
      </w:r>
      <w:r w:rsidRPr="003A58C4">
        <w:rPr>
          <w:i/>
        </w:rPr>
        <w:t>h</w:t>
      </w:r>
      <w:r w:rsidRPr="00727E8A">
        <w:rPr>
          <w:i/>
          <w:sz w:val="26"/>
          <w:vertAlign w:val="subscript"/>
        </w:rPr>
        <w:t>i</w:t>
      </w:r>
      <w:r w:rsidRPr="003A58C4">
        <w:t>, defined by</w:t>
      </w:r>
    </w:p>
    <w:p w14:paraId="1B18D222" w14:textId="77777777" w:rsidR="00E65F4E" w:rsidRPr="003A58C4" w:rsidRDefault="00E65F4E" w:rsidP="00015B17">
      <w:pPr>
        <w:spacing w:line="360" w:lineRule="auto"/>
      </w:pPr>
    </w:p>
    <w:p w14:paraId="22422125" w14:textId="77777777" w:rsidR="00015B17" w:rsidRDefault="00015B17" w:rsidP="00015B17">
      <w:pPr>
        <w:spacing w:line="360" w:lineRule="auto"/>
        <w:jc w:val="center"/>
      </w:pPr>
      <w:r w:rsidRPr="003A58C4">
        <w:rPr>
          <w:position w:val="-14"/>
        </w:rPr>
        <w:object w:dxaOrig="1600" w:dyaOrig="400" w14:anchorId="4221D6D1">
          <v:shape id="_x0000_i1097" type="#_x0000_t75" style="width:80.4pt;height:19.65pt" o:ole="">
            <v:imagedata r:id="rId150" o:title=""/>
          </v:shape>
          <o:OLEObject Type="Embed" ProgID="Equation.DSMT4" ShapeID="_x0000_i1097" DrawAspect="Content" ObjectID="_1840626663" r:id="rId151"/>
        </w:object>
      </w:r>
      <w:r>
        <w:t xml:space="preserve"> </w:t>
      </w:r>
      <w:r w:rsidR="002006B3">
        <w:t>,</w:t>
      </w:r>
      <w:r>
        <w:tab/>
      </w:r>
      <w:r>
        <w:tab/>
      </w:r>
      <w:r>
        <w:tab/>
        <w:t>(2.2</w:t>
      </w:r>
      <w:r w:rsidR="002006B3">
        <w:t>7</w:t>
      </w:r>
      <w:r>
        <w:t>)</w:t>
      </w:r>
    </w:p>
    <w:p w14:paraId="5DFE4428" w14:textId="77777777" w:rsidR="00E65F4E" w:rsidRPr="003A58C4" w:rsidRDefault="00E65F4E" w:rsidP="00015B17">
      <w:pPr>
        <w:spacing w:line="360" w:lineRule="auto"/>
        <w:jc w:val="center"/>
      </w:pPr>
    </w:p>
    <w:p w14:paraId="7E89A9D0" w14:textId="218543C9" w:rsidR="00015B17" w:rsidRDefault="00015B17" w:rsidP="00015B17">
      <w:pPr>
        <w:spacing w:line="360" w:lineRule="auto"/>
      </w:pPr>
      <w:r w:rsidRPr="003A58C4">
        <w:t xml:space="preserve">corresponding to a Newtonian heat transfer model where </w:t>
      </w:r>
      <w:r w:rsidRPr="003A58C4">
        <w:rPr>
          <w:i/>
        </w:rPr>
        <w:t>q</w:t>
      </w:r>
      <w:r w:rsidRPr="003A58C4">
        <w:t xml:space="preserve">  is the heat flux across the interface, </w:t>
      </w:r>
      <w:r w:rsidRPr="003A58C4">
        <w:fldChar w:fldCharType="begin"/>
      </w:r>
      <w:r w:rsidRPr="003A58C4">
        <w:instrText xml:space="preserve"> QUOTE </w:instrText>
      </w:r>
      <m:oMath>
        <m:sSub>
          <m:sSubPr>
            <m:ctrlPr>
              <w:rPr>
                <w:rFonts w:ascii="Cambria Math" w:hAnsi="Cambria Math"/>
                <w:i/>
              </w:rPr>
            </m:ctrlPr>
          </m:sSubPr>
          <m:e>
            <m:r>
              <m:rPr>
                <m:sty m:val="p"/>
              </m:rPr>
              <w:rPr>
                <w:rFonts w:ascii="Cambria Math" w:hAnsi="Cambria Math"/>
              </w:rPr>
              <m:t>T</m:t>
            </m:r>
          </m:e>
          <m:sub>
            <m:r>
              <m:rPr>
                <m:sty m:val="p"/>
              </m:rPr>
              <w:rPr>
                <w:rFonts w:ascii="Cambria Math" w:hAnsi="Cambria Math"/>
              </w:rPr>
              <m:t>is</m:t>
            </m:r>
          </m:sub>
        </m:sSub>
      </m:oMath>
      <w:r w:rsidRPr="003A58C4">
        <w:instrText xml:space="preserve"> </w:instrText>
      </w:r>
      <w:r w:rsidRPr="003A58C4">
        <w:fldChar w:fldCharType="separate"/>
      </w:r>
      <w:r w:rsidRPr="003A58C4">
        <w:rPr>
          <w:position w:val="-12"/>
        </w:rPr>
        <w:object w:dxaOrig="300" w:dyaOrig="360" w14:anchorId="1C4BDD2D">
          <v:shape id="_x0000_i1098" type="#_x0000_t75" style="width:14.95pt;height:17.75pt" o:ole="">
            <v:imagedata r:id="rId152" o:title=""/>
          </v:shape>
          <o:OLEObject Type="Embed" ProgID="Equation.DSMT4" ShapeID="_x0000_i1098" DrawAspect="Content" ObjectID="_1840626664" r:id="rId153"/>
        </w:object>
      </w:r>
      <w:r w:rsidRPr="003A58C4">
        <w:fldChar w:fldCharType="end"/>
      </w:r>
      <w:r w:rsidRPr="003A58C4">
        <w:t xml:space="preserve"> is the  metal temperature and </w:t>
      </w:r>
      <w:r w:rsidRPr="003A58C4">
        <w:rPr>
          <w:position w:val="-12"/>
        </w:rPr>
        <w:object w:dxaOrig="360" w:dyaOrig="360" w14:anchorId="2570CCE2">
          <v:shape id="_x0000_i1099" type="#_x0000_t75" style="width:17.75pt;height:17.75pt" o:ole="">
            <v:imagedata r:id="rId154" o:title=""/>
          </v:shape>
          <o:OLEObject Type="Embed" ProgID="Equation.DSMT4" ShapeID="_x0000_i1099" DrawAspect="Content" ObjectID="_1840626665" r:id="rId155"/>
        </w:object>
      </w:r>
      <w:r w:rsidRPr="003A58C4">
        <w:t xml:space="preserve"> the mold temperature, both at the metal-</w:t>
      </w:r>
      <w:r>
        <w:t>mold</w:t>
      </w:r>
      <w:r w:rsidRPr="003A58C4">
        <w:t xml:space="preserve"> interface. When the melt first enters into contact with the </w:t>
      </w:r>
      <w:r>
        <w:t>mold</w:t>
      </w:r>
      <w:r w:rsidRPr="003A58C4">
        <w:t xml:space="preserve"> wall, the </w:t>
      </w:r>
      <w:r>
        <w:t>mold</w:t>
      </w:r>
      <w:r w:rsidRPr="003A58C4">
        <w:t xml:space="preserve"> surface is usually at a lower temperature than the liquid. The thermal contact is not perfect and the </w:t>
      </w:r>
      <w:r w:rsidRPr="003A58C4">
        <w:fldChar w:fldCharType="begin"/>
      </w:r>
      <w:r w:rsidRPr="003A58C4">
        <w:instrText xml:space="preserve"> QUOTE </w:instrText>
      </w:r>
      <m:oMath>
        <m:sSub>
          <m:sSubPr>
            <m:ctrlPr>
              <w:rPr>
                <w:rFonts w:ascii="Cambria Math" w:hAnsi="Cambria Math"/>
                <w:i/>
              </w:rPr>
            </m:ctrlPr>
          </m:sSubPr>
          <m:e>
            <m:r>
              <m:rPr>
                <m:sty m:val="p"/>
              </m:rPr>
              <w:rPr>
                <w:rFonts w:ascii="Cambria Math" w:hAnsi="Cambria Math"/>
              </w:rPr>
              <m:t>h</m:t>
            </m:r>
          </m:e>
          <m:sub>
            <m:r>
              <m:rPr>
                <m:sty m:val="p"/>
              </m:rPr>
              <w:rPr>
                <w:rFonts w:ascii="Cambria Math" w:hAnsi="Cambria Math"/>
              </w:rPr>
              <m:t>i</m:t>
            </m:r>
          </m:sub>
        </m:sSub>
      </m:oMath>
      <w:r w:rsidRPr="003A58C4">
        <w:instrText xml:space="preserve"> </w:instrText>
      </w:r>
      <w:r w:rsidRPr="003A58C4">
        <w:fldChar w:fldCharType="separate"/>
      </w:r>
      <w:r w:rsidRPr="003A58C4">
        <w:rPr>
          <w:position w:val="-12"/>
        </w:rPr>
        <w:object w:dxaOrig="220" w:dyaOrig="360" w14:anchorId="47FBB331">
          <v:shape id="_x0000_i1100" type="#_x0000_t75" style="width:10.3pt;height:17.75pt" o:ole="">
            <v:imagedata r:id="rId156" o:title=""/>
          </v:shape>
          <o:OLEObject Type="Embed" ProgID="Equation.DSMT4" ShapeID="_x0000_i1100" DrawAspect="Content" ObjectID="_1840626666" r:id="rId157"/>
        </w:object>
      </w:r>
      <w:r w:rsidRPr="003A58C4">
        <w:fldChar w:fldCharType="end"/>
      </w:r>
      <w:r w:rsidRPr="003A58C4">
        <w:t xml:space="preserve"> value depends on the complex nature of the contact between metal and </w:t>
      </w:r>
      <w:r>
        <w:t>mold</w:t>
      </w:r>
      <w:r w:rsidRPr="003A58C4">
        <w:t xml:space="preserve"> as shown in Fig. 2.</w:t>
      </w:r>
      <w:r>
        <w:t>3</w:t>
      </w:r>
      <w:r w:rsidRPr="003A58C4">
        <w:t xml:space="preserve">a. Also important are the thermal resistance imposed by any coating present on the </w:t>
      </w:r>
      <w:r>
        <w:t>mold</w:t>
      </w:r>
      <w:r w:rsidRPr="003A58C4">
        <w:t xml:space="preserve"> surface (BILONI [1977]) and the "air gap" that often develops between the </w:t>
      </w:r>
      <w:r>
        <w:t>mold</w:t>
      </w:r>
      <w:r w:rsidRPr="003A58C4">
        <w:t xml:space="preserve"> surface and the solidifying metal due to metal shrinkage (DAS and PAUL [1993]). Consequently, the physical nature of the thermal contact can change with time and from point to point and may also depend on the wetting capacity of the melt, existence of oxides, grease, etc.</w:t>
      </w:r>
    </w:p>
    <w:p w14:paraId="0244975D" w14:textId="77777777" w:rsidR="00E65F4E" w:rsidRPr="003A58C4" w:rsidRDefault="00E65F4E" w:rsidP="00015B17">
      <w:pPr>
        <w:spacing w:line="360" w:lineRule="auto"/>
      </w:pPr>
    </w:p>
    <w:p w14:paraId="1C6F7592" w14:textId="77777777" w:rsidR="00015B17" w:rsidRDefault="00015B17" w:rsidP="00015B17">
      <w:pPr>
        <w:spacing w:line="360" w:lineRule="auto"/>
      </w:pPr>
      <w:r w:rsidRPr="003A58C4">
        <w:tab/>
        <w:t>HO and PEHLKE [1984], [1985] and CAMPBELL [1991a], [1991b] give a clear picture of the heat flow at the metal-mold interface including the origin, development, and nature of the so called "air gap." The following facts must be considered:</w:t>
      </w:r>
    </w:p>
    <w:p w14:paraId="7AFE3103" w14:textId="77777777" w:rsidR="00D83B91" w:rsidRPr="003A58C4" w:rsidRDefault="00D83B91" w:rsidP="00015B17">
      <w:pPr>
        <w:spacing w:line="360" w:lineRule="auto"/>
      </w:pPr>
    </w:p>
    <w:p w14:paraId="04AB422B" w14:textId="77777777" w:rsidR="00015B17" w:rsidRPr="003A58C4" w:rsidRDefault="00015B17" w:rsidP="00015B17">
      <w:pPr>
        <w:numPr>
          <w:ilvl w:val="0"/>
          <w:numId w:val="2"/>
        </w:numPr>
        <w:spacing w:after="200" w:line="360" w:lineRule="auto"/>
      </w:pPr>
      <w:r w:rsidRPr="003A58C4">
        <w:t xml:space="preserve">When the metal enters the </w:t>
      </w:r>
      <w:r>
        <w:t>mold</w:t>
      </w:r>
      <w:r w:rsidRPr="003A58C4">
        <w:t xml:space="preserve">, good contact exists between the molten metal and the </w:t>
      </w:r>
      <w:r>
        <w:t>mold</w:t>
      </w:r>
      <w:r w:rsidRPr="003A58C4">
        <w:t xml:space="preserve"> surface as PRATES and BILONI [1972] and MORALES et al. [1979] proved through the analysis of the casting surface structure. Contact occurs at the peaks of the mold surface roughness where large supercooling creates predendritic nuclei (BILONI and CHALMERS [1965]). The application of pressure enhances the contact and the </w:t>
      </w:r>
      <w:r w:rsidRPr="003A58C4">
        <w:rPr>
          <w:i/>
        </w:rPr>
        <w:t>h</w:t>
      </w:r>
      <w:r w:rsidRPr="00727E8A">
        <w:rPr>
          <w:i/>
          <w:sz w:val="26"/>
          <w:vertAlign w:val="subscript"/>
        </w:rPr>
        <w:t>i</w:t>
      </w:r>
      <w:r w:rsidRPr="003A58C4">
        <w:t xml:space="preserve"> value can be increased dramatically (</w:t>
      </w:r>
      <w:smartTag w:uri="urn:schemas-microsoft-com:office:smarttags" w:element="place">
        <w:smartTag w:uri="urn:schemas-microsoft-com:office:smarttags" w:element="City">
          <w:r w:rsidRPr="003A58C4">
            <w:t>CAMPBELL</w:t>
          </w:r>
        </w:smartTag>
      </w:smartTag>
      <w:r w:rsidRPr="003A58C4">
        <w:t xml:space="preserve"> [1991a]).</w:t>
      </w:r>
    </w:p>
    <w:p w14:paraId="39162BAF" w14:textId="77777777" w:rsidR="00015B17" w:rsidRPr="003A58C4" w:rsidRDefault="00015B17" w:rsidP="00015B17">
      <w:pPr>
        <w:numPr>
          <w:ilvl w:val="0"/>
          <w:numId w:val="2"/>
        </w:numPr>
        <w:spacing w:after="200" w:line="360" w:lineRule="auto"/>
      </w:pPr>
      <w:r w:rsidRPr="003A58C4">
        <w:t xml:space="preserve">After the creation of a solidified layer with sufficient strength, the casting and </w:t>
      </w:r>
      <w:r>
        <w:t>mold</w:t>
      </w:r>
      <w:r w:rsidRPr="003A58C4">
        <w:t xml:space="preserve"> both deform due to thermal contraction and the contact is reduced to isolated points at greater separations than that determined by the surface roughness. The interface gap starts to open and the conduction across the interface decreases drastically.  Consequently, the </w:t>
      </w:r>
      <w:r w:rsidRPr="003A58C4">
        <w:rPr>
          <w:position w:val="-12"/>
        </w:rPr>
        <w:object w:dxaOrig="220" w:dyaOrig="360" w14:anchorId="1E163ABD">
          <v:shape id="_x0000_i1101" type="#_x0000_t75" style="width:10.3pt;height:17.75pt" o:ole="">
            <v:imagedata r:id="rId158" o:title=""/>
          </v:shape>
          <o:OLEObject Type="Embed" ProgID="Equation.DSMT4" ShapeID="_x0000_i1101" DrawAspect="Content" ObjectID="_1840626667" r:id="rId159"/>
        </w:object>
      </w:r>
      <w:r w:rsidRPr="003A58C4">
        <w:t>value falls by more than one order of magnitude.</w:t>
      </w:r>
    </w:p>
    <w:p w14:paraId="2296BE07" w14:textId="77777777" w:rsidR="00E65F4E" w:rsidRDefault="00015B17" w:rsidP="00015B17">
      <w:pPr>
        <w:spacing w:line="360" w:lineRule="auto"/>
      </w:pPr>
      <w:r w:rsidRPr="003A58C4">
        <w:t xml:space="preserve">When radiation is neglected, the important mechanism becomes the conduction of heat through the gas phase in the gap. In this case, </w:t>
      </w:r>
      <w:r w:rsidRPr="003A58C4">
        <w:rPr>
          <w:position w:val="-12"/>
        </w:rPr>
        <w:object w:dxaOrig="920" w:dyaOrig="360" w14:anchorId="55D839A1">
          <v:shape id="_x0000_i1102" type="#_x0000_t75" style="width:46.75pt;height:17.75pt" o:ole="">
            <v:imagedata r:id="rId160" o:title=""/>
          </v:shape>
          <o:OLEObject Type="Embed" ProgID="Equation.DSMT4" ShapeID="_x0000_i1102" DrawAspect="Content" ObjectID="_1840626668" r:id="rId161"/>
        </w:object>
      </w:r>
      <w:r w:rsidRPr="003A58C4">
        <w:t xml:space="preserve">, where </w:t>
      </w:r>
      <w:r w:rsidRPr="003A58C4">
        <w:rPr>
          <w:i/>
        </w:rPr>
        <w:t>e</w:t>
      </w:r>
      <w:r w:rsidRPr="003A58C4">
        <w:t xml:space="preserve"> is the equivalent thickness averaged over the metal-</w:t>
      </w:r>
      <w:r>
        <w:t>mold</w:t>
      </w:r>
      <w:r w:rsidRPr="003A58C4">
        <w:t xml:space="preserve"> interface and </w:t>
      </w:r>
      <w:r w:rsidRPr="003A58C4">
        <w:rPr>
          <w:i/>
        </w:rPr>
        <w:t>k</w:t>
      </w:r>
      <w:r w:rsidRPr="00727E8A">
        <w:rPr>
          <w:i/>
          <w:sz w:val="26"/>
          <w:vertAlign w:val="subscript"/>
        </w:rPr>
        <w:t>i</w:t>
      </w:r>
      <w:r w:rsidRPr="003A58C4">
        <w:rPr>
          <w:i/>
        </w:rPr>
        <w:t xml:space="preserve"> </w:t>
      </w:r>
      <w:r w:rsidRPr="003A58C4">
        <w:t xml:space="preserve">an effective thermal conductivity of the gas. Then, </w:t>
      </w:r>
      <w:r w:rsidRPr="003A58C4">
        <w:rPr>
          <w:position w:val="-12"/>
        </w:rPr>
        <w:object w:dxaOrig="220" w:dyaOrig="360" w14:anchorId="6327AE94">
          <v:shape id="_x0000_i1103" type="#_x0000_t75" style="width:10.3pt;height:17.75pt" o:ole="">
            <v:imagedata r:id="rId158" o:title=""/>
          </v:shape>
          <o:OLEObject Type="Embed" ProgID="Equation.DSMT4" ShapeID="_x0000_i1103" DrawAspect="Content" ObjectID="_1840626669" r:id="rId162"/>
        </w:object>
      </w:r>
      <w:r w:rsidRPr="003A58C4">
        <w:t xml:space="preserve"> corresponds to an average value represented by the equivalent model of Fig. 2.</w:t>
      </w:r>
      <w:r>
        <w:t>3</w:t>
      </w:r>
      <w:r w:rsidRPr="003A58C4">
        <w:t xml:space="preserve">b but local values can be considerably different. The important aspects for modeling </w:t>
      </w:r>
      <w:r w:rsidRPr="003A58C4">
        <w:rPr>
          <w:position w:val="-12"/>
        </w:rPr>
        <w:object w:dxaOrig="220" w:dyaOrig="360" w14:anchorId="04613C7C">
          <v:shape id="_x0000_i1104" type="#_x0000_t75" style="width:10.3pt;height:17.75pt" o:ole="">
            <v:imagedata r:id="rId158" o:title=""/>
          </v:shape>
          <o:OLEObject Type="Embed" ProgID="Equation.DSMT4" ShapeID="_x0000_i1104" DrawAspect="Content" ObjectID="_1840626670" r:id="rId163"/>
        </w:object>
      </w:r>
      <w:r w:rsidRPr="003A58C4">
        <w:t xml:space="preserve"> are the identity of the gas in the gap and the gap thickness. When radiation effects </w:t>
      </w:r>
      <w:r w:rsidR="00693642">
        <w:t>dominate</w:t>
      </w:r>
      <w:r w:rsidRPr="003A58C4">
        <w:t xml:space="preserve">, an effective heat transfer coefficient pertaining to the radiative heat transport can be written as </w:t>
      </w:r>
    </w:p>
    <w:p w14:paraId="0C04EA23" w14:textId="77777777" w:rsidR="00F726FE" w:rsidRPr="003A58C4" w:rsidRDefault="00F726FE" w:rsidP="00015B17">
      <w:pPr>
        <w:spacing w:line="360" w:lineRule="auto"/>
      </w:pPr>
    </w:p>
    <w:p w14:paraId="33970127" w14:textId="77777777" w:rsidR="00015B17" w:rsidRDefault="00015B17" w:rsidP="00015B17">
      <w:pPr>
        <w:spacing w:line="360" w:lineRule="auto"/>
        <w:jc w:val="center"/>
      </w:pPr>
      <w:r w:rsidRPr="003A58C4">
        <w:rPr>
          <w:position w:val="-30"/>
        </w:rPr>
        <w:object w:dxaOrig="2840" w:dyaOrig="800" w14:anchorId="215A16EC">
          <v:shape id="_x0000_i1105" type="#_x0000_t75" style="width:142.15pt;height:40.2pt" o:ole="">
            <v:imagedata r:id="rId164" o:title=""/>
          </v:shape>
          <o:OLEObject Type="Embed" ProgID="Equation.DSMT4" ShapeID="_x0000_i1105" DrawAspect="Content" ObjectID="_1840626671" r:id="rId165"/>
        </w:object>
      </w:r>
      <w:r>
        <w:tab/>
      </w:r>
      <w:r w:rsidR="00693642">
        <w:t>,</w:t>
      </w:r>
      <w:r>
        <w:tab/>
      </w:r>
      <w:r>
        <w:tab/>
        <w:t>(2.2</w:t>
      </w:r>
      <w:r w:rsidR="002006B3">
        <w:t>8</w:t>
      </w:r>
      <w:r>
        <w:t>)</w:t>
      </w:r>
    </w:p>
    <w:p w14:paraId="43141719" w14:textId="77777777" w:rsidR="00E65F4E" w:rsidRPr="003A58C4" w:rsidRDefault="00E65F4E" w:rsidP="00015B17">
      <w:pPr>
        <w:spacing w:line="360" w:lineRule="auto"/>
        <w:jc w:val="center"/>
      </w:pPr>
    </w:p>
    <w:p w14:paraId="74C7036E" w14:textId="6AB98994" w:rsidR="00015B17" w:rsidRDefault="00693642" w:rsidP="00015B17">
      <w:pPr>
        <w:spacing w:line="360" w:lineRule="auto"/>
      </w:pPr>
      <w:r>
        <w:t>w</w:t>
      </w:r>
      <w:r w:rsidR="00015B17" w:rsidRPr="003A58C4">
        <w:t xml:space="preserve">here </w:t>
      </w:r>
      <w:r w:rsidR="00015B17" w:rsidRPr="003A58C4">
        <w:rPr>
          <w:position w:val="-6"/>
        </w:rPr>
        <w:object w:dxaOrig="200" w:dyaOrig="220" w14:anchorId="182E2637">
          <v:shape id="_x0000_i1106" type="#_x0000_t75" style="width:10.3pt;height:10.3pt" o:ole="">
            <v:imagedata r:id="rId166" o:title=""/>
          </v:shape>
          <o:OLEObject Type="Embed" ProgID="Equation.DSMT4" ShapeID="_x0000_i1106" DrawAspect="Content" ObjectID="_1840626672" r:id="rId167"/>
        </w:object>
      </w:r>
      <w:r w:rsidR="00015B17" w:rsidRPr="003A58C4">
        <w:t xml:space="preserve"> is the emissivity</w:t>
      </w:r>
      <w:r w:rsidR="005F6459">
        <w:t xml:space="preserve"> </w:t>
      </w:r>
      <w:r w:rsidR="009F0830" w:rsidRPr="003E0F31">
        <w:rPr>
          <w:i/>
          <w:iCs/>
        </w:rPr>
        <w:t>T</w:t>
      </w:r>
      <w:r w:rsidR="009F0830" w:rsidRPr="003E0F31">
        <w:rPr>
          <w:i/>
          <w:iCs/>
          <w:sz w:val="26"/>
          <w:vertAlign w:val="subscript"/>
        </w:rPr>
        <w:t>iS</w:t>
      </w:r>
      <w:r w:rsidR="009F0830">
        <w:t xml:space="preserve"> and </w:t>
      </w:r>
      <w:r w:rsidR="009F0830" w:rsidRPr="003E0F31">
        <w:rPr>
          <w:i/>
          <w:iCs/>
        </w:rPr>
        <w:t>T</w:t>
      </w:r>
      <w:r w:rsidR="009F0830" w:rsidRPr="003E0F31">
        <w:rPr>
          <w:i/>
          <w:iCs/>
          <w:sz w:val="26"/>
          <w:vertAlign w:val="subscript"/>
        </w:rPr>
        <w:t>iM</w:t>
      </w:r>
      <w:r w:rsidR="009F0830">
        <w:t xml:space="preserve"> are the temperatures at the solid and the mold side of the gap</w:t>
      </w:r>
      <w:r w:rsidR="00997666">
        <w:t xml:space="preserve"> and</w:t>
      </w:r>
      <w:r w:rsidR="00997666" w:rsidRPr="003A58C4">
        <w:t xml:space="preserve"> </w:t>
      </w:r>
      <w:r w:rsidR="00015B17" w:rsidRPr="003A58C4">
        <w:rPr>
          <w:position w:val="-6"/>
        </w:rPr>
        <w:object w:dxaOrig="240" w:dyaOrig="220" w14:anchorId="3D7CD496">
          <v:shape id="_x0000_i1107" type="#_x0000_t75" style="width:12.15pt;height:10.3pt" o:ole="">
            <v:imagedata r:id="rId168" o:title=""/>
          </v:shape>
          <o:OLEObject Type="Embed" ProgID="Equation.DSMT4" ShapeID="_x0000_i1107" DrawAspect="Content" ObjectID="_1840626673" r:id="rId169"/>
        </w:object>
      </w:r>
      <w:r w:rsidR="00015B17" w:rsidRPr="003A58C4">
        <w:t xml:space="preserve"> is the Stefan-Boltzmann constant</w:t>
      </w:r>
      <w:r w:rsidR="00997666">
        <w:t>.</w:t>
      </w:r>
    </w:p>
    <w:p w14:paraId="11DB7BA4" w14:textId="77777777" w:rsidR="00E65F4E" w:rsidRPr="003A58C4" w:rsidRDefault="00E65F4E" w:rsidP="00015B17">
      <w:pPr>
        <w:spacing w:line="360" w:lineRule="auto"/>
      </w:pPr>
    </w:p>
    <w:p w14:paraId="2C22EC9D" w14:textId="77777777" w:rsidR="00015B17" w:rsidRDefault="00015B17" w:rsidP="00015B17">
      <w:pPr>
        <w:spacing w:line="360" w:lineRule="auto"/>
      </w:pPr>
      <w:r w:rsidRPr="003A58C4">
        <w:lastRenderedPageBreak/>
        <w:tab/>
        <w:t xml:space="preserve">HO and PEHLKE [1984] and </w:t>
      </w:r>
      <w:smartTag w:uri="urn:schemas-microsoft-com:office:smarttags" w:element="place">
        <w:smartTag w:uri="urn:schemas-microsoft-com:office:smarttags" w:element="City">
          <w:r w:rsidRPr="003A58C4">
            <w:t>CAMPBELL</w:t>
          </w:r>
        </w:smartTag>
      </w:smartTag>
      <w:r w:rsidRPr="003A58C4">
        <w:t xml:space="preserve"> [1991a], [1991b] discuss the nature of the gas in the gap. For iron and steel castings in sand </w:t>
      </w:r>
      <w:r>
        <w:t>mold</w:t>
      </w:r>
      <w:r w:rsidRPr="003A58C4">
        <w:t xml:space="preserve">s, the gas present is likely to be hydrogen. This is significant, because of the high thermal conductivity of hydrogen, which is of the order of seven times greater than for air. For metallic </w:t>
      </w:r>
      <w:r>
        <w:t>mold</w:t>
      </w:r>
      <w:r w:rsidRPr="003A58C4">
        <w:t>s the lower H</w:t>
      </w:r>
      <w:r w:rsidR="00693642" w:rsidRPr="00727E8A">
        <w:rPr>
          <w:sz w:val="26"/>
          <w:vertAlign w:val="subscript"/>
        </w:rPr>
        <w:t xml:space="preserve">2 </w:t>
      </w:r>
      <w:r w:rsidR="00693642">
        <w:t>gas</w:t>
      </w:r>
      <w:r w:rsidRPr="003A58C4">
        <w:t xml:space="preserve"> content in the gap will result in a lower thermal conductivity, but the </w:t>
      </w:r>
      <w:r w:rsidRPr="003A58C4">
        <w:rPr>
          <w:position w:val="-12"/>
        </w:rPr>
        <w:object w:dxaOrig="220" w:dyaOrig="360" w14:anchorId="78F458B4">
          <v:shape id="_x0000_i1108" type="#_x0000_t75" style="width:10.3pt;height:17.75pt" o:ole="">
            <v:imagedata r:id="rId158" o:title=""/>
          </v:shape>
          <o:OLEObject Type="Embed" ProgID="Equation.DSMT4" ShapeID="_x0000_i1108" DrawAspect="Content" ObjectID="_1840626674" r:id="rId170"/>
        </w:object>
      </w:r>
      <w:r w:rsidRPr="003A58C4">
        <w:t xml:space="preserve"> value may still be twice that of air (</w:t>
      </w:r>
      <w:smartTag w:uri="urn:schemas-microsoft-com:office:smarttags" w:element="place">
        <w:smartTag w:uri="urn:schemas-microsoft-com:office:smarttags" w:element="City">
          <w:r w:rsidRPr="003A58C4">
            <w:t>CAMPBELL</w:t>
          </w:r>
        </w:smartTag>
      </w:smartTag>
      <w:r w:rsidRPr="003A58C4">
        <w:t xml:space="preserve"> [1991b]). These conclusions must be considered seriously when </w:t>
      </w:r>
      <w:r w:rsidRPr="003A58C4">
        <w:rPr>
          <w:position w:val="-12"/>
        </w:rPr>
        <w:object w:dxaOrig="220" w:dyaOrig="360" w14:anchorId="50FBE5E7">
          <v:shape id="_x0000_i1109" type="#_x0000_t75" style="width:10.3pt;height:17.75pt" o:ole="">
            <v:imagedata r:id="rId158" o:title=""/>
          </v:shape>
          <o:OLEObject Type="Embed" ProgID="Equation.DSMT4" ShapeID="_x0000_i1109" DrawAspect="Content" ObjectID="_1840626675" r:id="rId171"/>
        </w:object>
      </w:r>
      <w:r w:rsidRPr="003A58C4">
        <w:t xml:space="preserve"> values are estimated for heat transfer calculations.</w:t>
      </w:r>
    </w:p>
    <w:p w14:paraId="52DC190D" w14:textId="77777777" w:rsidR="00E65F4E" w:rsidRPr="003A58C4" w:rsidRDefault="00E65F4E" w:rsidP="00015B17">
      <w:pPr>
        <w:spacing w:line="360" w:lineRule="auto"/>
      </w:pPr>
    </w:p>
    <w:p w14:paraId="60B9F5A4" w14:textId="77777777" w:rsidR="00015B17" w:rsidRDefault="00015B17" w:rsidP="00015B17">
      <w:pPr>
        <w:spacing w:line="360" w:lineRule="auto"/>
      </w:pPr>
      <w:r w:rsidRPr="003A58C4">
        <w:tab/>
        <w:t>The width of the gap is treated as a thermal expansion effect of the casting and the mold</w:t>
      </w:r>
      <w:r>
        <w:t xml:space="preserve"> </w:t>
      </w:r>
      <w:r w:rsidRPr="003A58C4">
        <w:t>(</w:t>
      </w:r>
      <w:smartTag w:uri="urn:schemas-microsoft-com:office:smarttags" w:element="place">
        <w:smartTag w:uri="urn:schemas-microsoft-com:office:smarttags" w:element="City">
          <w:r w:rsidRPr="003A58C4">
            <w:t>CAMPBELL</w:t>
          </w:r>
        </w:smartTag>
      </w:smartTag>
      <w:r w:rsidRPr="003A58C4">
        <w:t xml:space="preserve"> [1991a)]). If the mold expansion is considered homogeneous, transient heat flow consideration yields that </w:t>
      </w:r>
    </w:p>
    <w:p w14:paraId="59118053" w14:textId="77777777" w:rsidR="00E65F4E" w:rsidRPr="003A58C4" w:rsidRDefault="00E65F4E" w:rsidP="00015B17">
      <w:pPr>
        <w:spacing w:line="360" w:lineRule="auto"/>
      </w:pPr>
    </w:p>
    <w:p w14:paraId="0F74D1A3" w14:textId="45089C26" w:rsidR="00015B17" w:rsidRDefault="00000000" w:rsidP="00D42572">
      <w:pPr>
        <w:spacing w:line="360" w:lineRule="auto"/>
        <w:jc w:val="center"/>
      </w:pPr>
      <m:oMath>
        <m:f>
          <m:fPr>
            <m:ctrlPr>
              <w:rPr>
                <w:rFonts w:ascii="Cambria Math" w:hAnsi="Cambria Math"/>
                <w:i/>
              </w:rPr>
            </m:ctrlPr>
          </m:fPr>
          <m:num>
            <m:r>
              <w:rPr>
                <w:rFonts w:ascii="Cambria Math"/>
              </w:rPr>
              <m:t>d</m:t>
            </m:r>
          </m:num>
          <m:den>
            <m:sSub>
              <m:sSubPr>
                <m:ctrlPr>
                  <w:rPr>
                    <w:rFonts w:ascii="Cambria Math" w:hAnsi="Cambria Math"/>
                    <w:i/>
                  </w:rPr>
                </m:ctrlPr>
              </m:sSubPr>
              <m:e>
                <m:r>
                  <w:rPr>
                    <w:rFonts w:ascii="Cambria Math"/>
                  </w:rPr>
                  <m:t>L</m:t>
                </m:r>
              </m:e>
              <m:sub>
                <m:r>
                  <w:rPr>
                    <w:rFonts w:ascii="Cambria Math"/>
                  </w:rPr>
                  <m:t>0</m:t>
                </m:r>
              </m:sub>
            </m:sSub>
          </m:den>
        </m:f>
        <m:r>
          <w:rPr>
            <w:rFonts w:ascii="Cambria Math" w:hAnsi="Cambria Math" w:cs="Cambria Math"/>
          </w:rPr>
          <m:t>∼</m:t>
        </m:r>
        <m:sSub>
          <m:sSubPr>
            <m:ctrlPr>
              <w:rPr>
                <w:rFonts w:ascii="Cambria Math" w:hAnsi="Cambria Math"/>
                <w:i/>
              </w:rPr>
            </m:ctrlPr>
          </m:sSubPr>
          <m:e>
            <m:r>
              <w:rPr>
                <w:rFonts w:ascii="Cambria Math"/>
              </w:rPr>
              <m:t>α</m:t>
            </m:r>
          </m:e>
          <m:sub>
            <m:r>
              <w:rPr>
                <w:rFonts w:ascii="Cambria Math"/>
              </w:rPr>
              <m:t>C</m:t>
            </m:r>
          </m:sub>
        </m:sSub>
        <m:d>
          <m:dPr>
            <m:ctrlPr>
              <w:rPr>
                <w:rFonts w:ascii="Cambria Math" w:hAnsi="Cambria Math"/>
                <w:i/>
              </w:rPr>
            </m:ctrlPr>
          </m:dPr>
          <m:e>
            <m:sSub>
              <m:sSubPr>
                <m:ctrlPr>
                  <w:rPr>
                    <w:rFonts w:ascii="Cambria Math" w:hAnsi="Cambria Math"/>
                    <w:i/>
                  </w:rPr>
                </m:ctrlPr>
              </m:sSubPr>
              <m:e>
                <m:r>
                  <w:rPr>
                    <w:rFonts w:ascii="Cambria Math"/>
                  </w:rPr>
                  <m:t>T</m:t>
                </m:r>
              </m:e>
              <m:sub>
                <m:r>
                  <w:rPr>
                    <w:rFonts w:ascii="Cambria Math"/>
                  </w:rPr>
                  <m:t>m</m:t>
                </m:r>
              </m:sub>
            </m:sSub>
            <m:r>
              <w:rPr>
                <w:rFonts w:ascii="Cambria Math"/>
              </w:rPr>
              <m:t>-</m:t>
            </m:r>
            <m:r>
              <w:rPr>
                <w:rFonts w:ascii="Cambria Math"/>
              </w:rPr>
              <m:t>T</m:t>
            </m:r>
          </m:e>
        </m:d>
        <m:r>
          <w:rPr>
            <w:rFonts w:ascii="Cambria Math"/>
          </w:rPr>
          <m:t>+</m:t>
        </m:r>
        <m:sSub>
          <m:sSubPr>
            <m:ctrlPr>
              <w:rPr>
                <w:rFonts w:ascii="Cambria Math" w:hAnsi="Cambria Math"/>
                <w:i/>
              </w:rPr>
            </m:ctrlPr>
          </m:sSubPr>
          <m:e>
            <m:r>
              <w:rPr>
                <w:rFonts w:ascii="Cambria Math"/>
              </w:rPr>
              <m:t>α</m:t>
            </m:r>
          </m:e>
          <m:sub>
            <m:r>
              <w:rPr>
                <w:rFonts w:ascii="Cambria Math"/>
              </w:rPr>
              <m:t>M</m:t>
            </m:r>
          </m:sub>
        </m:sSub>
        <m:d>
          <m:dPr>
            <m:ctrlPr>
              <w:rPr>
                <w:rFonts w:ascii="Cambria Math" w:hAnsi="Cambria Math"/>
                <w:i/>
              </w:rPr>
            </m:ctrlPr>
          </m:dPr>
          <m:e>
            <m:sSub>
              <m:sSubPr>
                <m:ctrlPr>
                  <w:rPr>
                    <w:rFonts w:ascii="Cambria Math" w:hAnsi="Cambria Math"/>
                    <w:i/>
                  </w:rPr>
                </m:ctrlPr>
              </m:sSubPr>
              <m:e>
                <m:r>
                  <w:rPr>
                    <w:rFonts w:ascii="Cambria Math"/>
                  </w:rPr>
                  <m:t>T</m:t>
                </m:r>
              </m:e>
              <m:sub>
                <m:r>
                  <w:rPr>
                    <w:rFonts w:ascii="Cambria Math"/>
                  </w:rPr>
                  <m:t>Mi</m:t>
                </m:r>
              </m:sub>
            </m:sSub>
            <m:r>
              <w:rPr>
                <w:rFonts w:ascii="Cambria Math"/>
              </w:rPr>
              <m:t>-</m:t>
            </m:r>
            <m:sSub>
              <m:sSubPr>
                <m:ctrlPr>
                  <w:rPr>
                    <w:rFonts w:ascii="Cambria Math" w:hAnsi="Cambria Math"/>
                    <w:i/>
                  </w:rPr>
                </m:ctrlPr>
              </m:sSubPr>
              <m:e>
                <m:r>
                  <w:rPr>
                    <w:rFonts w:ascii="Cambria Math"/>
                  </w:rPr>
                  <m:t>T</m:t>
                </m:r>
              </m:e>
              <m:sub>
                <m:r>
                  <w:rPr>
                    <w:rFonts w:ascii="Cambria Math"/>
                  </w:rPr>
                  <m:t>0</m:t>
                </m:r>
              </m:sub>
            </m:sSub>
          </m:e>
        </m:d>
      </m:oMath>
      <w:r w:rsidR="00693642">
        <w:t>,</w:t>
      </w:r>
      <w:r w:rsidR="00015B17">
        <w:tab/>
      </w:r>
      <w:r w:rsidR="00015B17">
        <w:tab/>
        <w:t>(2.2</w:t>
      </w:r>
      <w:r w:rsidR="002006B3">
        <w:t>9</w:t>
      </w:r>
      <w:r w:rsidR="00015B17">
        <w:t>)</w:t>
      </w:r>
    </w:p>
    <w:p w14:paraId="0F9B19C2" w14:textId="77777777" w:rsidR="00E65F4E" w:rsidRPr="003A58C4" w:rsidRDefault="00E65F4E" w:rsidP="00015B17">
      <w:pPr>
        <w:spacing w:line="360" w:lineRule="auto"/>
        <w:jc w:val="center"/>
      </w:pPr>
    </w:p>
    <w:p w14:paraId="4C37DC27" w14:textId="77777777" w:rsidR="00E65F4E" w:rsidRDefault="00015B17" w:rsidP="00015B17">
      <w:pPr>
        <w:spacing w:line="360" w:lineRule="auto"/>
      </w:pPr>
      <w:r>
        <w:t>w</w:t>
      </w:r>
      <w:r w:rsidRPr="003A58C4">
        <w:t xml:space="preserve">here </w:t>
      </w:r>
      <w:r w:rsidRPr="003A58C4">
        <w:rPr>
          <w:i/>
        </w:rPr>
        <w:t>d</w:t>
      </w:r>
      <w:r w:rsidRPr="003A58C4">
        <w:t xml:space="preserve"> = gap size, </w:t>
      </w:r>
      <w:r w:rsidR="00693642">
        <w:rPr>
          <w:i/>
        </w:rPr>
        <w:t>L</w:t>
      </w:r>
      <w:r w:rsidR="00693642" w:rsidRPr="00727E8A">
        <w:rPr>
          <w:i/>
          <w:sz w:val="26"/>
          <w:vertAlign w:val="subscript"/>
        </w:rPr>
        <w:t>0</w:t>
      </w:r>
      <w:r w:rsidR="00693642" w:rsidRPr="003A58C4">
        <w:t xml:space="preserve"> </w:t>
      </w:r>
      <w:r w:rsidRPr="003A58C4">
        <w:t>= casting diameter,</w:t>
      </w:r>
      <w:r w:rsidRPr="003A58C4">
        <w:rPr>
          <w:position w:val="-12"/>
        </w:rPr>
        <w:object w:dxaOrig="279" w:dyaOrig="360" w14:anchorId="5481C681">
          <v:shape id="_x0000_i1110" type="#_x0000_t75" style="width:14.05pt;height:17.75pt" o:ole="">
            <v:imagedata r:id="rId172" o:title=""/>
          </v:shape>
          <o:OLEObject Type="Embed" ProgID="Equation.DSMT4" ShapeID="_x0000_i1110" DrawAspect="Content" ObjectID="_1840626676" r:id="rId173"/>
        </w:object>
      </w:r>
      <w:r w:rsidRPr="003A58C4">
        <w:t xml:space="preserve"> = freezing point, </w:t>
      </w:r>
      <w:r w:rsidRPr="003A58C4">
        <w:rPr>
          <w:position w:val="-12"/>
        </w:rPr>
        <w:object w:dxaOrig="340" w:dyaOrig="360" w14:anchorId="11A930A3">
          <v:shape id="_x0000_i1111" type="#_x0000_t75" style="width:16.85pt;height:17.75pt" o:ole="">
            <v:imagedata r:id="rId174" o:title=""/>
          </v:shape>
          <o:OLEObject Type="Embed" ProgID="Equation.DSMT4" ShapeID="_x0000_i1111" DrawAspect="Content" ObjectID="_1840626677" r:id="rId175"/>
        </w:object>
      </w:r>
      <w:r w:rsidRPr="003A58C4">
        <w:t xml:space="preserve">= temperature of the mold interface, </w:t>
      </w:r>
      <w:r w:rsidRPr="003A58C4">
        <w:rPr>
          <w:position w:val="-12"/>
        </w:rPr>
        <w:object w:dxaOrig="260" w:dyaOrig="360" w14:anchorId="22BB94AA">
          <v:shape id="_x0000_i1112" type="#_x0000_t75" style="width:13.1pt;height:17.75pt" o:ole="">
            <v:imagedata r:id="rId176" o:title=""/>
          </v:shape>
          <o:OLEObject Type="Embed" ProgID="Equation.DSMT4" ShapeID="_x0000_i1112" DrawAspect="Content" ObjectID="_1840626678" r:id="rId177"/>
        </w:object>
      </w:r>
      <w:r w:rsidRPr="003A58C4">
        <w:t xml:space="preserve"> = original temperature of the mold, </w:t>
      </w:r>
      <w:r w:rsidRPr="003A58C4">
        <w:rPr>
          <w:position w:val="-12"/>
        </w:rPr>
        <w:object w:dxaOrig="320" w:dyaOrig="360" w14:anchorId="1143011F">
          <v:shape id="_x0000_i1113" type="#_x0000_t75" style="width:16.85pt;height:17.75pt" o:ole="">
            <v:imagedata r:id="rId178" o:title=""/>
          </v:shape>
          <o:OLEObject Type="Embed" ProgID="Equation.DSMT4" ShapeID="_x0000_i1113" DrawAspect="Content" ObjectID="_1840626679" r:id="rId179"/>
        </w:object>
      </w:r>
      <w:r w:rsidRPr="003A58C4">
        <w:t>= casting thermal diffusivity,</w:t>
      </w:r>
      <w:r w:rsidRPr="003A58C4">
        <w:rPr>
          <w:position w:val="-10"/>
        </w:rPr>
        <w:object w:dxaOrig="360" w:dyaOrig="340" w14:anchorId="528EC10D">
          <v:shape id="_x0000_i1114" type="#_x0000_t75" style="width:17.75pt;height:16.85pt" o:ole="">
            <v:imagedata r:id="rId180" o:title=""/>
          </v:shape>
          <o:OLEObject Type="Embed" ProgID="Equation.DSMT4" ShapeID="_x0000_i1114" DrawAspect="Content" ObjectID="_1840626680" r:id="rId181"/>
        </w:object>
      </w:r>
      <w:r w:rsidRPr="003A58C4">
        <w:t xml:space="preserve"> = </w:t>
      </w:r>
      <w:r>
        <w:t>mold</w:t>
      </w:r>
      <w:r w:rsidRPr="003A58C4">
        <w:t xml:space="preserve"> thermal diffusivity.</w:t>
      </w:r>
    </w:p>
    <w:p w14:paraId="1605923F" w14:textId="77777777" w:rsidR="00015B17" w:rsidRPr="003A58C4" w:rsidRDefault="00015B17" w:rsidP="00015B17">
      <w:pPr>
        <w:spacing w:line="360" w:lineRule="auto"/>
      </w:pPr>
      <w:r w:rsidRPr="003A58C4">
        <w:t xml:space="preserve">  </w:t>
      </w:r>
    </w:p>
    <w:p w14:paraId="6EC838B3" w14:textId="765B268F" w:rsidR="00015B17" w:rsidRDefault="00015B17" w:rsidP="00015B17">
      <w:pPr>
        <w:spacing w:line="360" w:lineRule="auto"/>
      </w:pPr>
      <w:r w:rsidRPr="003A58C4">
        <w:tab/>
        <w:t xml:space="preserve">However, in general, there will be powerful geometrical effects and the gap thickness can change differently in various parts of the </w:t>
      </w:r>
      <w:r>
        <w:t>mold</w:t>
      </w:r>
      <w:r w:rsidRPr="003A58C4">
        <w:t xml:space="preserve">. Therefore, the situation in shaped casting is complicated as </w:t>
      </w:r>
      <w:smartTag w:uri="urn:schemas-microsoft-com:office:smarttags" w:element="place">
        <w:smartTag w:uri="urn:schemas-microsoft-com:office:smarttags" w:element="City">
          <w:r w:rsidRPr="003A58C4">
            <w:t>CAMPBELL</w:t>
          </w:r>
        </w:smartTag>
      </w:smartTag>
      <w:r w:rsidRPr="003A58C4">
        <w:t xml:space="preserve"> [1991b] affirms and has yet to be tackled successfully by theoretical models. </w:t>
      </w:r>
      <w:r w:rsidR="001408F1" w:rsidRPr="003A58C4">
        <w:t>Indeed,</w:t>
      </w:r>
      <w:r w:rsidRPr="003A58C4">
        <w:t xml:space="preserve"> HO and PELKE [1984] and [1985] demonstrate the difference in </w:t>
      </w:r>
      <w:r w:rsidRPr="003A58C4">
        <w:rPr>
          <w:position w:val="-12"/>
        </w:rPr>
        <w:object w:dxaOrig="220" w:dyaOrig="360" w14:anchorId="4990F1CE">
          <v:shape id="_x0000_i1115" type="#_x0000_t75" style="width:10.3pt;height:17.75pt" o:ole="">
            <v:imagedata r:id="rId158" o:title=""/>
          </v:shape>
          <o:OLEObject Type="Embed" ProgID="Equation.DSMT4" ShapeID="_x0000_i1115" DrawAspect="Content" ObjectID="_1840626681" r:id="rId182"/>
        </w:object>
      </w:r>
      <w:r w:rsidRPr="003A58C4">
        <w:t xml:space="preserve">  value obtained for chilling surfaces located at the top or bottom of a cylindrical Al casting.</w:t>
      </w:r>
      <w:r>
        <w:t xml:space="preserve"> Additional details on implementing the heat transfer across the casting/mold interface is described later in this section.</w:t>
      </w:r>
    </w:p>
    <w:p w14:paraId="1234259D" w14:textId="77777777" w:rsidR="00E65F4E" w:rsidRPr="003A58C4" w:rsidRDefault="00E65F4E" w:rsidP="00015B17">
      <w:pPr>
        <w:spacing w:line="360" w:lineRule="auto"/>
      </w:pPr>
    </w:p>
    <w:p w14:paraId="3E190766" w14:textId="127B8B56" w:rsidR="001408F1" w:rsidRDefault="00015B17" w:rsidP="00015B17">
      <w:pPr>
        <w:spacing w:line="360" w:lineRule="auto"/>
      </w:pPr>
      <w:r w:rsidRPr="003A58C4">
        <w:tab/>
        <w:t xml:space="preserve">MEHRABIAN [1982] reported the measurement of </w:t>
      </w:r>
      <w:r w:rsidRPr="003A58C4">
        <w:rPr>
          <w:position w:val="-12"/>
        </w:rPr>
        <w:object w:dxaOrig="220" w:dyaOrig="360" w14:anchorId="58993CC2">
          <v:shape id="_x0000_i1116" type="#_x0000_t75" style="width:10.3pt;height:17.75pt" o:ole="">
            <v:imagedata r:id="rId158" o:title=""/>
          </v:shape>
          <o:OLEObject Type="Embed" ProgID="Equation.DSMT4" ShapeID="_x0000_i1116" DrawAspect="Content" ObjectID="_1840626682" r:id="rId183"/>
        </w:object>
      </w:r>
      <w:r w:rsidRPr="003A58C4">
        <w:t xml:space="preserve">  in splat cooling, in pressurized aluminum against a steel mold and in liquid die casting against a steel </w:t>
      </w:r>
      <w:r>
        <w:t>mold</w:t>
      </w:r>
      <w:r w:rsidRPr="003A58C4">
        <w:t xml:space="preserve">. He </w:t>
      </w:r>
      <w:r w:rsidR="00997666" w:rsidRPr="003A58C4">
        <w:t>estimate</w:t>
      </w:r>
      <w:r w:rsidR="00997666">
        <w:t>d</w:t>
      </w:r>
      <w:r w:rsidR="00997666" w:rsidRPr="003A58C4">
        <w:t xml:space="preserve"> </w:t>
      </w:r>
      <w:r w:rsidRPr="003A58C4">
        <w:t xml:space="preserve">that an upper limit exists for practically achievable heat transfer between </w:t>
      </w:r>
      <w:r w:rsidRPr="003A58C4">
        <w:lastRenderedPageBreak/>
        <w:t xml:space="preserve">liquid and substrates of about </w:t>
      </w:r>
      <w:r w:rsidRPr="003A58C4">
        <w:rPr>
          <w:position w:val="-12"/>
        </w:rPr>
        <w:object w:dxaOrig="1860" w:dyaOrig="380" w14:anchorId="09BCBEEA">
          <v:shape id="_x0000_i1117" type="#_x0000_t75" style="width:92.55pt;height:18.7pt" o:ole="">
            <v:imagedata r:id="rId184" o:title=""/>
          </v:shape>
          <o:OLEObject Type="Embed" ProgID="Equation.DSMT4" ShapeID="_x0000_i1117" DrawAspect="Content" ObjectID="_1840626683" r:id="rId185"/>
        </w:object>
      </w:r>
      <w:r w:rsidRPr="003A58C4">
        <w:t xml:space="preserve"> to </w:t>
      </w:r>
      <w:r w:rsidRPr="003A58C4">
        <w:rPr>
          <w:position w:val="-12"/>
        </w:rPr>
        <w:object w:dxaOrig="1860" w:dyaOrig="380" w14:anchorId="28F4C1B8">
          <v:shape id="_x0000_i1118" type="#_x0000_t75" style="width:92.55pt;height:18.7pt" o:ole="">
            <v:imagedata r:id="rId186" o:title=""/>
          </v:shape>
          <o:OLEObject Type="Embed" ProgID="Equation.DSMT4" ShapeID="_x0000_i1118" DrawAspect="Content" ObjectID="_1840626684" r:id="rId187"/>
        </w:object>
      </w:r>
      <w:r w:rsidRPr="003A58C4">
        <w:t xml:space="preserve">. Table 2.1 gives the order of magnitude of </w:t>
      </w:r>
      <w:r w:rsidRPr="003A58C4">
        <w:rPr>
          <w:position w:val="-12"/>
        </w:rPr>
        <w:object w:dxaOrig="220" w:dyaOrig="360" w14:anchorId="50B877D9">
          <v:shape id="_x0000_i1119" type="#_x0000_t75" style="width:10.3pt;height:17.75pt" o:ole="">
            <v:imagedata r:id="rId158" o:title=""/>
          </v:shape>
          <o:OLEObject Type="Embed" ProgID="Equation.DSMT4" ShapeID="_x0000_i1119" DrawAspect="Content" ObjectID="_1840626685" r:id="rId188"/>
        </w:object>
      </w:r>
      <w:r w:rsidRPr="003A58C4">
        <w:t xml:space="preserve"> for different conditions of a metal in contact with a </w:t>
      </w:r>
      <w:r>
        <w:t>mold</w:t>
      </w:r>
    </w:p>
    <w:p w14:paraId="613DACB1" w14:textId="77777777" w:rsidR="001408F1" w:rsidRPr="003A58C4" w:rsidRDefault="001408F1" w:rsidP="001408F1">
      <w:pPr>
        <w:spacing w:line="360" w:lineRule="auto"/>
      </w:pPr>
      <w:r w:rsidRPr="003A58C4">
        <w:t>Table 2.1</w:t>
      </w:r>
    </w:p>
    <w:p w14:paraId="1616FDEF" w14:textId="77777777" w:rsidR="001408F1" w:rsidRPr="003A58C4" w:rsidRDefault="001408F1" w:rsidP="001408F1">
      <w:pPr>
        <w:tabs>
          <w:tab w:val="left" w:pos="-1440"/>
          <w:tab w:val="left" w:pos="-720"/>
          <w:tab w:val="left" w:pos="0"/>
          <w:tab w:val="left" w:pos="737"/>
          <w:tab w:val="left" w:pos="1929"/>
          <w:tab w:val="left" w:pos="2160"/>
        </w:tabs>
        <w:suppressAutoHyphens/>
        <w:spacing w:line="360" w:lineRule="auto"/>
        <w:jc w:val="center"/>
      </w:pPr>
      <w:r w:rsidRPr="003A58C4">
        <w:t>Order of magnitude of heat-transfer coefficient,</w:t>
      </w:r>
      <w:r w:rsidRPr="00A743F2">
        <w:rPr>
          <w:position w:val="-12"/>
        </w:rPr>
        <w:object w:dxaOrig="220" w:dyaOrig="360" w14:anchorId="4FDAAF06">
          <v:shape id="_x0000_i1120" type="#_x0000_t75" style="width:10.3pt;height:17.75pt" o:ole="">
            <v:imagedata r:id="rId189" o:title=""/>
          </v:shape>
          <o:OLEObject Type="Embed" ProgID="Equation.DSMT4" ShapeID="_x0000_i1120" DrawAspect="Content" ObjectID="_1840626686" r:id="rId190"/>
        </w:object>
      </w:r>
      <w:r w:rsidRPr="003A58C4">
        <w:t>, for different processes. Mehrabian [1982].</w:t>
      </w:r>
    </w:p>
    <w:tbl>
      <w:tblPr>
        <w:tblW w:w="0" w:type="auto"/>
        <w:tblInd w:w="915" w:type="dxa"/>
        <w:tblLayout w:type="fixed"/>
        <w:tblCellMar>
          <w:left w:w="120" w:type="dxa"/>
          <w:right w:w="120" w:type="dxa"/>
        </w:tblCellMar>
        <w:tblLook w:val="0000" w:firstRow="0" w:lastRow="0" w:firstColumn="0" w:lastColumn="0" w:noHBand="0" w:noVBand="0"/>
      </w:tblPr>
      <w:tblGrid>
        <w:gridCol w:w="3174"/>
        <w:gridCol w:w="3402"/>
      </w:tblGrid>
      <w:tr w:rsidR="001408F1" w:rsidRPr="003A58C4" w14:paraId="11B8F3C1" w14:textId="77777777">
        <w:tc>
          <w:tcPr>
            <w:tcW w:w="3174" w:type="dxa"/>
            <w:tcBorders>
              <w:top w:val="double" w:sz="6" w:space="0" w:color="auto"/>
              <w:left w:val="double" w:sz="6" w:space="0" w:color="auto"/>
              <w:bottom w:val="nil"/>
              <w:right w:val="nil"/>
            </w:tcBorders>
          </w:tcPr>
          <w:p w14:paraId="0B18886D" w14:textId="77777777" w:rsidR="001408F1" w:rsidRPr="003A58C4" w:rsidRDefault="001408F1">
            <w:pPr>
              <w:tabs>
                <w:tab w:val="left" w:pos="-1440"/>
                <w:tab w:val="left" w:pos="-720"/>
                <w:tab w:val="left" w:pos="0"/>
                <w:tab w:val="left" w:pos="737"/>
                <w:tab w:val="left" w:pos="1929"/>
                <w:tab w:val="left" w:pos="2160"/>
              </w:tabs>
              <w:suppressAutoHyphens/>
              <w:spacing w:after="54" w:line="360" w:lineRule="auto"/>
            </w:pPr>
            <w:r w:rsidRPr="003A58C4">
              <w:fldChar w:fldCharType="begin"/>
            </w:r>
            <w:r w:rsidRPr="003A58C4">
              <w:instrText xml:space="preserve">PRIVATE </w:instrText>
            </w:r>
            <w:r w:rsidRPr="003A58C4">
              <w:fldChar w:fldCharType="end"/>
            </w:r>
            <w:r w:rsidRPr="003A58C4">
              <w:t>Process</w:t>
            </w:r>
          </w:p>
        </w:tc>
        <w:tc>
          <w:tcPr>
            <w:tcW w:w="3402" w:type="dxa"/>
            <w:tcBorders>
              <w:top w:val="double" w:sz="6" w:space="0" w:color="auto"/>
              <w:left w:val="single" w:sz="6" w:space="0" w:color="auto"/>
              <w:bottom w:val="nil"/>
              <w:right w:val="double" w:sz="6" w:space="0" w:color="auto"/>
            </w:tcBorders>
          </w:tcPr>
          <w:p w14:paraId="473685D4" w14:textId="77777777" w:rsidR="001408F1" w:rsidRPr="003A58C4" w:rsidRDefault="001408F1">
            <w:pPr>
              <w:tabs>
                <w:tab w:val="left" w:pos="-1440"/>
                <w:tab w:val="left" w:pos="-720"/>
                <w:tab w:val="left" w:pos="0"/>
                <w:tab w:val="left" w:pos="737"/>
                <w:tab w:val="left" w:pos="1929"/>
                <w:tab w:val="left" w:pos="2160"/>
              </w:tabs>
              <w:suppressAutoHyphens/>
              <w:spacing w:after="54" w:line="360" w:lineRule="auto"/>
              <w:jc w:val="center"/>
            </w:pPr>
            <w:r w:rsidRPr="003A58C4">
              <w:rPr>
                <w:i/>
              </w:rPr>
              <w:t>h</w:t>
            </w:r>
            <w:r w:rsidRPr="00727E8A">
              <w:rPr>
                <w:i/>
                <w:sz w:val="26"/>
                <w:vertAlign w:val="subscript"/>
              </w:rPr>
              <w:t>i</w:t>
            </w:r>
            <w:r w:rsidRPr="003A58C4">
              <w:rPr>
                <w:i/>
              </w:rPr>
              <w:t xml:space="preserve"> </w:t>
            </w:r>
            <w:r w:rsidRPr="003A58C4">
              <w:t>(W/m</w:t>
            </w:r>
            <w:r w:rsidRPr="00883A53">
              <w:rPr>
                <w:sz w:val="26"/>
                <w:vertAlign w:val="superscript"/>
              </w:rPr>
              <w:t>2</w:t>
            </w:r>
            <w:r w:rsidRPr="003A58C4">
              <w:t>K)</w:t>
            </w:r>
          </w:p>
        </w:tc>
      </w:tr>
      <w:tr w:rsidR="001408F1" w:rsidRPr="003A58C4" w14:paraId="4B2E4D7F" w14:textId="77777777">
        <w:tc>
          <w:tcPr>
            <w:tcW w:w="3174" w:type="dxa"/>
            <w:tcBorders>
              <w:top w:val="single" w:sz="6" w:space="0" w:color="auto"/>
              <w:left w:val="double" w:sz="6" w:space="0" w:color="auto"/>
              <w:bottom w:val="nil"/>
              <w:right w:val="nil"/>
            </w:tcBorders>
          </w:tcPr>
          <w:p w14:paraId="7F6BEF80" w14:textId="77777777" w:rsidR="001408F1" w:rsidRPr="003A58C4" w:rsidRDefault="001408F1">
            <w:pPr>
              <w:tabs>
                <w:tab w:val="left" w:pos="-1440"/>
                <w:tab w:val="left" w:pos="-720"/>
                <w:tab w:val="left" w:pos="0"/>
                <w:tab w:val="left" w:pos="737"/>
                <w:tab w:val="left" w:pos="1929"/>
                <w:tab w:val="left" w:pos="2160"/>
              </w:tabs>
              <w:suppressAutoHyphens/>
              <w:spacing w:after="54" w:line="360" w:lineRule="auto"/>
              <w:rPr>
                <w:b/>
                <w:bCs/>
              </w:rPr>
            </w:pPr>
            <w:r w:rsidRPr="003A58C4">
              <w:t xml:space="preserve">Massive </w:t>
            </w:r>
            <w:r>
              <w:t>mold</w:t>
            </w:r>
            <w:r w:rsidRPr="003A58C4">
              <w:t>, polished</w:t>
            </w:r>
          </w:p>
        </w:tc>
        <w:tc>
          <w:tcPr>
            <w:tcW w:w="3402" w:type="dxa"/>
            <w:tcBorders>
              <w:top w:val="single" w:sz="6" w:space="0" w:color="auto"/>
              <w:left w:val="single" w:sz="6" w:space="0" w:color="auto"/>
              <w:bottom w:val="nil"/>
              <w:right w:val="double" w:sz="6" w:space="0" w:color="auto"/>
            </w:tcBorders>
          </w:tcPr>
          <w:p w14:paraId="6AD01123" w14:textId="77777777" w:rsidR="001408F1" w:rsidRPr="003A58C4" w:rsidRDefault="001408F1">
            <w:pPr>
              <w:tabs>
                <w:tab w:val="left" w:pos="-1440"/>
                <w:tab w:val="left" w:pos="-720"/>
                <w:tab w:val="left" w:pos="0"/>
                <w:tab w:val="left" w:pos="737"/>
                <w:tab w:val="left" w:pos="1929"/>
                <w:tab w:val="left" w:pos="2160"/>
              </w:tabs>
              <w:suppressAutoHyphens/>
              <w:spacing w:after="54" w:line="360" w:lineRule="auto"/>
              <w:jc w:val="center"/>
            </w:pPr>
            <w:r w:rsidRPr="003A58C4">
              <w:t>4 x 10</w:t>
            </w:r>
            <w:r w:rsidRPr="00883A53">
              <w:rPr>
                <w:sz w:val="26"/>
                <w:vertAlign w:val="superscript"/>
              </w:rPr>
              <w:t>3</w:t>
            </w:r>
          </w:p>
        </w:tc>
      </w:tr>
      <w:tr w:rsidR="001408F1" w:rsidRPr="003A58C4" w14:paraId="3C5526C2" w14:textId="77777777">
        <w:tc>
          <w:tcPr>
            <w:tcW w:w="3174" w:type="dxa"/>
            <w:tcBorders>
              <w:top w:val="single" w:sz="6" w:space="0" w:color="auto"/>
              <w:left w:val="double" w:sz="6" w:space="0" w:color="auto"/>
              <w:bottom w:val="nil"/>
              <w:right w:val="nil"/>
            </w:tcBorders>
          </w:tcPr>
          <w:p w14:paraId="4A5FDCA0" w14:textId="77777777" w:rsidR="001408F1" w:rsidRPr="003A58C4" w:rsidRDefault="001408F1">
            <w:pPr>
              <w:tabs>
                <w:tab w:val="left" w:pos="-1440"/>
                <w:tab w:val="left" w:pos="-720"/>
                <w:tab w:val="left" w:pos="0"/>
                <w:tab w:val="left" w:pos="737"/>
                <w:tab w:val="left" w:pos="1929"/>
                <w:tab w:val="left" w:pos="2160"/>
              </w:tabs>
              <w:suppressAutoHyphens/>
              <w:spacing w:after="54" w:line="360" w:lineRule="auto"/>
            </w:pPr>
            <w:r w:rsidRPr="003A58C4">
              <w:t xml:space="preserve">Massive </w:t>
            </w:r>
            <w:r>
              <w:t>mold</w:t>
            </w:r>
            <w:r w:rsidRPr="003A58C4">
              <w:t>, coated</w:t>
            </w:r>
          </w:p>
        </w:tc>
        <w:tc>
          <w:tcPr>
            <w:tcW w:w="3402" w:type="dxa"/>
            <w:tcBorders>
              <w:top w:val="single" w:sz="6" w:space="0" w:color="auto"/>
              <w:left w:val="single" w:sz="6" w:space="0" w:color="auto"/>
              <w:bottom w:val="nil"/>
              <w:right w:val="double" w:sz="6" w:space="0" w:color="auto"/>
            </w:tcBorders>
          </w:tcPr>
          <w:p w14:paraId="5A9FB7A5" w14:textId="77777777" w:rsidR="001408F1" w:rsidRPr="003A58C4" w:rsidRDefault="001408F1">
            <w:pPr>
              <w:tabs>
                <w:tab w:val="left" w:pos="-1440"/>
                <w:tab w:val="left" w:pos="-720"/>
                <w:tab w:val="left" w:pos="0"/>
                <w:tab w:val="left" w:pos="737"/>
                <w:tab w:val="left" w:pos="1929"/>
                <w:tab w:val="left" w:pos="2160"/>
              </w:tabs>
              <w:suppressAutoHyphens/>
              <w:spacing w:after="54" w:line="360" w:lineRule="auto"/>
              <w:jc w:val="center"/>
            </w:pPr>
            <w:r w:rsidRPr="003A58C4">
              <w:t>7.5 x 10</w:t>
            </w:r>
            <w:r w:rsidRPr="00883A53">
              <w:rPr>
                <w:sz w:val="26"/>
                <w:vertAlign w:val="superscript"/>
              </w:rPr>
              <w:t>2</w:t>
            </w:r>
          </w:p>
        </w:tc>
      </w:tr>
      <w:tr w:rsidR="001408F1" w:rsidRPr="003A58C4" w14:paraId="259F0665" w14:textId="77777777">
        <w:tc>
          <w:tcPr>
            <w:tcW w:w="3174" w:type="dxa"/>
            <w:tcBorders>
              <w:top w:val="single" w:sz="6" w:space="0" w:color="auto"/>
              <w:left w:val="double" w:sz="6" w:space="0" w:color="auto"/>
              <w:bottom w:val="nil"/>
              <w:right w:val="nil"/>
            </w:tcBorders>
          </w:tcPr>
          <w:p w14:paraId="29BCB6F2" w14:textId="77777777" w:rsidR="001408F1" w:rsidRPr="003A58C4" w:rsidRDefault="001408F1">
            <w:pPr>
              <w:tabs>
                <w:tab w:val="left" w:pos="-1440"/>
                <w:tab w:val="left" w:pos="-720"/>
                <w:tab w:val="left" w:pos="0"/>
                <w:tab w:val="left" w:pos="737"/>
                <w:tab w:val="left" w:pos="1929"/>
                <w:tab w:val="left" w:pos="2160"/>
              </w:tabs>
              <w:suppressAutoHyphens/>
              <w:spacing w:after="54" w:line="360" w:lineRule="auto"/>
            </w:pPr>
            <w:r w:rsidRPr="003A58C4">
              <w:t xml:space="preserve">Cooled </w:t>
            </w:r>
            <w:r>
              <w:t>mold</w:t>
            </w:r>
            <w:r w:rsidRPr="003A58C4">
              <w:t>, polished</w:t>
            </w:r>
          </w:p>
        </w:tc>
        <w:tc>
          <w:tcPr>
            <w:tcW w:w="3402" w:type="dxa"/>
            <w:tcBorders>
              <w:top w:val="single" w:sz="6" w:space="0" w:color="auto"/>
              <w:left w:val="single" w:sz="6" w:space="0" w:color="auto"/>
              <w:bottom w:val="nil"/>
              <w:right w:val="double" w:sz="6" w:space="0" w:color="auto"/>
            </w:tcBorders>
          </w:tcPr>
          <w:p w14:paraId="47C32CEB" w14:textId="77777777" w:rsidR="001408F1" w:rsidRPr="003A58C4" w:rsidRDefault="001408F1">
            <w:pPr>
              <w:tabs>
                <w:tab w:val="left" w:pos="-1440"/>
                <w:tab w:val="left" w:pos="-720"/>
                <w:tab w:val="left" w:pos="0"/>
                <w:tab w:val="left" w:pos="737"/>
                <w:tab w:val="left" w:pos="1929"/>
                <w:tab w:val="left" w:pos="2160"/>
              </w:tabs>
              <w:suppressAutoHyphens/>
              <w:spacing w:after="54" w:line="360" w:lineRule="auto"/>
              <w:jc w:val="center"/>
            </w:pPr>
            <w:r w:rsidRPr="003A58C4">
              <w:t>5 x10</w:t>
            </w:r>
            <w:r w:rsidRPr="00883A53">
              <w:rPr>
                <w:sz w:val="26"/>
                <w:vertAlign w:val="superscript"/>
              </w:rPr>
              <w:t>3</w:t>
            </w:r>
          </w:p>
        </w:tc>
      </w:tr>
      <w:tr w:rsidR="001408F1" w:rsidRPr="003A58C4" w14:paraId="13FC2B35" w14:textId="77777777">
        <w:tc>
          <w:tcPr>
            <w:tcW w:w="3174" w:type="dxa"/>
            <w:tcBorders>
              <w:top w:val="single" w:sz="6" w:space="0" w:color="auto"/>
              <w:left w:val="double" w:sz="6" w:space="0" w:color="auto"/>
              <w:bottom w:val="nil"/>
              <w:right w:val="nil"/>
            </w:tcBorders>
          </w:tcPr>
          <w:p w14:paraId="60C50E0E" w14:textId="77777777" w:rsidR="001408F1" w:rsidRPr="003A58C4" w:rsidRDefault="001408F1">
            <w:pPr>
              <w:tabs>
                <w:tab w:val="left" w:pos="-1440"/>
                <w:tab w:val="left" w:pos="-720"/>
                <w:tab w:val="left" w:pos="0"/>
                <w:tab w:val="left" w:pos="737"/>
                <w:tab w:val="left" w:pos="1929"/>
                <w:tab w:val="left" w:pos="2160"/>
              </w:tabs>
              <w:suppressAutoHyphens/>
              <w:spacing w:after="54" w:line="360" w:lineRule="auto"/>
            </w:pPr>
            <w:r w:rsidRPr="003A58C4">
              <w:t xml:space="preserve">Cooled </w:t>
            </w:r>
            <w:r>
              <w:t>mold</w:t>
            </w:r>
            <w:r w:rsidRPr="003A58C4">
              <w:t>, coated</w:t>
            </w:r>
          </w:p>
        </w:tc>
        <w:tc>
          <w:tcPr>
            <w:tcW w:w="3402" w:type="dxa"/>
            <w:tcBorders>
              <w:top w:val="single" w:sz="6" w:space="0" w:color="auto"/>
              <w:left w:val="single" w:sz="6" w:space="0" w:color="auto"/>
              <w:bottom w:val="nil"/>
              <w:right w:val="double" w:sz="6" w:space="0" w:color="auto"/>
            </w:tcBorders>
          </w:tcPr>
          <w:p w14:paraId="02B9263A" w14:textId="77777777" w:rsidR="001408F1" w:rsidRPr="003A58C4" w:rsidRDefault="001408F1">
            <w:pPr>
              <w:tabs>
                <w:tab w:val="left" w:pos="-1440"/>
                <w:tab w:val="left" w:pos="-720"/>
                <w:tab w:val="left" w:pos="0"/>
                <w:tab w:val="left" w:pos="737"/>
                <w:tab w:val="left" w:pos="1929"/>
                <w:tab w:val="left" w:pos="2160"/>
              </w:tabs>
              <w:suppressAutoHyphens/>
              <w:spacing w:after="54" w:line="360" w:lineRule="auto"/>
              <w:jc w:val="center"/>
            </w:pPr>
            <w:r w:rsidRPr="003A58C4">
              <w:t>10</w:t>
            </w:r>
            <w:r w:rsidRPr="00883A53">
              <w:rPr>
                <w:sz w:val="26"/>
                <w:vertAlign w:val="superscript"/>
              </w:rPr>
              <w:t>3</w:t>
            </w:r>
          </w:p>
        </w:tc>
      </w:tr>
      <w:tr w:rsidR="001408F1" w:rsidRPr="003A58C4" w14:paraId="3B375CC3" w14:textId="77777777">
        <w:tc>
          <w:tcPr>
            <w:tcW w:w="3174" w:type="dxa"/>
            <w:tcBorders>
              <w:top w:val="single" w:sz="6" w:space="0" w:color="auto"/>
              <w:left w:val="double" w:sz="6" w:space="0" w:color="auto"/>
              <w:bottom w:val="nil"/>
              <w:right w:val="nil"/>
            </w:tcBorders>
          </w:tcPr>
          <w:p w14:paraId="4C124335" w14:textId="77777777" w:rsidR="001408F1" w:rsidRPr="003A58C4" w:rsidRDefault="001408F1">
            <w:pPr>
              <w:tabs>
                <w:tab w:val="left" w:pos="-1440"/>
                <w:tab w:val="left" w:pos="-720"/>
                <w:tab w:val="left" w:pos="0"/>
                <w:tab w:val="left" w:pos="737"/>
                <w:tab w:val="left" w:pos="1929"/>
                <w:tab w:val="left" w:pos="2160"/>
              </w:tabs>
              <w:suppressAutoHyphens/>
              <w:spacing w:after="54" w:line="360" w:lineRule="auto"/>
            </w:pPr>
            <w:r w:rsidRPr="003A58C4">
              <w:t>Pressure-Cast</w:t>
            </w:r>
          </w:p>
        </w:tc>
        <w:tc>
          <w:tcPr>
            <w:tcW w:w="3402" w:type="dxa"/>
            <w:tcBorders>
              <w:top w:val="single" w:sz="6" w:space="0" w:color="auto"/>
              <w:left w:val="single" w:sz="6" w:space="0" w:color="auto"/>
              <w:bottom w:val="nil"/>
              <w:right w:val="double" w:sz="6" w:space="0" w:color="auto"/>
            </w:tcBorders>
          </w:tcPr>
          <w:p w14:paraId="73A92683" w14:textId="10862D66" w:rsidR="001408F1" w:rsidRPr="003A58C4" w:rsidRDefault="001408F1">
            <w:pPr>
              <w:tabs>
                <w:tab w:val="left" w:pos="-1440"/>
                <w:tab w:val="left" w:pos="-720"/>
                <w:tab w:val="left" w:pos="0"/>
                <w:tab w:val="left" w:pos="737"/>
                <w:tab w:val="left" w:pos="1929"/>
                <w:tab w:val="left" w:pos="2160"/>
              </w:tabs>
              <w:suppressAutoHyphens/>
              <w:spacing w:after="54" w:line="360" w:lineRule="auto"/>
              <w:jc w:val="center"/>
            </w:pPr>
            <w:r w:rsidRPr="003A58C4">
              <w:t>3 x 10</w:t>
            </w:r>
            <w:r w:rsidRPr="00883A53">
              <w:rPr>
                <w:sz w:val="26"/>
                <w:vertAlign w:val="superscript"/>
              </w:rPr>
              <w:t>3</w:t>
            </w:r>
            <w:r w:rsidR="009C3F94">
              <w:rPr>
                <w:highlight w:val="yellow"/>
              </w:rPr>
              <w:t xml:space="preserve"> </w:t>
            </w:r>
            <w:r w:rsidR="005F6459">
              <w:t>to</w:t>
            </w:r>
            <w:r w:rsidRPr="003A58C4">
              <w:t xml:space="preserve"> 3 x 10</w:t>
            </w:r>
            <w:r w:rsidRPr="00883A53">
              <w:rPr>
                <w:sz w:val="26"/>
                <w:vertAlign w:val="superscript"/>
              </w:rPr>
              <w:t>4</w:t>
            </w:r>
          </w:p>
        </w:tc>
      </w:tr>
      <w:tr w:rsidR="001408F1" w:rsidRPr="003A58C4" w14:paraId="1E78D8F5" w14:textId="77777777">
        <w:tc>
          <w:tcPr>
            <w:tcW w:w="3174" w:type="dxa"/>
            <w:tcBorders>
              <w:top w:val="single" w:sz="6" w:space="0" w:color="auto"/>
              <w:left w:val="double" w:sz="6" w:space="0" w:color="auto"/>
              <w:bottom w:val="nil"/>
              <w:right w:val="nil"/>
            </w:tcBorders>
          </w:tcPr>
          <w:p w14:paraId="55EE7157" w14:textId="77777777" w:rsidR="001408F1" w:rsidRPr="003A58C4" w:rsidRDefault="001408F1">
            <w:pPr>
              <w:tabs>
                <w:tab w:val="left" w:pos="-1440"/>
                <w:tab w:val="left" w:pos="-720"/>
                <w:tab w:val="left" w:pos="0"/>
                <w:tab w:val="left" w:pos="737"/>
                <w:tab w:val="left" w:pos="1929"/>
                <w:tab w:val="left" w:pos="2160"/>
              </w:tabs>
              <w:suppressAutoHyphens/>
              <w:spacing w:after="54" w:line="360" w:lineRule="auto"/>
            </w:pPr>
            <w:r w:rsidRPr="003A58C4">
              <w:t>Die-cast</w:t>
            </w:r>
          </w:p>
        </w:tc>
        <w:tc>
          <w:tcPr>
            <w:tcW w:w="3402" w:type="dxa"/>
            <w:tcBorders>
              <w:top w:val="single" w:sz="6" w:space="0" w:color="auto"/>
              <w:left w:val="single" w:sz="6" w:space="0" w:color="auto"/>
              <w:bottom w:val="nil"/>
              <w:right w:val="double" w:sz="6" w:space="0" w:color="auto"/>
            </w:tcBorders>
          </w:tcPr>
          <w:p w14:paraId="377F01E7" w14:textId="77777777" w:rsidR="001408F1" w:rsidRPr="003A58C4" w:rsidRDefault="001408F1">
            <w:pPr>
              <w:tabs>
                <w:tab w:val="left" w:pos="-1440"/>
                <w:tab w:val="left" w:pos="-720"/>
                <w:tab w:val="left" w:pos="0"/>
                <w:tab w:val="left" w:pos="737"/>
                <w:tab w:val="left" w:pos="1929"/>
                <w:tab w:val="left" w:pos="2160"/>
              </w:tabs>
              <w:suppressAutoHyphens/>
              <w:spacing w:after="54" w:line="360" w:lineRule="auto"/>
              <w:jc w:val="center"/>
            </w:pPr>
            <w:r w:rsidRPr="003A58C4">
              <w:t>5 x 10</w:t>
            </w:r>
            <w:r w:rsidRPr="00883A53">
              <w:rPr>
                <w:sz w:val="26"/>
                <w:vertAlign w:val="superscript"/>
              </w:rPr>
              <w:t>4</w:t>
            </w:r>
          </w:p>
        </w:tc>
      </w:tr>
      <w:tr w:rsidR="001408F1" w:rsidRPr="003A58C4" w14:paraId="01587EC0" w14:textId="77777777">
        <w:tc>
          <w:tcPr>
            <w:tcW w:w="3174" w:type="dxa"/>
            <w:tcBorders>
              <w:top w:val="single" w:sz="6" w:space="0" w:color="auto"/>
              <w:left w:val="double" w:sz="6" w:space="0" w:color="auto"/>
              <w:bottom w:val="nil"/>
              <w:right w:val="nil"/>
            </w:tcBorders>
          </w:tcPr>
          <w:p w14:paraId="1D27E0E9" w14:textId="77777777" w:rsidR="001408F1" w:rsidRPr="003A58C4" w:rsidRDefault="001408F1">
            <w:pPr>
              <w:tabs>
                <w:tab w:val="left" w:pos="-1440"/>
                <w:tab w:val="left" w:pos="-720"/>
                <w:tab w:val="left" w:pos="0"/>
                <w:tab w:val="left" w:pos="737"/>
                <w:tab w:val="left" w:pos="1929"/>
                <w:tab w:val="left" w:pos="2160"/>
              </w:tabs>
              <w:suppressAutoHyphens/>
              <w:spacing w:after="54" w:line="360" w:lineRule="auto"/>
            </w:pPr>
            <w:r w:rsidRPr="003A58C4">
              <w:t>Drop-smash</w:t>
            </w:r>
          </w:p>
        </w:tc>
        <w:tc>
          <w:tcPr>
            <w:tcW w:w="3402" w:type="dxa"/>
            <w:tcBorders>
              <w:top w:val="single" w:sz="6" w:space="0" w:color="auto"/>
              <w:left w:val="single" w:sz="6" w:space="0" w:color="auto"/>
              <w:bottom w:val="nil"/>
              <w:right w:val="double" w:sz="6" w:space="0" w:color="auto"/>
            </w:tcBorders>
          </w:tcPr>
          <w:p w14:paraId="1DEBFD13" w14:textId="06884F17" w:rsidR="001408F1" w:rsidRPr="003A58C4" w:rsidRDefault="001408F1">
            <w:pPr>
              <w:tabs>
                <w:tab w:val="left" w:pos="-1440"/>
                <w:tab w:val="left" w:pos="-720"/>
                <w:tab w:val="left" w:pos="0"/>
                <w:tab w:val="left" w:pos="737"/>
                <w:tab w:val="left" w:pos="1929"/>
                <w:tab w:val="left" w:pos="2160"/>
              </w:tabs>
              <w:suppressAutoHyphens/>
              <w:spacing w:after="54" w:line="360" w:lineRule="auto"/>
              <w:jc w:val="center"/>
            </w:pPr>
            <w:r w:rsidRPr="003A58C4">
              <w:t>10</w:t>
            </w:r>
            <w:r w:rsidRPr="00883A53">
              <w:rPr>
                <w:sz w:val="26"/>
                <w:vertAlign w:val="superscript"/>
              </w:rPr>
              <w:t xml:space="preserve">4 </w:t>
            </w:r>
            <w:r w:rsidR="005F6459">
              <w:t>to</w:t>
            </w:r>
            <w:r w:rsidR="005F6459" w:rsidRPr="003A58C4">
              <w:t xml:space="preserve"> </w:t>
            </w:r>
            <w:r w:rsidRPr="003A58C4">
              <w:t>10</w:t>
            </w:r>
            <w:r w:rsidRPr="00883A53">
              <w:rPr>
                <w:sz w:val="26"/>
                <w:vertAlign w:val="superscript"/>
              </w:rPr>
              <w:t>5</w:t>
            </w:r>
          </w:p>
        </w:tc>
      </w:tr>
      <w:tr w:rsidR="001408F1" w:rsidRPr="003A58C4" w14:paraId="5FD1834E" w14:textId="77777777">
        <w:tc>
          <w:tcPr>
            <w:tcW w:w="3174" w:type="dxa"/>
            <w:tcBorders>
              <w:top w:val="single" w:sz="6" w:space="0" w:color="auto"/>
              <w:left w:val="double" w:sz="6" w:space="0" w:color="auto"/>
              <w:bottom w:val="double" w:sz="6" w:space="0" w:color="auto"/>
              <w:right w:val="nil"/>
            </w:tcBorders>
          </w:tcPr>
          <w:p w14:paraId="3B032BBF" w14:textId="77777777" w:rsidR="001408F1" w:rsidRPr="003A58C4" w:rsidRDefault="001408F1">
            <w:pPr>
              <w:tabs>
                <w:tab w:val="left" w:pos="-1440"/>
                <w:tab w:val="left" w:pos="-720"/>
                <w:tab w:val="left" w:pos="0"/>
                <w:tab w:val="left" w:pos="737"/>
                <w:tab w:val="left" w:pos="1929"/>
                <w:tab w:val="left" w:pos="2160"/>
              </w:tabs>
              <w:suppressAutoHyphens/>
              <w:spacing w:after="54" w:line="360" w:lineRule="auto"/>
            </w:pPr>
            <w:r w:rsidRPr="003A58C4">
              <w:t>Splat-cooling</w:t>
            </w:r>
          </w:p>
        </w:tc>
        <w:tc>
          <w:tcPr>
            <w:tcW w:w="3402" w:type="dxa"/>
            <w:tcBorders>
              <w:top w:val="single" w:sz="6" w:space="0" w:color="auto"/>
              <w:left w:val="single" w:sz="6" w:space="0" w:color="auto"/>
              <w:bottom w:val="double" w:sz="6" w:space="0" w:color="auto"/>
              <w:right w:val="double" w:sz="6" w:space="0" w:color="auto"/>
            </w:tcBorders>
          </w:tcPr>
          <w:p w14:paraId="03B2075F" w14:textId="364EDF33" w:rsidR="001408F1" w:rsidRPr="003A58C4" w:rsidRDefault="001408F1">
            <w:pPr>
              <w:tabs>
                <w:tab w:val="left" w:pos="-1440"/>
                <w:tab w:val="left" w:pos="-720"/>
                <w:tab w:val="left" w:pos="0"/>
                <w:tab w:val="left" w:pos="737"/>
                <w:tab w:val="left" w:pos="1929"/>
                <w:tab w:val="left" w:pos="2160"/>
              </w:tabs>
              <w:suppressAutoHyphens/>
              <w:spacing w:after="54" w:line="360" w:lineRule="auto"/>
              <w:jc w:val="center"/>
            </w:pPr>
            <w:r w:rsidRPr="003A58C4">
              <w:t>10</w:t>
            </w:r>
            <w:r w:rsidRPr="00883A53">
              <w:rPr>
                <w:sz w:val="26"/>
                <w:vertAlign w:val="superscript"/>
              </w:rPr>
              <w:t>5</w:t>
            </w:r>
            <w:r w:rsidR="009C3F94">
              <w:rPr>
                <w:sz w:val="26"/>
                <w:vertAlign w:val="superscript"/>
              </w:rPr>
              <w:t xml:space="preserve"> </w:t>
            </w:r>
            <w:r w:rsidR="005F6459">
              <w:t>to</w:t>
            </w:r>
            <w:r w:rsidR="005F6459" w:rsidRPr="003A58C4">
              <w:t xml:space="preserve"> </w:t>
            </w:r>
            <w:r w:rsidRPr="003A58C4">
              <w:t>10</w:t>
            </w:r>
            <w:r w:rsidRPr="00883A53">
              <w:rPr>
                <w:sz w:val="26"/>
                <w:vertAlign w:val="superscript"/>
              </w:rPr>
              <w:t>6</w:t>
            </w:r>
          </w:p>
        </w:tc>
      </w:tr>
    </w:tbl>
    <w:p w14:paraId="03A71F3B" w14:textId="77777777" w:rsidR="001408F1" w:rsidRDefault="001408F1" w:rsidP="001408F1">
      <w:pPr>
        <w:spacing w:line="360" w:lineRule="auto"/>
      </w:pPr>
    </w:p>
    <w:p w14:paraId="3D65D062" w14:textId="77777777" w:rsidR="001408F1" w:rsidRDefault="001408F1" w:rsidP="00015B17">
      <w:pPr>
        <w:spacing w:line="360" w:lineRule="auto"/>
      </w:pPr>
    </w:p>
    <w:p w14:paraId="407E275A" w14:textId="1E8D58F6" w:rsidR="00015B17" w:rsidRDefault="001408F1" w:rsidP="001408F1">
      <w:pPr>
        <w:spacing w:line="360" w:lineRule="auto"/>
      </w:pPr>
      <w:r w:rsidRPr="003A58C4" w:rsidDel="001408F1">
        <w:t xml:space="preserve"> </w:t>
      </w:r>
    </w:p>
    <w:p w14:paraId="42B886B4" w14:textId="77777777" w:rsidR="00015B17" w:rsidRDefault="00015B17" w:rsidP="00015B17">
      <w:pPr>
        <w:spacing w:line="360" w:lineRule="auto"/>
      </w:pPr>
      <w:r w:rsidRPr="003A58C4">
        <w:tab/>
        <w:t>In practice</w:t>
      </w:r>
      <w:r w:rsidR="00693642">
        <w:t>,</w:t>
      </w:r>
      <w:r w:rsidRPr="003A58C4">
        <w:t xml:space="preserve"> those performing engineering modeling of castings employ careful measurements and analysis to obtain accurate heat transfer coefficients. Using thermocouple measurements and numerical solution of the inverse heat conduction problem (IHCP), HO and PEHLKE [1985] have obtained </w:t>
      </w:r>
      <w:r w:rsidRPr="003A58C4">
        <w:rPr>
          <w:position w:val="-12"/>
        </w:rPr>
        <w:object w:dxaOrig="220" w:dyaOrig="360" w14:anchorId="33A313C3">
          <v:shape id="_x0000_i1121" type="#_x0000_t75" style="width:10.3pt;height:17.75pt" o:ole="">
            <v:imagedata r:id="rId191" o:title=""/>
          </v:shape>
          <o:OLEObject Type="Embed" ProgID="Equation.DSMT4" ShapeID="_x0000_i1121" DrawAspect="Content" ObjectID="_1840626687" r:id="rId192"/>
        </w:object>
      </w:r>
      <w:r w:rsidRPr="003A58C4">
        <w:t xml:space="preserve"> values that show the onset of gap formation, and its time evolution.</w:t>
      </w:r>
    </w:p>
    <w:p w14:paraId="3C148D85" w14:textId="77777777" w:rsidR="00E65F4E" w:rsidRPr="003A58C4" w:rsidRDefault="00E65F4E" w:rsidP="00015B17">
      <w:pPr>
        <w:spacing w:line="360" w:lineRule="auto"/>
      </w:pPr>
    </w:p>
    <w:p w14:paraId="7B85F0E5" w14:textId="77777777" w:rsidR="00015B17" w:rsidRDefault="00015B17" w:rsidP="00015B17">
      <w:pPr>
        <w:spacing w:line="360" w:lineRule="auto"/>
      </w:pPr>
      <w:r w:rsidRPr="003A58C4">
        <w:tab/>
        <w:t xml:space="preserve">HAO et al. [1987] performed experiments with ductile iron and discussed the effect on </w:t>
      </w:r>
      <w:r w:rsidRPr="003A58C4">
        <w:rPr>
          <w:position w:val="-12"/>
        </w:rPr>
        <w:object w:dxaOrig="220" w:dyaOrig="360" w14:anchorId="1239E5C0">
          <v:shape id="_x0000_i1122" type="#_x0000_t75" style="width:10.3pt;height:17.75pt" o:ole="">
            <v:imagedata r:id="rId191" o:title=""/>
          </v:shape>
          <o:OLEObject Type="Embed" ProgID="Equation.DSMT4" ShapeID="_x0000_i1122" DrawAspect="Content" ObjectID="_1840626688" r:id="rId193"/>
        </w:object>
      </w:r>
      <w:r w:rsidRPr="003A58C4">
        <w:t xml:space="preserve"> of the expansion of graphite precipitated during the solidification period. SHARMA and KRISHMAN [1991] discussed the effect of the microgeometry of </w:t>
      </w:r>
      <w:r>
        <w:t>mold</w:t>
      </w:r>
      <w:r w:rsidRPr="003A58C4">
        <w:t xml:space="preserve">s considering several combinations of V-shaped grooves upon the </w:t>
      </w:r>
      <w:r>
        <w:t>mold</w:t>
      </w:r>
      <w:r w:rsidRPr="003A58C4">
        <w:t xml:space="preserve"> or chill surface. </w:t>
      </w:r>
      <w:r w:rsidRPr="003A58C4">
        <w:lastRenderedPageBreak/>
        <w:t xml:space="preserve">DAS and PAUL [1993] determined </w:t>
      </w:r>
      <w:r w:rsidRPr="003A58C4">
        <w:rPr>
          <w:position w:val="-12"/>
        </w:rPr>
        <w:object w:dxaOrig="220" w:dyaOrig="360" w14:anchorId="522FBC48">
          <v:shape id="_x0000_i1123" type="#_x0000_t75" style="width:10.3pt;height:17.75pt" o:ole="">
            <v:imagedata r:id="rId191" o:title=""/>
          </v:shape>
          <o:OLEObject Type="Embed" ProgID="Equation.DSMT4" ShapeID="_x0000_i1123" DrawAspect="Content" ObjectID="_1840626689" r:id="rId194"/>
        </w:object>
      </w:r>
      <w:r w:rsidRPr="003A58C4">
        <w:t xml:space="preserve"> in castings and quenching using a solution technique for inverse problems based on the Boundary Element Method (BEM).</w:t>
      </w:r>
    </w:p>
    <w:p w14:paraId="5C776944" w14:textId="77777777" w:rsidR="00E65F4E" w:rsidRPr="003A58C4" w:rsidRDefault="00E65F4E" w:rsidP="00015B17">
      <w:pPr>
        <w:spacing w:line="360" w:lineRule="auto"/>
      </w:pPr>
    </w:p>
    <w:p w14:paraId="6C0E3B14" w14:textId="4B0380FF" w:rsidR="00015B17" w:rsidRDefault="00015B17" w:rsidP="00015B17">
      <w:pPr>
        <w:spacing w:line="360" w:lineRule="auto"/>
      </w:pPr>
      <w:r w:rsidRPr="003A58C4">
        <w:tab/>
        <w:t xml:space="preserve">FERREIRA et al. [2005] studied the effect of melt temperature profile on the transient metal/mold heat transfer coefficient during solidification using numerical modeling of the inverse heat conduction problem (IHCP). They performed solidification experiments with Sn–5 wt% Pb, Al–10 wt% Cu, and Al–4.5 wt% Cu alloys and used experimentally obtained temperatures in the numerical IHCP model in order to determine transient metal/mold heat transfer coefficients, </w:t>
      </w:r>
      <w:r w:rsidRPr="003A58C4">
        <w:rPr>
          <w:i/>
        </w:rPr>
        <w:t>h</w:t>
      </w:r>
      <w:r w:rsidRPr="00727E8A">
        <w:rPr>
          <w:i/>
          <w:sz w:val="26"/>
          <w:vertAlign w:val="subscript"/>
        </w:rPr>
        <w:t>i</w:t>
      </w:r>
      <w:r w:rsidRPr="003A58C4">
        <w:t xml:space="preserve">. It was shown that </w:t>
      </w:r>
      <w:r w:rsidRPr="003A58C4">
        <w:rPr>
          <w:i/>
        </w:rPr>
        <w:t>h</w:t>
      </w:r>
      <w:r w:rsidRPr="00727E8A">
        <w:rPr>
          <w:i/>
          <w:sz w:val="26"/>
          <w:vertAlign w:val="subscript"/>
        </w:rPr>
        <w:t>i</w:t>
      </w:r>
      <w:r w:rsidRPr="003A58C4">
        <w:t xml:space="preserve"> profiles can be affected significantly by the initial melt temperature distribution. The numerical model used to simulate segregation profiles was based on an approach proposed by Voller [1998] but with improvement such as the ability to include temperature and concentration dependent thermophysical properties, variable metal/mold interface heat transfer coefficient, and to account for a space-dependent initial melt temperature profile. FERREIRA et al.</w:t>
      </w:r>
      <w:r w:rsidR="00693642">
        <w:t xml:space="preserve"> (2005)</w:t>
      </w:r>
      <w:r w:rsidRPr="003A58C4">
        <w:t xml:space="preserve"> used an iterative approach and a systematic sensitivity study to arrive at an optimum value of the heat transfer coefficient. The sensitivity of this interfacial heat transfer coefficient to initial melt superheat variations was shown to depend on the alloy thermal properties, the wetting of the mold surface by the melt, and on how large the metal/mold heat transfer coefficient is relative to the thermal conductivity of the materials (e.g., the Biot number).</w:t>
      </w:r>
    </w:p>
    <w:p w14:paraId="78FD6540" w14:textId="77777777" w:rsidR="00E65F4E" w:rsidRPr="003A58C4" w:rsidRDefault="00E65F4E" w:rsidP="00015B17">
      <w:pPr>
        <w:spacing w:line="360" w:lineRule="auto"/>
      </w:pPr>
    </w:p>
    <w:p w14:paraId="2C22332D" w14:textId="5638BB5F" w:rsidR="00015B17" w:rsidRDefault="00015B17" w:rsidP="00015B17">
      <w:pPr>
        <w:spacing w:line="360" w:lineRule="auto"/>
        <w:ind w:firstLine="720"/>
      </w:pPr>
      <w:r w:rsidRPr="003A58C4">
        <w:t xml:space="preserve">Spinelli et al. [2005] studied </w:t>
      </w:r>
      <w:r>
        <w:t>the</w:t>
      </w:r>
      <w:r w:rsidRPr="003A58C4">
        <w:t xml:space="preserve"> heat transfer coefficients during upward and downward transient directional solidification of Al-Si alloys (5</w:t>
      </w:r>
      <w:r w:rsidR="00BD6531">
        <w:t xml:space="preserve"> </w:t>
      </w:r>
      <w:r w:rsidR="00BD6531" w:rsidRPr="009C3F94">
        <w:t>wt% Si</w:t>
      </w:r>
      <w:r w:rsidRPr="009C3F94">
        <w:t>, 7</w:t>
      </w:r>
      <w:r w:rsidR="00BD6531" w:rsidRPr="009C3F94">
        <w:t xml:space="preserve"> wt% Si</w:t>
      </w:r>
      <w:r w:rsidRPr="009C3F94">
        <w:t>, and 9</w:t>
      </w:r>
      <w:r w:rsidR="00BD6531">
        <w:t xml:space="preserve"> wt</w:t>
      </w:r>
      <w:r w:rsidRPr="003A58C4">
        <w:t xml:space="preserve">% Si). They also used a combination of experimentally recorded data and results from a numerical inverse method to obtain the heat transfer coefficient. They showed that for both upward and downward growth directions, the transient metal/coolant heat transfer coefficient, </w:t>
      </w:r>
      <w:r w:rsidRPr="003A58C4">
        <w:rPr>
          <w:i/>
        </w:rPr>
        <w:t>h</w:t>
      </w:r>
      <w:r w:rsidRPr="00727E8A">
        <w:rPr>
          <w:i/>
          <w:sz w:val="26"/>
          <w:vertAlign w:val="subscript"/>
        </w:rPr>
        <w:t>i</w:t>
      </w:r>
      <w:r w:rsidRPr="003A58C4">
        <w:t xml:space="preserve">, can be expressed as a power function of time and </w:t>
      </w:r>
      <w:r w:rsidRPr="003A58C4">
        <w:rPr>
          <w:i/>
        </w:rPr>
        <w:t>h</w:t>
      </w:r>
      <w:r w:rsidRPr="00727E8A">
        <w:rPr>
          <w:i/>
          <w:sz w:val="26"/>
          <w:vertAlign w:val="subscript"/>
        </w:rPr>
        <w:t>i</w:t>
      </w:r>
      <w:r w:rsidRPr="003A58C4">
        <w:t xml:space="preserve"> increases with decrease in silicon content of the alloy. Additionally, they found that </w:t>
      </w:r>
      <w:r w:rsidRPr="003A58C4">
        <w:rPr>
          <w:i/>
        </w:rPr>
        <w:t>h</w:t>
      </w:r>
      <w:r w:rsidRPr="00727E8A">
        <w:rPr>
          <w:i/>
          <w:sz w:val="26"/>
          <w:vertAlign w:val="subscript"/>
        </w:rPr>
        <w:t>i</w:t>
      </w:r>
      <w:r w:rsidRPr="003A58C4">
        <w:t xml:space="preserve"> values </w:t>
      </w:r>
      <w:r w:rsidR="00997666">
        <w:t xml:space="preserve">obtained </w:t>
      </w:r>
      <w:r w:rsidRPr="003A58C4">
        <w:t xml:space="preserve">for </w:t>
      </w:r>
      <w:r w:rsidR="00997666">
        <w:t xml:space="preserve">the </w:t>
      </w:r>
      <w:r w:rsidRPr="003A58C4">
        <w:t>upward solidification direction were significantly higher than those for the downward growth direction</w:t>
      </w:r>
      <w:r w:rsidR="0035721F">
        <w:t xml:space="preserve"> due to melt convection</w:t>
      </w:r>
      <w:r w:rsidRPr="003A58C4">
        <w:t>.</w:t>
      </w:r>
    </w:p>
    <w:p w14:paraId="3712009E" w14:textId="77777777" w:rsidR="00E65F4E" w:rsidRDefault="00E65F4E" w:rsidP="00015B17">
      <w:pPr>
        <w:spacing w:line="360" w:lineRule="auto"/>
        <w:ind w:firstLine="720"/>
      </w:pPr>
    </w:p>
    <w:p w14:paraId="48AE7AE0" w14:textId="77777777" w:rsidR="00015B17" w:rsidRDefault="00015B17" w:rsidP="00015B17">
      <w:pPr>
        <w:spacing w:line="360" w:lineRule="auto"/>
        <w:ind w:firstLine="720"/>
      </w:pPr>
      <w:r>
        <w:lastRenderedPageBreak/>
        <w:t>In commercial finite element software, generally a pair of coincident nodes is created at the metal/mold interface at each location. Normally, these nodes have the same physical coordinates. These nodes are used to form the “so called” interfacial heat transfer “element” or “gap element”. Often a feature called “multi-point constraint” is used to form elements when the nodes at the boundaries of metal and mold materials do not align. In this method, the overall effect of the gap is included through its influence on the interfacial heat transfer coefficient.</w:t>
      </w:r>
    </w:p>
    <w:p w14:paraId="68ACB62B" w14:textId="77777777" w:rsidR="00E65F4E" w:rsidRDefault="00E65F4E" w:rsidP="00015B17">
      <w:pPr>
        <w:spacing w:line="360" w:lineRule="auto"/>
        <w:ind w:firstLine="720"/>
      </w:pPr>
    </w:p>
    <w:p w14:paraId="44D584CF" w14:textId="59791F33" w:rsidR="00E65F4E" w:rsidRDefault="00015B17" w:rsidP="00015B17">
      <w:pPr>
        <w:spacing w:line="360" w:lineRule="auto"/>
        <w:ind w:firstLine="720"/>
      </w:pPr>
      <w:r>
        <w:t xml:space="preserve">In a numerical heat transport model that is also coupled with a thermal stress calculation model, the gap at the metal/mold interface is obtained at each time from the deformation of each material. Some advanced numerical codes have implemented this approach where the interfacial heat transfer will vary as the gap dimensions change at different locations. Lewis and Ransing (2000) used a thermo-elasto-visco-plastic material model to simulate the air gap at metal/mold interface. Shrinkage of metal at the interface is computed by the mechanical model and this information is used to compute the air gap. A contact algorithm was developed for modeling the interaction at the interface. The interaction between casting and mold occurs in the following ways: a) perfect contact: no relative motion occurs (this condition is used until the start of the solidification), b) slippage and contact: no movement occurs in </w:t>
      </w:r>
      <w:r w:rsidR="0035721F">
        <w:t xml:space="preserve">normal </w:t>
      </w:r>
      <w:r>
        <w:t>direction, but both frictional and frictionless slipping can occur in the tangential direction, and c) air gap: relative motion in both tangential and normal direction. They proposed the following equation for interfa</w:t>
      </w:r>
      <w:r w:rsidR="00F726FE">
        <w:t>cial heat transfer coefficient,</w:t>
      </w:r>
    </w:p>
    <w:p w14:paraId="4E54D656" w14:textId="77777777" w:rsidR="00F726FE" w:rsidRPr="00F726FE" w:rsidRDefault="00F726FE" w:rsidP="00015B17">
      <w:pPr>
        <w:spacing w:line="360" w:lineRule="auto"/>
        <w:ind w:firstLine="720"/>
      </w:pPr>
    </w:p>
    <w:p w14:paraId="27AF729E" w14:textId="77777777" w:rsidR="00015B17" w:rsidRDefault="00015B17" w:rsidP="00015B17">
      <w:pPr>
        <w:spacing w:line="360" w:lineRule="auto"/>
        <w:ind w:left="2160"/>
      </w:pPr>
      <w:r w:rsidRPr="00F13D47">
        <w:rPr>
          <w:position w:val="-32"/>
        </w:rPr>
        <w:object w:dxaOrig="1640" w:dyaOrig="700" w14:anchorId="0C570594">
          <v:shape id="_x0000_i1124" type="#_x0000_t75" style="width:82.3pt;height:35.55pt" o:ole="">
            <v:imagedata r:id="rId195" o:title=""/>
          </v:shape>
          <o:OLEObject Type="Embed" ProgID="Equation.DSMT4" ShapeID="_x0000_i1124" DrawAspect="Content" ObjectID="_1840626690" r:id="rId196"/>
        </w:object>
      </w:r>
      <w:r>
        <w:t xml:space="preserve">     </w:t>
      </w:r>
      <w:r w:rsidR="002006B3">
        <w:t>,</w:t>
      </w:r>
      <w:r>
        <w:t xml:space="preserve">                 (2.</w:t>
      </w:r>
      <w:r w:rsidR="002006B3">
        <w:t>30</w:t>
      </w:r>
      <w:r>
        <w:t>)</w:t>
      </w:r>
    </w:p>
    <w:p w14:paraId="10CCD4EB" w14:textId="77777777" w:rsidR="00E65F4E" w:rsidRDefault="00E65F4E" w:rsidP="00015B17">
      <w:pPr>
        <w:spacing w:line="360" w:lineRule="auto"/>
        <w:ind w:left="2160"/>
      </w:pPr>
    </w:p>
    <w:p w14:paraId="1D10F3B8" w14:textId="77777777" w:rsidR="00015B17" w:rsidRDefault="00015B17" w:rsidP="00015B17">
      <w:pPr>
        <w:spacing w:line="360" w:lineRule="auto"/>
      </w:pPr>
      <w:r>
        <w:t xml:space="preserve">where, </w:t>
      </w:r>
      <w:r w:rsidRPr="00F13D47">
        <w:rPr>
          <w:i/>
        </w:rPr>
        <w:t>d</w:t>
      </w:r>
      <w:r>
        <w:t xml:space="preserve"> is the air gap width, </w:t>
      </w:r>
      <w:r w:rsidRPr="00F13D47">
        <w:rPr>
          <w:i/>
        </w:rPr>
        <w:t>k</w:t>
      </w:r>
      <w:r w:rsidRPr="003E0F31">
        <w:rPr>
          <w:i/>
          <w:sz w:val="26"/>
          <w:szCs w:val="26"/>
          <w:vertAlign w:val="subscript"/>
        </w:rPr>
        <w:t>a</w:t>
      </w:r>
      <w:r>
        <w:t xml:space="preserve"> is the air thermal conductivity, </w:t>
      </w:r>
      <w:r w:rsidRPr="00F13D47">
        <w:rPr>
          <w:i/>
        </w:rPr>
        <w:t>h</w:t>
      </w:r>
      <w:r w:rsidRPr="003E0F31">
        <w:rPr>
          <w:i/>
          <w:sz w:val="26"/>
          <w:szCs w:val="26"/>
          <w:vertAlign w:val="subscript"/>
        </w:rPr>
        <w:t>i,init</w:t>
      </w:r>
      <w:r w:rsidRPr="00F13D47">
        <w:t xml:space="preserve"> is the</w:t>
      </w:r>
      <w:r>
        <w:t xml:space="preserve"> initial value of </w:t>
      </w:r>
      <w:r w:rsidRPr="00F13D47">
        <w:rPr>
          <w:i/>
        </w:rPr>
        <w:t>h</w:t>
      </w:r>
      <w:r w:rsidRPr="00727E8A">
        <w:rPr>
          <w:i/>
          <w:sz w:val="26"/>
          <w:vertAlign w:val="subscript"/>
        </w:rPr>
        <w:t>i</w:t>
      </w:r>
      <w:r>
        <w:t xml:space="preserve">. Lewis and Ransing </w:t>
      </w:r>
      <w:r w:rsidRPr="00FB01A7">
        <w:t>(1998)</w:t>
      </w:r>
      <w:r>
        <w:rPr>
          <w:color w:val="FF0000"/>
        </w:rPr>
        <w:t xml:space="preserve"> </w:t>
      </w:r>
      <w:r>
        <w:t xml:space="preserve">also proposed an empirical equation which is a function of casting interface temperature and has three arbitrary constants. Suitable values can be assigned to these constants to match an experimental variation of </w:t>
      </w:r>
      <w:r w:rsidRPr="00F13D47">
        <w:rPr>
          <w:i/>
        </w:rPr>
        <w:t>h</w:t>
      </w:r>
      <w:r w:rsidRPr="00727E8A">
        <w:rPr>
          <w:i/>
          <w:sz w:val="26"/>
          <w:vertAlign w:val="subscript"/>
        </w:rPr>
        <w:t>i</w:t>
      </w:r>
      <w:r>
        <w:t xml:space="preserve"> with respect to casting interface temperature. The following equations describe their approach:</w:t>
      </w:r>
    </w:p>
    <w:p w14:paraId="2E62A419" w14:textId="77777777" w:rsidR="00E65F4E" w:rsidRDefault="00E65F4E" w:rsidP="00015B17">
      <w:pPr>
        <w:spacing w:line="360" w:lineRule="auto"/>
      </w:pPr>
    </w:p>
    <w:p w14:paraId="193E2D26" w14:textId="77777777" w:rsidR="00015B17" w:rsidRDefault="00015B17" w:rsidP="00015B17">
      <w:pPr>
        <w:spacing w:line="360" w:lineRule="auto"/>
        <w:ind w:left="720" w:firstLine="720"/>
      </w:pPr>
      <w:r w:rsidRPr="00D8572F">
        <w:rPr>
          <w:position w:val="-24"/>
        </w:rPr>
        <w:object w:dxaOrig="1660" w:dyaOrig="620" w14:anchorId="017DB611">
          <v:shape id="_x0000_i1125" type="#_x0000_t75" style="width:82.3pt;height:31.8pt" o:ole="">
            <v:imagedata r:id="rId197" o:title=""/>
          </v:shape>
          <o:OLEObject Type="Embed" ProgID="Equation.DSMT4" ShapeID="_x0000_i1125" DrawAspect="Content" ObjectID="_1840626691" r:id="rId198"/>
        </w:object>
      </w:r>
      <w:r>
        <w:t xml:space="preserve">                                          (2.3</w:t>
      </w:r>
      <w:r w:rsidR="002006B3">
        <w:t>1</w:t>
      </w:r>
      <w:r>
        <w:t>)</w:t>
      </w:r>
    </w:p>
    <w:p w14:paraId="0156CB06" w14:textId="77777777" w:rsidR="00015B17" w:rsidRDefault="00015B17" w:rsidP="00015B17">
      <w:pPr>
        <w:spacing w:line="360" w:lineRule="auto"/>
        <w:ind w:left="720" w:firstLine="720"/>
      </w:pPr>
      <w:r w:rsidRPr="00D8572F">
        <w:rPr>
          <w:position w:val="-14"/>
        </w:rPr>
        <w:object w:dxaOrig="3080" w:dyaOrig="420" w14:anchorId="4EBE5F99">
          <v:shape id="_x0000_i1126" type="#_x0000_t75" style="width:154.3pt;height:20.55pt" o:ole="">
            <v:imagedata r:id="rId199" o:title=""/>
          </v:shape>
          <o:OLEObject Type="Embed" ProgID="Equation.DSMT4" ShapeID="_x0000_i1126" DrawAspect="Content" ObjectID="_1840626692" r:id="rId200"/>
        </w:object>
      </w:r>
      <w:r>
        <w:t xml:space="preserve">    </w:t>
      </w:r>
      <w:r w:rsidR="002006B3">
        <w:t>,</w:t>
      </w:r>
      <w:r>
        <w:t xml:space="preserve">              (2.3</w:t>
      </w:r>
      <w:r w:rsidR="002006B3">
        <w:t>2</w:t>
      </w:r>
      <w:r>
        <w:t>)</w:t>
      </w:r>
    </w:p>
    <w:p w14:paraId="79B74BD7" w14:textId="77777777" w:rsidR="00E65F4E" w:rsidRDefault="00E65F4E" w:rsidP="00015B17">
      <w:pPr>
        <w:spacing w:line="360" w:lineRule="auto"/>
        <w:ind w:left="720" w:firstLine="720"/>
      </w:pPr>
    </w:p>
    <w:p w14:paraId="07E56CD3" w14:textId="77777777" w:rsidR="00015B17" w:rsidRDefault="00015B17" w:rsidP="00015B17">
      <w:pPr>
        <w:spacing w:line="360" w:lineRule="auto"/>
      </w:pPr>
      <w:r>
        <w:t xml:space="preserve">where, </w:t>
      </w:r>
      <w:r w:rsidRPr="00153406">
        <w:rPr>
          <w:i/>
        </w:rPr>
        <w:t>T</w:t>
      </w:r>
      <w:r w:rsidRPr="00727E8A">
        <w:rPr>
          <w:i/>
          <w:sz w:val="26"/>
          <w:vertAlign w:val="subscript"/>
        </w:rPr>
        <w:t>L</w:t>
      </w:r>
      <w:r w:rsidRPr="00153406">
        <w:rPr>
          <w:i/>
        </w:rPr>
        <w:t xml:space="preserve"> </w:t>
      </w:r>
      <w:r>
        <w:t xml:space="preserve">is the liquidus temperature and </w:t>
      </w:r>
      <w:r w:rsidRPr="00153406">
        <w:rPr>
          <w:i/>
        </w:rPr>
        <w:t>T</w:t>
      </w:r>
      <w:r w:rsidRPr="00727E8A">
        <w:rPr>
          <w:i/>
          <w:sz w:val="26"/>
          <w:vertAlign w:val="subscript"/>
        </w:rPr>
        <w:t>int</w:t>
      </w:r>
      <w:r>
        <w:t xml:space="preserve"> is the temperature of the casting at the interface with the mold and </w:t>
      </w:r>
      <w:r w:rsidRPr="008B06B9">
        <w:rPr>
          <w:position w:val="-10"/>
        </w:rPr>
        <w:object w:dxaOrig="240" w:dyaOrig="340" w14:anchorId="78665DFA">
          <v:shape id="_x0000_i1127" type="#_x0000_t75" style="width:12.15pt;height:16.85pt" o:ole="">
            <v:imagedata r:id="rId201" o:title=""/>
          </v:shape>
          <o:OLEObject Type="Embed" ProgID="Equation.DSMT4" ShapeID="_x0000_i1127" DrawAspect="Content" ObjectID="_1840626693" r:id="rId202"/>
        </w:object>
      </w:r>
      <w:r>
        <w:t xml:space="preserve">, </w:t>
      </w:r>
      <w:r w:rsidRPr="008B06B9">
        <w:rPr>
          <w:position w:val="-10"/>
        </w:rPr>
        <w:object w:dxaOrig="260" w:dyaOrig="340" w14:anchorId="0A302C9F">
          <v:shape id="_x0000_i1128" type="#_x0000_t75" style="width:13.1pt;height:16.85pt" o:ole="">
            <v:imagedata r:id="rId203" o:title=""/>
          </v:shape>
          <o:OLEObject Type="Embed" ProgID="Equation.DSMT4" ShapeID="_x0000_i1128" DrawAspect="Content" ObjectID="_1840626694" r:id="rId204"/>
        </w:object>
      </w:r>
      <w:r>
        <w:t xml:space="preserve"> and </w:t>
      </w:r>
      <w:r w:rsidRPr="008B06B9">
        <w:rPr>
          <w:position w:val="-12"/>
        </w:rPr>
        <w:object w:dxaOrig="260" w:dyaOrig="360" w14:anchorId="752C7958">
          <v:shape id="_x0000_i1129" type="#_x0000_t75" style="width:13.1pt;height:17.75pt" o:ole="">
            <v:imagedata r:id="rId205" o:title=""/>
          </v:shape>
          <o:OLEObject Type="Embed" ProgID="Equation.DSMT4" ShapeID="_x0000_i1129" DrawAspect="Content" ObjectID="_1840626695" r:id="rId206"/>
        </w:object>
      </w:r>
      <w:r>
        <w:t xml:space="preserve"> are the adjusted constants to fit the data. They proposed maintaining calibrated values of these constants in a database for pairs of casting/mold material combinations.</w:t>
      </w:r>
    </w:p>
    <w:p w14:paraId="078C8118" w14:textId="77777777" w:rsidR="00E65F4E" w:rsidRPr="003A58C4" w:rsidRDefault="00E65F4E" w:rsidP="00015B17">
      <w:pPr>
        <w:spacing w:line="360" w:lineRule="auto"/>
      </w:pPr>
    </w:p>
    <w:p w14:paraId="3441302A" w14:textId="77777777" w:rsidR="00015B17" w:rsidRDefault="00015B17" w:rsidP="00015B17">
      <w:pPr>
        <w:tabs>
          <w:tab w:val="left" w:pos="-1440"/>
          <w:tab w:val="left" w:pos="-720"/>
          <w:tab w:val="left" w:pos="0"/>
          <w:tab w:val="left" w:pos="737"/>
          <w:tab w:val="left" w:pos="1929"/>
          <w:tab w:val="left" w:pos="2160"/>
        </w:tabs>
        <w:suppressAutoHyphens/>
        <w:spacing w:line="360" w:lineRule="auto"/>
        <w:jc w:val="both"/>
        <w:outlineLvl w:val="0"/>
        <w:rPr>
          <w:b/>
        </w:rPr>
      </w:pPr>
      <w:r w:rsidRPr="003A58C4">
        <w:rPr>
          <w:b/>
        </w:rPr>
        <w:t>2.3 Experimental methods involving controlled solidification</w:t>
      </w:r>
    </w:p>
    <w:p w14:paraId="43E188CF" w14:textId="77777777" w:rsidR="00E65F4E" w:rsidRPr="003A58C4" w:rsidRDefault="00E65F4E" w:rsidP="00015B17">
      <w:pPr>
        <w:tabs>
          <w:tab w:val="left" w:pos="-1440"/>
          <w:tab w:val="left" w:pos="-720"/>
          <w:tab w:val="left" w:pos="0"/>
          <w:tab w:val="left" w:pos="737"/>
          <w:tab w:val="left" w:pos="1929"/>
          <w:tab w:val="left" w:pos="2160"/>
        </w:tabs>
        <w:suppressAutoHyphens/>
        <w:spacing w:line="360" w:lineRule="auto"/>
        <w:jc w:val="both"/>
        <w:outlineLvl w:val="0"/>
        <w:rPr>
          <w:b/>
        </w:rPr>
      </w:pPr>
    </w:p>
    <w:p w14:paraId="3E4A46F7" w14:textId="4BD7E6D1" w:rsidR="00015B17" w:rsidRDefault="00015B17" w:rsidP="00015B17">
      <w:pPr>
        <w:spacing w:line="360" w:lineRule="auto"/>
        <w:rPr>
          <w:b/>
        </w:rPr>
      </w:pPr>
      <w:r>
        <w:rPr>
          <w:spacing w:val="-3"/>
        </w:rPr>
        <w:tab/>
      </w:r>
      <w:r w:rsidRPr="003A58C4">
        <w:rPr>
          <w:spacing w:val="-3"/>
        </w:rPr>
        <w:t xml:space="preserve">The difficulties associated with predicting external heat transfer in casting has led to the development of two research techniques of controlled solidification: unidirectional solidification and solidification with prescribed bulk supercooling. Much of the understanding of solidification laws comes from unidirectional solidification experiments based on the simple principle that the extraction of latent heat must be achieved without allowing the melt to supercool sufficiently to permit the nucleation of crystals ahead of the solidification front. In practice this requires a heat sink that removes heat from the solid and a heat source that supplies heat to the melt.  Extensive use of such techniques pioneered </w:t>
      </w:r>
      <w:r>
        <w:rPr>
          <w:spacing w:val="-3"/>
        </w:rPr>
        <w:t xml:space="preserve">by </w:t>
      </w:r>
      <w:r w:rsidRPr="003A58C4">
        <w:rPr>
          <w:spacing w:val="-3"/>
        </w:rPr>
        <w:t xml:space="preserve">CHALMERS [1964], [1971] produced the basis of </w:t>
      </w:r>
      <w:r w:rsidR="00997666">
        <w:rPr>
          <w:spacing w:val="-3"/>
        </w:rPr>
        <w:t xml:space="preserve">the </w:t>
      </w:r>
      <w:r w:rsidRPr="003A58C4">
        <w:rPr>
          <w:spacing w:val="-3"/>
        </w:rPr>
        <w:t xml:space="preserve">modern understanding </w:t>
      </w:r>
      <w:r w:rsidR="00997666">
        <w:rPr>
          <w:spacing w:val="-3"/>
        </w:rPr>
        <w:t>of</w:t>
      </w:r>
      <w:r w:rsidR="00997666" w:rsidRPr="003A58C4">
        <w:rPr>
          <w:spacing w:val="-3"/>
        </w:rPr>
        <w:t xml:space="preserve"> </w:t>
      </w:r>
      <w:r w:rsidRPr="003A58C4">
        <w:rPr>
          <w:spacing w:val="-3"/>
        </w:rPr>
        <w:t>solidification</w:t>
      </w:r>
      <w:r w:rsidR="00997666">
        <w:rPr>
          <w:spacing w:val="-3"/>
        </w:rPr>
        <w:t xml:space="preserve"> microstructure</w:t>
      </w:r>
      <w:r w:rsidRPr="003A58C4">
        <w:rPr>
          <w:spacing w:val="-3"/>
        </w:rPr>
        <w:t xml:space="preserve">. The basic heat flow objectives are to obtain a unidirectional thermal gradient across the interface and to move it so that the interface </w:t>
      </w:r>
      <w:r>
        <w:rPr>
          <w:spacing w:val="-3"/>
        </w:rPr>
        <w:t>translate</w:t>
      </w:r>
      <w:r w:rsidRPr="003A58C4">
        <w:rPr>
          <w:spacing w:val="-3"/>
        </w:rPr>
        <w:t xml:space="preserve">s at a controlled rate. For a planar </w:t>
      </w:r>
      <w:r w:rsidR="004201E7">
        <w:rPr>
          <w:spacing w:val="-3"/>
        </w:rPr>
        <w:t>L-S</w:t>
      </w:r>
      <w:r w:rsidRPr="003A58C4">
        <w:rPr>
          <w:spacing w:val="-3"/>
        </w:rPr>
        <w:t xml:space="preserve"> interface the gradients are related by </w:t>
      </w:r>
      <w:r>
        <w:rPr>
          <w:spacing w:val="-3"/>
        </w:rPr>
        <w:t>E</w:t>
      </w:r>
      <w:r w:rsidRPr="003A58C4">
        <w:rPr>
          <w:spacing w:val="-3"/>
        </w:rPr>
        <w:t>q</w:t>
      </w:r>
      <w:r>
        <w:rPr>
          <w:spacing w:val="-3"/>
        </w:rPr>
        <w:t>n</w:t>
      </w:r>
      <w:r w:rsidRPr="003A58C4">
        <w:rPr>
          <w:spacing w:val="-3"/>
        </w:rPr>
        <w:t>. (</w:t>
      </w:r>
      <w:r>
        <w:rPr>
          <w:spacing w:val="-3"/>
        </w:rPr>
        <w:t>2.4</w:t>
      </w:r>
      <w:r w:rsidRPr="003A58C4">
        <w:rPr>
          <w:spacing w:val="-3"/>
        </w:rPr>
        <w:t xml:space="preserve">).  </w:t>
      </w:r>
      <w:r>
        <w:rPr>
          <w:spacing w:val="-3"/>
        </w:rPr>
        <w:t>T</w:t>
      </w:r>
      <w:r w:rsidRPr="003A58C4">
        <w:rPr>
          <w:spacing w:val="-3"/>
        </w:rPr>
        <w:t xml:space="preserve">echniques have also been developed </w:t>
      </w:r>
      <w:r>
        <w:rPr>
          <w:spacing w:val="-3"/>
        </w:rPr>
        <w:t xml:space="preserve">based on this approach </w:t>
      </w:r>
      <w:r w:rsidRPr="003A58C4">
        <w:rPr>
          <w:spacing w:val="-3"/>
        </w:rPr>
        <w:t>to obtain single crystals. FLEMINGS [1974] gives details of the different techniques used.</w:t>
      </w:r>
      <w:r w:rsidRPr="003A58C4">
        <w:rPr>
          <w:b/>
        </w:rPr>
        <w:t xml:space="preserve"> </w:t>
      </w:r>
    </w:p>
    <w:p w14:paraId="42913C6F" w14:textId="77777777" w:rsidR="0035721F" w:rsidRPr="003A58C4" w:rsidRDefault="0035721F" w:rsidP="00015B17">
      <w:pPr>
        <w:spacing w:line="360" w:lineRule="auto"/>
        <w:rPr>
          <w:b/>
        </w:rPr>
      </w:pPr>
    </w:p>
    <w:p w14:paraId="17121E98" w14:textId="46FDDDDF" w:rsidR="00E65F4E" w:rsidRPr="003A58C4" w:rsidRDefault="00015B17" w:rsidP="00015B17">
      <w:pPr>
        <w:tabs>
          <w:tab w:val="left" w:pos="-1440"/>
          <w:tab w:val="left" w:pos="-720"/>
          <w:tab w:val="left" w:pos="0"/>
          <w:tab w:val="left" w:pos="737"/>
          <w:tab w:val="left" w:pos="1929"/>
          <w:tab w:val="left" w:pos="2160"/>
        </w:tabs>
        <w:suppressAutoHyphens/>
        <w:spacing w:line="360" w:lineRule="auto"/>
        <w:rPr>
          <w:spacing w:val="-3"/>
        </w:rPr>
      </w:pPr>
      <w:r>
        <w:rPr>
          <w:spacing w:val="-3"/>
        </w:rPr>
        <w:tab/>
      </w:r>
      <w:r w:rsidRPr="003A58C4">
        <w:rPr>
          <w:spacing w:val="-3"/>
        </w:rPr>
        <w:t xml:space="preserve">Although a number of variations in the construction of </w:t>
      </w:r>
      <w:r>
        <w:rPr>
          <w:spacing w:val="-3"/>
        </w:rPr>
        <w:t>directional solidification</w:t>
      </w:r>
      <w:r w:rsidRPr="003A58C4">
        <w:rPr>
          <w:spacing w:val="-3"/>
        </w:rPr>
        <w:t xml:space="preserve"> equipment have been described in the literature, in many cases</w:t>
      </w:r>
      <w:r w:rsidR="0035721F">
        <w:rPr>
          <w:spacing w:val="-3"/>
        </w:rPr>
        <w:t>,</w:t>
      </w:r>
      <w:r w:rsidRPr="003A58C4">
        <w:rPr>
          <w:spacing w:val="-3"/>
        </w:rPr>
        <w:t xml:space="preserve"> the process used is the Bridgman technique where a cylindrical crucible is moved through a fixed temperature gradient with a constant translation velocity</w:t>
      </w:r>
      <w:r>
        <w:rPr>
          <w:i/>
          <w:iCs/>
          <w:spacing w:val="-3"/>
        </w:rPr>
        <w:t>.</w:t>
      </w:r>
      <w:r w:rsidRPr="003A58C4">
        <w:rPr>
          <w:spacing w:val="-3"/>
        </w:rPr>
        <w:t xml:space="preserve">  It allows for the growth velocity of </w:t>
      </w:r>
      <w:r w:rsidR="00997666">
        <w:rPr>
          <w:spacing w:val="-3"/>
        </w:rPr>
        <w:t xml:space="preserve">the </w:t>
      </w:r>
      <w:r w:rsidRPr="003A58C4">
        <w:rPr>
          <w:spacing w:val="-3"/>
        </w:rPr>
        <w:lastRenderedPageBreak/>
        <w:t>interface and the temperature gradient</w:t>
      </w:r>
      <w:r>
        <w:rPr>
          <w:spacing w:val="-3"/>
        </w:rPr>
        <w:t xml:space="preserve"> </w:t>
      </w:r>
      <w:r w:rsidRPr="003A58C4">
        <w:rPr>
          <w:spacing w:val="-3"/>
        </w:rPr>
        <w:t xml:space="preserve">to be separately controlled. </w:t>
      </w:r>
      <w:r w:rsidRPr="00985B06">
        <w:rPr>
          <w:spacing w:val="-3"/>
        </w:rPr>
        <w:t xml:space="preserve">If </w:t>
      </w:r>
      <w:r w:rsidRPr="00985B06">
        <w:rPr>
          <w:iCs/>
          <w:spacing w:val="-3"/>
        </w:rPr>
        <w:t xml:space="preserve">the pulling speed </w:t>
      </w:r>
      <w:r>
        <w:rPr>
          <w:spacing w:val="-3"/>
        </w:rPr>
        <w:t>i</w:t>
      </w:r>
      <w:r w:rsidRPr="00985B06">
        <w:rPr>
          <w:spacing w:val="-3"/>
        </w:rPr>
        <w:t>s</w:t>
      </w:r>
      <w:r w:rsidRPr="003A58C4">
        <w:rPr>
          <w:spacing w:val="-3"/>
        </w:rPr>
        <w:t xml:space="preserve"> not too high</w:t>
      </w:r>
      <w:r>
        <w:rPr>
          <w:spacing w:val="-3"/>
        </w:rPr>
        <w:t xml:space="preserve"> and the sample not too wide</w:t>
      </w:r>
      <w:r w:rsidRPr="003A58C4">
        <w:rPr>
          <w:spacing w:val="-3"/>
        </w:rPr>
        <w:t>, the heat flow and the solidification can be assumed to be unidirectional.</w:t>
      </w:r>
      <w:r>
        <w:rPr>
          <w:spacing w:val="-3"/>
        </w:rPr>
        <w:t xml:space="preserve">  </w:t>
      </w:r>
      <w:r w:rsidRPr="003A58C4">
        <w:rPr>
          <w:spacing w:val="-3"/>
        </w:rPr>
        <w:t>It is often assumed that the interface will remain stationary with respect to the furnace during most of the growth period and that the growth velocity of the interface is equal to that of the crucible or the moving furnace</w:t>
      </w:r>
      <w:r>
        <w:rPr>
          <w:spacing w:val="-3"/>
        </w:rPr>
        <w:t>.</w:t>
      </w:r>
      <w:r w:rsidRPr="003A58C4">
        <w:rPr>
          <w:spacing w:val="-3"/>
        </w:rPr>
        <w:t xml:space="preserve"> CLYNE [1980a, 1980b] combined experimental </w:t>
      </w:r>
      <w:r w:rsidR="00997666">
        <w:rPr>
          <w:spacing w:val="-3"/>
        </w:rPr>
        <w:t>solidifica</w:t>
      </w:r>
      <w:r w:rsidR="00997666" w:rsidRPr="003A58C4">
        <w:rPr>
          <w:spacing w:val="-3"/>
        </w:rPr>
        <w:t xml:space="preserve">tion </w:t>
      </w:r>
      <w:r w:rsidRPr="003A58C4">
        <w:rPr>
          <w:spacing w:val="-3"/>
        </w:rPr>
        <w:t xml:space="preserve">of commercial purity </w:t>
      </w:r>
      <w:r>
        <w:rPr>
          <w:spacing w:val="-3"/>
        </w:rPr>
        <w:t>aluminum</w:t>
      </w:r>
      <w:r w:rsidRPr="003A58C4">
        <w:rPr>
          <w:spacing w:val="-3"/>
        </w:rPr>
        <w:t xml:space="preserve"> with </w:t>
      </w:r>
      <w:r w:rsidR="008F1ACE">
        <w:rPr>
          <w:spacing w:val="-3"/>
        </w:rPr>
        <w:t xml:space="preserve">a finite difference </w:t>
      </w:r>
      <w:r w:rsidRPr="003A58C4">
        <w:rPr>
          <w:spacing w:val="-3"/>
        </w:rPr>
        <w:t xml:space="preserve">mathematical model to determine the relationship between the interface and the </w:t>
      </w:r>
      <w:r>
        <w:rPr>
          <w:spacing w:val="-3"/>
        </w:rPr>
        <w:t>pulling</w:t>
      </w:r>
      <w:r w:rsidRPr="003A58C4">
        <w:rPr>
          <w:spacing w:val="-3"/>
        </w:rPr>
        <w:t xml:space="preserve"> speed</w:t>
      </w:r>
      <w:r>
        <w:rPr>
          <w:spacing w:val="-3"/>
        </w:rPr>
        <w:t>s</w:t>
      </w:r>
      <w:r w:rsidR="008F1ACE">
        <w:rPr>
          <w:spacing w:val="-3"/>
        </w:rPr>
        <w:t xml:space="preserve"> and t</w:t>
      </w:r>
      <w:r w:rsidRPr="003A58C4">
        <w:rPr>
          <w:spacing w:val="-3"/>
        </w:rPr>
        <w:t>he conditions under which the departure from ideal behavior would be significant</w:t>
      </w:r>
      <w:r w:rsidR="008F1ACE">
        <w:rPr>
          <w:spacing w:val="-3"/>
        </w:rPr>
        <w:t>.</w:t>
      </w:r>
      <w:r w:rsidRPr="003A58C4">
        <w:rPr>
          <w:spacing w:val="-3"/>
        </w:rPr>
        <w:t xml:space="preserve"> </w:t>
      </w:r>
    </w:p>
    <w:p w14:paraId="2D2C7C7F" w14:textId="14357DD2" w:rsidR="00015B17" w:rsidRDefault="00015B17" w:rsidP="00015B17">
      <w:pPr>
        <w:tabs>
          <w:tab w:val="left" w:pos="-1440"/>
          <w:tab w:val="left" w:pos="-720"/>
          <w:tab w:val="left" w:pos="0"/>
          <w:tab w:val="left" w:pos="737"/>
          <w:tab w:val="left" w:pos="1929"/>
          <w:tab w:val="left" w:pos="2160"/>
        </w:tabs>
        <w:suppressAutoHyphens/>
        <w:spacing w:line="360" w:lineRule="auto"/>
        <w:rPr>
          <w:spacing w:val="-3"/>
        </w:rPr>
      </w:pPr>
      <w:r w:rsidRPr="003A58C4">
        <w:rPr>
          <w:spacing w:val="-3"/>
        </w:rPr>
        <w:tab/>
        <w:t xml:space="preserve">Another directional controlled process corresponds to the extraction of heat via a bottom chill. Growth occurs in a direction parallel and opposite to the heat flux direction. In this situation a better control of microstructure and properties is obtained in comparison with conventional casting. However the microstructure is not </w:t>
      </w:r>
      <w:r w:rsidR="008F1ACE">
        <w:rPr>
          <w:spacing w:val="-3"/>
        </w:rPr>
        <w:t xml:space="preserve">as </w:t>
      </w:r>
      <w:r w:rsidRPr="003A58C4">
        <w:rPr>
          <w:spacing w:val="-3"/>
        </w:rPr>
        <w:t xml:space="preserve">uniform as in the Bridgman method, because </w:t>
      </w:r>
      <w:r w:rsidRPr="003A58C4">
        <w:rPr>
          <w:i/>
          <w:iCs/>
          <w:spacing w:val="-3"/>
        </w:rPr>
        <w:t>V</w:t>
      </w:r>
      <w:r w:rsidRPr="003A58C4">
        <w:rPr>
          <w:spacing w:val="-3"/>
        </w:rPr>
        <w:t xml:space="preserve"> and </w:t>
      </w:r>
      <w:r w:rsidRPr="003A58C4">
        <w:rPr>
          <w:i/>
          <w:iCs/>
          <w:spacing w:val="-3"/>
        </w:rPr>
        <w:t>G</w:t>
      </w:r>
      <w:r w:rsidR="0035721F" w:rsidRPr="00727E8A">
        <w:rPr>
          <w:i/>
          <w:iCs/>
          <w:spacing w:val="-3"/>
          <w:sz w:val="26"/>
          <w:vertAlign w:val="subscript"/>
        </w:rPr>
        <w:t>L</w:t>
      </w:r>
      <w:r w:rsidRPr="003A58C4">
        <w:rPr>
          <w:spacing w:val="-3"/>
        </w:rPr>
        <w:t xml:space="preserve"> decrease with the distance from the chill. It is possible to improve the microstructure uniform</w:t>
      </w:r>
      <w:r w:rsidR="00981C26">
        <w:rPr>
          <w:spacing w:val="-3"/>
        </w:rPr>
        <w:t>ity</w:t>
      </w:r>
      <w:r w:rsidRPr="003A58C4">
        <w:rPr>
          <w:spacing w:val="-3"/>
        </w:rPr>
        <w:t xml:space="preserve"> by programmed furnace temperature and withdrawal rates.</w:t>
      </w:r>
    </w:p>
    <w:p w14:paraId="1EB0CE5C" w14:textId="77777777" w:rsidR="00E65F4E" w:rsidRPr="003A58C4" w:rsidRDefault="00E65F4E" w:rsidP="00015B17">
      <w:pPr>
        <w:tabs>
          <w:tab w:val="left" w:pos="-1440"/>
          <w:tab w:val="left" w:pos="-720"/>
          <w:tab w:val="left" w:pos="0"/>
          <w:tab w:val="left" w:pos="737"/>
          <w:tab w:val="left" w:pos="1929"/>
          <w:tab w:val="left" w:pos="2160"/>
        </w:tabs>
        <w:suppressAutoHyphens/>
        <w:spacing w:line="360" w:lineRule="auto"/>
        <w:rPr>
          <w:spacing w:val="-3"/>
        </w:rPr>
      </w:pPr>
    </w:p>
    <w:p w14:paraId="7FE95810" w14:textId="26645A70" w:rsidR="00015B17" w:rsidRDefault="00015B17" w:rsidP="00015B17">
      <w:pPr>
        <w:tabs>
          <w:tab w:val="left" w:pos="-1440"/>
          <w:tab w:val="left" w:pos="-720"/>
          <w:tab w:val="left" w:pos="0"/>
          <w:tab w:val="left" w:pos="737"/>
          <w:tab w:val="left" w:pos="1929"/>
          <w:tab w:val="left" w:pos="2160"/>
        </w:tabs>
        <w:suppressAutoHyphens/>
        <w:spacing w:line="360" w:lineRule="auto"/>
        <w:rPr>
          <w:spacing w:val="-3"/>
        </w:rPr>
      </w:pPr>
      <w:r w:rsidRPr="003A58C4">
        <w:rPr>
          <w:spacing w:val="-3"/>
        </w:rPr>
        <w:tab/>
      </w:r>
      <w:r w:rsidRPr="003A58C4">
        <w:t xml:space="preserve">XU and NATERER [2004] developed a new technique for controlling </w:t>
      </w:r>
      <w:r>
        <w:t>the liquid - solid interface</w:t>
      </w:r>
      <w:r w:rsidRPr="003A58C4">
        <w:t xml:space="preserve"> motion for pure materials by using a combination of experimental/numerical technique. The desired interfac</w:t>
      </w:r>
      <w:r>
        <w:t>e</w:t>
      </w:r>
      <w:r w:rsidRPr="003A58C4">
        <w:t xml:space="preserve"> motion was produced by obtaining time-dependent boundary conditions using an inverse numerical method. They observed that an accelerating interface required higher interfacial temperature gradients over time, while these gradients became nearly constant when </w:t>
      </w:r>
      <w:r w:rsidR="008F1ACE">
        <w:t>the</w:t>
      </w:r>
      <w:r w:rsidR="008F1ACE" w:rsidRPr="003A58C4">
        <w:t xml:space="preserve"> </w:t>
      </w:r>
      <w:r w:rsidRPr="003A58C4">
        <w:t>interface moved with a constant velocity.</w:t>
      </w:r>
      <w:r w:rsidRPr="003A58C4">
        <w:rPr>
          <w:spacing w:val="-3"/>
        </w:rPr>
        <w:t xml:space="preserve"> They contended that with control strategies such as closed loop feedback control, the proposed method could provide a better controlled solidification process.</w:t>
      </w:r>
    </w:p>
    <w:p w14:paraId="35E46A4E" w14:textId="77777777" w:rsidR="002006B3" w:rsidRPr="003A58C4" w:rsidRDefault="002006B3" w:rsidP="00015B17">
      <w:pPr>
        <w:tabs>
          <w:tab w:val="left" w:pos="-1440"/>
          <w:tab w:val="left" w:pos="-720"/>
          <w:tab w:val="left" w:pos="0"/>
          <w:tab w:val="left" w:pos="737"/>
          <w:tab w:val="left" w:pos="1929"/>
          <w:tab w:val="left" w:pos="2160"/>
        </w:tabs>
        <w:suppressAutoHyphens/>
        <w:spacing w:line="360" w:lineRule="auto"/>
        <w:rPr>
          <w:spacing w:val="-3"/>
        </w:rPr>
      </w:pPr>
    </w:p>
    <w:p w14:paraId="16CEFBFE" w14:textId="72EE4577" w:rsidR="00015B17" w:rsidRDefault="00015B17" w:rsidP="00015B17">
      <w:pPr>
        <w:spacing w:line="360" w:lineRule="auto"/>
      </w:pPr>
      <w:r w:rsidRPr="003A58C4">
        <w:rPr>
          <w:spacing w:val="-3"/>
        </w:rPr>
        <w:tab/>
      </w:r>
      <w:r w:rsidRPr="003A58C4">
        <w:t>The above examples of controlled solidification do not involve bulk liquid supercooling. However, when a crystal is nucleated at a specified temperature and grows freely into a supercooled liquid, the bulk supercooling</w:t>
      </w:r>
      <w:r w:rsidRPr="003A58C4">
        <w:rPr>
          <w:i/>
        </w:rPr>
        <w:t xml:space="preserve"> ΔT= T</w:t>
      </w:r>
      <w:r w:rsidRPr="003E0F31">
        <w:rPr>
          <w:i/>
          <w:sz w:val="26"/>
          <w:szCs w:val="26"/>
          <w:vertAlign w:val="subscript"/>
        </w:rPr>
        <w:t>m</w:t>
      </w:r>
      <w:r w:rsidRPr="003A58C4">
        <w:rPr>
          <w:i/>
        </w:rPr>
        <w:t xml:space="preserve"> -T</w:t>
      </w:r>
      <w:r w:rsidRPr="003E0F31">
        <w:rPr>
          <w:i/>
          <w:sz w:val="26"/>
          <w:szCs w:val="26"/>
          <w:vertAlign w:val="subscript"/>
        </w:rPr>
        <w:t>bulk liquid</w:t>
      </w:r>
      <w:r w:rsidRPr="003A58C4">
        <w:t xml:space="preserve">   plays a major role in determining the structure observed during the solidification process. This type of study has been performed with both low and high supercooling and important structural information has been obtained in organic material analogues (GLICKSMAN [1976]) and </w:t>
      </w:r>
      <w:r w:rsidRPr="003A58C4">
        <w:lastRenderedPageBreak/>
        <w:t xml:space="preserve">metallic alloys (FLEMINGS and SHIOHARA [1984], WILLNECKER et al. [1989], [1990]). The use of an external needle has been used to stimulate nucleation at desired levels of bulk liquid supercooling. Because solidification is typically dendritic in these cases, a calculation of the heat flow is intimately entwined with the model for dendritic growth as described in </w:t>
      </w:r>
      <w:r w:rsidRPr="003A58C4">
        <w:rPr>
          <w:spacing w:val="-3"/>
        </w:rPr>
        <w:t>§</w:t>
      </w:r>
      <w:r w:rsidRPr="003A58C4">
        <w:t xml:space="preserve"> 7.</w:t>
      </w:r>
    </w:p>
    <w:p w14:paraId="1DA607F5" w14:textId="77777777" w:rsidR="00E65F4E" w:rsidRPr="003A58C4" w:rsidRDefault="00E65F4E" w:rsidP="00015B17">
      <w:pPr>
        <w:spacing w:line="360" w:lineRule="auto"/>
      </w:pPr>
    </w:p>
    <w:p w14:paraId="058BFCD4" w14:textId="77777777" w:rsidR="00015B17" w:rsidRDefault="00015B17" w:rsidP="00015B17">
      <w:pPr>
        <w:spacing w:line="360" w:lineRule="auto"/>
        <w:outlineLvl w:val="0"/>
        <w:rPr>
          <w:b/>
        </w:rPr>
      </w:pPr>
      <w:r w:rsidRPr="003A58C4">
        <w:rPr>
          <w:b/>
        </w:rPr>
        <w:t xml:space="preserve">2.4 </w:t>
      </w:r>
      <w:r w:rsidR="008D4BD4">
        <w:rPr>
          <w:b/>
        </w:rPr>
        <w:t>H</w:t>
      </w:r>
      <w:r w:rsidRPr="003A58C4">
        <w:rPr>
          <w:b/>
        </w:rPr>
        <w:t xml:space="preserve">eat flow in </w:t>
      </w:r>
      <w:r>
        <w:rPr>
          <w:b/>
        </w:rPr>
        <w:t>simple</w:t>
      </w:r>
      <w:r w:rsidRPr="003A58C4">
        <w:rPr>
          <w:b/>
        </w:rPr>
        <w:t xml:space="preserve"> solidification geometries </w:t>
      </w:r>
    </w:p>
    <w:p w14:paraId="666EF4AE" w14:textId="77777777" w:rsidR="00E65F4E" w:rsidRPr="003A58C4" w:rsidRDefault="00E65F4E" w:rsidP="00015B17">
      <w:pPr>
        <w:spacing w:line="360" w:lineRule="auto"/>
        <w:outlineLvl w:val="0"/>
        <w:rPr>
          <w:b/>
        </w:rPr>
      </w:pPr>
    </w:p>
    <w:p w14:paraId="49ADA2BC" w14:textId="627341AF" w:rsidR="00015B17" w:rsidRDefault="00015B17" w:rsidP="00015B17">
      <w:pPr>
        <w:spacing w:line="360" w:lineRule="auto"/>
      </w:pPr>
      <w:r>
        <w:tab/>
      </w:r>
      <w:r w:rsidRPr="003A58C4">
        <w:t>Two examples of the analysis of one dimensional heat flow during solidification for pure metals undergoing planar (non-dendritic) solidification are given here. The first is applicable in slow solidification into a superheated melt where the</w:t>
      </w:r>
      <w:r w:rsidR="009C3F94">
        <w:t xml:space="preserve"> liquid-solid</w:t>
      </w:r>
      <w:r w:rsidRPr="003A58C4">
        <w:t xml:space="preserve"> </w:t>
      </w:r>
      <w:r w:rsidR="009C3F94">
        <w:t>(</w:t>
      </w:r>
      <w:r w:rsidRPr="003A58C4">
        <w:t>L-S</w:t>
      </w:r>
      <w:r w:rsidR="009C3F94">
        <w:t>)</w:t>
      </w:r>
      <w:r w:rsidRPr="003A58C4">
        <w:t xml:space="preserve"> interface temperature can be taken as the pure metal melting point. The second treats the case w</w:t>
      </w:r>
      <w:r w:rsidR="00E52B3A">
        <w:t>h</w:t>
      </w:r>
      <w:r w:rsidRPr="003A58C4">
        <w:t xml:space="preserve">ere bulk supercooling is present and interface kinetics </w:t>
      </w:r>
      <w:r w:rsidR="008F1ACE" w:rsidRPr="003A58C4">
        <w:t>is</w:t>
      </w:r>
      <w:r w:rsidRPr="003A58C4">
        <w:t xml:space="preserve"> included due to the rapid solidification. These examples are followed by a discussion of powder solidification.</w:t>
      </w:r>
    </w:p>
    <w:p w14:paraId="2548D2E0" w14:textId="77777777" w:rsidR="00E65F4E" w:rsidRPr="003A58C4" w:rsidRDefault="00E65F4E" w:rsidP="00015B17">
      <w:pPr>
        <w:spacing w:line="360" w:lineRule="auto"/>
      </w:pPr>
    </w:p>
    <w:p w14:paraId="75CEA746" w14:textId="77777777" w:rsidR="00015B17" w:rsidRDefault="00015B17" w:rsidP="00015B17">
      <w:pPr>
        <w:spacing w:line="360" w:lineRule="auto"/>
        <w:outlineLvl w:val="0"/>
        <w:rPr>
          <w:b/>
        </w:rPr>
      </w:pPr>
      <w:r w:rsidRPr="003A58C4">
        <w:rPr>
          <w:b/>
        </w:rPr>
        <w:t>2.4.1 Freezing at mold wall</w:t>
      </w:r>
    </w:p>
    <w:p w14:paraId="13F428B6" w14:textId="77777777" w:rsidR="00E65F4E" w:rsidRPr="003A58C4" w:rsidRDefault="00E65F4E" w:rsidP="00015B17">
      <w:pPr>
        <w:spacing w:line="360" w:lineRule="auto"/>
        <w:outlineLvl w:val="0"/>
        <w:rPr>
          <w:b/>
        </w:rPr>
      </w:pPr>
    </w:p>
    <w:p w14:paraId="18CA8066" w14:textId="77777777" w:rsidR="00015B17" w:rsidRDefault="00015B17" w:rsidP="00015B17">
      <w:pPr>
        <w:spacing w:line="360" w:lineRule="auto"/>
      </w:pPr>
      <w:r>
        <w:tab/>
        <w:t xml:space="preserve">When a molten metal is suddenly placed in contact with a cold planar mold surface, solidification will ensue. The calculation of the rate of solidification is the subject of this section. </w:t>
      </w:r>
      <w:r w:rsidRPr="003A58C4">
        <w:t xml:space="preserve">The basic </w:t>
      </w:r>
      <w:r>
        <w:t>problem</w:t>
      </w:r>
      <w:r w:rsidRPr="003A58C4">
        <w:t xml:space="preserve"> </w:t>
      </w:r>
      <w:r>
        <w:t xml:space="preserve">was addressed  by CLYNE and GARCIA [1980], who expanded on </w:t>
      </w:r>
      <w:r w:rsidRPr="003A58C4">
        <w:t>prior work of Pires et al. [1974]</w:t>
      </w:r>
      <w:r>
        <w:t xml:space="preserve">, is as follows: </w:t>
      </w:r>
      <w:r w:rsidRPr="003A58C4">
        <w:t xml:space="preserve"> i) </w:t>
      </w:r>
      <w:r>
        <w:t>c</w:t>
      </w:r>
      <w:r w:rsidRPr="003A58C4">
        <w:t xml:space="preserve">onductive heat flow is unidirectional with semi-infinite metal and </w:t>
      </w:r>
      <w:r>
        <w:t>mold</w:t>
      </w:r>
      <w:r w:rsidRPr="003A58C4">
        <w:t xml:space="preserve"> regions</w:t>
      </w:r>
      <w:r>
        <w:t>;</w:t>
      </w:r>
      <w:r w:rsidRPr="003A58C4">
        <w:t xml:space="preserve"> ii) </w:t>
      </w:r>
      <w:r>
        <w:t>t</w:t>
      </w:r>
      <w:r w:rsidRPr="003A58C4">
        <w:t xml:space="preserve">he Newtonian interface resistance is represented by a </w:t>
      </w:r>
      <w:r>
        <w:t xml:space="preserve">constant </w:t>
      </w:r>
      <w:r w:rsidRPr="003A58C4">
        <w:t>heat transfer coefficient,</w:t>
      </w:r>
      <w:r w:rsidRPr="003A58C4">
        <w:rPr>
          <w:position w:val="-12"/>
        </w:rPr>
        <w:object w:dxaOrig="220" w:dyaOrig="360" w14:anchorId="46381DE7">
          <v:shape id="_x0000_i1130" type="#_x0000_t75" style="width:10.3pt;height:17.75pt" o:ole="">
            <v:imagedata r:id="rId191" o:title=""/>
          </v:shape>
          <o:OLEObject Type="Embed" ProgID="Equation.DSMT4" ShapeID="_x0000_i1130" DrawAspect="Content" ObjectID="_1840626696" r:id="rId207"/>
        </w:object>
      </w:r>
      <w:r>
        <w:t xml:space="preserve">; </w:t>
      </w:r>
      <w:r w:rsidRPr="003A58C4">
        <w:t xml:space="preserve">iii) </w:t>
      </w:r>
      <w:r>
        <w:t>t</w:t>
      </w:r>
      <w:r w:rsidRPr="003A58C4">
        <w:t xml:space="preserve">he metal solidifies with a planar </w:t>
      </w:r>
      <w:r w:rsidR="004201E7">
        <w:t>L-S</w:t>
      </w:r>
      <w:r w:rsidRPr="003A58C4">
        <w:t xml:space="preserve"> interface that remains at the equilibrium melting point</w:t>
      </w:r>
      <w:r>
        <w:t>;</w:t>
      </w:r>
      <w:r w:rsidRPr="003A58C4">
        <w:t xml:space="preserve"> iv) </w:t>
      </w:r>
      <w:r>
        <w:t>t</w:t>
      </w:r>
      <w:r w:rsidRPr="003A58C4">
        <w:t xml:space="preserve">he </w:t>
      </w:r>
      <w:r>
        <w:t xml:space="preserve">liquid </w:t>
      </w:r>
      <w:r w:rsidRPr="003A58C4">
        <w:t xml:space="preserve">metal </w:t>
      </w:r>
      <w:r>
        <w:t xml:space="preserve">has </w:t>
      </w:r>
      <w:r w:rsidRPr="003A58C4">
        <w:t xml:space="preserve">zero superheat </w:t>
      </w:r>
      <w:r>
        <w:t>;</w:t>
      </w:r>
      <w:r w:rsidRPr="003A58C4">
        <w:t xml:space="preserve"> v) Convection currents and radiation losses are assumed to be </w:t>
      </w:r>
      <w:r w:rsidR="0035721F">
        <w:t>negligible</w:t>
      </w:r>
      <w:r>
        <w:t xml:space="preserve">; and </w:t>
      </w:r>
      <w:r w:rsidRPr="003A58C4">
        <w:t xml:space="preserve"> vi) </w:t>
      </w:r>
      <w:r>
        <w:t>t</w:t>
      </w:r>
      <w:r w:rsidRPr="003A58C4">
        <w:t xml:space="preserve">he thermal properties of the metal and </w:t>
      </w:r>
      <w:r>
        <w:t>mold</w:t>
      </w:r>
      <w:r w:rsidRPr="003A58C4">
        <w:t xml:space="preserve"> do not change with temperature. </w:t>
      </w:r>
    </w:p>
    <w:p w14:paraId="2BAC77F6" w14:textId="77777777" w:rsidR="00E65F4E" w:rsidRDefault="00E65F4E" w:rsidP="00015B17">
      <w:pPr>
        <w:spacing w:line="360" w:lineRule="auto"/>
      </w:pPr>
    </w:p>
    <w:p w14:paraId="1282E6F8" w14:textId="77777777" w:rsidR="00E65F4E" w:rsidRDefault="00015B17" w:rsidP="00015B17">
      <w:pPr>
        <w:spacing w:line="360" w:lineRule="auto"/>
      </w:pPr>
      <w:r>
        <w:tab/>
        <w:t xml:space="preserve">Only an approximate </w:t>
      </w:r>
      <w:r w:rsidRPr="003A58C4">
        <w:t>analytical solution</w:t>
      </w:r>
      <w:r>
        <w:t xml:space="preserve"> to this problem is possible. It was called the </w:t>
      </w:r>
      <w:r w:rsidRPr="003A58C4">
        <w:t xml:space="preserve">"Virtual Adjunct Method" (VAM), </w:t>
      </w:r>
      <w:r>
        <w:t xml:space="preserve">by Clyne and Garcia [1980]. </w:t>
      </w:r>
      <w:r w:rsidRPr="003A58C4">
        <w:t>The</w:t>
      </w:r>
      <w:r>
        <w:t>ir</w:t>
      </w:r>
      <w:r w:rsidRPr="003A58C4">
        <w:t xml:space="preserve"> basic assumption is that Newtonian resistance at the metal/mold interface is considered </w:t>
      </w:r>
      <w:r w:rsidRPr="003A58C4">
        <w:lastRenderedPageBreak/>
        <w:t>equivalent to the previously solidified layer of metal. In the so-called virtual system, thermal conduction as described by Fourier’s law is used (the thermal contact between metal and mold is assumed perfect and is represented by an infinite heat transfer coefficient) (see Fig. 2.</w:t>
      </w:r>
      <w:r>
        <w:t>4</w:t>
      </w:r>
      <w:r w:rsidRPr="003A58C4">
        <w:rPr>
          <w:b/>
        </w:rPr>
        <w:t>)</w:t>
      </w:r>
      <w:r w:rsidRPr="003A58C4">
        <w:t xml:space="preserve">. Heat flow is considered in two regimes (metal and mold), separated by a hypothetical plane of constant temperature at the interface. Metal and mold side contributions to the thermal resistance at the interface are modeled using “pre-existing adjuncts of solid material”. Niyama and Anzai [1992] illustrate the approximate nature of the solution where the Newtonian resistance is considered as equivalent to a previously solidified layer of metal. </w:t>
      </w:r>
      <w:r>
        <w:t>They</w:t>
      </w:r>
      <w:r w:rsidRPr="003A58C4">
        <w:t xml:space="preserve"> argue that this idea works nicely as long as the temperature distribution in the solidified layer is assumed to be linear.</w:t>
      </w:r>
    </w:p>
    <w:p w14:paraId="42E38053" w14:textId="77777777" w:rsidR="00015B17" w:rsidRPr="003A58C4" w:rsidRDefault="00015B17" w:rsidP="00015B17">
      <w:pPr>
        <w:spacing w:line="360" w:lineRule="auto"/>
      </w:pPr>
      <w:r w:rsidRPr="003A58C4">
        <w:t xml:space="preserve"> </w:t>
      </w:r>
    </w:p>
    <w:p w14:paraId="2CBECDE4" w14:textId="77777777" w:rsidR="00015B17" w:rsidRPr="003A58C4" w:rsidRDefault="00015B17" w:rsidP="00015B17">
      <w:pPr>
        <w:spacing w:line="360" w:lineRule="auto"/>
      </w:pPr>
      <w:r w:rsidRPr="003A58C4">
        <w:tab/>
      </w:r>
      <w:r>
        <w:t>Following Clyne and Garcia, t</w:t>
      </w:r>
      <w:r w:rsidRPr="003A58C4">
        <w:t>he parameters of the real and virtual system</w:t>
      </w:r>
      <w:r w:rsidR="0035721F">
        <w:t xml:space="preserve"> (primed)</w:t>
      </w:r>
      <w:r w:rsidRPr="003A58C4">
        <w:t xml:space="preserve"> are related by</w:t>
      </w:r>
    </w:p>
    <w:p w14:paraId="2EED6039" w14:textId="77777777" w:rsidR="00015B17" w:rsidRPr="003A58C4" w:rsidRDefault="00015B17" w:rsidP="00015B17">
      <w:pPr>
        <w:spacing w:line="360" w:lineRule="auto"/>
        <w:jc w:val="center"/>
      </w:pPr>
      <w:r w:rsidRPr="00E43C1F">
        <w:rPr>
          <w:position w:val="-12"/>
        </w:rPr>
        <w:object w:dxaOrig="1060" w:dyaOrig="360" w14:anchorId="71E00759">
          <v:shape id="_x0000_i1131" type="#_x0000_t75" style="width:53.3pt;height:17.75pt" o:ole="">
            <v:imagedata r:id="rId208" o:title=""/>
          </v:shape>
          <o:OLEObject Type="Embed" ProgID="Equation.DSMT4" ShapeID="_x0000_i1131" DrawAspect="Content" ObjectID="_1840626697" r:id="rId209"/>
        </w:object>
      </w:r>
      <w:r>
        <w:tab/>
      </w:r>
      <w:r>
        <w:tab/>
      </w:r>
      <w:r>
        <w:tab/>
        <w:t>(2.3</w:t>
      </w:r>
      <w:r w:rsidR="002006B3">
        <w:t>3</w:t>
      </w:r>
      <w:r>
        <w:t>a)</w:t>
      </w:r>
    </w:p>
    <w:p w14:paraId="63912D9E" w14:textId="77777777" w:rsidR="00015B17" w:rsidRPr="003A58C4" w:rsidRDefault="00015B17" w:rsidP="00015B17">
      <w:pPr>
        <w:spacing w:line="360" w:lineRule="auto"/>
        <w:jc w:val="center"/>
      </w:pPr>
      <w:r w:rsidRPr="00E43C1F">
        <w:rPr>
          <w:position w:val="-12"/>
        </w:rPr>
        <w:object w:dxaOrig="1100" w:dyaOrig="360" w14:anchorId="3A86D8C5">
          <v:shape id="_x0000_i1132" type="#_x0000_t75" style="width:55.15pt;height:17.75pt" o:ole="">
            <v:imagedata r:id="rId210" o:title=""/>
          </v:shape>
          <o:OLEObject Type="Embed" ProgID="Equation.DSMT4" ShapeID="_x0000_i1132" DrawAspect="Content" ObjectID="_1840626698" r:id="rId211"/>
        </w:object>
      </w:r>
      <w:r>
        <w:tab/>
      </w:r>
      <w:r>
        <w:tab/>
      </w:r>
      <w:r>
        <w:tab/>
        <w:t>(2.3</w:t>
      </w:r>
      <w:r w:rsidR="002006B3">
        <w:t>3</w:t>
      </w:r>
      <w:r>
        <w:t>b)</w:t>
      </w:r>
    </w:p>
    <w:p w14:paraId="538FE81B" w14:textId="77777777" w:rsidR="00015B17" w:rsidRDefault="00015B17" w:rsidP="00015B17">
      <w:pPr>
        <w:spacing w:line="360" w:lineRule="auto"/>
        <w:jc w:val="center"/>
      </w:pPr>
      <w:r w:rsidRPr="00E43C1F">
        <w:rPr>
          <w:position w:val="-12"/>
        </w:rPr>
        <w:object w:dxaOrig="880" w:dyaOrig="360" w14:anchorId="6236C5B8">
          <v:shape id="_x0000_i1133" type="#_x0000_t75" style="width:43.95pt;height:17.75pt" o:ole="">
            <v:imagedata r:id="rId212" o:title=""/>
          </v:shape>
          <o:OLEObject Type="Embed" ProgID="Equation.DSMT4" ShapeID="_x0000_i1133" DrawAspect="Content" ObjectID="_1840626699" r:id="rId213"/>
        </w:object>
      </w:r>
      <w:r>
        <w:tab/>
      </w:r>
      <w:r w:rsidR="002006B3">
        <w:t>,</w:t>
      </w:r>
      <w:r>
        <w:tab/>
      </w:r>
      <w:r>
        <w:tab/>
        <w:t>(2.3</w:t>
      </w:r>
      <w:r w:rsidR="002006B3">
        <w:t>3</w:t>
      </w:r>
      <w:r>
        <w:t>c)</w:t>
      </w:r>
    </w:p>
    <w:p w14:paraId="52C82841" w14:textId="77777777" w:rsidR="00E65F4E" w:rsidRPr="003A58C4" w:rsidRDefault="00E65F4E" w:rsidP="00015B17">
      <w:pPr>
        <w:spacing w:line="360" w:lineRule="auto"/>
        <w:jc w:val="center"/>
      </w:pPr>
    </w:p>
    <w:p w14:paraId="63BD1449" w14:textId="77777777" w:rsidR="00015B17" w:rsidRDefault="00015B17" w:rsidP="00015B17">
      <w:pPr>
        <w:spacing w:line="360" w:lineRule="auto"/>
      </w:pPr>
      <w:r>
        <w:t>w</w:t>
      </w:r>
      <w:r w:rsidRPr="003A58C4">
        <w:t xml:space="preserve">here </w:t>
      </w:r>
      <w:r w:rsidRPr="00E43C1F">
        <w:rPr>
          <w:position w:val="-12"/>
        </w:rPr>
        <w:object w:dxaOrig="220" w:dyaOrig="360" w14:anchorId="6A4C20F9">
          <v:shape id="_x0000_i1134" type="#_x0000_t75" style="width:10.3pt;height:17.75pt" o:ole="">
            <v:imagedata r:id="rId214" o:title=""/>
          </v:shape>
          <o:OLEObject Type="Embed" ProgID="Equation.DSMT4" ShapeID="_x0000_i1134" DrawAspect="Content" ObjectID="_1840626700" r:id="rId215"/>
        </w:object>
      </w:r>
      <w:r w:rsidRPr="003A58C4">
        <w:t xml:space="preserve">is the time needed to form solidified thickness </w:t>
      </w:r>
      <w:r w:rsidRPr="00E43C1F">
        <w:rPr>
          <w:position w:val="-12"/>
        </w:rPr>
        <w:object w:dxaOrig="279" w:dyaOrig="360" w14:anchorId="0599D756">
          <v:shape id="_x0000_i1135" type="#_x0000_t75" style="width:14.05pt;height:17.75pt" o:ole="">
            <v:imagedata r:id="rId216" o:title=""/>
          </v:shape>
          <o:OLEObject Type="Embed" ProgID="Equation.DSMT4" ShapeID="_x0000_i1135" DrawAspect="Content" ObjectID="_1840626701" r:id="rId217"/>
        </w:object>
      </w:r>
      <w:r w:rsidRPr="003A58C4">
        <w:t>in the virtual system. The boundary conditions are</w:t>
      </w:r>
    </w:p>
    <w:p w14:paraId="67C02A14" w14:textId="77777777" w:rsidR="00E65F4E" w:rsidRPr="003A58C4" w:rsidRDefault="00E65F4E" w:rsidP="00015B17">
      <w:pPr>
        <w:spacing w:line="360" w:lineRule="auto"/>
      </w:pPr>
    </w:p>
    <w:p w14:paraId="521B413E" w14:textId="77777777" w:rsidR="00E65F4E" w:rsidRDefault="00015B17" w:rsidP="00015B17">
      <w:pPr>
        <w:spacing w:line="360" w:lineRule="auto"/>
        <w:ind w:left="1440"/>
      </w:pPr>
      <w:r w:rsidRPr="00E43C1F">
        <w:rPr>
          <w:position w:val="-32"/>
        </w:rPr>
        <w:object w:dxaOrig="2260" w:dyaOrig="760" w14:anchorId="79E6C0C6">
          <v:shape id="_x0000_i1136" type="#_x0000_t75" style="width:112.2pt;height:38.35pt" o:ole="">
            <v:imagedata r:id="rId218" o:title=""/>
          </v:shape>
          <o:OLEObject Type="Embed" ProgID="Equation.DSMT4" ShapeID="_x0000_i1136" DrawAspect="Content" ObjectID="_1840626702" r:id="rId219"/>
        </w:object>
      </w:r>
      <w:r w:rsidRPr="003A58C4">
        <w:t xml:space="preserve"> </w:t>
      </w:r>
      <w:r w:rsidR="002006B3">
        <w:t>.</w:t>
      </w:r>
    </w:p>
    <w:p w14:paraId="7AA2CAA6" w14:textId="77777777" w:rsidR="00015B17" w:rsidRPr="003A58C4" w:rsidRDefault="00015B17" w:rsidP="00015B17">
      <w:pPr>
        <w:spacing w:line="360" w:lineRule="auto"/>
        <w:ind w:left="1440"/>
      </w:pPr>
      <w:r w:rsidRPr="003A58C4">
        <w:t xml:space="preserve">                                                            (</w:t>
      </w:r>
      <w:r>
        <w:t>2. 3</w:t>
      </w:r>
      <w:r w:rsidR="002006B3">
        <w:t>4</w:t>
      </w:r>
      <w:r w:rsidRPr="003A58C4">
        <w:t>)</w:t>
      </w:r>
    </w:p>
    <w:p w14:paraId="52454E6B" w14:textId="77777777" w:rsidR="002006B3" w:rsidRPr="003A58C4" w:rsidRDefault="00015B17" w:rsidP="00015B17">
      <w:pPr>
        <w:spacing w:line="360" w:lineRule="auto"/>
      </w:pPr>
      <w:r w:rsidRPr="003A58C4">
        <w:t xml:space="preserve">Then the solution to </w:t>
      </w:r>
      <w:r>
        <w:t>Eqn.</w:t>
      </w:r>
      <w:r w:rsidRPr="003A58C4">
        <w:t xml:space="preserve"> (2</w:t>
      </w:r>
      <w:r>
        <w:t>.2</w:t>
      </w:r>
      <w:r w:rsidRPr="003A58C4">
        <w:t xml:space="preserve">) is given by </w:t>
      </w:r>
    </w:p>
    <w:p w14:paraId="47DE527C" w14:textId="77777777" w:rsidR="00015B17" w:rsidRDefault="00015B17" w:rsidP="00015B17">
      <w:pPr>
        <w:spacing w:line="360" w:lineRule="auto"/>
        <w:jc w:val="center"/>
      </w:pPr>
      <w:r w:rsidRPr="00E43C1F">
        <w:rPr>
          <w:position w:val="-36"/>
        </w:rPr>
        <w:object w:dxaOrig="2420" w:dyaOrig="840" w14:anchorId="247E7786">
          <v:shape id="_x0000_i1137" type="#_x0000_t75" style="width:120.6pt;height:42.1pt" o:ole="">
            <v:imagedata r:id="rId220" o:title=""/>
          </v:shape>
          <o:OLEObject Type="Embed" ProgID="Equation.DSMT4" ShapeID="_x0000_i1137" DrawAspect="Content" ObjectID="_1840626703" r:id="rId221"/>
        </w:object>
      </w:r>
      <w:r w:rsidR="00E65F4E">
        <w:tab/>
      </w:r>
      <w:r w:rsidR="00E65F4E">
        <w:tab/>
      </w:r>
      <w:r>
        <w:t>(2.3</w:t>
      </w:r>
      <w:r w:rsidR="002006B3">
        <w:t>5</w:t>
      </w:r>
      <w:r>
        <w:t>)</w:t>
      </w:r>
    </w:p>
    <w:p w14:paraId="370F434D" w14:textId="77777777" w:rsidR="00E65F4E" w:rsidRPr="003A58C4" w:rsidRDefault="00E65F4E" w:rsidP="00015B17">
      <w:pPr>
        <w:spacing w:line="360" w:lineRule="auto"/>
        <w:jc w:val="center"/>
      </w:pPr>
    </w:p>
    <w:p w14:paraId="5F95BC29" w14:textId="77777777" w:rsidR="00015B17" w:rsidRDefault="00015B17" w:rsidP="00015B17">
      <w:pPr>
        <w:spacing w:line="360" w:lineRule="auto"/>
      </w:pPr>
      <w:r>
        <w:t>w</w:t>
      </w:r>
      <w:r w:rsidRPr="003A58C4">
        <w:t xml:space="preserve">here </w:t>
      </w:r>
      <w:r w:rsidRPr="0035721F">
        <w:rPr>
          <w:i/>
        </w:rPr>
        <w:t>A</w:t>
      </w:r>
      <w:r w:rsidRPr="003A58C4">
        <w:t xml:space="preserve"> and </w:t>
      </w:r>
      <w:r w:rsidRPr="0035721F">
        <w:rPr>
          <w:i/>
        </w:rPr>
        <w:t>B</w:t>
      </w:r>
      <w:r w:rsidRPr="003A58C4">
        <w:t xml:space="preserve"> are constants obtained using the boundary conditions. If </w:t>
      </w:r>
      <w:r w:rsidRPr="008E26BE">
        <w:rPr>
          <w:position w:val="-10"/>
        </w:rPr>
        <w:object w:dxaOrig="220" w:dyaOrig="260" w14:anchorId="22BC1271">
          <v:shape id="_x0000_i1138" type="#_x0000_t75" style="width:10.3pt;height:13.1pt" o:ole="">
            <v:imagedata r:id="rId222" o:title=""/>
          </v:shape>
          <o:OLEObject Type="Embed" ProgID="Equation.DSMT4" ShapeID="_x0000_i1138" DrawAspect="Content" ObjectID="_1840626704" r:id="rId223"/>
        </w:object>
      </w:r>
      <w:r w:rsidRPr="003A58C4">
        <w:t xml:space="preserve"> is defined as</w:t>
      </w:r>
    </w:p>
    <w:p w14:paraId="0E604CE9" w14:textId="77777777" w:rsidR="00E65F4E" w:rsidRPr="003A58C4" w:rsidRDefault="00E65F4E" w:rsidP="00015B17">
      <w:pPr>
        <w:spacing w:line="360" w:lineRule="auto"/>
      </w:pPr>
    </w:p>
    <w:p w14:paraId="1F733C38" w14:textId="77777777" w:rsidR="00015B17" w:rsidRDefault="00015B17" w:rsidP="00015B17">
      <w:pPr>
        <w:spacing w:line="360" w:lineRule="auto"/>
        <w:jc w:val="center"/>
      </w:pPr>
      <w:r w:rsidRPr="008B1047">
        <w:rPr>
          <w:position w:val="-34"/>
        </w:rPr>
        <w:object w:dxaOrig="1180" w:dyaOrig="720" w14:anchorId="241C4CD3">
          <v:shape id="_x0000_i1139" type="#_x0000_t75" style="width:58.9pt;height:36.45pt" o:ole="">
            <v:imagedata r:id="rId224" o:title=""/>
          </v:shape>
          <o:OLEObject Type="Embed" ProgID="Equation.DSMT4" ShapeID="_x0000_i1139" DrawAspect="Content" ObjectID="_1840626705" r:id="rId225"/>
        </w:object>
      </w:r>
      <w:r>
        <w:tab/>
      </w:r>
      <w:r w:rsidR="002006B3">
        <w:t>,</w:t>
      </w:r>
      <w:r>
        <w:tab/>
      </w:r>
      <w:r>
        <w:tab/>
      </w:r>
      <w:r>
        <w:tab/>
        <w:t>(2.3</w:t>
      </w:r>
      <w:r w:rsidR="002006B3">
        <w:t>6</w:t>
      </w:r>
      <w:r>
        <w:t>)</w:t>
      </w:r>
    </w:p>
    <w:p w14:paraId="22DA0551" w14:textId="77777777" w:rsidR="00E65F4E" w:rsidRPr="003A58C4" w:rsidRDefault="00E65F4E" w:rsidP="00015B17">
      <w:pPr>
        <w:spacing w:line="360" w:lineRule="auto"/>
        <w:jc w:val="center"/>
      </w:pPr>
    </w:p>
    <w:p w14:paraId="210AA728" w14:textId="77777777" w:rsidR="00015B17" w:rsidRPr="003A58C4" w:rsidRDefault="0035721F" w:rsidP="00015B17">
      <w:pPr>
        <w:spacing w:line="360" w:lineRule="auto"/>
      </w:pPr>
      <w:r>
        <w:t>t</w:t>
      </w:r>
      <w:r w:rsidR="00015B17" w:rsidRPr="003A58C4">
        <w:t>hen</w:t>
      </w:r>
    </w:p>
    <w:p w14:paraId="30BB5BE2" w14:textId="77777777" w:rsidR="00015B17" w:rsidRDefault="00015B17" w:rsidP="00015B17">
      <w:pPr>
        <w:spacing w:line="360" w:lineRule="auto"/>
        <w:jc w:val="center"/>
      </w:pPr>
      <w:r w:rsidRPr="008E26BE">
        <w:rPr>
          <w:position w:val="-30"/>
        </w:rPr>
        <w:object w:dxaOrig="1100" w:dyaOrig="720" w14:anchorId="6CBBF0F9">
          <v:shape id="_x0000_i1140" type="#_x0000_t75" style="width:55.15pt;height:36.45pt" o:ole="">
            <v:imagedata r:id="rId226" o:title=""/>
          </v:shape>
          <o:OLEObject Type="Embed" ProgID="Equation.DSMT4" ShapeID="_x0000_i1140" DrawAspect="Content" ObjectID="_1840626706" r:id="rId227"/>
        </w:object>
      </w:r>
      <w:r>
        <w:tab/>
      </w:r>
      <w:r w:rsidR="002006B3">
        <w:t>,</w:t>
      </w:r>
      <w:r>
        <w:tab/>
      </w:r>
      <w:r>
        <w:tab/>
        <w:t>(2.3</w:t>
      </w:r>
      <w:r w:rsidR="002006B3">
        <w:t>7</w:t>
      </w:r>
      <w:r>
        <w:t>)</w:t>
      </w:r>
    </w:p>
    <w:p w14:paraId="1EC0C957" w14:textId="77777777" w:rsidR="00E65F4E" w:rsidRPr="003A58C4" w:rsidRDefault="00E65F4E" w:rsidP="00015B17">
      <w:pPr>
        <w:spacing w:line="360" w:lineRule="auto"/>
        <w:jc w:val="center"/>
      </w:pPr>
    </w:p>
    <w:p w14:paraId="64F8D915" w14:textId="0B51553F" w:rsidR="00015B17" w:rsidRDefault="00015B17" w:rsidP="00015B17">
      <w:pPr>
        <w:spacing w:line="360" w:lineRule="auto"/>
      </w:pPr>
      <w:r>
        <w:t xml:space="preserve">and </w:t>
      </w:r>
      <w:r w:rsidR="009C3F94">
        <w:t>s</w:t>
      </w:r>
      <w:r w:rsidR="009C3F94" w:rsidRPr="003A58C4">
        <w:t>imilarly,</w:t>
      </w:r>
      <w:r>
        <w:t xml:space="preserve"> the </w:t>
      </w:r>
      <w:r w:rsidRPr="003A58C4">
        <w:t xml:space="preserve">solidified thickness </w:t>
      </w:r>
      <w:r w:rsidRPr="008E26BE">
        <w:rPr>
          <w:position w:val="-12"/>
        </w:rPr>
        <w:object w:dxaOrig="279" w:dyaOrig="360" w14:anchorId="011874C0">
          <v:shape id="_x0000_i1141" type="#_x0000_t75" style="width:14.05pt;height:17.75pt" o:ole="">
            <v:imagedata r:id="rId228" o:title=""/>
          </v:shape>
          <o:OLEObject Type="Embed" ProgID="Equation.DSMT4" ShapeID="_x0000_i1141" DrawAspect="Content" ObjectID="_1840626707" r:id="rId229"/>
        </w:object>
      </w:r>
      <w:r w:rsidRPr="003A58C4">
        <w:t xml:space="preserve"> at time</w:t>
      </w:r>
      <w:r w:rsidRPr="008E26BE">
        <w:rPr>
          <w:position w:val="-12"/>
        </w:rPr>
        <w:object w:dxaOrig="220" w:dyaOrig="360" w14:anchorId="224399A2">
          <v:shape id="_x0000_i1142" type="#_x0000_t75" style="width:10.3pt;height:17.75pt" o:ole="">
            <v:imagedata r:id="rId230" o:title=""/>
          </v:shape>
          <o:OLEObject Type="Embed" ProgID="Equation.DSMT4" ShapeID="_x0000_i1142" DrawAspect="Content" ObjectID="_1840626708" r:id="rId231"/>
        </w:object>
      </w:r>
      <w:r w:rsidRPr="003A58C4">
        <w:fldChar w:fldCharType="begin"/>
      </w:r>
      <w:r w:rsidRPr="003A58C4">
        <w:instrText xml:space="preserve"> QUOTE </w:instrText>
      </w:r>
      <m:oMath>
        <m:sSub>
          <m:sSubPr>
            <m:ctrlPr>
              <w:rPr>
                <w:rFonts w:ascii="Cambria Math" w:hAnsi="Cambria Math"/>
                <w:i/>
              </w:rPr>
            </m:ctrlPr>
          </m:sSubPr>
          <m:e>
            <m:r>
              <m:rPr>
                <m:sty m:val="p"/>
              </m:rPr>
              <w:rPr>
                <w:rFonts w:ascii="Cambria Math" w:hAnsi="Cambria Math"/>
              </w:rPr>
              <m:t>t</m:t>
            </m:r>
          </m:e>
          <m:sub>
            <m:r>
              <m:rPr>
                <m:sty m:val="p"/>
              </m:rPr>
              <w:rPr>
                <w:rFonts w:ascii="Cambria Math" w:hAnsi="Cambria Math"/>
              </w:rPr>
              <m:t>0</m:t>
            </m:r>
          </m:sub>
        </m:sSub>
      </m:oMath>
      <w:r w:rsidRPr="003A58C4">
        <w:instrText xml:space="preserve"> </w:instrText>
      </w:r>
      <w:r w:rsidRPr="003A58C4">
        <w:fldChar w:fldCharType="separate"/>
      </w:r>
      <w:r w:rsidRPr="003A58C4">
        <w:fldChar w:fldCharType="end"/>
      </w:r>
      <w:r>
        <w:t xml:space="preserve"> is</w:t>
      </w:r>
    </w:p>
    <w:p w14:paraId="39ACE999" w14:textId="77777777" w:rsidR="00E65F4E" w:rsidRPr="003A58C4" w:rsidRDefault="00E65F4E" w:rsidP="00015B17">
      <w:pPr>
        <w:spacing w:line="360" w:lineRule="auto"/>
      </w:pPr>
    </w:p>
    <w:p w14:paraId="398A6CCC" w14:textId="77777777" w:rsidR="00015B17" w:rsidRDefault="00015B17" w:rsidP="00015B17">
      <w:pPr>
        <w:spacing w:line="360" w:lineRule="auto"/>
        <w:jc w:val="center"/>
      </w:pPr>
      <w:r w:rsidRPr="008E26BE">
        <w:rPr>
          <w:position w:val="-30"/>
        </w:rPr>
        <w:object w:dxaOrig="1140" w:dyaOrig="740" w14:anchorId="6B110229">
          <v:shape id="_x0000_i1143" type="#_x0000_t75" style="width:57.05pt;height:36.45pt" o:ole="">
            <v:imagedata r:id="rId232" o:title=""/>
          </v:shape>
          <o:OLEObject Type="Embed" ProgID="Equation.DSMT4" ShapeID="_x0000_i1143" DrawAspect="Content" ObjectID="_1840626709" r:id="rId233"/>
        </w:object>
      </w:r>
      <w:r>
        <w:tab/>
      </w:r>
      <w:r w:rsidR="002006B3">
        <w:t>.</w:t>
      </w:r>
      <w:r>
        <w:tab/>
      </w:r>
      <w:r>
        <w:tab/>
        <w:t>(2.3</w:t>
      </w:r>
      <w:r w:rsidR="002006B3">
        <w:t>8</w:t>
      </w:r>
      <w:r>
        <w:t>)</w:t>
      </w:r>
    </w:p>
    <w:p w14:paraId="0E7C9C43" w14:textId="77777777" w:rsidR="00E65F4E" w:rsidRPr="003A58C4" w:rsidRDefault="00E65F4E" w:rsidP="00015B17">
      <w:pPr>
        <w:spacing w:line="360" w:lineRule="auto"/>
        <w:jc w:val="center"/>
      </w:pPr>
    </w:p>
    <w:p w14:paraId="5D837B1F" w14:textId="77777777" w:rsidR="00015B17" w:rsidRDefault="00015B17" w:rsidP="00015B17">
      <w:pPr>
        <w:spacing w:line="360" w:lineRule="auto"/>
      </w:pPr>
      <w:r w:rsidRPr="003A58C4">
        <w:t>We can write the above equation as</w:t>
      </w:r>
    </w:p>
    <w:p w14:paraId="18174ABA" w14:textId="77777777" w:rsidR="00E65F4E" w:rsidRPr="003A58C4" w:rsidRDefault="00E65F4E" w:rsidP="00015B17">
      <w:pPr>
        <w:spacing w:line="360" w:lineRule="auto"/>
      </w:pPr>
    </w:p>
    <w:p w14:paraId="509A7BB7" w14:textId="77777777" w:rsidR="00015B17" w:rsidRDefault="00015B17" w:rsidP="00015B17">
      <w:pPr>
        <w:spacing w:line="360" w:lineRule="auto"/>
        <w:jc w:val="center"/>
      </w:pPr>
      <w:r w:rsidRPr="008E26BE">
        <w:rPr>
          <w:position w:val="-30"/>
        </w:rPr>
        <w:object w:dxaOrig="1680" w:dyaOrig="780" w14:anchorId="068CD027">
          <v:shape id="_x0000_i1144" type="#_x0000_t75" style="width:84.15pt;height:40.2pt" o:ole="">
            <v:imagedata r:id="rId234" o:title=""/>
          </v:shape>
          <o:OLEObject Type="Embed" ProgID="Equation.DSMT4" ShapeID="_x0000_i1144" DrawAspect="Content" ObjectID="_1840626710" r:id="rId235"/>
        </w:object>
      </w:r>
      <w:r>
        <w:tab/>
      </w:r>
      <w:r w:rsidR="002006B3">
        <w:t>.</w:t>
      </w:r>
      <w:r>
        <w:tab/>
      </w:r>
      <w:r>
        <w:tab/>
        <w:t>(2.3</w:t>
      </w:r>
      <w:r w:rsidR="002006B3">
        <w:t>9</w:t>
      </w:r>
      <w:r>
        <w:t>)</w:t>
      </w:r>
    </w:p>
    <w:p w14:paraId="5188F385" w14:textId="77777777" w:rsidR="00E65F4E" w:rsidRPr="003A58C4" w:rsidRDefault="00E65F4E" w:rsidP="00015B17">
      <w:pPr>
        <w:spacing w:line="360" w:lineRule="auto"/>
        <w:jc w:val="center"/>
      </w:pPr>
    </w:p>
    <w:p w14:paraId="0DF31F91" w14:textId="77777777" w:rsidR="00015B17" w:rsidRDefault="00015B17" w:rsidP="00015B17">
      <w:pPr>
        <w:spacing w:line="360" w:lineRule="auto"/>
      </w:pPr>
      <w:r w:rsidRPr="003A58C4">
        <w:t xml:space="preserve">Using the expression for </w:t>
      </w:r>
      <w:r w:rsidRPr="008E26BE">
        <w:rPr>
          <w:position w:val="-12"/>
        </w:rPr>
        <w:object w:dxaOrig="220" w:dyaOrig="360" w14:anchorId="631A1D97">
          <v:shape id="_x0000_i1145" type="#_x0000_t75" style="width:10.3pt;height:17.75pt" o:ole="">
            <v:imagedata r:id="rId236" o:title=""/>
          </v:shape>
          <o:OLEObject Type="Embed" ProgID="Equation.DSMT4" ShapeID="_x0000_i1145" DrawAspect="Content" ObjectID="_1840626711" r:id="rId237"/>
        </w:object>
      </w:r>
      <w:r>
        <w:t xml:space="preserve"> </w:t>
      </w:r>
      <w:r w:rsidRPr="003A58C4">
        <w:t>(</w:t>
      </w:r>
      <w:r>
        <w:t>Eqn. 2.3</w:t>
      </w:r>
      <w:r w:rsidR="002006B3">
        <w:t>8</w:t>
      </w:r>
      <w:r w:rsidRPr="003A58C4">
        <w:t>), after manipulation, the solution for the solidification time,</w:t>
      </w:r>
      <w:r w:rsidRPr="008E26BE">
        <w:rPr>
          <w:position w:val="-12"/>
        </w:rPr>
        <w:object w:dxaOrig="220" w:dyaOrig="360" w14:anchorId="7BEE173F">
          <v:shape id="_x0000_i1146" type="#_x0000_t75" style="width:10.3pt;height:17.75pt" o:ole="">
            <v:imagedata r:id="rId238" o:title=""/>
          </v:shape>
          <o:OLEObject Type="Embed" ProgID="Equation.DSMT4" ShapeID="_x0000_i1146" DrawAspect="Content" ObjectID="_1840626712" r:id="rId239"/>
        </w:object>
      </w:r>
      <w:r w:rsidRPr="003A58C4">
        <w:t xml:space="preserve">, as the function of the distance solidified, </w:t>
      </w:r>
      <w:r w:rsidRPr="008E26BE">
        <w:rPr>
          <w:position w:val="-4"/>
        </w:rPr>
        <w:object w:dxaOrig="279" w:dyaOrig="260" w14:anchorId="77FED394">
          <v:shape id="_x0000_i1147" type="#_x0000_t75" style="width:14.05pt;height:13.1pt" o:ole="">
            <v:imagedata r:id="rId240" o:title=""/>
          </v:shape>
          <o:OLEObject Type="Embed" ProgID="Equation.DSMT4" ShapeID="_x0000_i1147" DrawAspect="Content" ObjectID="_1840626713" r:id="rId241"/>
        </w:object>
      </w:r>
      <w:r w:rsidRPr="003A58C4">
        <w:t>, has the form</w:t>
      </w:r>
      <w:r w:rsidR="00F726FE">
        <w:t>,</w:t>
      </w:r>
    </w:p>
    <w:p w14:paraId="430EC6E2" w14:textId="77777777" w:rsidR="00E65F4E" w:rsidRPr="003A58C4" w:rsidRDefault="00E65F4E" w:rsidP="00015B17">
      <w:pPr>
        <w:spacing w:line="360" w:lineRule="auto"/>
      </w:pPr>
    </w:p>
    <w:p w14:paraId="28F09156" w14:textId="77777777" w:rsidR="00015B17" w:rsidRDefault="00015B17" w:rsidP="00015B17">
      <w:pPr>
        <w:spacing w:line="360" w:lineRule="auto"/>
        <w:jc w:val="center"/>
      </w:pPr>
      <w:r w:rsidRPr="00333E3F">
        <w:rPr>
          <w:position w:val="-14"/>
        </w:rPr>
        <w:object w:dxaOrig="1920" w:dyaOrig="400" w14:anchorId="0607D32C">
          <v:shape id="_x0000_i1148" type="#_x0000_t75" style="width:96.3pt;height:19.65pt" o:ole="">
            <v:imagedata r:id="rId242" o:title=""/>
          </v:shape>
          <o:OLEObject Type="Embed" ProgID="Equation.DSMT4" ShapeID="_x0000_i1148" DrawAspect="Content" ObjectID="_1840626714" r:id="rId243"/>
        </w:object>
      </w:r>
      <w:r>
        <w:tab/>
      </w:r>
      <w:r w:rsidR="002006B3">
        <w:t>,</w:t>
      </w:r>
      <w:r>
        <w:tab/>
      </w:r>
      <w:r>
        <w:tab/>
        <w:t>(2.</w:t>
      </w:r>
      <w:r w:rsidR="002006B3">
        <w:t>40</w:t>
      </w:r>
      <w:r>
        <w:t>)</w:t>
      </w:r>
    </w:p>
    <w:p w14:paraId="300463CA" w14:textId="77777777" w:rsidR="00E65F4E" w:rsidRPr="003A58C4" w:rsidRDefault="00E65F4E" w:rsidP="00015B17">
      <w:pPr>
        <w:spacing w:line="360" w:lineRule="auto"/>
        <w:jc w:val="center"/>
      </w:pPr>
    </w:p>
    <w:p w14:paraId="3375042A" w14:textId="77777777" w:rsidR="00015B17" w:rsidRPr="003A58C4" w:rsidRDefault="00015B17" w:rsidP="00015B17">
      <w:pPr>
        <w:spacing w:line="360" w:lineRule="auto"/>
      </w:pPr>
      <w:r>
        <w:t>w</w:t>
      </w:r>
      <w:r w:rsidRPr="003A58C4">
        <w:t>here</w:t>
      </w:r>
    </w:p>
    <w:p w14:paraId="2B2D998C" w14:textId="612AB7C8" w:rsidR="00015B17" w:rsidRDefault="00015B17" w:rsidP="00015B17">
      <w:pPr>
        <w:spacing w:line="360" w:lineRule="auto"/>
        <w:jc w:val="center"/>
      </w:pPr>
      <w:r w:rsidRPr="00333E3F">
        <w:rPr>
          <w:position w:val="-30"/>
        </w:rPr>
        <w:object w:dxaOrig="1140" w:dyaOrig="680" w14:anchorId="753D02F1">
          <v:shape id="_x0000_i1149" type="#_x0000_t75" style="width:57.05pt;height:33.65pt" o:ole="">
            <v:imagedata r:id="rId244" o:title=""/>
          </v:shape>
          <o:OLEObject Type="Embed" ProgID="Equation.DSMT4" ShapeID="_x0000_i1149" DrawAspect="Content" ObjectID="_1840626715" r:id="rId245"/>
        </w:object>
      </w:r>
      <w:r>
        <w:tab/>
      </w:r>
      <w:r>
        <w:tab/>
      </w:r>
      <w:r>
        <w:tab/>
      </w:r>
      <w:r w:rsidR="00033C02">
        <w:t xml:space="preserve">              </w:t>
      </w:r>
      <w:r>
        <w:t>(2.4</w:t>
      </w:r>
      <w:r w:rsidR="002006B3">
        <w:t>1</w:t>
      </w:r>
      <w:r>
        <w:t>)</w:t>
      </w:r>
    </w:p>
    <w:p w14:paraId="0F6864FB" w14:textId="77777777" w:rsidR="00E65F4E" w:rsidRPr="003A58C4" w:rsidRDefault="00E65F4E" w:rsidP="00015B17">
      <w:pPr>
        <w:spacing w:line="360" w:lineRule="auto"/>
        <w:jc w:val="center"/>
      </w:pPr>
    </w:p>
    <w:p w14:paraId="32F6B1D9" w14:textId="77777777" w:rsidR="00015B17" w:rsidRDefault="00015B17" w:rsidP="00015B17">
      <w:pPr>
        <w:spacing w:line="360" w:lineRule="auto"/>
        <w:jc w:val="center"/>
      </w:pPr>
      <w:r w:rsidRPr="00333E3F">
        <w:rPr>
          <w:position w:val="-32"/>
        </w:rPr>
        <w:object w:dxaOrig="1540" w:dyaOrig="740" w14:anchorId="40A6CE16">
          <v:shape id="_x0000_i1150" type="#_x0000_t75" style="width:77.6pt;height:36.45pt" o:ole="">
            <v:imagedata r:id="rId246" o:title=""/>
          </v:shape>
          <o:OLEObject Type="Embed" ProgID="Equation.DSMT4" ShapeID="_x0000_i1150" DrawAspect="Content" ObjectID="_1840626716" r:id="rId247"/>
        </w:object>
      </w:r>
      <w:r>
        <w:tab/>
      </w:r>
      <w:r>
        <w:tab/>
      </w:r>
      <w:r>
        <w:tab/>
        <w:t>(2.4</w:t>
      </w:r>
      <w:r w:rsidR="002006B3">
        <w:t>2</w:t>
      </w:r>
      <w:r>
        <w:t>)</w:t>
      </w:r>
    </w:p>
    <w:p w14:paraId="3D11A24E" w14:textId="77777777" w:rsidR="00E65F4E" w:rsidRPr="003A58C4" w:rsidRDefault="00E65F4E" w:rsidP="00015B17">
      <w:pPr>
        <w:spacing w:line="360" w:lineRule="auto"/>
        <w:jc w:val="center"/>
      </w:pPr>
    </w:p>
    <w:p w14:paraId="688C6752" w14:textId="77777777" w:rsidR="00015B17" w:rsidRDefault="00015B17" w:rsidP="00015B17">
      <w:pPr>
        <w:spacing w:line="360" w:lineRule="auto"/>
      </w:pPr>
      <w:r>
        <w:t>w</w:t>
      </w:r>
      <w:r w:rsidRPr="003A58C4">
        <w:t xml:space="preserve">ith </w:t>
      </w:r>
      <w:r w:rsidRPr="00333E3F">
        <w:rPr>
          <w:position w:val="-10"/>
        </w:rPr>
        <w:object w:dxaOrig="220" w:dyaOrig="260" w14:anchorId="5A3D099E">
          <v:shape id="_x0000_i1151" type="#_x0000_t75" style="width:10.3pt;height:13.1pt" o:ole="">
            <v:imagedata r:id="rId248" o:title=""/>
          </v:shape>
          <o:OLEObject Type="Embed" ProgID="Equation.DSMT4" ShapeID="_x0000_i1151" DrawAspect="Content" ObjectID="_1840626717" r:id="rId249"/>
        </w:object>
      </w:r>
      <w:r w:rsidRPr="003A58C4">
        <w:t xml:space="preserve"> evaluated numerically from the equation</w:t>
      </w:r>
    </w:p>
    <w:p w14:paraId="6D649E96" w14:textId="77777777" w:rsidR="00E65F4E" w:rsidRPr="003A58C4" w:rsidRDefault="00E65F4E" w:rsidP="00015B17">
      <w:pPr>
        <w:spacing w:line="360" w:lineRule="auto"/>
      </w:pPr>
    </w:p>
    <w:p w14:paraId="4824CC9D" w14:textId="77777777" w:rsidR="00015B17" w:rsidRDefault="00015B17" w:rsidP="00015B17">
      <w:pPr>
        <w:spacing w:line="360" w:lineRule="auto"/>
        <w:jc w:val="center"/>
      </w:pPr>
      <w:r w:rsidRPr="00333E3F">
        <w:rPr>
          <w:position w:val="-28"/>
        </w:rPr>
        <w:object w:dxaOrig="3060" w:dyaOrig="660" w14:anchorId="72A6D441">
          <v:shape id="_x0000_i1152" type="#_x0000_t75" style="width:153.35pt;height:31.8pt" o:ole="">
            <v:imagedata r:id="rId250" o:title=""/>
          </v:shape>
          <o:OLEObject Type="Embed" ProgID="Equation.DSMT4" ShapeID="_x0000_i1152" DrawAspect="Content" ObjectID="_1840626718" r:id="rId251"/>
        </w:object>
      </w:r>
      <w:r>
        <w:tab/>
      </w:r>
      <w:r w:rsidR="002006B3">
        <w:t>.</w:t>
      </w:r>
      <w:r>
        <w:tab/>
      </w:r>
      <w:r>
        <w:tab/>
        <w:t>(2.4</w:t>
      </w:r>
      <w:r w:rsidR="002006B3">
        <w:t>3</w:t>
      </w:r>
      <w:r>
        <w:t>)</w:t>
      </w:r>
    </w:p>
    <w:p w14:paraId="46CA8112" w14:textId="77777777" w:rsidR="00E65F4E" w:rsidRPr="003A58C4" w:rsidRDefault="00E65F4E" w:rsidP="00015B17">
      <w:pPr>
        <w:spacing w:line="360" w:lineRule="auto"/>
        <w:jc w:val="center"/>
      </w:pPr>
    </w:p>
    <w:p w14:paraId="61C667CE" w14:textId="77777777" w:rsidR="00015B17" w:rsidRDefault="00015B17" w:rsidP="00015B17">
      <w:pPr>
        <w:spacing w:line="360" w:lineRule="auto"/>
      </w:pPr>
      <w:r w:rsidRPr="003A58C4">
        <w:rPr>
          <w:spacing w:val="-3"/>
        </w:rPr>
        <w:t xml:space="preserve">Here, </w:t>
      </w:r>
      <w:r w:rsidRPr="00BA00C3">
        <w:rPr>
          <w:spacing w:val="-3"/>
          <w:position w:val="-12"/>
        </w:rPr>
        <w:object w:dxaOrig="320" w:dyaOrig="360" w14:anchorId="0529A400">
          <v:shape id="_x0000_i1153" type="#_x0000_t75" style="width:16.85pt;height:17.75pt" o:ole="">
            <v:imagedata r:id="rId252" o:title=""/>
          </v:shape>
          <o:OLEObject Type="Embed" ProgID="Equation.DSMT4" ShapeID="_x0000_i1153" DrawAspect="Content" ObjectID="_1840626719" r:id="rId253"/>
        </w:object>
      </w:r>
      <w:r w:rsidRPr="003A58C4">
        <w:rPr>
          <w:spacing w:val="-3"/>
        </w:rPr>
        <w:t xml:space="preserve">is the thermal diffusivity of the solid metal, </w:t>
      </w:r>
      <w:r w:rsidRPr="003A58C4">
        <w:rPr>
          <w:spacing w:val="-3"/>
          <w:position w:val="-16"/>
        </w:rPr>
        <w:object w:dxaOrig="2540" w:dyaOrig="480" w14:anchorId="29853425">
          <v:shape id="_x0000_i1154" type="#_x0000_t75" style="width:127.15pt;height:24.3pt" o:ole="">
            <v:imagedata r:id="rId254" o:title=""/>
          </v:shape>
          <o:OLEObject Type="Embed" ProgID="Equation.DSMT4" ShapeID="_x0000_i1154" DrawAspect="Content" ObjectID="_1840626720" r:id="rId255"/>
        </w:object>
      </w:r>
      <w:r w:rsidRPr="003A58C4">
        <w:rPr>
          <w:spacing w:val="-3"/>
        </w:rPr>
        <w:t xml:space="preserve"> =  </w:t>
      </w:r>
      <w:r>
        <w:rPr>
          <w:spacing w:val="-3"/>
        </w:rPr>
        <w:t>mold</w:t>
      </w:r>
      <w:r w:rsidRPr="003A58C4">
        <w:rPr>
          <w:spacing w:val="-3"/>
        </w:rPr>
        <w:t xml:space="preserve"> constant, subscripts </w:t>
      </w:r>
      <w:r w:rsidRPr="003A58C4">
        <w:rPr>
          <w:i/>
          <w:spacing w:val="-3"/>
        </w:rPr>
        <w:t>S</w:t>
      </w:r>
      <w:r w:rsidRPr="003A58C4">
        <w:rPr>
          <w:spacing w:val="-3"/>
        </w:rPr>
        <w:t xml:space="preserve"> and </w:t>
      </w:r>
      <w:r w:rsidRPr="003A58C4">
        <w:rPr>
          <w:i/>
          <w:spacing w:val="-3"/>
        </w:rPr>
        <w:t>M</w:t>
      </w:r>
      <w:r w:rsidRPr="003A58C4">
        <w:rPr>
          <w:spacing w:val="-3"/>
        </w:rPr>
        <w:t xml:space="preserve"> refer to solidified metal and </w:t>
      </w:r>
      <w:r>
        <w:rPr>
          <w:spacing w:val="-3"/>
        </w:rPr>
        <w:t>mold</w:t>
      </w:r>
      <w:r w:rsidRPr="003A58C4">
        <w:rPr>
          <w:spacing w:val="-3"/>
        </w:rPr>
        <w:t>, respectively,</w:t>
      </w:r>
      <w:r w:rsidRPr="003A58C4">
        <w:rPr>
          <w:i/>
          <w:iCs/>
          <w:spacing w:val="-3"/>
        </w:rPr>
        <w:t xml:space="preserve"> </w:t>
      </w:r>
      <w:r w:rsidRPr="003A58C4">
        <w:rPr>
          <w:i/>
          <w:iCs/>
          <w:spacing w:val="-3"/>
          <w:position w:val="-14"/>
        </w:rPr>
        <w:object w:dxaOrig="320" w:dyaOrig="400" w14:anchorId="762E465B">
          <v:shape id="_x0000_i1155" type="#_x0000_t75" style="width:16.85pt;height:19.65pt" o:ole="">
            <v:imagedata r:id="rId256" o:title=""/>
          </v:shape>
          <o:OLEObject Type="Embed" ProgID="Equation.DSMT4" ShapeID="_x0000_i1155" DrawAspect="Content" ObjectID="_1840626721" r:id="rId257"/>
        </w:object>
      </w:r>
      <w:r w:rsidRPr="003A58C4">
        <w:rPr>
          <w:spacing w:val="-3"/>
        </w:rPr>
        <w:t xml:space="preserve"> are the specific heats</w:t>
      </w:r>
      <w:r>
        <w:rPr>
          <w:spacing w:val="-3"/>
        </w:rPr>
        <w:t xml:space="preserve"> , </w:t>
      </w:r>
      <w:r w:rsidRPr="00BA00C3">
        <w:rPr>
          <w:spacing w:val="-3"/>
          <w:position w:val="-12"/>
        </w:rPr>
        <w:object w:dxaOrig="499" w:dyaOrig="360" w14:anchorId="684E05DF">
          <v:shape id="_x0000_i1156" type="#_x0000_t75" style="width:25.25pt;height:17.75pt" o:ole="">
            <v:imagedata r:id="rId258" o:title=""/>
          </v:shape>
          <o:OLEObject Type="Embed" ProgID="Equation.DSMT4" ShapeID="_x0000_i1156" DrawAspect="Content" ObjectID="_1840626722" r:id="rId259"/>
        </w:object>
      </w:r>
      <w:r>
        <w:rPr>
          <w:spacing w:val="-3"/>
        </w:rPr>
        <w:t xml:space="preserve"> is the heat of fusion all on a  per unit mass basis </w:t>
      </w:r>
      <w:r w:rsidRPr="003A58C4">
        <w:rPr>
          <w:spacing w:val="-3"/>
        </w:rPr>
        <w:t xml:space="preserve">and </w:t>
      </w:r>
      <w:r w:rsidRPr="003A58C4">
        <w:rPr>
          <w:i/>
          <w:iCs/>
          <w:spacing w:val="-3"/>
        </w:rPr>
        <w:t>Ste</w:t>
      </w:r>
      <w:r w:rsidRPr="003A58C4">
        <w:rPr>
          <w:spacing w:val="-3"/>
        </w:rPr>
        <w:t xml:space="preserve"> is the dimensionless Stefan number, </w:t>
      </w:r>
      <w:r w:rsidRPr="003A58C4">
        <w:rPr>
          <w:spacing w:val="-3"/>
          <w:position w:val="-32"/>
        </w:rPr>
        <w:object w:dxaOrig="1860" w:dyaOrig="760" w14:anchorId="14441CBF">
          <v:shape id="_x0000_i1157" type="#_x0000_t75" style="width:92.55pt;height:38.35pt" o:ole="">
            <v:imagedata r:id="rId260" o:title=""/>
          </v:shape>
          <o:OLEObject Type="Embed" ProgID="Equation.DSMT4" ShapeID="_x0000_i1157" DrawAspect="Content" ObjectID="_1840626723" r:id="rId261"/>
        </w:object>
      </w:r>
      <w:r w:rsidRPr="003A58C4">
        <w:rPr>
          <w:spacing w:val="-3"/>
        </w:rPr>
        <w:t>.</w:t>
      </w:r>
      <w:r>
        <w:tab/>
      </w:r>
      <w:r w:rsidRPr="003A58C4">
        <w:t xml:space="preserve">The temperature in the solid is given by </w:t>
      </w:r>
    </w:p>
    <w:p w14:paraId="138922A1" w14:textId="77777777" w:rsidR="00E65F4E" w:rsidRPr="003A58C4" w:rsidRDefault="00E65F4E" w:rsidP="00015B17">
      <w:pPr>
        <w:spacing w:line="360" w:lineRule="auto"/>
      </w:pPr>
    </w:p>
    <w:p w14:paraId="0F023755" w14:textId="77777777" w:rsidR="00015B17" w:rsidRDefault="00015B17" w:rsidP="00015B17">
      <w:pPr>
        <w:spacing w:line="360" w:lineRule="auto"/>
        <w:jc w:val="center"/>
      </w:pPr>
      <w:r w:rsidRPr="00333E3F">
        <w:rPr>
          <w:position w:val="-36"/>
        </w:rPr>
        <w:object w:dxaOrig="3600" w:dyaOrig="840" w14:anchorId="140F91F9">
          <v:shape id="_x0000_i1158" type="#_x0000_t75" style="width:180.45pt;height:42.1pt" o:ole="">
            <v:imagedata r:id="rId262" o:title=""/>
          </v:shape>
          <o:OLEObject Type="Embed" ProgID="Equation.DSMT4" ShapeID="_x0000_i1158" DrawAspect="Content" ObjectID="_1840626724" r:id="rId263"/>
        </w:object>
      </w:r>
      <w:r w:rsidR="002006B3">
        <w:t>,</w:t>
      </w:r>
      <w:r>
        <w:tab/>
      </w:r>
      <w:r>
        <w:tab/>
      </w:r>
      <w:r>
        <w:tab/>
        <w:t>(2.4</w:t>
      </w:r>
      <w:r w:rsidR="002006B3">
        <w:t>4</w:t>
      </w:r>
      <w:r>
        <w:t>)</w:t>
      </w:r>
    </w:p>
    <w:p w14:paraId="63117E3C" w14:textId="77777777" w:rsidR="00E65F4E" w:rsidRPr="003A58C4" w:rsidRDefault="00E65F4E" w:rsidP="00015B17">
      <w:pPr>
        <w:spacing w:line="360" w:lineRule="auto"/>
        <w:jc w:val="center"/>
      </w:pPr>
    </w:p>
    <w:p w14:paraId="3124B324" w14:textId="366C99B2" w:rsidR="00015B17" w:rsidRDefault="00015B17" w:rsidP="00015B17">
      <w:pPr>
        <w:spacing w:line="360" w:lineRule="auto"/>
      </w:pPr>
      <w:r>
        <w:t>w</w:t>
      </w:r>
      <w:r w:rsidRPr="003A58C4">
        <w:t xml:space="preserve">here </w:t>
      </w:r>
      <w:r w:rsidRPr="003A58C4">
        <w:fldChar w:fldCharType="begin"/>
      </w:r>
      <w:r w:rsidRPr="003A58C4">
        <w:instrText xml:space="preserve"> QUOTE </w:instrText>
      </w:r>
      <m:oMath>
        <m:sSub>
          <m:sSubPr>
            <m:ctrlPr>
              <w:rPr>
                <w:rFonts w:ascii="Cambria Math" w:hAnsi="Cambria Math"/>
                <w:i/>
              </w:rPr>
            </m:ctrlPr>
          </m:sSubPr>
          <m:e>
            <m:r>
              <m:rPr>
                <m:sty m:val="p"/>
              </m:rPr>
              <w:rPr>
                <w:rFonts w:ascii="Cambria Math" w:hAnsi="Cambria Math"/>
              </w:rPr>
              <m:t>T</m:t>
            </m:r>
          </m:e>
          <m:sub>
            <m:r>
              <m:rPr>
                <m:sty m:val="p"/>
              </m:rPr>
              <w:rPr>
                <w:rFonts w:ascii="Cambria Math" w:hAnsi="Cambria Math"/>
              </w:rPr>
              <m:t>ms</m:t>
            </m:r>
          </m:sub>
        </m:sSub>
        <m:r>
          <m:rPr>
            <m:sty m:val="p"/>
          </m:rPr>
          <w:rPr>
            <w:rFonts w:ascii="Cambria Math" w:hAnsi="Cambria Math"/>
          </w:rPr>
          <m:t xml:space="preserve"> </m:t>
        </m:r>
      </m:oMath>
      <w:r w:rsidRPr="003A58C4">
        <w:instrText xml:space="preserve"> </w:instrText>
      </w:r>
      <w:r w:rsidRPr="003A58C4">
        <w:fldChar w:fldCharType="separate"/>
      </w:r>
      <w:r w:rsidRPr="00BA00C3">
        <w:rPr>
          <w:position w:val="-12"/>
        </w:rPr>
        <w:object w:dxaOrig="360" w:dyaOrig="360" w14:anchorId="56AECB83">
          <v:shape id="_x0000_i1159" type="#_x0000_t75" style="width:17.75pt;height:17.75pt" o:ole="">
            <v:imagedata r:id="rId264" o:title=""/>
          </v:shape>
          <o:OLEObject Type="Embed" ProgID="Equation.DSMT4" ShapeID="_x0000_i1159" DrawAspect="Content" ObjectID="_1840626725" r:id="rId265"/>
        </w:object>
      </w:r>
      <w:r w:rsidRPr="003A58C4">
        <w:fldChar w:fldCharType="end"/>
      </w:r>
      <w:r>
        <w:t xml:space="preserve"> </w:t>
      </w:r>
      <w:r w:rsidRPr="003A58C4">
        <w:t>represents mold temperature at mold-solid interface</w:t>
      </w:r>
      <w:r w:rsidR="0035721F">
        <w:t>.</w:t>
      </w:r>
    </w:p>
    <w:p w14:paraId="67F942C5" w14:textId="77777777" w:rsidR="00E65F4E" w:rsidRPr="003A58C4" w:rsidRDefault="00E65F4E" w:rsidP="00015B17">
      <w:pPr>
        <w:spacing w:line="360" w:lineRule="auto"/>
      </w:pPr>
    </w:p>
    <w:p w14:paraId="60835F79" w14:textId="17061C58" w:rsidR="00015B17" w:rsidRDefault="00015B17" w:rsidP="00015B17">
      <w:pPr>
        <w:spacing w:line="360" w:lineRule="auto"/>
      </w:pPr>
      <w:r>
        <w:tab/>
      </w:r>
      <w:r w:rsidRPr="003A58C4">
        <w:t>Eqn</w:t>
      </w:r>
      <w:r>
        <w:t>.</w:t>
      </w:r>
      <w:r w:rsidRPr="003A58C4">
        <w:t xml:space="preserve"> (</w:t>
      </w:r>
      <w:r>
        <w:t>2.</w:t>
      </w:r>
      <w:r w:rsidR="002006B3">
        <w:t>40</w:t>
      </w:r>
      <w:r w:rsidRPr="003A58C4">
        <w:t xml:space="preserve">) can be used to obtain the </w:t>
      </w:r>
      <w:r w:rsidR="009C3F94" w:rsidRPr="003A58C4">
        <w:t>well-known</w:t>
      </w:r>
      <w:r w:rsidRPr="003A58C4">
        <w:t xml:space="preserve"> equation (Chvorinov’s rule) for the solidification time for a casting solidifying in an insulated mold such as a sand mold. If one assumes that there is no </w:t>
      </w:r>
      <w:r>
        <w:t>temperature</w:t>
      </w:r>
      <w:r w:rsidRPr="003A58C4">
        <w:t xml:space="preserve"> discontinuity </w:t>
      </w:r>
      <w:r>
        <w:t>across</w:t>
      </w:r>
      <w:r w:rsidRPr="003A58C4">
        <w:t xml:space="preserve"> the metal/sand mold interface (e.g., perfect thermal contact), the interfacial heat transfer coefficient tends to infinity. From </w:t>
      </w:r>
      <w:r>
        <w:t>Eqn.</w:t>
      </w:r>
      <w:r w:rsidRPr="003A58C4">
        <w:t xml:space="preserve"> (</w:t>
      </w:r>
      <w:r>
        <w:t>2.4</w:t>
      </w:r>
      <w:r w:rsidR="002006B3">
        <w:t>2</w:t>
      </w:r>
      <w:r w:rsidRPr="003A58C4">
        <w:t xml:space="preserve">), </w:t>
      </w:r>
      <w:r w:rsidRPr="00BA00C3">
        <w:rPr>
          <w:i/>
        </w:rPr>
        <w:t>B</w:t>
      </w:r>
      <w:r w:rsidRPr="003A58C4">
        <w:t xml:space="preserve"> becomes zero</w:t>
      </w:r>
      <w:r>
        <w:t xml:space="preserve"> and</w:t>
      </w:r>
      <w:r w:rsidRPr="003A58C4">
        <w:t xml:space="preserve"> </w:t>
      </w:r>
      <w:r>
        <w:t>Eqn.</w:t>
      </w:r>
      <w:r w:rsidRPr="003A58C4">
        <w:t xml:space="preserve"> (</w:t>
      </w:r>
      <w:r>
        <w:t>2.</w:t>
      </w:r>
      <w:r w:rsidR="002006B3">
        <w:t>40</w:t>
      </w:r>
      <w:r w:rsidRPr="003A58C4">
        <w:t>) reduces to the  Chvorinov’s rule</w:t>
      </w:r>
    </w:p>
    <w:p w14:paraId="2AF291FB" w14:textId="77777777" w:rsidR="00E65F4E" w:rsidRPr="003A58C4" w:rsidRDefault="00E65F4E" w:rsidP="00015B17">
      <w:pPr>
        <w:spacing w:line="360" w:lineRule="auto"/>
      </w:pPr>
    </w:p>
    <w:p w14:paraId="36D708AD" w14:textId="77777777" w:rsidR="00015B17" w:rsidRDefault="00015B17" w:rsidP="00015B17">
      <w:pPr>
        <w:spacing w:line="360" w:lineRule="auto"/>
        <w:jc w:val="center"/>
      </w:pPr>
      <w:r w:rsidRPr="00333E3F">
        <w:rPr>
          <w:position w:val="-28"/>
        </w:rPr>
        <w:object w:dxaOrig="1219" w:dyaOrig="740" w14:anchorId="0AC241A0">
          <v:shape id="_x0000_i1160" type="#_x0000_t75" style="width:61.7pt;height:36.45pt" o:ole="">
            <v:imagedata r:id="rId266" o:title=""/>
          </v:shape>
          <o:OLEObject Type="Embed" ProgID="Equation.DSMT4" ShapeID="_x0000_i1160" DrawAspect="Content" ObjectID="_1840626726" r:id="rId267"/>
        </w:object>
      </w:r>
      <w:r>
        <w:tab/>
      </w:r>
      <w:r w:rsidR="002006B3">
        <w:t>,</w:t>
      </w:r>
      <w:r>
        <w:tab/>
      </w:r>
      <w:r>
        <w:tab/>
        <w:t>(2.4</w:t>
      </w:r>
      <w:r w:rsidR="002006B3">
        <w:t>5</w:t>
      </w:r>
      <w:r>
        <w:t>)</w:t>
      </w:r>
    </w:p>
    <w:p w14:paraId="72749B0D" w14:textId="77777777" w:rsidR="00E65F4E" w:rsidRPr="003A58C4" w:rsidRDefault="00E65F4E" w:rsidP="00015B17">
      <w:pPr>
        <w:spacing w:line="360" w:lineRule="auto"/>
        <w:jc w:val="center"/>
      </w:pPr>
    </w:p>
    <w:p w14:paraId="7E6D497D" w14:textId="77777777" w:rsidR="00015B17" w:rsidRDefault="002006B3" w:rsidP="00015B17">
      <w:pPr>
        <w:spacing w:line="360" w:lineRule="auto"/>
      </w:pPr>
      <w:r>
        <w:t>w</w:t>
      </w:r>
      <w:r w:rsidR="00015B17" w:rsidRPr="003A58C4">
        <w:t xml:space="preserve">here, </w:t>
      </w:r>
      <w:r w:rsidR="00015B17" w:rsidRPr="00333E3F">
        <w:rPr>
          <w:position w:val="-14"/>
        </w:rPr>
        <w:object w:dxaOrig="240" w:dyaOrig="380" w14:anchorId="595C5337">
          <v:shape id="_x0000_i1161" type="#_x0000_t75" style="width:12.15pt;height:18.7pt" o:ole="">
            <v:imagedata r:id="rId268" o:title=""/>
          </v:shape>
          <o:OLEObject Type="Embed" ProgID="Equation.DSMT4" ShapeID="_x0000_i1161" DrawAspect="Content" ObjectID="_1840626727" r:id="rId269"/>
        </w:object>
      </w:r>
      <w:r w:rsidR="00015B17" w:rsidRPr="003A58C4">
        <w:t xml:space="preserve">is the total solidification time for a casting of volume </w:t>
      </w:r>
      <w:r w:rsidR="00015B17" w:rsidRPr="00BA00C3">
        <w:rPr>
          <w:i/>
        </w:rPr>
        <w:t>V</w:t>
      </w:r>
      <w:r w:rsidR="00015B17" w:rsidRPr="003A58C4">
        <w:t xml:space="preserve"> and surface area </w:t>
      </w:r>
      <w:r w:rsidR="00015B17" w:rsidRPr="00BA00C3">
        <w:rPr>
          <w:i/>
        </w:rPr>
        <w:t>A</w:t>
      </w:r>
      <w:r w:rsidR="00015B17" w:rsidRPr="003A58C4">
        <w:t xml:space="preserve">. </w:t>
      </w:r>
      <w:r w:rsidR="00015B17" w:rsidRPr="00BA00C3">
        <w:rPr>
          <w:i/>
        </w:rPr>
        <w:t>C</w:t>
      </w:r>
      <w:r w:rsidR="00015B17" w:rsidRPr="003A58C4">
        <w:t xml:space="preserve"> is a constant for a given metal-mold material and mold temperature. The second term in </w:t>
      </w:r>
      <w:r w:rsidR="00015B17">
        <w:t>Eqn.</w:t>
      </w:r>
      <w:r w:rsidR="00015B17" w:rsidRPr="003A58C4">
        <w:t xml:space="preserve"> (</w:t>
      </w:r>
      <w:r w:rsidR="00015B17">
        <w:t>2.</w:t>
      </w:r>
      <w:r>
        <w:t>40</w:t>
      </w:r>
      <w:r w:rsidR="00015B17" w:rsidRPr="003A58C4">
        <w:t xml:space="preserve">) will dominate when the heat transfer coefficient at the metal/mold interface is </w:t>
      </w:r>
      <w:r w:rsidR="00015B17" w:rsidRPr="003A58C4">
        <w:lastRenderedPageBreak/>
        <w:t xml:space="preserve">finite and thermal conductivities of metal and mold are very large. In this case, the term </w:t>
      </w:r>
      <w:r w:rsidR="00015B17" w:rsidRPr="00BA00C3">
        <w:rPr>
          <w:i/>
        </w:rPr>
        <w:t>A</w:t>
      </w:r>
      <w:r w:rsidR="00015B17" w:rsidRPr="003A58C4">
        <w:t xml:space="preserve"> given by </w:t>
      </w:r>
      <w:r w:rsidR="00015B17">
        <w:t>Eqn.</w:t>
      </w:r>
      <w:r w:rsidR="00015B17" w:rsidRPr="003A58C4">
        <w:t xml:space="preserve"> (</w:t>
      </w:r>
      <w:r w:rsidR="00015B17">
        <w:t>2.4</w:t>
      </w:r>
      <w:r>
        <w:t>1</w:t>
      </w:r>
      <w:r w:rsidR="00015B17" w:rsidRPr="003A58C4">
        <w:t xml:space="preserve">) will be very small and hence solidification time will be governed by the metal/mold interfacial heat transfer coefficient.  </w:t>
      </w:r>
    </w:p>
    <w:p w14:paraId="41A945B5" w14:textId="77777777" w:rsidR="00E65F4E" w:rsidRPr="003A58C4" w:rsidRDefault="00E65F4E" w:rsidP="00015B17">
      <w:pPr>
        <w:spacing w:line="360" w:lineRule="auto"/>
      </w:pPr>
    </w:p>
    <w:p w14:paraId="15E40FFE" w14:textId="28D433DB" w:rsidR="00015B17" w:rsidRDefault="00015B17" w:rsidP="0096282B">
      <w:pPr>
        <w:spacing w:line="360" w:lineRule="auto"/>
      </w:pPr>
      <w:r>
        <w:tab/>
      </w:r>
      <w:r w:rsidRPr="003A58C4">
        <w:t xml:space="preserve">PIRES et al. [1974] and GARCIA and PRATES [1978] successfully checked </w:t>
      </w:r>
      <w:r>
        <w:t>E</w:t>
      </w:r>
      <w:r w:rsidRPr="003A58C4">
        <w:t>q</w:t>
      </w:r>
      <w:r>
        <w:t>n</w:t>
      </w:r>
      <w:r w:rsidRPr="003A58C4">
        <w:t>. (</w:t>
      </w:r>
      <w:r>
        <w:t>2.</w:t>
      </w:r>
      <w:r w:rsidR="002006B3">
        <w:t>40</w:t>
      </w:r>
      <w:r w:rsidRPr="003A58C4">
        <w:t xml:space="preserve">) for the particular case of efficient refrigeration of the chill </w:t>
      </w:r>
      <w:r>
        <w:t>mold</w:t>
      </w:r>
      <w:r w:rsidRPr="003A58C4">
        <w:t xml:space="preserve"> in unidirectional solidification of Sn, Pb, Zn and Al. In this case,</w:t>
      </w:r>
      <w:r w:rsidR="0096282B">
        <w:t xml:space="preserve"> </w:t>
      </w:r>
      <w:r w:rsidRPr="003A58C4">
        <w:fldChar w:fldCharType="begin"/>
      </w:r>
      <w:r w:rsidRPr="003A58C4">
        <w:instrText xml:space="preserve"> QUOTE </w:instrText>
      </w:r>
      <m:oMath>
        <m:r>
          <m:rPr>
            <m:sty m:val="p"/>
          </m:rPr>
          <w:rPr>
            <w:rFonts w:ascii="Cambria Math" w:hAnsi="Cambria Math"/>
          </w:rPr>
          <m:t>M≅0</m:t>
        </m:r>
      </m:oMath>
      <w:r w:rsidRPr="003A58C4">
        <w:instrText xml:space="preserve"> </w:instrText>
      </w:r>
      <w:r w:rsidRPr="003A58C4">
        <w:fldChar w:fldCharType="separate"/>
      </w:r>
      <m:oMath>
        <m:r>
          <m:rPr>
            <m:sty m:val="p"/>
          </m:rPr>
          <w:rPr>
            <w:rFonts w:ascii="Cambria Math"/>
          </w:rPr>
          <m:t>M</m:t>
        </m:r>
        <m:r>
          <m:rPr>
            <m:sty m:val="p"/>
          </m:rPr>
          <w:rPr>
            <w:rFonts w:ascii="Cambria Math" w:hAnsi="Cambria Math" w:cs="Cambria Math"/>
          </w:rPr>
          <m:t>≃</m:t>
        </m:r>
        <m:r>
          <m:rPr>
            <m:sty m:val="p"/>
          </m:rPr>
          <w:rPr>
            <w:rFonts w:ascii="Cambria Math"/>
          </w:rPr>
          <m:t>0</m:t>
        </m:r>
      </m:oMath>
      <w:r w:rsidRPr="003A58C4">
        <w:fldChar w:fldCharType="end"/>
      </w:r>
      <w:r>
        <w:t>, which</w:t>
      </w:r>
      <w:r w:rsidRPr="003A58C4">
        <w:t xml:space="preserve"> giv</w:t>
      </w:r>
      <w:r>
        <w:t>es</w:t>
      </w:r>
      <w:r w:rsidRPr="003A58C4">
        <w:t xml:space="preserve"> a more simplified form of the general solution. GARCIA et al. [1979] extended the experiments to </w:t>
      </w:r>
      <w:r>
        <w:t>mold</w:t>
      </w:r>
      <w:r w:rsidRPr="003A58C4">
        <w:t>s where</w:t>
      </w:r>
      <w:r w:rsidRPr="003A58C4">
        <w:rPr>
          <w:position w:val="-6"/>
        </w:rPr>
        <w:object w:dxaOrig="680" w:dyaOrig="279" w14:anchorId="33322BD1">
          <v:shape id="_x0000_i1162" type="#_x0000_t75" style="width:33.65pt;height:14.05pt" o:ole="">
            <v:imagedata r:id="rId270" o:title=""/>
          </v:shape>
          <o:OLEObject Type="Embed" ProgID="Equation.DSMT4" ShapeID="_x0000_i1162" DrawAspect="Content" ObjectID="_1840626728" r:id="rId271"/>
        </w:object>
      </w:r>
      <w:r w:rsidRPr="003A58C4">
        <w:fldChar w:fldCharType="begin"/>
      </w:r>
      <w:r w:rsidRPr="003A58C4">
        <w:instrText xml:space="preserve"> QUOTE </w:instrText>
      </w:r>
      <m:oMath>
        <m:r>
          <m:rPr>
            <m:sty m:val="p"/>
          </m:rPr>
          <w:rPr>
            <w:rFonts w:ascii="Cambria Math" w:hAnsi="Cambria Math"/>
          </w:rPr>
          <m:t>M≠0</m:t>
        </m:r>
      </m:oMath>
      <w:r w:rsidRPr="003A58C4">
        <w:instrText xml:space="preserve"> </w:instrText>
      </w:r>
      <w:r w:rsidRPr="003A58C4">
        <w:fldChar w:fldCharType="separate"/>
      </w:r>
      <w:r w:rsidRPr="003A58C4">
        <w:fldChar w:fldCharType="end"/>
      </w:r>
      <w:r w:rsidRPr="003A58C4">
        <w:t xml:space="preserve">. These authors calculated the </w:t>
      </w:r>
      <w:r w:rsidRPr="003A58C4">
        <w:rPr>
          <w:position w:val="-12"/>
        </w:rPr>
        <w:object w:dxaOrig="220" w:dyaOrig="360" w14:anchorId="58928032">
          <v:shape id="_x0000_i1163" type="#_x0000_t75" style="width:10.3pt;height:17.75pt" o:ole="">
            <v:imagedata r:id="rId272" o:title=""/>
          </v:shape>
          <o:OLEObject Type="Embed" ProgID="Equation.DSMT4" ShapeID="_x0000_i1163" DrawAspect="Content" ObjectID="_1840626729" r:id="rId273"/>
        </w:object>
      </w:r>
      <w:r w:rsidRPr="003A58C4">
        <w:t xml:space="preserve"> value from the experimental curves,</w:t>
      </w:r>
      <w:r w:rsidRPr="003A58C4">
        <w:rPr>
          <w:position w:val="-14"/>
        </w:rPr>
        <w:object w:dxaOrig="1080" w:dyaOrig="400" w14:anchorId="074CDA08">
          <v:shape id="_x0000_i1164" type="#_x0000_t75" style="width:55.15pt;height:19.65pt" o:ole="">
            <v:imagedata r:id="rId274" o:title=""/>
          </v:shape>
          <o:OLEObject Type="Embed" ProgID="Equation.DSMT4" ShapeID="_x0000_i1164" DrawAspect="Content" ObjectID="_1840626730" r:id="rId275"/>
        </w:object>
      </w:r>
      <w:r w:rsidRPr="003A58C4">
        <w:t xml:space="preserve">, through </w:t>
      </w:r>
      <w:r w:rsidR="00B81052">
        <w:t>E</w:t>
      </w:r>
      <w:r w:rsidR="00B81052" w:rsidRPr="003A58C4">
        <w:t>q</w:t>
      </w:r>
      <w:r w:rsidR="00B81052">
        <w:t>n</w:t>
      </w:r>
      <w:r w:rsidR="00B81052" w:rsidRPr="003A58C4">
        <w:t>. (</w:t>
      </w:r>
      <w:r>
        <w:t>2.4</w:t>
      </w:r>
      <w:r w:rsidR="002006B3">
        <w:t>2</w:t>
      </w:r>
      <w:r w:rsidRPr="003A58C4">
        <w:t>).</w:t>
      </w:r>
    </w:p>
    <w:p w14:paraId="69463194" w14:textId="77777777" w:rsidR="00E65F4E" w:rsidRPr="003A58C4" w:rsidRDefault="00E65F4E" w:rsidP="00015B17">
      <w:pPr>
        <w:spacing w:line="360" w:lineRule="auto"/>
      </w:pPr>
    </w:p>
    <w:p w14:paraId="44E8DE58" w14:textId="77777777" w:rsidR="00015B17" w:rsidRDefault="00015B17" w:rsidP="00015B17">
      <w:pPr>
        <w:spacing w:line="360" w:lineRule="auto"/>
      </w:pPr>
      <w:r w:rsidRPr="003A58C4">
        <w:tab/>
        <w:t xml:space="preserve">GARCIA and CLYNE [1983] consider that in the case of Al-Cu alloys, having an appreciable temperature range of solidification, </w:t>
      </w:r>
      <w:r>
        <w:t xml:space="preserve">and concluded that </w:t>
      </w:r>
      <w:r w:rsidRPr="003A58C4">
        <w:t>this method can be used without major modification. An analytical treatment that takes account of the mushy zone has been developed by LIPTON et al. [1982]. In addition, the VAM method has been extended to freezing processes involved in certain types of splat cooling (CLYNE and GARCIA [1981]).When the effects of superheat are considered, numerical methods are necessary, as shown for example by HILLS et al. [1975]</w:t>
      </w:r>
      <w:r w:rsidR="00E65F4E">
        <w:t>.</w:t>
      </w:r>
    </w:p>
    <w:p w14:paraId="34A6BF2B" w14:textId="77777777" w:rsidR="00E65F4E" w:rsidRPr="003A58C4" w:rsidRDefault="00E65F4E" w:rsidP="00015B17">
      <w:pPr>
        <w:spacing w:line="360" w:lineRule="auto"/>
      </w:pPr>
    </w:p>
    <w:p w14:paraId="7C00AF5B" w14:textId="77777777" w:rsidR="00015B17" w:rsidRPr="003A58C4" w:rsidRDefault="00015B17" w:rsidP="00015B17">
      <w:pPr>
        <w:spacing w:line="360" w:lineRule="auto"/>
        <w:outlineLvl w:val="0"/>
        <w:rPr>
          <w:b/>
        </w:rPr>
      </w:pPr>
      <w:r w:rsidRPr="003A58C4">
        <w:rPr>
          <w:b/>
        </w:rPr>
        <w:t>2.4.2 Rapid Freezing in Contact with a Cold Substrate with Initial Melt Supercooling</w:t>
      </w:r>
    </w:p>
    <w:p w14:paraId="415434FD" w14:textId="77777777" w:rsidR="00015B17" w:rsidRDefault="00015B17" w:rsidP="00015B17">
      <w:pPr>
        <w:tabs>
          <w:tab w:val="left" w:pos="-1440"/>
          <w:tab w:val="left" w:pos="-720"/>
          <w:tab w:val="left" w:pos="0"/>
          <w:tab w:val="left" w:pos="737"/>
          <w:tab w:val="left" w:pos="1929"/>
          <w:tab w:val="left" w:pos="2160"/>
        </w:tabs>
        <w:suppressAutoHyphens/>
        <w:spacing w:line="360" w:lineRule="auto"/>
        <w:jc w:val="both"/>
        <w:rPr>
          <w:spacing w:val="-3"/>
        </w:rPr>
      </w:pPr>
      <w:r>
        <w:rPr>
          <w:spacing w:val="-3"/>
        </w:rPr>
        <w:tab/>
        <w:t xml:space="preserve">In contrast to the previous example, splat cooling is a method in which liquid is suddenly placed in contact with a cold substrate. The liquid may appreciably supercool below the melting point before any solid forms. </w:t>
      </w:r>
      <w:r w:rsidRPr="003A58C4">
        <w:rPr>
          <w:spacing w:val="-3"/>
        </w:rPr>
        <w:t xml:space="preserve">The interplay of liquid volume to be frozen, melt supercooling and external heat transfer to </w:t>
      </w:r>
      <w:r>
        <w:rPr>
          <w:spacing w:val="-3"/>
        </w:rPr>
        <w:t>the</w:t>
      </w:r>
      <w:r w:rsidRPr="003A58C4">
        <w:rPr>
          <w:spacing w:val="-3"/>
        </w:rPr>
        <w:t xml:space="preserve"> cold substrate controls the solidification speed.  A major complication occurs for heat flow analysis when high solidification velocities are involved even for pure materials. The temperature of the </w:t>
      </w:r>
      <w:r w:rsidR="004201E7">
        <w:rPr>
          <w:spacing w:val="-3"/>
        </w:rPr>
        <w:t>L-S</w:t>
      </w:r>
      <w:r w:rsidRPr="003A58C4">
        <w:rPr>
          <w:spacing w:val="-3"/>
        </w:rPr>
        <w:t xml:space="preserve"> interface</w:t>
      </w:r>
      <w:r w:rsidRPr="003A58C4">
        <w:rPr>
          <w:i/>
          <w:iCs/>
          <w:spacing w:val="-3"/>
        </w:rPr>
        <w:t xml:space="preserve"> </w:t>
      </w:r>
      <w:r w:rsidRPr="003B1403">
        <w:rPr>
          <w:i/>
          <w:iCs/>
          <w:spacing w:val="-3"/>
          <w:position w:val="-4"/>
        </w:rPr>
        <w:object w:dxaOrig="279" w:dyaOrig="300" w14:anchorId="2A550C8C">
          <v:shape id="_x0000_i1165" type="#_x0000_t75" style="width:14.05pt;height:14.95pt" o:ole="">
            <v:imagedata r:id="rId276" o:title=""/>
          </v:shape>
          <o:OLEObject Type="Embed" ProgID="Equation.DSMT4" ShapeID="_x0000_i1165" DrawAspect="Content" ObjectID="_1840626731" r:id="rId277"/>
        </w:object>
      </w:r>
      <w:r w:rsidRPr="003A58C4">
        <w:rPr>
          <w:spacing w:val="-3"/>
        </w:rPr>
        <w:t xml:space="preserve"> cannot be treated as a constant, equal to the melting point,</w:t>
      </w:r>
      <w:r w:rsidRPr="003A58C4">
        <w:rPr>
          <w:i/>
          <w:iCs/>
          <w:spacing w:val="-3"/>
        </w:rPr>
        <w:t xml:space="preserve"> T</w:t>
      </w:r>
      <w:r w:rsidRPr="00727E8A">
        <w:rPr>
          <w:spacing w:val="-3"/>
          <w:sz w:val="26"/>
          <w:vertAlign w:val="subscript"/>
        </w:rPr>
        <w:t>m</w:t>
      </w:r>
      <w:r w:rsidRPr="003A58C4">
        <w:rPr>
          <w:spacing w:val="-3"/>
        </w:rPr>
        <w:t xml:space="preserve">, but rather it is a function of the interface velocity. As a result, the heat flow analysis depends on the details of this function. CLYNE [1984] treats the case of a pure metal freezing with a smooth (nondendritic) </w:t>
      </w:r>
      <w:r w:rsidR="004201E7">
        <w:rPr>
          <w:spacing w:val="-3"/>
        </w:rPr>
        <w:t>L-S</w:t>
      </w:r>
      <w:r w:rsidRPr="003A58C4">
        <w:rPr>
          <w:spacing w:val="-3"/>
        </w:rPr>
        <w:t xml:space="preserve"> interface governed </w:t>
      </w:r>
      <w:r w:rsidRPr="003A58C4">
        <w:rPr>
          <w:spacing w:val="-3"/>
        </w:rPr>
        <w:lastRenderedPageBreak/>
        <w:t>by a kinetic law for the interface velocity given by</w:t>
      </w:r>
      <w:r>
        <w:rPr>
          <w:spacing w:val="-3"/>
        </w:rPr>
        <w:t xml:space="preserve"> </w:t>
      </w:r>
      <w:r w:rsidRPr="003B1403">
        <w:rPr>
          <w:spacing w:val="-3"/>
          <w:position w:val="-16"/>
        </w:rPr>
        <w:object w:dxaOrig="1540" w:dyaOrig="440" w14:anchorId="1BCF0DB6">
          <v:shape id="_x0000_i1166" type="#_x0000_t75" style="width:77.6pt;height:21.5pt" o:ole="">
            <v:imagedata r:id="rId278" o:title=""/>
          </v:shape>
          <o:OLEObject Type="Embed" ProgID="Equation.DSMT4" ShapeID="_x0000_i1166" DrawAspect="Content" ObjectID="_1840626732" r:id="rId279"/>
        </w:object>
      </w:r>
      <w:r w:rsidRPr="003A58C4">
        <w:rPr>
          <w:i/>
          <w:iCs/>
          <w:spacing w:val="-3"/>
        </w:rPr>
        <w:t xml:space="preserve"> </w:t>
      </w:r>
      <w:r w:rsidRPr="003A58C4">
        <w:rPr>
          <w:spacing w:val="-3"/>
        </w:rPr>
        <w:t xml:space="preserve">where </w:t>
      </w:r>
      <w:r w:rsidRPr="003B1403">
        <w:rPr>
          <w:spacing w:val="-3"/>
          <w:position w:val="-10"/>
        </w:rPr>
        <w:object w:dxaOrig="240" w:dyaOrig="260" w14:anchorId="714DB117">
          <v:shape id="_x0000_i1167" type="#_x0000_t75" style="width:12.15pt;height:13.1pt" o:ole="">
            <v:imagedata r:id="rId280" o:title=""/>
          </v:shape>
          <o:OLEObject Type="Embed" ProgID="Equation.DSMT4" ShapeID="_x0000_i1167" DrawAspect="Content" ObjectID="_1840626733" r:id="rId281"/>
        </w:object>
      </w:r>
      <w:r w:rsidRPr="003A58C4">
        <w:rPr>
          <w:spacing w:val="-3"/>
        </w:rPr>
        <w:t xml:space="preserve"> is the linear interface  attachment coefficient (see § 5).</w:t>
      </w:r>
    </w:p>
    <w:p w14:paraId="56819C5C" w14:textId="77777777" w:rsidR="009402FF" w:rsidRPr="003A58C4" w:rsidRDefault="009402FF" w:rsidP="00015B17">
      <w:pPr>
        <w:tabs>
          <w:tab w:val="left" w:pos="-1440"/>
          <w:tab w:val="left" w:pos="-720"/>
          <w:tab w:val="left" w:pos="0"/>
          <w:tab w:val="left" w:pos="737"/>
          <w:tab w:val="left" w:pos="1929"/>
          <w:tab w:val="left" w:pos="2160"/>
        </w:tabs>
        <w:suppressAutoHyphens/>
        <w:spacing w:line="360" w:lineRule="auto"/>
        <w:jc w:val="both"/>
        <w:rPr>
          <w:spacing w:val="-3"/>
        </w:rPr>
      </w:pPr>
    </w:p>
    <w:p w14:paraId="45585614" w14:textId="5233C2FF" w:rsidR="00015B17" w:rsidRDefault="00015B17" w:rsidP="00015B17">
      <w:pPr>
        <w:spacing w:line="360" w:lineRule="auto"/>
        <w:rPr>
          <w:spacing w:val="-3"/>
        </w:rPr>
      </w:pPr>
      <w:r w:rsidRPr="003A58C4">
        <w:rPr>
          <w:spacing w:val="-3"/>
        </w:rPr>
        <w:tab/>
        <w:t xml:space="preserve">Calculations show the importance of the initial supercooling </w:t>
      </w:r>
      <w:r w:rsidRPr="003A58C4">
        <w:rPr>
          <w:i/>
          <w:iCs/>
          <w:spacing w:val="-3"/>
        </w:rPr>
        <w:t>ΔT</w:t>
      </w:r>
      <w:r w:rsidRPr="003A58C4">
        <w:rPr>
          <w:spacing w:val="-3"/>
        </w:rPr>
        <w:t xml:space="preserve"> on the development of high solidification velocities. Large values of </w:t>
      </w:r>
      <w:r w:rsidRPr="003A58C4">
        <w:rPr>
          <w:i/>
          <w:iCs/>
          <w:spacing w:val="-3"/>
        </w:rPr>
        <w:t>ΔT</w:t>
      </w:r>
      <w:r w:rsidRPr="003A58C4">
        <w:rPr>
          <w:spacing w:val="-3"/>
        </w:rPr>
        <w:t xml:space="preserve"> can develop if nucleation on the substrate is difficult. Fig</w:t>
      </w:r>
      <w:r w:rsidR="002006B3">
        <w:rPr>
          <w:spacing w:val="-3"/>
        </w:rPr>
        <w:t>.</w:t>
      </w:r>
      <w:r w:rsidRPr="003A58C4">
        <w:rPr>
          <w:spacing w:val="-3"/>
        </w:rPr>
        <w:t xml:space="preserve"> 2.</w:t>
      </w:r>
      <w:r>
        <w:rPr>
          <w:spacing w:val="-3"/>
        </w:rPr>
        <w:t>5</w:t>
      </w:r>
      <w:r w:rsidRPr="003A58C4">
        <w:rPr>
          <w:spacing w:val="-3"/>
        </w:rPr>
        <w:t xml:space="preserve"> (from CLYNE [1984]) shows temperature-time plots at two positions inside a 50 </w:t>
      </w:r>
      <w:r w:rsidRPr="001B068D">
        <w:rPr>
          <w:i/>
          <w:iCs/>
          <w:spacing w:val="-3"/>
        </w:rPr>
        <w:t xml:space="preserve">μm </w:t>
      </w:r>
      <w:r w:rsidRPr="003A58C4">
        <w:rPr>
          <w:spacing w:val="-3"/>
        </w:rPr>
        <w:t>thick layer of an Al melt cooling in contact with a substrate with</w:t>
      </w:r>
      <w:r w:rsidRPr="003A58C4">
        <w:rPr>
          <w:i/>
          <w:iCs/>
          <w:spacing w:val="-3"/>
        </w:rPr>
        <w:t xml:space="preserve"> h</w:t>
      </w:r>
      <w:r w:rsidRPr="00727E8A">
        <w:rPr>
          <w:spacing w:val="-3"/>
          <w:sz w:val="26"/>
          <w:vertAlign w:val="subscript"/>
        </w:rPr>
        <w:t>i</w:t>
      </w:r>
      <w:r w:rsidRPr="003A58C4">
        <w:rPr>
          <w:spacing w:val="-3"/>
        </w:rPr>
        <w:t xml:space="preserve"> = 10</w:t>
      </w:r>
      <w:r w:rsidRPr="00883A53">
        <w:rPr>
          <w:spacing w:val="-3"/>
          <w:sz w:val="26"/>
          <w:vertAlign w:val="superscript"/>
        </w:rPr>
        <w:t>6</w:t>
      </w:r>
      <w:r w:rsidRPr="003A58C4">
        <w:rPr>
          <w:spacing w:val="-3"/>
        </w:rPr>
        <w:t xml:space="preserve"> </w:t>
      </w:r>
      <w:r w:rsidRPr="002006B3">
        <w:rPr>
          <w:i/>
          <w:spacing w:val="-3"/>
        </w:rPr>
        <w:t>W</w:t>
      </w:r>
      <w:r w:rsidR="002006B3" w:rsidRPr="002006B3">
        <w:rPr>
          <w:i/>
          <w:spacing w:val="-3"/>
        </w:rPr>
        <w:t xml:space="preserve"> </w:t>
      </w:r>
      <w:r w:rsidRPr="002006B3">
        <w:rPr>
          <w:i/>
          <w:spacing w:val="-3"/>
        </w:rPr>
        <w:t>m</w:t>
      </w:r>
      <w:r w:rsidRPr="00883A53">
        <w:rPr>
          <w:i/>
          <w:spacing w:val="-3"/>
          <w:sz w:val="26"/>
          <w:vertAlign w:val="superscript"/>
        </w:rPr>
        <w:t>-2</w:t>
      </w:r>
      <w:r w:rsidRPr="002006B3">
        <w:rPr>
          <w:i/>
          <w:spacing w:val="-3"/>
        </w:rPr>
        <w:t xml:space="preserve"> K</w:t>
      </w:r>
      <w:r w:rsidRPr="00883A53">
        <w:rPr>
          <w:i/>
          <w:spacing w:val="-3"/>
          <w:sz w:val="26"/>
          <w:vertAlign w:val="superscript"/>
        </w:rPr>
        <w:t>-1</w:t>
      </w:r>
      <w:r>
        <w:rPr>
          <w:spacing w:val="-3"/>
        </w:rPr>
        <w:t xml:space="preserve">, for </w:t>
      </w:r>
      <w:r w:rsidRPr="003B1403">
        <w:rPr>
          <w:spacing w:val="-3"/>
          <w:position w:val="-10"/>
        </w:rPr>
        <w:object w:dxaOrig="420" w:dyaOrig="260" w14:anchorId="4C8FC57A">
          <v:shape id="_x0000_i1168" type="#_x0000_t75" style="width:20.55pt;height:13.1pt" o:ole="">
            <v:imagedata r:id="rId282" o:title=""/>
          </v:shape>
          <o:OLEObject Type="Embed" ProgID="Equation.DSMT4" ShapeID="_x0000_i1168" DrawAspect="Content" ObjectID="_1840626734" r:id="rId283"/>
        </w:object>
      </w:r>
      <w:r w:rsidRPr="003A58C4">
        <w:rPr>
          <w:spacing w:val="-3"/>
        </w:rPr>
        <w:t>4</w:t>
      </w:r>
      <w:r w:rsidRPr="002006B3">
        <w:rPr>
          <w:i/>
          <w:spacing w:val="-3"/>
        </w:rPr>
        <w:t xml:space="preserve"> cm s</w:t>
      </w:r>
      <w:r w:rsidRPr="00883A53">
        <w:rPr>
          <w:i/>
          <w:spacing w:val="-3"/>
          <w:sz w:val="26"/>
          <w:vertAlign w:val="superscript"/>
        </w:rPr>
        <w:t>-1</w:t>
      </w:r>
      <w:r w:rsidRPr="002006B3">
        <w:rPr>
          <w:i/>
          <w:iCs/>
          <w:spacing w:val="-3"/>
        </w:rPr>
        <w:t xml:space="preserve"> K</w:t>
      </w:r>
      <w:r w:rsidRPr="00883A53">
        <w:rPr>
          <w:i/>
          <w:spacing w:val="-3"/>
          <w:sz w:val="26"/>
          <w:vertAlign w:val="superscript"/>
        </w:rPr>
        <w:t>-1</w:t>
      </w:r>
      <w:r w:rsidRPr="003A58C4">
        <w:rPr>
          <w:spacing w:val="-3"/>
        </w:rPr>
        <w:t xml:space="preserve"> </w:t>
      </w:r>
      <w:r>
        <w:rPr>
          <w:spacing w:val="-3"/>
        </w:rPr>
        <w:t xml:space="preserve"> and </w:t>
      </w:r>
      <w:r w:rsidRPr="003A58C4">
        <w:rPr>
          <w:spacing w:val="-3"/>
        </w:rPr>
        <w:t xml:space="preserve"> </w:t>
      </w:r>
      <w:r>
        <w:rPr>
          <w:spacing w:val="-3"/>
        </w:rPr>
        <w:t xml:space="preserve">nucleation </w:t>
      </w:r>
      <w:r w:rsidRPr="003A58C4">
        <w:rPr>
          <w:spacing w:val="-3"/>
        </w:rPr>
        <w:t>at a dimensionless supercooling</w:t>
      </w:r>
      <w:r>
        <w:rPr>
          <w:spacing w:val="-3"/>
        </w:rPr>
        <w:t>, a figure that might be expected for homogeneous nucleation (see § 4). A</w:t>
      </w:r>
      <w:r w:rsidRPr="003A58C4">
        <w:rPr>
          <w:spacing w:val="-3"/>
        </w:rPr>
        <w:t>t a position 5</w:t>
      </w:r>
      <w:r w:rsidR="005F6459">
        <w:rPr>
          <w:spacing w:val="-3"/>
        </w:rPr>
        <w:t xml:space="preserve"> </w:t>
      </w:r>
      <w:r w:rsidRPr="001B068D">
        <w:rPr>
          <w:i/>
          <w:iCs/>
          <w:spacing w:val="-3"/>
        </w:rPr>
        <w:t>μm</w:t>
      </w:r>
      <w:r w:rsidRPr="003A58C4">
        <w:rPr>
          <w:spacing w:val="-3"/>
        </w:rPr>
        <w:t xml:space="preserve"> from the substrate</w:t>
      </w:r>
      <w:r>
        <w:rPr>
          <w:spacing w:val="-3"/>
        </w:rPr>
        <w:t xml:space="preserve"> for example</w:t>
      </w:r>
      <w:r w:rsidRPr="003A58C4">
        <w:rPr>
          <w:spacing w:val="-3"/>
        </w:rPr>
        <w:t>, the temperature in the liquid drops until nucleation occurs. The temperature at this position then rises rapidly</w:t>
      </w:r>
      <w:r w:rsidR="0035721F">
        <w:rPr>
          <w:spacing w:val="-3"/>
        </w:rPr>
        <w:t xml:space="preserve"> due to latent heat </w:t>
      </w:r>
      <w:r w:rsidR="008F1ACE">
        <w:rPr>
          <w:spacing w:val="-3"/>
        </w:rPr>
        <w:t>evolution</w:t>
      </w:r>
      <w:r w:rsidRPr="003A58C4">
        <w:rPr>
          <w:spacing w:val="-3"/>
        </w:rPr>
        <w:t xml:space="preserve"> as the </w:t>
      </w:r>
      <w:r w:rsidR="004201E7">
        <w:rPr>
          <w:spacing w:val="-3"/>
        </w:rPr>
        <w:t>L-S</w:t>
      </w:r>
      <w:r w:rsidRPr="003A58C4">
        <w:rPr>
          <w:spacing w:val="-3"/>
        </w:rPr>
        <w:t xml:space="preserve"> interface proceeds from the substrate towards the 5</w:t>
      </w:r>
      <w:r w:rsidR="002006B3">
        <w:rPr>
          <w:spacing w:val="-3"/>
        </w:rPr>
        <w:t xml:space="preserve"> </w:t>
      </w:r>
      <w:r w:rsidRPr="00090140">
        <w:rPr>
          <w:i/>
          <w:spacing w:val="-3"/>
        </w:rPr>
        <w:t>μm</w:t>
      </w:r>
      <w:r w:rsidRPr="003A58C4">
        <w:rPr>
          <w:spacing w:val="-3"/>
        </w:rPr>
        <w:t xml:space="preserve"> position. After the interface passes the 5</w:t>
      </w:r>
      <w:r w:rsidR="00090140">
        <w:rPr>
          <w:spacing w:val="-3"/>
        </w:rPr>
        <w:t xml:space="preserve"> </w:t>
      </w:r>
      <w:r w:rsidRPr="001B068D">
        <w:rPr>
          <w:i/>
          <w:iCs/>
          <w:spacing w:val="-3"/>
        </w:rPr>
        <w:t>μm</w:t>
      </w:r>
      <w:r w:rsidRPr="003A58C4">
        <w:rPr>
          <w:spacing w:val="-3"/>
        </w:rPr>
        <w:t xml:space="preserve"> position, the temperature falls slowly. A plot for the temperature at the 50</w:t>
      </w:r>
      <w:r w:rsidR="002006B3">
        <w:rPr>
          <w:spacing w:val="-3"/>
        </w:rPr>
        <w:t xml:space="preserve"> </w:t>
      </w:r>
      <w:r w:rsidRPr="00090140">
        <w:rPr>
          <w:i/>
          <w:spacing w:val="-3"/>
        </w:rPr>
        <w:t>μm</w:t>
      </w:r>
      <w:r w:rsidRPr="00090140">
        <w:rPr>
          <w:iCs/>
          <w:spacing w:val="-3"/>
        </w:rPr>
        <w:t xml:space="preserve"> </w:t>
      </w:r>
      <w:r w:rsidRPr="003A58C4">
        <w:rPr>
          <w:spacing w:val="-3"/>
        </w:rPr>
        <w:t xml:space="preserve">position shows a smaller initial drop in temperature followed by a gradual rise as the interface approaches. The supercooling of the interface when it passes the 5 </w:t>
      </w:r>
      <w:r w:rsidRPr="001B068D">
        <w:rPr>
          <w:i/>
          <w:iCs/>
          <w:spacing w:val="-3"/>
        </w:rPr>
        <w:t>μm</w:t>
      </w:r>
      <w:r w:rsidRPr="003A58C4">
        <w:rPr>
          <w:spacing w:val="-3"/>
        </w:rPr>
        <w:t xml:space="preserve"> and 50 </w:t>
      </w:r>
      <w:r w:rsidRPr="001B068D">
        <w:rPr>
          <w:i/>
          <w:iCs/>
          <w:spacing w:val="-3"/>
        </w:rPr>
        <w:t>μm</w:t>
      </w:r>
      <w:r w:rsidRPr="003A58C4">
        <w:rPr>
          <w:spacing w:val="-3"/>
        </w:rPr>
        <w:t xml:space="preserve"> positions is approximately 25 K and 5 K respectively, which correspond to interface velocities of 100 </w:t>
      </w:r>
      <w:r w:rsidRPr="002006B3">
        <w:rPr>
          <w:i/>
          <w:spacing w:val="-3"/>
        </w:rPr>
        <w:t>cm s</w:t>
      </w:r>
      <w:r w:rsidRPr="00883A53">
        <w:rPr>
          <w:i/>
          <w:spacing w:val="-3"/>
          <w:sz w:val="26"/>
          <w:vertAlign w:val="superscript"/>
        </w:rPr>
        <w:t>-1</w:t>
      </w:r>
      <w:r w:rsidRPr="003A58C4">
        <w:rPr>
          <w:spacing w:val="-3"/>
        </w:rPr>
        <w:t xml:space="preserve"> and 20 </w:t>
      </w:r>
      <w:r w:rsidRPr="002006B3">
        <w:rPr>
          <w:i/>
          <w:spacing w:val="-3"/>
        </w:rPr>
        <w:t>cm s</w:t>
      </w:r>
      <w:r w:rsidRPr="00883A53">
        <w:rPr>
          <w:i/>
          <w:spacing w:val="-3"/>
          <w:sz w:val="26"/>
          <w:vertAlign w:val="superscript"/>
        </w:rPr>
        <w:t>-1</w:t>
      </w:r>
      <w:r w:rsidRPr="002006B3">
        <w:rPr>
          <w:i/>
          <w:spacing w:val="-3"/>
        </w:rPr>
        <w:t>.</w:t>
      </w:r>
      <w:r w:rsidRPr="003A58C4">
        <w:rPr>
          <w:spacing w:val="-3"/>
        </w:rPr>
        <w:t xml:space="preserve"> Thus, the initial supercooling produces a much higher solidification rate close to the chill than would be possible without initial supercooling.</w:t>
      </w:r>
    </w:p>
    <w:p w14:paraId="68EB233E" w14:textId="77777777" w:rsidR="009402FF" w:rsidRPr="003A58C4" w:rsidRDefault="009402FF" w:rsidP="00015B17">
      <w:pPr>
        <w:spacing w:line="360" w:lineRule="auto"/>
        <w:rPr>
          <w:spacing w:val="-3"/>
        </w:rPr>
      </w:pPr>
    </w:p>
    <w:p w14:paraId="1FB3E388" w14:textId="77777777" w:rsidR="00015B17" w:rsidRDefault="00015B17" w:rsidP="00015B17">
      <w:pPr>
        <w:spacing w:line="360" w:lineRule="auto"/>
        <w:outlineLvl w:val="0"/>
        <w:rPr>
          <w:b/>
        </w:rPr>
      </w:pPr>
      <w:r w:rsidRPr="003A58C4">
        <w:rPr>
          <w:b/>
        </w:rPr>
        <w:t>2.4.3 Powder solidification</w:t>
      </w:r>
    </w:p>
    <w:p w14:paraId="532CA25C" w14:textId="77777777" w:rsidR="002006B3" w:rsidRPr="003A58C4" w:rsidRDefault="002006B3" w:rsidP="00015B17">
      <w:pPr>
        <w:spacing w:line="360" w:lineRule="auto"/>
        <w:outlineLvl w:val="0"/>
        <w:rPr>
          <w:b/>
        </w:rPr>
      </w:pPr>
    </w:p>
    <w:p w14:paraId="725D87F9" w14:textId="607A2732" w:rsidR="00015B17" w:rsidRPr="003E0F31" w:rsidRDefault="00015B17" w:rsidP="00015B17">
      <w:pPr>
        <w:spacing w:line="360" w:lineRule="auto"/>
        <w:rPr>
          <w:spacing w:val="-3"/>
        </w:rPr>
      </w:pPr>
      <w:r>
        <w:rPr>
          <w:spacing w:val="-3"/>
        </w:rPr>
        <w:tab/>
      </w:r>
      <w:r w:rsidRPr="003A58C4">
        <w:rPr>
          <w:spacing w:val="-3"/>
        </w:rPr>
        <w:t>LEVI and MEHRABIAN [1982] examined the heat flow during rapid cooling of metal droplets. They developed a numerical solution based on the enthalpy method for simulating the solidification process from a single nucleation event occurring at the powder surface</w:t>
      </w:r>
      <w:r>
        <w:rPr>
          <w:spacing w:val="-3"/>
        </w:rPr>
        <w:t xml:space="preserve"> and a solid growing with a smooth (non-dendritic) </w:t>
      </w:r>
      <w:r w:rsidR="0035721F">
        <w:rPr>
          <w:spacing w:val="-3"/>
        </w:rPr>
        <w:t>L-S</w:t>
      </w:r>
      <w:r>
        <w:rPr>
          <w:spacing w:val="-3"/>
        </w:rPr>
        <w:t xml:space="preserve"> interface fanning out from this point. T</w:t>
      </w:r>
      <w:r w:rsidRPr="003A58C4">
        <w:rPr>
          <w:spacing w:val="-3"/>
        </w:rPr>
        <w:t>heir results are compared with the trends predicted from a Newtonian cooling model. They also discuss the implications of single vs. multiple nucleation events. Fig. 2.</w:t>
      </w:r>
      <w:r>
        <w:rPr>
          <w:spacing w:val="-3"/>
        </w:rPr>
        <w:t>6</w:t>
      </w:r>
      <w:r w:rsidR="00B81052">
        <w:rPr>
          <w:spacing w:val="-3"/>
        </w:rPr>
        <w:t>,</w:t>
      </w:r>
      <w:r w:rsidRPr="003A58C4">
        <w:rPr>
          <w:spacing w:val="-3"/>
        </w:rPr>
        <w:t xml:space="preserve"> adapted by BOETTINGER and PEREPEZKO [1985] from LEVI and MEHRABIAN [1982]</w:t>
      </w:r>
      <w:r w:rsidR="001E68D0">
        <w:rPr>
          <w:spacing w:val="-3"/>
        </w:rPr>
        <w:t>,</w:t>
      </w:r>
      <w:r w:rsidRPr="003A58C4">
        <w:rPr>
          <w:spacing w:val="-3"/>
        </w:rPr>
        <w:t xml:space="preserve"> shows the interface temperature and interface velocity as solidification proceeds from one side of the droplet to the other, increasing the fraction solid. The curves show the </w:t>
      </w:r>
      <w:r w:rsidRPr="003A58C4">
        <w:rPr>
          <w:spacing w:val="-3"/>
        </w:rPr>
        <w:lastRenderedPageBreak/>
        <w:t xml:space="preserve">case of an initial supercooling of </w:t>
      </w:r>
      <w:r w:rsidRPr="003A58C4">
        <w:rPr>
          <w:i/>
          <w:iCs/>
          <w:spacing w:val="-3"/>
          <w:position w:val="-6"/>
        </w:rPr>
        <w:object w:dxaOrig="920" w:dyaOrig="279" w14:anchorId="4297B88E">
          <v:shape id="_x0000_i1169" type="#_x0000_t75" style="width:46.75pt;height:14.05pt" o:ole="">
            <v:imagedata r:id="rId284" o:title=""/>
          </v:shape>
          <o:OLEObject Type="Embed" ProgID="Equation.DSMT4" ShapeID="_x0000_i1169" DrawAspect="Content" ObjectID="_1840626735" r:id="rId285"/>
        </w:object>
      </w:r>
      <w:r w:rsidRPr="003A58C4">
        <w:rPr>
          <w:spacing w:val="-3"/>
        </w:rPr>
        <w:t>(</w:t>
      </w:r>
      <w:r w:rsidR="005F6459">
        <w:rPr>
          <w:spacing w:val="-3"/>
        </w:rPr>
        <w:t>≈</w:t>
      </w:r>
      <w:r w:rsidRPr="003A58C4">
        <w:rPr>
          <w:spacing w:val="-3"/>
        </w:rPr>
        <w:t>182</w:t>
      </w:r>
      <w:r w:rsidR="002006B3">
        <w:rPr>
          <w:spacing w:val="-3"/>
        </w:rPr>
        <w:t xml:space="preserve"> </w:t>
      </w:r>
      <w:r w:rsidRPr="003A58C4">
        <w:rPr>
          <w:spacing w:val="-3"/>
        </w:rPr>
        <w:t xml:space="preserve">K for Al) for various values of </w:t>
      </w:r>
      <w:r w:rsidRPr="003A58C4">
        <w:rPr>
          <w:i/>
          <w:iCs/>
          <w:spacing w:val="-3"/>
        </w:rPr>
        <w:t>h</w:t>
      </w:r>
      <w:r w:rsidRPr="00727E8A">
        <w:rPr>
          <w:spacing w:val="-3"/>
          <w:sz w:val="26"/>
          <w:vertAlign w:val="subscript"/>
        </w:rPr>
        <w:t>i</w:t>
      </w:r>
      <w:r w:rsidRPr="003A58C4">
        <w:rPr>
          <w:spacing w:val="-3"/>
        </w:rPr>
        <w:t>. The velocity starts at a high value (&gt;3</w:t>
      </w:r>
      <w:r w:rsidR="005F6459">
        <w:rPr>
          <w:spacing w:val="-3"/>
        </w:rPr>
        <w:t xml:space="preserve"> </w:t>
      </w:r>
      <w:r w:rsidRPr="003A58C4">
        <w:rPr>
          <w:spacing w:val="-3"/>
        </w:rPr>
        <w:t xml:space="preserve">m/s) and slows as the interface moves across the droplet. This decrease in velocity is due to the evolution of the latent heat at the </w:t>
      </w:r>
      <w:r w:rsidR="004201E7">
        <w:rPr>
          <w:spacing w:val="-3"/>
        </w:rPr>
        <w:t>L-S</w:t>
      </w:r>
      <w:r w:rsidRPr="003A58C4">
        <w:rPr>
          <w:spacing w:val="-3"/>
        </w:rPr>
        <w:t xml:space="preserve"> interface and the resultant reduction in the interface supercooling. The effect of changing the heat transfer coefficient by two orders of magnitude is primarily to alter the velocity after the fraction solid exceeds the dimensionless initial supercooling (0.5 in this case). Growth at small fraction solid is controlled primarily by heat flow inside the pow</w:t>
      </w:r>
      <w:r w:rsidR="0035721F">
        <w:rPr>
          <w:spacing w:val="-3"/>
        </w:rPr>
        <w:t>d</w:t>
      </w:r>
      <w:r w:rsidRPr="003A58C4">
        <w:rPr>
          <w:spacing w:val="-3"/>
        </w:rPr>
        <w:t xml:space="preserve">er particle, while growth at large fraction solid is controlled by external heat flow. If no initial supercooling were present, the growth velocities across the entire particle are typical of those seen at high </w:t>
      </w:r>
      <w:r>
        <w:rPr>
          <w:spacing w:val="-3"/>
        </w:rPr>
        <w:t>fraction solid in Fig. 2.6; i.e.,</w:t>
      </w:r>
      <w:r w:rsidRPr="003A58C4">
        <w:rPr>
          <w:spacing w:val="-3"/>
        </w:rPr>
        <w:t xml:space="preserve"> less than 10 cms</w:t>
      </w:r>
      <w:r w:rsidRPr="00883A53">
        <w:rPr>
          <w:spacing w:val="-3"/>
          <w:sz w:val="26"/>
          <w:vertAlign w:val="superscript"/>
        </w:rPr>
        <w:t>-1</w:t>
      </w:r>
      <w:r w:rsidRPr="003A58C4">
        <w:rPr>
          <w:spacing w:val="-3"/>
        </w:rPr>
        <w:t>.</w:t>
      </w:r>
      <w:r w:rsidRPr="003E0F31">
        <w:rPr>
          <w:spacing w:val="-3"/>
        </w:rPr>
        <w:t xml:space="preserve"> </w:t>
      </w:r>
    </w:p>
    <w:p w14:paraId="09365286" w14:textId="77777777" w:rsidR="00E65F4E" w:rsidRPr="003A58C4" w:rsidRDefault="00E65F4E" w:rsidP="00015B17">
      <w:pPr>
        <w:spacing w:line="360" w:lineRule="auto"/>
      </w:pPr>
    </w:p>
    <w:p w14:paraId="040883EC" w14:textId="493E9117" w:rsidR="00015B17" w:rsidRDefault="00015B17" w:rsidP="00015B17">
      <w:pPr>
        <w:spacing w:line="360" w:lineRule="auto"/>
      </w:pPr>
      <w:r>
        <w:tab/>
      </w:r>
      <w:r w:rsidRPr="003A58C4">
        <w:t>The concepts of understanding powder solidification is also utilized in spray forming where near-net shape p</w:t>
      </w:r>
      <w:r w:rsidR="0035721F">
        <w:t>re</w:t>
      </w:r>
      <w:r w:rsidRPr="003A58C4">
        <w:t>forms are manufactured with refined microstructure (LEATHAM et al. [1991]). In an atomization spray process, the molten metal stream is disintegrated into a dispersion of micron-sized droplets. The droplets are rapidly cooled at a maximum rate of 10</w:t>
      </w:r>
      <w:r w:rsidRPr="00883A53">
        <w:rPr>
          <w:sz w:val="26"/>
          <w:vertAlign w:val="superscript"/>
        </w:rPr>
        <w:t>5</w:t>
      </w:r>
      <w:r w:rsidRPr="003A58C4">
        <w:t xml:space="preserve"> Ks</w:t>
      </w:r>
      <w:r w:rsidRPr="00883A53">
        <w:rPr>
          <w:sz w:val="26"/>
          <w:vertAlign w:val="superscript"/>
        </w:rPr>
        <w:t xml:space="preserve">-1 </w:t>
      </w:r>
      <w:r w:rsidRPr="003A58C4">
        <w:t>to 10</w:t>
      </w:r>
      <w:r w:rsidRPr="00883A53">
        <w:rPr>
          <w:sz w:val="26"/>
          <w:vertAlign w:val="superscript"/>
        </w:rPr>
        <w:t>7</w:t>
      </w:r>
      <w:r w:rsidRPr="003A58C4">
        <w:t xml:space="preserve"> Ks</w:t>
      </w:r>
      <w:r w:rsidRPr="00883A53">
        <w:rPr>
          <w:sz w:val="26"/>
          <w:vertAlign w:val="superscript"/>
        </w:rPr>
        <w:t>-1</w:t>
      </w:r>
      <w:r w:rsidRPr="003A58C4">
        <w:t xml:space="preserve">. The spray can be described by a two-phase flow. There are interchanges of momentum and energy between the gas and the metal droplets. The atomization of the melt stream into droplets of diameter 10 µm - 500 µm with associated rapid cooling to the solid and semi-solid state provide a large number of </w:t>
      </w:r>
      <w:r>
        <w:t>growth centers</w:t>
      </w:r>
      <w:r w:rsidRPr="003A58C4">
        <w:t xml:space="preserve"> for the residual liquid </w:t>
      </w:r>
      <w:r>
        <w:t>lying on the substrate</w:t>
      </w:r>
      <w:r w:rsidRPr="003A58C4">
        <w:t xml:space="preserve">. </w:t>
      </w:r>
      <w:r>
        <w:t xml:space="preserve">This </w:t>
      </w:r>
      <w:r w:rsidRPr="003A58C4">
        <w:t>lead</w:t>
      </w:r>
      <w:r>
        <w:t>s</w:t>
      </w:r>
      <w:r w:rsidRPr="003A58C4">
        <w:t xml:space="preserve"> to a fine equiaxed microstructure, typically in the range 10 µm </w:t>
      </w:r>
      <w:r w:rsidR="005F6459">
        <w:t>to</w:t>
      </w:r>
      <w:r w:rsidRPr="003A58C4">
        <w:t>100 µm. Such fine microstructure offer advantages in material strength without requiring any further heat treatment.</w:t>
      </w:r>
      <w:r w:rsidR="00455BF3">
        <w:t xml:space="preserve"> See </w:t>
      </w:r>
      <w:r w:rsidR="00455BF3" w:rsidRPr="003A58C4">
        <w:rPr>
          <w:spacing w:val="-3"/>
        </w:rPr>
        <w:t>§</w:t>
      </w:r>
      <w:r w:rsidR="00455BF3">
        <w:t>10</w:t>
      </w:r>
      <w:r w:rsidR="00301432">
        <w:t xml:space="preserve"> for further </w:t>
      </w:r>
      <w:r w:rsidR="00E23778">
        <w:t>details</w:t>
      </w:r>
      <w:r w:rsidR="00301432">
        <w:t xml:space="preserve"> on spray forming.</w:t>
      </w:r>
    </w:p>
    <w:p w14:paraId="55B9B2C6" w14:textId="77777777" w:rsidR="00E65F4E" w:rsidRPr="003A58C4" w:rsidRDefault="00E65F4E" w:rsidP="00015B17">
      <w:pPr>
        <w:spacing w:line="360" w:lineRule="auto"/>
      </w:pPr>
    </w:p>
    <w:p w14:paraId="500C3F0E" w14:textId="77777777" w:rsidR="00E65F4E" w:rsidRDefault="00015B17" w:rsidP="00015B17">
      <w:pPr>
        <w:spacing w:line="360" w:lineRule="auto"/>
        <w:outlineLvl w:val="0"/>
        <w:rPr>
          <w:b/>
        </w:rPr>
      </w:pPr>
      <w:r w:rsidRPr="003A58C4">
        <w:rPr>
          <w:b/>
        </w:rPr>
        <w:t>2.5 Heat flow in complex geometries</w:t>
      </w:r>
    </w:p>
    <w:p w14:paraId="00DBCFDC" w14:textId="77777777" w:rsidR="00015B17" w:rsidRPr="003A58C4" w:rsidRDefault="00015B17" w:rsidP="00015B17">
      <w:pPr>
        <w:spacing w:line="360" w:lineRule="auto"/>
        <w:outlineLvl w:val="0"/>
        <w:rPr>
          <w:b/>
        </w:rPr>
      </w:pPr>
      <w:r>
        <w:rPr>
          <w:b/>
        </w:rPr>
        <w:t xml:space="preserve"> </w:t>
      </w:r>
    </w:p>
    <w:p w14:paraId="0BC1E140" w14:textId="00E0F0ED" w:rsidR="00015B17" w:rsidRDefault="00015B17" w:rsidP="00015B17">
      <w:pPr>
        <w:spacing w:line="360" w:lineRule="auto"/>
      </w:pPr>
      <w:r>
        <w:tab/>
      </w:r>
      <w:r w:rsidRPr="003A58C4">
        <w:t xml:space="preserve">In more complicated geometries there are several aspects that lead to </w:t>
      </w:r>
      <w:r w:rsidR="008F1ACE">
        <w:t xml:space="preserve">modeling </w:t>
      </w:r>
      <w:r w:rsidRPr="003A58C4">
        <w:t xml:space="preserve">difficulties, including the nonlinearity of the heat transfer problem due to the latent heat of fusion, the geometric complexity of </w:t>
      </w:r>
      <w:r w:rsidR="008F1ACE">
        <w:t xml:space="preserve">the </w:t>
      </w:r>
      <w:r w:rsidRPr="003A58C4">
        <w:t>shaped castings (see Fig. 2.</w:t>
      </w:r>
      <w:r>
        <w:t>7</w:t>
      </w:r>
      <w:r w:rsidRPr="003A58C4">
        <w:t xml:space="preserve">), the disparities in thermal properties between the metal and </w:t>
      </w:r>
      <w:r>
        <w:t>mold</w:t>
      </w:r>
      <w:r w:rsidRPr="003A58C4">
        <w:t xml:space="preserve">, temperature dependent thermophysical properties, and heat transfer coefficient. In addition, a combination of fluid flow, heat </w:t>
      </w:r>
      <w:r w:rsidRPr="003A58C4">
        <w:lastRenderedPageBreak/>
        <w:t xml:space="preserve">transfer, and mass transport modeling are required to adequately solve a casting problem involving complex geometries. In this framework, the techniques of numerical modeling are absolutely necessary. For example, </w:t>
      </w:r>
      <w:r w:rsidR="0035721F">
        <w:t xml:space="preserve">an </w:t>
      </w:r>
      <w:r w:rsidRPr="003A58C4">
        <w:t xml:space="preserve">automotive die cast aluminum transfer case housing </w:t>
      </w:r>
      <w:r w:rsidR="00301432">
        <w:t xml:space="preserve">in Fig. 2.7 </w:t>
      </w:r>
      <w:r w:rsidRPr="003A58C4">
        <w:t xml:space="preserve">shows the nature </w:t>
      </w:r>
      <w:r w:rsidR="00301432">
        <w:t xml:space="preserve">of </w:t>
      </w:r>
      <w:r w:rsidR="0035721F">
        <w:t xml:space="preserve">the </w:t>
      </w:r>
      <w:r w:rsidRPr="003A58C4">
        <w:t xml:space="preserve">complexity </w:t>
      </w:r>
      <w:r w:rsidR="0035721F">
        <w:t>of</w:t>
      </w:r>
      <w:r w:rsidR="0035721F" w:rsidRPr="003A58C4">
        <w:t xml:space="preserve"> </w:t>
      </w:r>
      <w:r w:rsidR="0035721F">
        <w:t xml:space="preserve">the </w:t>
      </w:r>
      <w:r w:rsidRPr="003A58C4">
        <w:t>casting geometry and the corresponding</w:t>
      </w:r>
      <w:r w:rsidR="00B73517">
        <w:t xml:space="preserve"> </w:t>
      </w:r>
      <w:r w:rsidR="00090140">
        <w:t>finite element method</w:t>
      </w:r>
      <w:r w:rsidRPr="003A58C4">
        <w:t xml:space="preserve"> </w:t>
      </w:r>
      <w:r w:rsidR="00B73517">
        <w:t>(</w:t>
      </w:r>
      <w:r w:rsidRPr="003A58C4">
        <w:t xml:space="preserve">FEM </w:t>
      </w:r>
      <w:r w:rsidR="00B73517">
        <w:t xml:space="preserve">) </w:t>
      </w:r>
      <w:r w:rsidRPr="003A58C4">
        <w:t xml:space="preserve">model </w:t>
      </w:r>
      <w:r w:rsidR="008F1ACE">
        <w:t xml:space="preserve">which </w:t>
      </w:r>
      <w:r w:rsidRPr="003A58C4">
        <w:t xml:space="preserve">includes </w:t>
      </w:r>
      <w:r w:rsidR="008F1ACE">
        <w:t xml:space="preserve">the </w:t>
      </w:r>
      <w:r w:rsidRPr="003A58C4">
        <w:t>casting, runner and gating system with biscuit, overflows, main inserts, operator and helper slides, main bores</w:t>
      </w:r>
      <w:r w:rsidR="0035721F">
        <w:t>,</w:t>
      </w:r>
      <w:r w:rsidRPr="003A58C4">
        <w:t xml:space="preserve"> cores, and water lines.</w:t>
      </w:r>
    </w:p>
    <w:p w14:paraId="27EAFBD1" w14:textId="77777777" w:rsidR="0035721F" w:rsidRPr="003A58C4" w:rsidRDefault="0035721F" w:rsidP="00015B17">
      <w:pPr>
        <w:spacing w:line="360" w:lineRule="auto"/>
      </w:pPr>
    </w:p>
    <w:p w14:paraId="7CCB3C4E" w14:textId="10B11899" w:rsidR="00E65F4E" w:rsidRDefault="00015B17" w:rsidP="00015B17">
      <w:pPr>
        <w:spacing w:line="360" w:lineRule="auto"/>
      </w:pPr>
      <w:r>
        <w:tab/>
      </w:r>
      <w:r w:rsidR="008F1ACE">
        <w:t>Since</w:t>
      </w:r>
      <w:r w:rsidR="008F1ACE" w:rsidRPr="003A58C4">
        <w:t xml:space="preserve"> </w:t>
      </w:r>
      <w:r w:rsidRPr="003A58C4">
        <w:t xml:space="preserve">the pioneering work of HENZEL and KEVERIAN [1965] </w:t>
      </w:r>
      <w:r w:rsidR="008F1ACE">
        <w:t xml:space="preserve">for a </w:t>
      </w:r>
      <w:r w:rsidR="008F1ACE" w:rsidRPr="003A58C4">
        <w:t>heavy steel cast</w:t>
      </w:r>
      <w:r w:rsidR="008F1ACE">
        <w:t>ing</w:t>
      </w:r>
      <w:r w:rsidR="008F1ACE" w:rsidRPr="003A58C4">
        <w:t xml:space="preserve"> </w:t>
      </w:r>
      <w:r w:rsidRPr="003A58C4">
        <w:t>us</w:t>
      </w:r>
      <w:r w:rsidR="008F1ACE">
        <w:t>ing</w:t>
      </w:r>
      <w:r w:rsidRPr="003A58C4">
        <w:t xml:space="preserve"> a finite difference technique, an explosive growth of computer modeling techniques have arisen, especially in the last 25 years (BERRY and PEHLKE [1988]). As a result macroscopic modeling of solidification processes are well developed and different processes can be modeled.</w:t>
      </w:r>
    </w:p>
    <w:p w14:paraId="1BD56773" w14:textId="77777777" w:rsidR="00015B17" w:rsidRPr="003A58C4" w:rsidRDefault="00015B17" w:rsidP="00015B17">
      <w:pPr>
        <w:spacing w:line="360" w:lineRule="auto"/>
      </w:pPr>
      <w:r w:rsidRPr="003A58C4">
        <w:t xml:space="preserve"> </w:t>
      </w:r>
    </w:p>
    <w:p w14:paraId="64EE603F" w14:textId="77777777" w:rsidR="00015B17" w:rsidRDefault="00015B17" w:rsidP="00015B17">
      <w:pPr>
        <w:spacing w:line="360" w:lineRule="auto"/>
        <w:outlineLvl w:val="0"/>
        <w:rPr>
          <w:b/>
        </w:rPr>
      </w:pPr>
      <w:r w:rsidRPr="003A58C4">
        <w:rPr>
          <w:b/>
        </w:rPr>
        <w:t xml:space="preserve">2.5.1 </w:t>
      </w:r>
      <w:r>
        <w:rPr>
          <w:b/>
        </w:rPr>
        <w:t>General n</w:t>
      </w:r>
      <w:r w:rsidRPr="003A58C4">
        <w:rPr>
          <w:b/>
        </w:rPr>
        <w:t>umerical modeling approaches</w:t>
      </w:r>
    </w:p>
    <w:p w14:paraId="27EF36F1" w14:textId="77777777" w:rsidR="00E65F4E" w:rsidRPr="003A58C4" w:rsidRDefault="00E65F4E" w:rsidP="00015B17">
      <w:pPr>
        <w:spacing w:line="360" w:lineRule="auto"/>
        <w:outlineLvl w:val="0"/>
        <w:rPr>
          <w:b/>
        </w:rPr>
      </w:pPr>
    </w:p>
    <w:p w14:paraId="1F1B7E2A" w14:textId="5FA61978" w:rsidR="00015B17" w:rsidRDefault="00015B17" w:rsidP="0035721F">
      <w:pPr>
        <w:tabs>
          <w:tab w:val="left" w:pos="-1440"/>
          <w:tab w:val="left" w:pos="-720"/>
          <w:tab w:val="left" w:pos="0"/>
          <w:tab w:val="left" w:pos="737"/>
          <w:tab w:val="left" w:pos="1929"/>
          <w:tab w:val="left" w:pos="2160"/>
        </w:tabs>
        <w:suppressAutoHyphens/>
        <w:spacing w:line="360" w:lineRule="auto"/>
        <w:rPr>
          <w:spacing w:val="-3"/>
        </w:rPr>
      </w:pPr>
      <w:r>
        <w:rPr>
          <w:spacing w:val="-3"/>
        </w:rPr>
        <w:tab/>
      </w:r>
      <w:r w:rsidR="008F1ACE">
        <w:rPr>
          <w:spacing w:val="-3"/>
        </w:rPr>
        <w:t>Various</w:t>
      </w:r>
      <w:r w:rsidR="008F1ACE" w:rsidRPr="003A58C4">
        <w:rPr>
          <w:spacing w:val="-3"/>
        </w:rPr>
        <w:t xml:space="preserve"> </w:t>
      </w:r>
      <w:r w:rsidRPr="003A58C4">
        <w:rPr>
          <w:spacing w:val="-3"/>
        </w:rPr>
        <w:t>numerical methods have been used to treat solidification. RAPPAZ [1989] discusses five main computational techniques: i) The finite difference method (FDM) with or without the alternative implicit direction (ADI) time stepping scheme, ii) The finite element method (FEM), iii) The boundary element method (BEM), iv) The direct finite difference method (DFDM), v) The control volume element method (</w:t>
      </w:r>
      <w:r w:rsidR="0035721F">
        <w:rPr>
          <w:spacing w:val="-3"/>
        </w:rPr>
        <w:t>FV</w:t>
      </w:r>
      <w:r w:rsidR="0035721F" w:rsidRPr="003A58C4">
        <w:rPr>
          <w:spacing w:val="-3"/>
        </w:rPr>
        <w:t>M</w:t>
      </w:r>
      <w:r w:rsidRPr="003A58C4">
        <w:rPr>
          <w:spacing w:val="-3"/>
        </w:rPr>
        <w:t xml:space="preserve">). He discussed the basic advantages and/or inconveniences of these methods using schematic 2-dimensional enmeshments that are associated with the five main computational techniques. OHNAKA [1991] analyzed solidification </w:t>
      </w:r>
      <w:r w:rsidR="008F1ACE">
        <w:rPr>
          <w:spacing w:val="-3"/>
        </w:rPr>
        <w:t>with a</w:t>
      </w:r>
      <w:r w:rsidRPr="003A58C4">
        <w:rPr>
          <w:spacing w:val="-3"/>
        </w:rPr>
        <w:t xml:space="preserve"> thermal conduction model and </w:t>
      </w:r>
      <w:r w:rsidR="008F1ACE" w:rsidRPr="003A58C4">
        <w:rPr>
          <w:spacing w:val="-3"/>
        </w:rPr>
        <w:t xml:space="preserve">critically </w:t>
      </w:r>
      <w:r w:rsidRPr="003A58C4">
        <w:rPr>
          <w:spacing w:val="-3"/>
        </w:rPr>
        <w:t xml:space="preserve">reviewed these computational techniques. </w:t>
      </w:r>
      <w:smartTag w:uri="urn:schemas-microsoft-com:office:smarttags" w:element="place">
        <w:smartTag w:uri="urn:schemas-microsoft-com:office:smarttags" w:element="State">
          <w:r w:rsidRPr="003A58C4">
            <w:rPr>
              <w:spacing w:val="-3"/>
            </w:rPr>
            <w:t>BERRY</w:t>
          </w:r>
        </w:smartTag>
      </w:smartTag>
      <w:r w:rsidRPr="003A58C4">
        <w:rPr>
          <w:spacing w:val="-3"/>
        </w:rPr>
        <w:t xml:space="preserve"> and PEHLKE [1988] give a comprehensive view of the steps to be taken when solidification modeling is used, stressing the fact that the thermophysical propert</w:t>
      </w:r>
      <w:r w:rsidR="0035721F">
        <w:rPr>
          <w:spacing w:val="-3"/>
        </w:rPr>
        <w:t>ies</w:t>
      </w:r>
      <w:r w:rsidRPr="003A58C4">
        <w:rPr>
          <w:spacing w:val="-3"/>
        </w:rPr>
        <w:t xml:space="preserve"> and details about </w:t>
      </w:r>
      <w:r>
        <w:rPr>
          <w:spacing w:val="-3"/>
        </w:rPr>
        <w:t>mold</w:t>
      </w:r>
      <w:r w:rsidRPr="003A58C4">
        <w:rPr>
          <w:spacing w:val="-3"/>
        </w:rPr>
        <w:t xml:space="preserve"> material are often poorly known. Indeed, conditions such as moisture, property dependence on temperature, etc., would require an almost limitless database. Software packages permit, through suitable interactions, the generation of maps displaying the variation of specific criteria functions that affect casting soundness, such as local temperature gradient, freezing time, front speed or cooling rate.</w:t>
      </w:r>
    </w:p>
    <w:p w14:paraId="7CC3D716" w14:textId="77777777" w:rsidR="009402FF" w:rsidRPr="003A58C4" w:rsidRDefault="009402FF" w:rsidP="00015B17">
      <w:pPr>
        <w:tabs>
          <w:tab w:val="left" w:pos="-1440"/>
          <w:tab w:val="left" w:pos="-720"/>
          <w:tab w:val="left" w:pos="0"/>
          <w:tab w:val="left" w:pos="737"/>
          <w:tab w:val="left" w:pos="1929"/>
          <w:tab w:val="left" w:pos="2160"/>
        </w:tabs>
        <w:suppressAutoHyphens/>
        <w:spacing w:line="360" w:lineRule="auto"/>
        <w:jc w:val="both"/>
        <w:rPr>
          <w:spacing w:val="-3"/>
        </w:rPr>
      </w:pPr>
    </w:p>
    <w:p w14:paraId="001F724A" w14:textId="022BEF9B" w:rsidR="00015B17" w:rsidRDefault="00015B17" w:rsidP="00015B17">
      <w:pPr>
        <w:spacing w:line="360" w:lineRule="auto"/>
        <w:rPr>
          <w:spacing w:val="-3"/>
        </w:rPr>
      </w:pPr>
      <w:r>
        <w:rPr>
          <w:spacing w:val="-3"/>
        </w:rPr>
        <w:tab/>
      </w:r>
      <w:r w:rsidRPr="003A58C4">
        <w:rPr>
          <w:spacing w:val="-3"/>
        </w:rPr>
        <w:t>Many casting modeling software are commercially available.</w:t>
      </w:r>
      <w:r w:rsidRPr="003F78A7">
        <w:rPr>
          <w:spacing w:val="-3"/>
        </w:rPr>
        <w:t xml:space="preserve"> </w:t>
      </w:r>
      <w:r w:rsidRPr="003A58C4">
        <w:rPr>
          <w:spacing w:val="-3"/>
        </w:rPr>
        <w:t>Commercial software</w:t>
      </w:r>
      <w:r w:rsidRPr="00883A53">
        <w:rPr>
          <w:rStyle w:val="FootnoteReference"/>
          <w:spacing w:val="-3"/>
          <w:sz w:val="26"/>
        </w:rPr>
        <w:footnoteReference w:id="1"/>
      </w:r>
      <w:r w:rsidRPr="003A58C4">
        <w:rPr>
          <w:spacing w:val="-3"/>
        </w:rPr>
        <w:t xml:space="preserve"> dedicated to casting modeling include: CAPCAST, JSCast, MAGMASOFT, MAVIS-FLOW, ProCAST, SIMTEC, SOLIDCast. FURRER and SEMIATIN [2010] provide a detailed summary of Computational Materials Modeling and Simulation software</w:t>
      </w:r>
      <w:r>
        <w:rPr>
          <w:spacing w:val="-3"/>
        </w:rPr>
        <w:t xml:space="preserve">. </w:t>
      </w:r>
      <w:r w:rsidRPr="003A58C4">
        <w:rPr>
          <w:spacing w:val="-3"/>
        </w:rPr>
        <w:t xml:space="preserve"> </w:t>
      </w:r>
      <w:r>
        <w:rPr>
          <w:spacing w:val="-3"/>
        </w:rPr>
        <w:t>The c</w:t>
      </w:r>
      <w:r w:rsidRPr="003A58C4">
        <w:rPr>
          <w:spacing w:val="-3"/>
        </w:rPr>
        <w:t>hoice of computational grid can determine preference for a particular software package. All computational methods for solidification are based on either structured/regular grid or unstructured/irregular grid. Most popular structured grid based methods are finite difference (FDM) or finite volume numerical methods (FVM). In FVM’s, the computational domain is subdivided into a grid of cells just like FDMs. But in FVMs, the cells can be arbitrary quadrilaterals in 2-D or hexahedra in 3-D (or, can represent any shape enclosed by nodes). In FDM, the g</w:t>
      </w:r>
      <w:r>
        <w:rPr>
          <w:spacing w:val="-3"/>
        </w:rPr>
        <w:t>r</w:t>
      </w:r>
      <w:r w:rsidRPr="003A58C4">
        <w:rPr>
          <w:spacing w:val="-3"/>
        </w:rPr>
        <w:t>ids are obtained using curvilinear coordinate systems. A drawback of FVM is that it is difficult to formulate higher order FVMs (O’Rourke et al. [1997]).</w:t>
      </w:r>
    </w:p>
    <w:p w14:paraId="517027C5" w14:textId="77777777" w:rsidR="009402FF" w:rsidRPr="003A58C4" w:rsidRDefault="009402FF" w:rsidP="00015B17">
      <w:pPr>
        <w:spacing w:line="360" w:lineRule="auto"/>
        <w:rPr>
          <w:spacing w:val="-3"/>
        </w:rPr>
      </w:pPr>
    </w:p>
    <w:p w14:paraId="56B294D2" w14:textId="6A93CD12" w:rsidR="00015B17" w:rsidRDefault="00015B17" w:rsidP="00015B17">
      <w:pPr>
        <w:spacing w:line="360" w:lineRule="auto"/>
        <w:rPr>
          <w:spacing w:val="-3"/>
        </w:rPr>
      </w:pPr>
      <w:r>
        <w:rPr>
          <w:spacing w:val="-3"/>
        </w:rPr>
        <w:tab/>
        <w:t>The f</w:t>
      </w:r>
      <w:r w:rsidRPr="003A58C4">
        <w:rPr>
          <w:spacing w:val="-3"/>
        </w:rPr>
        <w:t>inite element method is based on unstructured grid</w:t>
      </w:r>
      <w:r w:rsidR="0035721F">
        <w:rPr>
          <w:spacing w:val="-3"/>
        </w:rPr>
        <w:t>s</w:t>
      </w:r>
      <w:r w:rsidRPr="003A58C4">
        <w:rPr>
          <w:spacing w:val="-3"/>
        </w:rPr>
        <w:t xml:space="preserve">. In structured grid based methods, algebraic equations are solved using the regular order of the grid resulting in minimum memory </w:t>
      </w:r>
      <w:r w:rsidR="008F1ACE" w:rsidRPr="003A58C4">
        <w:rPr>
          <w:spacing w:val="-3"/>
        </w:rPr>
        <w:t>requirements.</w:t>
      </w:r>
      <w:r w:rsidRPr="003A58C4">
        <w:rPr>
          <w:spacing w:val="-3"/>
        </w:rPr>
        <w:t xml:space="preserve"> </w:t>
      </w:r>
      <w:r w:rsidR="0035721F">
        <w:rPr>
          <w:spacing w:val="-3"/>
        </w:rPr>
        <w:t>T</w:t>
      </w:r>
      <w:r w:rsidR="0035721F" w:rsidRPr="003A58C4">
        <w:rPr>
          <w:spacing w:val="-3"/>
        </w:rPr>
        <w:t>ypical 1-D problem</w:t>
      </w:r>
      <w:r w:rsidR="0035721F">
        <w:rPr>
          <w:spacing w:val="-3"/>
        </w:rPr>
        <w:t>s result in</w:t>
      </w:r>
      <w:r w:rsidR="0035721F" w:rsidRPr="003A58C4">
        <w:rPr>
          <w:spacing w:val="-3"/>
        </w:rPr>
        <w:t xml:space="preserve"> </w:t>
      </w:r>
      <w:r w:rsidRPr="003A58C4">
        <w:rPr>
          <w:spacing w:val="-3"/>
        </w:rPr>
        <w:t xml:space="preserve">tridiagonal matrices when implicit algorithms are used. For multidimensional problems </w:t>
      </w:r>
      <w:r>
        <w:rPr>
          <w:spacing w:val="-3"/>
        </w:rPr>
        <w:t xml:space="preserve">the </w:t>
      </w:r>
      <w:r w:rsidRPr="003A58C4">
        <w:rPr>
          <w:spacing w:val="-3"/>
        </w:rPr>
        <w:t xml:space="preserve">fractional step method (Anderson et al. [1984]) or </w:t>
      </w:r>
      <w:r>
        <w:rPr>
          <w:spacing w:val="-3"/>
        </w:rPr>
        <w:t xml:space="preserve">the </w:t>
      </w:r>
      <w:r w:rsidRPr="003A58C4">
        <w:rPr>
          <w:spacing w:val="-3"/>
        </w:rPr>
        <w:t xml:space="preserve">ADI method mentioned above are used to split the problem into different steps for each dimension of the problem. In the structured grid approach, complicated geometries typically involved in thin walled casting are difficult to discretize with </w:t>
      </w:r>
      <w:r w:rsidR="0035721F">
        <w:rPr>
          <w:spacing w:val="-3"/>
        </w:rPr>
        <w:t xml:space="preserve">a </w:t>
      </w:r>
      <w:r w:rsidRPr="003A58C4">
        <w:rPr>
          <w:spacing w:val="-3"/>
        </w:rPr>
        <w:t>regular grid. Also, large variation</w:t>
      </w:r>
      <w:r>
        <w:rPr>
          <w:spacing w:val="-3"/>
        </w:rPr>
        <w:t>s</w:t>
      </w:r>
      <w:r w:rsidRPr="003A58C4">
        <w:rPr>
          <w:spacing w:val="-3"/>
        </w:rPr>
        <w:t xml:space="preserve"> in section thicknesses </w:t>
      </w:r>
      <w:r>
        <w:rPr>
          <w:spacing w:val="-3"/>
        </w:rPr>
        <w:t>can</w:t>
      </w:r>
      <w:r w:rsidRPr="003A58C4">
        <w:rPr>
          <w:spacing w:val="-3"/>
        </w:rPr>
        <w:t xml:space="preserve"> result in </w:t>
      </w:r>
      <w:r>
        <w:rPr>
          <w:spacing w:val="-3"/>
        </w:rPr>
        <w:t xml:space="preserve">a </w:t>
      </w:r>
      <w:r w:rsidRPr="003A58C4">
        <w:rPr>
          <w:spacing w:val="-3"/>
        </w:rPr>
        <w:t xml:space="preserve">huge number of cells </w:t>
      </w:r>
      <w:r>
        <w:rPr>
          <w:spacing w:val="-3"/>
        </w:rPr>
        <w:t>if a</w:t>
      </w:r>
      <w:r w:rsidRPr="003A58C4">
        <w:rPr>
          <w:spacing w:val="-3"/>
        </w:rPr>
        <w:t xml:space="preserve"> uniform cell size </w:t>
      </w:r>
      <w:r>
        <w:rPr>
          <w:spacing w:val="-3"/>
        </w:rPr>
        <w:t xml:space="preserve">were </w:t>
      </w:r>
      <w:r w:rsidRPr="003A58C4">
        <w:rPr>
          <w:spacing w:val="-3"/>
        </w:rPr>
        <w:t>used for discretization.</w:t>
      </w:r>
    </w:p>
    <w:p w14:paraId="1C0425DE" w14:textId="77777777" w:rsidR="00301432" w:rsidRPr="003A58C4" w:rsidRDefault="00301432" w:rsidP="00015B17">
      <w:pPr>
        <w:spacing w:line="360" w:lineRule="auto"/>
        <w:rPr>
          <w:spacing w:val="-3"/>
        </w:rPr>
      </w:pPr>
    </w:p>
    <w:p w14:paraId="662D6680" w14:textId="77777777" w:rsidR="00015B17" w:rsidRDefault="00015B17" w:rsidP="00015B17">
      <w:pPr>
        <w:spacing w:line="360" w:lineRule="auto"/>
        <w:rPr>
          <w:spacing w:val="-3"/>
        </w:rPr>
      </w:pPr>
      <w:r>
        <w:rPr>
          <w:spacing w:val="-3"/>
        </w:rPr>
        <w:tab/>
      </w:r>
      <w:r w:rsidRPr="003A58C4">
        <w:rPr>
          <w:spacing w:val="-3"/>
        </w:rPr>
        <w:t>In the unstructured grid based method, it is usually more judicious to store the assembly of matrix elements. Iterative method</w:t>
      </w:r>
      <w:r>
        <w:rPr>
          <w:spacing w:val="-3"/>
        </w:rPr>
        <w:t>s</w:t>
      </w:r>
      <w:r w:rsidRPr="003A58C4">
        <w:rPr>
          <w:spacing w:val="-3"/>
        </w:rPr>
        <w:t xml:space="preserve"> such as the conjugate gradient method </w:t>
      </w:r>
      <w:r>
        <w:rPr>
          <w:spacing w:val="-3"/>
        </w:rPr>
        <w:t>are</w:t>
      </w:r>
      <w:r w:rsidRPr="003A58C4">
        <w:rPr>
          <w:spacing w:val="-3"/>
        </w:rPr>
        <w:t xml:space="preserve"> </w:t>
      </w:r>
      <w:r w:rsidRPr="003A58C4">
        <w:rPr>
          <w:spacing w:val="-3"/>
        </w:rPr>
        <w:lastRenderedPageBreak/>
        <w:t xml:space="preserve">used for symmetric matrices. For nonsymmetric matrices, a generalization of the conjugate gradient method can be used. </w:t>
      </w:r>
      <w:r>
        <w:rPr>
          <w:spacing w:val="-3"/>
        </w:rPr>
        <w:t>The f</w:t>
      </w:r>
      <w:r w:rsidRPr="003A58C4">
        <w:rPr>
          <w:spacing w:val="-3"/>
        </w:rPr>
        <w:t xml:space="preserve">inite element method allows modeling a complex shaped casting quite accurately. </w:t>
      </w:r>
      <w:r>
        <w:rPr>
          <w:spacing w:val="-3"/>
        </w:rPr>
        <w:t>A</w:t>
      </w:r>
      <w:r w:rsidRPr="003A58C4">
        <w:rPr>
          <w:spacing w:val="-3"/>
        </w:rPr>
        <w:t xml:space="preserve">utomatic meshing </w:t>
      </w:r>
      <w:r>
        <w:rPr>
          <w:spacing w:val="-3"/>
        </w:rPr>
        <w:t xml:space="preserve">is often employed but </w:t>
      </w:r>
      <w:r w:rsidRPr="003A58C4">
        <w:rPr>
          <w:spacing w:val="-3"/>
        </w:rPr>
        <w:t xml:space="preserve">elements of poor quality </w:t>
      </w:r>
      <w:r>
        <w:rPr>
          <w:spacing w:val="-3"/>
        </w:rPr>
        <w:t xml:space="preserve">can arise for </w:t>
      </w:r>
      <w:r w:rsidRPr="003A58C4">
        <w:rPr>
          <w:spacing w:val="-3"/>
        </w:rPr>
        <w:t xml:space="preserve">complex geometries </w:t>
      </w:r>
      <w:r>
        <w:rPr>
          <w:spacing w:val="-3"/>
        </w:rPr>
        <w:t>that require manual intervention</w:t>
      </w:r>
      <w:r w:rsidRPr="003A58C4">
        <w:rPr>
          <w:spacing w:val="-3"/>
        </w:rPr>
        <w:t xml:space="preserve">. Memory requirements for FEM can be large and </w:t>
      </w:r>
      <w:r>
        <w:rPr>
          <w:spacing w:val="-3"/>
        </w:rPr>
        <w:t xml:space="preserve">the </w:t>
      </w:r>
      <w:r w:rsidRPr="003A58C4">
        <w:rPr>
          <w:spacing w:val="-3"/>
        </w:rPr>
        <w:t xml:space="preserve">solution can take </w:t>
      </w:r>
      <w:r>
        <w:rPr>
          <w:spacing w:val="-3"/>
        </w:rPr>
        <w:t>large computational</w:t>
      </w:r>
      <w:r w:rsidRPr="003A58C4">
        <w:rPr>
          <w:spacing w:val="-3"/>
        </w:rPr>
        <w:t xml:space="preserve"> time.</w:t>
      </w:r>
    </w:p>
    <w:p w14:paraId="76C226D2" w14:textId="77777777" w:rsidR="00E65F4E" w:rsidRPr="003A58C4" w:rsidRDefault="00E65F4E" w:rsidP="00015B17">
      <w:pPr>
        <w:spacing w:line="360" w:lineRule="auto"/>
        <w:rPr>
          <w:spacing w:val="-3"/>
        </w:rPr>
      </w:pPr>
    </w:p>
    <w:p w14:paraId="11583CD4" w14:textId="77777777" w:rsidR="00015B17" w:rsidRDefault="00015B17" w:rsidP="00015B17">
      <w:pPr>
        <w:spacing w:line="360" w:lineRule="auto"/>
        <w:rPr>
          <w:spacing w:val="-3"/>
        </w:rPr>
      </w:pPr>
      <w:r>
        <w:rPr>
          <w:spacing w:val="-3"/>
        </w:rPr>
        <w:tab/>
      </w:r>
      <w:r w:rsidRPr="003A58C4">
        <w:rPr>
          <w:spacing w:val="-3"/>
        </w:rPr>
        <w:t xml:space="preserve">A mesh </w:t>
      </w:r>
      <w:r>
        <w:rPr>
          <w:spacing w:val="-3"/>
        </w:rPr>
        <w:t xml:space="preserve">type </w:t>
      </w:r>
      <w:r w:rsidRPr="003A58C4">
        <w:rPr>
          <w:spacing w:val="-3"/>
        </w:rPr>
        <w:t xml:space="preserve">between </w:t>
      </w:r>
      <w:r>
        <w:rPr>
          <w:spacing w:val="-3"/>
        </w:rPr>
        <w:t xml:space="preserve">a </w:t>
      </w:r>
      <w:r w:rsidRPr="003A58C4">
        <w:rPr>
          <w:spacing w:val="-3"/>
        </w:rPr>
        <w:t xml:space="preserve">structured and </w:t>
      </w:r>
      <w:r>
        <w:rPr>
          <w:spacing w:val="-3"/>
        </w:rPr>
        <w:t xml:space="preserve">an </w:t>
      </w:r>
      <w:r w:rsidRPr="003A58C4">
        <w:rPr>
          <w:spacing w:val="-3"/>
        </w:rPr>
        <w:t xml:space="preserve">unstructured mesh is called block-structured mesh. Here </w:t>
      </w:r>
      <w:r>
        <w:rPr>
          <w:spacing w:val="-3"/>
        </w:rPr>
        <w:t xml:space="preserve">the </w:t>
      </w:r>
      <w:r w:rsidRPr="003A58C4">
        <w:rPr>
          <w:spacing w:val="-3"/>
        </w:rPr>
        <w:t>computational domain is developed using “blocks” of structured grid (CROSS et al. [2006]).</w:t>
      </w:r>
    </w:p>
    <w:p w14:paraId="01225248" w14:textId="77777777" w:rsidR="00E65F4E" w:rsidRPr="003A58C4" w:rsidRDefault="00E65F4E" w:rsidP="00015B17">
      <w:pPr>
        <w:spacing w:line="360" w:lineRule="auto"/>
        <w:rPr>
          <w:spacing w:val="-3"/>
        </w:rPr>
      </w:pPr>
    </w:p>
    <w:p w14:paraId="1CBB4FA7" w14:textId="77777777" w:rsidR="00015B17" w:rsidRDefault="00015B17" w:rsidP="00015B17">
      <w:pPr>
        <w:tabs>
          <w:tab w:val="left" w:pos="-1440"/>
          <w:tab w:val="left" w:pos="-720"/>
          <w:tab w:val="left" w:pos="0"/>
          <w:tab w:val="left" w:pos="737"/>
          <w:tab w:val="left" w:pos="1929"/>
          <w:tab w:val="left" w:pos="2160"/>
        </w:tabs>
        <w:suppressAutoHyphens/>
        <w:spacing w:line="360" w:lineRule="auto"/>
        <w:outlineLvl w:val="0"/>
        <w:rPr>
          <w:b/>
          <w:spacing w:val="-3"/>
        </w:rPr>
      </w:pPr>
      <w:r w:rsidRPr="003A58C4">
        <w:rPr>
          <w:b/>
          <w:spacing w:val="-3"/>
        </w:rPr>
        <w:t xml:space="preserve">2.5.2 </w:t>
      </w:r>
      <w:r>
        <w:rPr>
          <w:b/>
          <w:spacing w:val="-3"/>
        </w:rPr>
        <w:t>Specific p</w:t>
      </w:r>
      <w:r w:rsidRPr="003A58C4">
        <w:rPr>
          <w:b/>
          <w:spacing w:val="-3"/>
        </w:rPr>
        <w:t>rocedures for numerical modeling of castings</w:t>
      </w:r>
    </w:p>
    <w:p w14:paraId="58EB75AF" w14:textId="77777777" w:rsidR="00E65F4E" w:rsidRPr="003A58C4" w:rsidRDefault="00E65F4E" w:rsidP="00015B17">
      <w:pPr>
        <w:tabs>
          <w:tab w:val="left" w:pos="-1440"/>
          <w:tab w:val="left" w:pos="-720"/>
          <w:tab w:val="left" w:pos="0"/>
          <w:tab w:val="left" w:pos="737"/>
          <w:tab w:val="left" w:pos="1929"/>
          <w:tab w:val="left" w:pos="2160"/>
        </w:tabs>
        <w:suppressAutoHyphens/>
        <w:spacing w:line="360" w:lineRule="auto"/>
        <w:outlineLvl w:val="0"/>
        <w:rPr>
          <w:b/>
          <w:spacing w:val="-3"/>
        </w:rPr>
      </w:pPr>
    </w:p>
    <w:p w14:paraId="5C0EB2DF" w14:textId="77777777" w:rsidR="00015B17" w:rsidRPr="002006B3" w:rsidRDefault="00015B17" w:rsidP="00015B17">
      <w:pPr>
        <w:tabs>
          <w:tab w:val="left" w:pos="-1440"/>
          <w:tab w:val="left" w:pos="-720"/>
          <w:tab w:val="left" w:pos="0"/>
          <w:tab w:val="left" w:pos="737"/>
          <w:tab w:val="left" w:pos="1929"/>
          <w:tab w:val="left" w:pos="2160"/>
        </w:tabs>
        <w:suppressAutoHyphens/>
        <w:spacing w:line="360" w:lineRule="auto"/>
        <w:outlineLvl w:val="0"/>
        <w:rPr>
          <w:b/>
          <w:i/>
          <w:spacing w:val="-3"/>
        </w:rPr>
      </w:pPr>
      <w:r w:rsidRPr="002006B3">
        <w:rPr>
          <w:b/>
          <w:i/>
          <w:spacing w:val="-3"/>
        </w:rPr>
        <w:t>2.5.2.1 Geometry building and meshing</w:t>
      </w:r>
    </w:p>
    <w:p w14:paraId="3AF0F392" w14:textId="77777777" w:rsidR="00E65F4E" w:rsidRPr="008E26BE" w:rsidRDefault="00E65F4E" w:rsidP="00015B17">
      <w:pPr>
        <w:tabs>
          <w:tab w:val="left" w:pos="-1440"/>
          <w:tab w:val="left" w:pos="-720"/>
          <w:tab w:val="left" w:pos="0"/>
          <w:tab w:val="left" w:pos="737"/>
          <w:tab w:val="left" w:pos="1929"/>
          <w:tab w:val="left" w:pos="2160"/>
        </w:tabs>
        <w:suppressAutoHyphens/>
        <w:spacing w:line="360" w:lineRule="auto"/>
        <w:outlineLvl w:val="0"/>
        <w:rPr>
          <w:i/>
          <w:spacing w:val="-3"/>
        </w:rPr>
      </w:pPr>
    </w:p>
    <w:p w14:paraId="48BD0AB8" w14:textId="43206281" w:rsidR="00015B17" w:rsidRDefault="00015B17" w:rsidP="00015B17">
      <w:pPr>
        <w:tabs>
          <w:tab w:val="left" w:pos="-1440"/>
          <w:tab w:val="left" w:pos="-720"/>
          <w:tab w:val="left" w:pos="0"/>
          <w:tab w:val="left" w:pos="737"/>
          <w:tab w:val="left" w:pos="1929"/>
          <w:tab w:val="left" w:pos="2160"/>
        </w:tabs>
        <w:suppressAutoHyphens/>
        <w:spacing w:line="360" w:lineRule="auto"/>
        <w:rPr>
          <w:spacing w:val="-3"/>
        </w:rPr>
      </w:pPr>
      <w:r>
        <w:rPr>
          <w:spacing w:val="-3"/>
        </w:rPr>
        <w:tab/>
      </w:r>
      <w:r w:rsidRPr="003A58C4">
        <w:rPr>
          <w:spacing w:val="-3"/>
        </w:rPr>
        <w:t xml:space="preserve">The geometry includes cast </w:t>
      </w:r>
      <w:r>
        <w:rPr>
          <w:spacing w:val="-3"/>
        </w:rPr>
        <w:t>part</w:t>
      </w:r>
      <w:r w:rsidR="00E65F4E">
        <w:rPr>
          <w:spacing w:val="-3"/>
        </w:rPr>
        <w:t xml:space="preserve">, mold, </w:t>
      </w:r>
      <w:r w:rsidRPr="003A58C4">
        <w:rPr>
          <w:spacing w:val="-3"/>
        </w:rPr>
        <w:t>gates, cores, and runners. In most casting software, an electronic data interface is provided to retrieve the geometry. Typically, the solid geometry is built using a</w:t>
      </w:r>
      <w:r w:rsidR="00B73517">
        <w:rPr>
          <w:spacing w:val="-3"/>
        </w:rPr>
        <w:t xml:space="preserve"> computer-aided design (</w:t>
      </w:r>
      <w:r w:rsidRPr="003A58C4">
        <w:rPr>
          <w:spacing w:val="-3"/>
        </w:rPr>
        <w:t>CAD</w:t>
      </w:r>
      <w:r w:rsidR="00B73517">
        <w:rPr>
          <w:spacing w:val="-3"/>
        </w:rPr>
        <w:t>)</w:t>
      </w:r>
      <w:r w:rsidRPr="003A58C4">
        <w:rPr>
          <w:spacing w:val="-3"/>
        </w:rPr>
        <w:t xml:space="preserve"> or </w:t>
      </w:r>
      <w:r w:rsidR="00B73517">
        <w:rPr>
          <w:spacing w:val="-3"/>
        </w:rPr>
        <w:t>computer-aided manufacturing (</w:t>
      </w:r>
      <w:r w:rsidRPr="003A58C4">
        <w:rPr>
          <w:spacing w:val="-3"/>
        </w:rPr>
        <w:t>CAM</w:t>
      </w:r>
      <w:r w:rsidR="00B73517">
        <w:rPr>
          <w:spacing w:val="-3"/>
        </w:rPr>
        <w:t xml:space="preserve">) </w:t>
      </w:r>
      <w:r w:rsidRPr="003A58C4">
        <w:rPr>
          <w:spacing w:val="-3"/>
        </w:rPr>
        <w:t xml:space="preserve">software. Meshing is important as the accuracy of computationally predicted results depend on the quality of mesh. In general, the higher is the mesh density, the higher is the computational accuracy and </w:t>
      </w:r>
      <w:r w:rsidR="00B73517">
        <w:rPr>
          <w:spacing w:val="-3"/>
        </w:rPr>
        <w:t>central processing unit (</w:t>
      </w:r>
      <w:r w:rsidRPr="003A58C4">
        <w:rPr>
          <w:spacing w:val="-3"/>
        </w:rPr>
        <w:t>CPU</w:t>
      </w:r>
      <w:r w:rsidR="00B73517">
        <w:rPr>
          <w:spacing w:val="-3"/>
        </w:rPr>
        <w:t>)</w:t>
      </w:r>
      <w:r w:rsidRPr="003A58C4">
        <w:rPr>
          <w:spacing w:val="-3"/>
        </w:rPr>
        <w:t xml:space="preserve"> time (as storage and memory requirements increase).</w:t>
      </w:r>
    </w:p>
    <w:p w14:paraId="17511727" w14:textId="77777777" w:rsidR="00E65F4E" w:rsidRPr="003A58C4" w:rsidRDefault="00E65F4E" w:rsidP="00015B17">
      <w:pPr>
        <w:tabs>
          <w:tab w:val="left" w:pos="-1440"/>
          <w:tab w:val="left" w:pos="-720"/>
          <w:tab w:val="left" w:pos="0"/>
          <w:tab w:val="left" w:pos="737"/>
          <w:tab w:val="left" w:pos="1929"/>
          <w:tab w:val="left" w:pos="2160"/>
        </w:tabs>
        <w:suppressAutoHyphens/>
        <w:spacing w:line="360" w:lineRule="auto"/>
        <w:rPr>
          <w:spacing w:val="-3"/>
        </w:rPr>
      </w:pPr>
    </w:p>
    <w:p w14:paraId="1CF1F2A2" w14:textId="77777777" w:rsidR="00015B17" w:rsidRDefault="00015B17" w:rsidP="00015B17">
      <w:pPr>
        <w:tabs>
          <w:tab w:val="left" w:pos="-1440"/>
          <w:tab w:val="left" w:pos="-720"/>
          <w:tab w:val="left" w:pos="0"/>
          <w:tab w:val="left" w:pos="737"/>
          <w:tab w:val="left" w:pos="1929"/>
          <w:tab w:val="left" w:pos="2160"/>
        </w:tabs>
        <w:suppressAutoHyphens/>
        <w:spacing w:line="360" w:lineRule="auto"/>
        <w:outlineLvl w:val="0"/>
        <w:rPr>
          <w:b/>
          <w:spacing w:val="-3"/>
        </w:rPr>
      </w:pPr>
      <w:r w:rsidRPr="00CC236E">
        <w:rPr>
          <w:b/>
          <w:spacing w:val="-3"/>
        </w:rPr>
        <w:t>2.5.2.2 Description of material properties</w:t>
      </w:r>
    </w:p>
    <w:p w14:paraId="08F604ED" w14:textId="77777777" w:rsidR="002006B3" w:rsidRPr="00CC236E" w:rsidRDefault="002006B3" w:rsidP="00015B17">
      <w:pPr>
        <w:tabs>
          <w:tab w:val="left" w:pos="-1440"/>
          <w:tab w:val="left" w:pos="-720"/>
          <w:tab w:val="left" w:pos="0"/>
          <w:tab w:val="left" w:pos="737"/>
          <w:tab w:val="left" w:pos="1929"/>
          <w:tab w:val="left" w:pos="2160"/>
        </w:tabs>
        <w:suppressAutoHyphens/>
        <w:spacing w:line="360" w:lineRule="auto"/>
        <w:outlineLvl w:val="0"/>
        <w:rPr>
          <w:b/>
          <w:spacing w:val="-3"/>
        </w:rPr>
      </w:pPr>
    </w:p>
    <w:p w14:paraId="6127A3EE" w14:textId="432F1B7C" w:rsidR="00015B17" w:rsidRDefault="00015B17" w:rsidP="00015B17">
      <w:pPr>
        <w:tabs>
          <w:tab w:val="left" w:pos="-1440"/>
          <w:tab w:val="left" w:pos="-720"/>
          <w:tab w:val="left" w:pos="0"/>
          <w:tab w:val="left" w:pos="737"/>
          <w:tab w:val="left" w:pos="1929"/>
          <w:tab w:val="left" w:pos="2160"/>
        </w:tabs>
        <w:suppressAutoHyphens/>
        <w:spacing w:line="360" w:lineRule="auto"/>
        <w:rPr>
          <w:spacing w:val="-3"/>
        </w:rPr>
      </w:pPr>
      <w:r>
        <w:rPr>
          <w:spacing w:val="-3"/>
        </w:rPr>
        <w:tab/>
      </w:r>
      <w:r w:rsidRPr="003A58C4">
        <w:rPr>
          <w:spacing w:val="-3"/>
        </w:rPr>
        <w:t xml:space="preserve">The material properties are assigned to a region comprising cells or elements based on the material type associated with that region. Some of the typical material properties include thermal conductivity, enthalpy, emissivity, viscosity etc. Some of these properties could be functions of temperature or composition. Most commercial casting software </w:t>
      </w:r>
      <w:r w:rsidR="00AC30C3">
        <w:rPr>
          <w:spacing w:val="-3"/>
        </w:rPr>
        <w:t>has</w:t>
      </w:r>
      <w:r w:rsidRPr="003A58C4">
        <w:rPr>
          <w:spacing w:val="-3"/>
        </w:rPr>
        <w:t xml:space="preserve"> </w:t>
      </w:r>
      <w:r w:rsidR="0035721F">
        <w:rPr>
          <w:spacing w:val="-3"/>
        </w:rPr>
        <w:t xml:space="preserve">a </w:t>
      </w:r>
      <w:r w:rsidRPr="003A58C4">
        <w:rPr>
          <w:spacing w:val="-3"/>
        </w:rPr>
        <w:t>built-in materials database comprised of properties of common casting alloys and mold materials.</w:t>
      </w:r>
    </w:p>
    <w:p w14:paraId="48C8C544" w14:textId="77777777" w:rsidR="00E65F4E" w:rsidRPr="003A58C4" w:rsidRDefault="00E65F4E" w:rsidP="00015B17">
      <w:pPr>
        <w:tabs>
          <w:tab w:val="left" w:pos="-1440"/>
          <w:tab w:val="left" w:pos="-720"/>
          <w:tab w:val="left" w:pos="0"/>
          <w:tab w:val="left" w:pos="737"/>
          <w:tab w:val="left" w:pos="1929"/>
          <w:tab w:val="left" w:pos="2160"/>
        </w:tabs>
        <w:suppressAutoHyphens/>
        <w:spacing w:line="360" w:lineRule="auto"/>
        <w:rPr>
          <w:spacing w:val="-3"/>
        </w:rPr>
      </w:pPr>
    </w:p>
    <w:p w14:paraId="59449971" w14:textId="77777777" w:rsidR="00015B17" w:rsidRDefault="00015B17" w:rsidP="00015B17">
      <w:pPr>
        <w:tabs>
          <w:tab w:val="left" w:pos="-1440"/>
          <w:tab w:val="left" w:pos="-720"/>
          <w:tab w:val="left" w:pos="0"/>
          <w:tab w:val="left" w:pos="737"/>
          <w:tab w:val="left" w:pos="1929"/>
          <w:tab w:val="left" w:pos="2160"/>
        </w:tabs>
        <w:suppressAutoHyphens/>
        <w:spacing w:line="360" w:lineRule="auto"/>
        <w:outlineLvl w:val="0"/>
        <w:rPr>
          <w:b/>
          <w:spacing w:val="-3"/>
        </w:rPr>
      </w:pPr>
      <w:r w:rsidRPr="00CC236E">
        <w:rPr>
          <w:b/>
          <w:spacing w:val="-3"/>
        </w:rPr>
        <w:lastRenderedPageBreak/>
        <w:t>2.5.2.3 Assigning initial and boundary conditions</w:t>
      </w:r>
    </w:p>
    <w:p w14:paraId="37BF78CA" w14:textId="77777777" w:rsidR="00E65F4E" w:rsidRPr="00CC236E" w:rsidRDefault="00E65F4E" w:rsidP="00015B17">
      <w:pPr>
        <w:tabs>
          <w:tab w:val="left" w:pos="-1440"/>
          <w:tab w:val="left" w:pos="-720"/>
          <w:tab w:val="left" w:pos="0"/>
          <w:tab w:val="left" w:pos="737"/>
          <w:tab w:val="left" w:pos="1929"/>
          <w:tab w:val="left" w:pos="2160"/>
        </w:tabs>
        <w:suppressAutoHyphens/>
        <w:spacing w:line="360" w:lineRule="auto"/>
        <w:outlineLvl w:val="0"/>
        <w:rPr>
          <w:b/>
          <w:spacing w:val="-3"/>
        </w:rPr>
      </w:pPr>
    </w:p>
    <w:p w14:paraId="4789B712" w14:textId="77777777" w:rsidR="00015B17" w:rsidRDefault="00015B17" w:rsidP="00015B17">
      <w:pPr>
        <w:tabs>
          <w:tab w:val="left" w:pos="-1440"/>
          <w:tab w:val="left" w:pos="-720"/>
          <w:tab w:val="left" w:pos="0"/>
          <w:tab w:val="left" w:pos="737"/>
          <w:tab w:val="left" w:pos="1929"/>
          <w:tab w:val="left" w:pos="2160"/>
        </w:tabs>
        <w:suppressAutoHyphens/>
        <w:spacing w:line="360" w:lineRule="auto"/>
        <w:rPr>
          <w:spacing w:val="-3"/>
        </w:rPr>
      </w:pPr>
      <w:r>
        <w:rPr>
          <w:spacing w:val="-3"/>
        </w:rPr>
        <w:tab/>
      </w:r>
      <w:r w:rsidRPr="003A58C4">
        <w:rPr>
          <w:spacing w:val="-3"/>
        </w:rPr>
        <w:t xml:space="preserve">For a typical heat transfer analysis, initial metal and mold temperatures need to be provided. These can be provided in terms of constant values or a distribution of values for </w:t>
      </w:r>
      <w:r>
        <w:rPr>
          <w:spacing w:val="-3"/>
        </w:rPr>
        <w:t>the</w:t>
      </w:r>
      <w:r w:rsidRPr="003A58C4">
        <w:rPr>
          <w:spacing w:val="-3"/>
        </w:rPr>
        <w:t xml:space="preserve"> material domain. The </w:t>
      </w:r>
      <w:r>
        <w:rPr>
          <w:spacing w:val="-3"/>
        </w:rPr>
        <w:t xml:space="preserve">initial </w:t>
      </w:r>
      <w:r w:rsidRPr="003A58C4">
        <w:rPr>
          <w:spacing w:val="-3"/>
        </w:rPr>
        <w:t>temperature distribution can be obtained from the output of a mold filling software package</w:t>
      </w:r>
      <w:r>
        <w:rPr>
          <w:spacing w:val="-3"/>
        </w:rPr>
        <w:t xml:space="preserve"> for a sequential analysis (first fluid, then thermal).  </w:t>
      </w:r>
      <w:r w:rsidRPr="003A58C4">
        <w:rPr>
          <w:spacing w:val="-3"/>
        </w:rPr>
        <w:t xml:space="preserve"> For mold filling, </w:t>
      </w:r>
      <w:r>
        <w:rPr>
          <w:spacing w:val="-3"/>
        </w:rPr>
        <w:t xml:space="preserve">the </w:t>
      </w:r>
      <w:r w:rsidRPr="003A58C4">
        <w:rPr>
          <w:spacing w:val="-3"/>
        </w:rPr>
        <w:t>initial flow velocity</w:t>
      </w:r>
      <w:r w:rsidR="0035721F">
        <w:rPr>
          <w:spacing w:val="-3"/>
        </w:rPr>
        <w:t>,</w:t>
      </w:r>
      <w:r w:rsidRPr="003A58C4">
        <w:rPr>
          <w:spacing w:val="-3"/>
        </w:rPr>
        <w:t xml:space="preserve"> such as velocity at the inlet</w:t>
      </w:r>
      <w:r w:rsidR="0035721F">
        <w:rPr>
          <w:spacing w:val="-3"/>
        </w:rPr>
        <w:t>,</w:t>
      </w:r>
      <w:r w:rsidRPr="003A58C4">
        <w:rPr>
          <w:spacing w:val="-3"/>
        </w:rPr>
        <w:t xml:space="preserve"> is provided.</w:t>
      </w:r>
    </w:p>
    <w:p w14:paraId="094117A4" w14:textId="77777777" w:rsidR="00E65F4E" w:rsidRPr="003A58C4" w:rsidRDefault="00E65F4E" w:rsidP="00015B17">
      <w:pPr>
        <w:tabs>
          <w:tab w:val="left" w:pos="-1440"/>
          <w:tab w:val="left" w:pos="-720"/>
          <w:tab w:val="left" w:pos="0"/>
          <w:tab w:val="left" w:pos="737"/>
          <w:tab w:val="left" w:pos="1929"/>
          <w:tab w:val="left" w:pos="2160"/>
        </w:tabs>
        <w:suppressAutoHyphens/>
        <w:spacing w:line="360" w:lineRule="auto"/>
        <w:rPr>
          <w:spacing w:val="-3"/>
        </w:rPr>
      </w:pPr>
    </w:p>
    <w:p w14:paraId="2134A9D9" w14:textId="77777777" w:rsidR="00E65F4E" w:rsidRDefault="00015B17" w:rsidP="00015B17">
      <w:pPr>
        <w:tabs>
          <w:tab w:val="left" w:pos="-1440"/>
          <w:tab w:val="left" w:pos="-720"/>
          <w:tab w:val="left" w:pos="0"/>
          <w:tab w:val="left" w:pos="737"/>
          <w:tab w:val="left" w:pos="1929"/>
          <w:tab w:val="left" w:pos="2160"/>
        </w:tabs>
        <w:suppressAutoHyphens/>
        <w:spacing w:line="360" w:lineRule="auto"/>
        <w:rPr>
          <w:spacing w:val="-3"/>
        </w:rPr>
      </w:pPr>
      <w:r>
        <w:rPr>
          <w:spacing w:val="-3"/>
        </w:rPr>
        <w:tab/>
      </w:r>
      <w:r w:rsidRPr="003A58C4">
        <w:rPr>
          <w:spacing w:val="-3"/>
        </w:rPr>
        <w:t>Different boundary conditions are applied at different locations. For example, at mold exterior surfaces, constant ambient temperature, or heat flux, or a convective heat flow condition or a radiation condition can be prescribed. Typically, Dirichlet condition</w:t>
      </w:r>
      <w:r>
        <w:rPr>
          <w:spacing w:val="-3"/>
        </w:rPr>
        <w:t>s</w:t>
      </w:r>
      <w:r w:rsidRPr="003A58C4">
        <w:rPr>
          <w:spacing w:val="-3"/>
        </w:rPr>
        <w:t xml:space="preserve"> or convective heat flow condition</w:t>
      </w:r>
      <w:r>
        <w:rPr>
          <w:spacing w:val="-3"/>
        </w:rPr>
        <w:t>s</w:t>
      </w:r>
      <w:r w:rsidRPr="003A58C4">
        <w:rPr>
          <w:spacing w:val="-3"/>
        </w:rPr>
        <w:t xml:space="preserve"> </w:t>
      </w:r>
      <w:r>
        <w:rPr>
          <w:spacing w:val="-3"/>
        </w:rPr>
        <w:t>are</w:t>
      </w:r>
      <w:r w:rsidRPr="003A58C4">
        <w:rPr>
          <w:spacing w:val="-3"/>
        </w:rPr>
        <w:t xml:space="preserve"> applied to the exterior sand mold surface. </w:t>
      </w:r>
      <w:r>
        <w:rPr>
          <w:spacing w:val="-3"/>
        </w:rPr>
        <w:t>R</w:t>
      </w:r>
      <w:r w:rsidRPr="003A58C4">
        <w:rPr>
          <w:spacing w:val="-3"/>
        </w:rPr>
        <w:t>adiative heat flow condition</w:t>
      </w:r>
      <w:r>
        <w:rPr>
          <w:spacing w:val="-3"/>
        </w:rPr>
        <w:t>s</w:t>
      </w:r>
      <w:r w:rsidRPr="003A58C4">
        <w:rPr>
          <w:spacing w:val="-3"/>
        </w:rPr>
        <w:t xml:space="preserve"> </w:t>
      </w:r>
      <w:r>
        <w:rPr>
          <w:spacing w:val="-3"/>
        </w:rPr>
        <w:t>are</w:t>
      </w:r>
      <w:r w:rsidRPr="003A58C4">
        <w:rPr>
          <w:spacing w:val="-3"/>
        </w:rPr>
        <w:t xml:space="preserve"> prescribed on the exterior ceramic shell surfaces </w:t>
      </w:r>
      <w:r>
        <w:rPr>
          <w:spacing w:val="-3"/>
        </w:rPr>
        <w:t xml:space="preserve">such as those </w:t>
      </w:r>
      <w:r w:rsidRPr="003A58C4">
        <w:rPr>
          <w:spacing w:val="-3"/>
        </w:rPr>
        <w:t>used in investment casting applications</w:t>
      </w:r>
      <w:r>
        <w:rPr>
          <w:spacing w:val="-3"/>
        </w:rPr>
        <w:t xml:space="preserve"> of high temperature alloys</w:t>
      </w:r>
      <w:r w:rsidRPr="003A58C4">
        <w:rPr>
          <w:spacing w:val="-3"/>
        </w:rPr>
        <w:t>.</w:t>
      </w:r>
      <w:r>
        <w:rPr>
          <w:spacing w:val="-3"/>
        </w:rPr>
        <w:t xml:space="preserve"> </w:t>
      </w:r>
      <w:r w:rsidRPr="003A58C4">
        <w:rPr>
          <w:spacing w:val="-3"/>
        </w:rPr>
        <w:t xml:space="preserve">At </w:t>
      </w:r>
      <w:r>
        <w:rPr>
          <w:spacing w:val="-3"/>
        </w:rPr>
        <w:t xml:space="preserve">the </w:t>
      </w:r>
      <w:r w:rsidRPr="003A58C4">
        <w:rPr>
          <w:spacing w:val="-3"/>
        </w:rPr>
        <w:t>metal-mold surface, Newtonian cooling is often prescribed that requires knowledge of metal-mold heat transfer coefficient. At free surface</w:t>
      </w:r>
      <w:r>
        <w:rPr>
          <w:spacing w:val="-3"/>
        </w:rPr>
        <w:t>s</w:t>
      </w:r>
      <w:r w:rsidRPr="003A58C4">
        <w:rPr>
          <w:spacing w:val="-3"/>
        </w:rPr>
        <w:t xml:space="preserve"> during flow simulation, proper pressure condition</w:t>
      </w:r>
      <w:r>
        <w:rPr>
          <w:spacing w:val="-3"/>
        </w:rPr>
        <w:t>s</w:t>
      </w:r>
      <w:r w:rsidRPr="003A58C4">
        <w:rPr>
          <w:spacing w:val="-3"/>
        </w:rPr>
        <w:t xml:space="preserve"> </w:t>
      </w:r>
      <w:r>
        <w:rPr>
          <w:spacing w:val="-3"/>
        </w:rPr>
        <w:t>must</w:t>
      </w:r>
      <w:r w:rsidRPr="003A58C4">
        <w:rPr>
          <w:spacing w:val="-3"/>
        </w:rPr>
        <w:t xml:space="preserve"> be applied.</w:t>
      </w:r>
    </w:p>
    <w:p w14:paraId="7C64B74E" w14:textId="77777777" w:rsidR="00015B17" w:rsidRPr="003A58C4" w:rsidRDefault="00015B17" w:rsidP="00015B17">
      <w:pPr>
        <w:tabs>
          <w:tab w:val="left" w:pos="-1440"/>
          <w:tab w:val="left" w:pos="-720"/>
          <w:tab w:val="left" w:pos="0"/>
          <w:tab w:val="left" w:pos="737"/>
          <w:tab w:val="left" w:pos="1929"/>
          <w:tab w:val="left" w:pos="2160"/>
        </w:tabs>
        <w:suppressAutoHyphens/>
        <w:spacing w:line="360" w:lineRule="auto"/>
        <w:rPr>
          <w:spacing w:val="-3"/>
        </w:rPr>
      </w:pPr>
      <w:r w:rsidRPr="003A58C4">
        <w:rPr>
          <w:spacing w:val="-3"/>
        </w:rPr>
        <w:t xml:space="preserve"> </w:t>
      </w:r>
    </w:p>
    <w:p w14:paraId="3ED9247F" w14:textId="77777777" w:rsidR="00015B17" w:rsidRDefault="00015B17" w:rsidP="00015B17">
      <w:pPr>
        <w:tabs>
          <w:tab w:val="left" w:pos="-1440"/>
          <w:tab w:val="left" w:pos="-720"/>
          <w:tab w:val="left" w:pos="0"/>
          <w:tab w:val="left" w:pos="737"/>
          <w:tab w:val="left" w:pos="1929"/>
          <w:tab w:val="left" w:pos="2160"/>
        </w:tabs>
        <w:suppressAutoHyphens/>
        <w:spacing w:line="360" w:lineRule="auto"/>
        <w:outlineLvl w:val="0"/>
        <w:rPr>
          <w:b/>
          <w:spacing w:val="-3"/>
        </w:rPr>
      </w:pPr>
      <w:r w:rsidRPr="00CC236E">
        <w:rPr>
          <w:b/>
          <w:spacing w:val="-3"/>
        </w:rPr>
        <w:t xml:space="preserve">2.5.2.4 Selecting </w:t>
      </w:r>
      <w:r w:rsidR="0035721F">
        <w:rPr>
          <w:b/>
          <w:spacing w:val="-3"/>
        </w:rPr>
        <w:t>calculation</w:t>
      </w:r>
      <w:r w:rsidR="0035721F" w:rsidRPr="00CC236E">
        <w:rPr>
          <w:b/>
          <w:spacing w:val="-3"/>
        </w:rPr>
        <w:t xml:space="preserve"> </w:t>
      </w:r>
      <w:r w:rsidRPr="00CC236E">
        <w:rPr>
          <w:b/>
          <w:spacing w:val="-3"/>
        </w:rPr>
        <w:t>parameters</w:t>
      </w:r>
    </w:p>
    <w:p w14:paraId="2B59EB0A" w14:textId="77777777" w:rsidR="00E65F4E" w:rsidRPr="00CC236E" w:rsidRDefault="00E65F4E" w:rsidP="00015B17">
      <w:pPr>
        <w:tabs>
          <w:tab w:val="left" w:pos="-1440"/>
          <w:tab w:val="left" w:pos="-720"/>
          <w:tab w:val="left" w:pos="0"/>
          <w:tab w:val="left" w:pos="737"/>
          <w:tab w:val="left" w:pos="1929"/>
          <w:tab w:val="left" w:pos="2160"/>
        </w:tabs>
        <w:suppressAutoHyphens/>
        <w:spacing w:line="360" w:lineRule="auto"/>
        <w:outlineLvl w:val="0"/>
        <w:rPr>
          <w:b/>
          <w:spacing w:val="-3"/>
        </w:rPr>
      </w:pPr>
    </w:p>
    <w:p w14:paraId="339A9C60" w14:textId="4BADE114" w:rsidR="00015B17" w:rsidRDefault="00015B17" w:rsidP="00015B17">
      <w:pPr>
        <w:tabs>
          <w:tab w:val="left" w:pos="-1440"/>
          <w:tab w:val="left" w:pos="-720"/>
          <w:tab w:val="left" w:pos="0"/>
          <w:tab w:val="left" w:pos="737"/>
          <w:tab w:val="left" w:pos="1929"/>
          <w:tab w:val="left" w:pos="2160"/>
        </w:tabs>
        <w:suppressAutoHyphens/>
        <w:spacing w:line="360" w:lineRule="auto"/>
        <w:rPr>
          <w:spacing w:val="-3"/>
        </w:rPr>
      </w:pPr>
      <w:r>
        <w:rPr>
          <w:spacing w:val="-3"/>
        </w:rPr>
        <w:tab/>
      </w:r>
      <w:r w:rsidRPr="003A58C4">
        <w:rPr>
          <w:spacing w:val="-3"/>
        </w:rPr>
        <w:t>Some of the control parameters include simulation time, time step values, convergence criteria, relaxation factors, output result frequency</w:t>
      </w:r>
      <w:r w:rsidR="00AC30C3">
        <w:rPr>
          <w:spacing w:val="-3"/>
        </w:rPr>
        <w:t>,</w:t>
      </w:r>
      <w:r w:rsidRPr="003A58C4">
        <w:rPr>
          <w:spacing w:val="-3"/>
        </w:rPr>
        <w:t xml:space="preserve"> etc. Appropriate choices of these parameters are needed to obtain accurate results in a reasonable computational time. In most software, a minimum and a maximum time step value </w:t>
      </w:r>
      <w:r w:rsidR="00172C8D">
        <w:rPr>
          <w:spacing w:val="-3"/>
        </w:rPr>
        <w:t>are</w:t>
      </w:r>
      <w:r w:rsidR="00172C8D" w:rsidRPr="003A58C4">
        <w:rPr>
          <w:spacing w:val="-3"/>
        </w:rPr>
        <w:t xml:space="preserve"> </w:t>
      </w:r>
      <w:r w:rsidR="00AC30C3">
        <w:rPr>
          <w:spacing w:val="-3"/>
        </w:rPr>
        <w:t>specified</w:t>
      </w:r>
      <w:r w:rsidRPr="003A58C4">
        <w:rPr>
          <w:spacing w:val="-3"/>
        </w:rPr>
        <w:t>. For a</w:t>
      </w:r>
      <w:r w:rsidR="00AC30C3">
        <w:rPr>
          <w:spacing w:val="-3"/>
        </w:rPr>
        <w:t xml:space="preserve">n </w:t>
      </w:r>
      <w:r w:rsidRPr="003A58C4">
        <w:rPr>
          <w:spacing w:val="-3"/>
        </w:rPr>
        <w:t>explicit time integration process</w:t>
      </w:r>
      <w:r w:rsidR="00AC30C3">
        <w:rPr>
          <w:spacing w:val="-3"/>
        </w:rPr>
        <w:t>,</w:t>
      </w:r>
      <w:r w:rsidRPr="003A58C4">
        <w:rPr>
          <w:spacing w:val="-3"/>
        </w:rPr>
        <w:t xml:space="preserve"> the maximum time step value needs to satisfy the value from the stability criterion</w:t>
      </w:r>
      <w:r>
        <w:rPr>
          <w:spacing w:val="-3"/>
        </w:rPr>
        <w:t xml:space="preserve"> for numerical convergence</w:t>
      </w:r>
      <w:r w:rsidRPr="003A58C4">
        <w:rPr>
          <w:spacing w:val="-3"/>
        </w:rPr>
        <w:t xml:space="preserve">. Since an implicit formulation is </w:t>
      </w:r>
      <w:r w:rsidR="0035721F">
        <w:rPr>
          <w:spacing w:val="-3"/>
        </w:rPr>
        <w:t>usually</w:t>
      </w:r>
      <w:r w:rsidR="0035721F" w:rsidRPr="003A58C4">
        <w:rPr>
          <w:spacing w:val="-3"/>
        </w:rPr>
        <w:t xml:space="preserve"> </w:t>
      </w:r>
      <w:r w:rsidRPr="003A58C4">
        <w:rPr>
          <w:spacing w:val="-3"/>
        </w:rPr>
        <w:t xml:space="preserve">stable, a large value of the maximum time step can be selected. Convergence criteria are needed for an iteration sequence associated with solution of </w:t>
      </w:r>
      <w:r w:rsidR="0035721F">
        <w:rPr>
          <w:spacing w:val="-3"/>
        </w:rPr>
        <w:t xml:space="preserve">a </w:t>
      </w:r>
      <w:r w:rsidRPr="003A58C4">
        <w:rPr>
          <w:spacing w:val="-3"/>
        </w:rPr>
        <w:t xml:space="preserve">nonlinear system of equations encountered in an implicit time integration scheme. An optimum value of the convergence criteria is needed to obtain an accurate solution in a reasonable time. The factors relate to the </w:t>
      </w:r>
      <w:r w:rsidRPr="003A58C4">
        <w:rPr>
          <w:spacing w:val="-3"/>
        </w:rPr>
        <w:lastRenderedPageBreak/>
        <w:t>under-relaxation factors used in nonlinear iterations.</w:t>
      </w:r>
      <w:r>
        <w:rPr>
          <w:spacing w:val="-3"/>
        </w:rPr>
        <w:t xml:space="preserve"> These are needed when implicit time integration is employed</w:t>
      </w:r>
      <w:r w:rsidR="00172C8D">
        <w:rPr>
          <w:spacing w:val="-3"/>
        </w:rPr>
        <w:t>.</w:t>
      </w:r>
    </w:p>
    <w:p w14:paraId="4D6DDC20" w14:textId="77777777" w:rsidR="00E65F4E" w:rsidRPr="003A58C4" w:rsidRDefault="00E65F4E" w:rsidP="00015B17">
      <w:pPr>
        <w:tabs>
          <w:tab w:val="left" w:pos="-1440"/>
          <w:tab w:val="left" w:pos="-720"/>
          <w:tab w:val="left" w:pos="0"/>
          <w:tab w:val="left" w:pos="737"/>
          <w:tab w:val="left" w:pos="1929"/>
          <w:tab w:val="left" w:pos="2160"/>
        </w:tabs>
        <w:suppressAutoHyphens/>
        <w:spacing w:line="360" w:lineRule="auto"/>
        <w:rPr>
          <w:spacing w:val="-3"/>
        </w:rPr>
      </w:pPr>
    </w:p>
    <w:p w14:paraId="0AA29BE2" w14:textId="77777777" w:rsidR="00015B17" w:rsidRDefault="00015B17" w:rsidP="00015B17">
      <w:pPr>
        <w:tabs>
          <w:tab w:val="left" w:pos="-1440"/>
          <w:tab w:val="left" w:pos="-720"/>
          <w:tab w:val="left" w:pos="0"/>
          <w:tab w:val="left" w:pos="737"/>
          <w:tab w:val="left" w:pos="1929"/>
          <w:tab w:val="left" w:pos="2160"/>
        </w:tabs>
        <w:suppressAutoHyphens/>
        <w:spacing w:line="360" w:lineRule="auto"/>
        <w:outlineLvl w:val="0"/>
        <w:rPr>
          <w:b/>
          <w:spacing w:val="-3"/>
        </w:rPr>
      </w:pPr>
      <w:r w:rsidRPr="00CC236E">
        <w:rPr>
          <w:b/>
          <w:spacing w:val="-3"/>
        </w:rPr>
        <w:t>2.5.2.5 Solution</w:t>
      </w:r>
    </w:p>
    <w:p w14:paraId="1B42E1EE" w14:textId="77777777" w:rsidR="00E65F4E" w:rsidRPr="00CC236E" w:rsidRDefault="00E65F4E" w:rsidP="00015B17">
      <w:pPr>
        <w:tabs>
          <w:tab w:val="left" w:pos="-1440"/>
          <w:tab w:val="left" w:pos="-720"/>
          <w:tab w:val="left" w:pos="0"/>
          <w:tab w:val="left" w:pos="737"/>
          <w:tab w:val="left" w:pos="1929"/>
          <w:tab w:val="left" w:pos="2160"/>
        </w:tabs>
        <w:suppressAutoHyphens/>
        <w:spacing w:line="360" w:lineRule="auto"/>
        <w:outlineLvl w:val="0"/>
        <w:rPr>
          <w:b/>
          <w:spacing w:val="-3"/>
        </w:rPr>
      </w:pPr>
    </w:p>
    <w:p w14:paraId="6FE21D1B" w14:textId="390547E1" w:rsidR="00E65F4E" w:rsidRDefault="00015B17" w:rsidP="00015B17">
      <w:pPr>
        <w:tabs>
          <w:tab w:val="left" w:pos="-1440"/>
          <w:tab w:val="left" w:pos="-720"/>
          <w:tab w:val="left" w:pos="0"/>
          <w:tab w:val="left" w:pos="737"/>
          <w:tab w:val="left" w:pos="1929"/>
          <w:tab w:val="left" w:pos="2160"/>
        </w:tabs>
        <w:suppressAutoHyphens/>
        <w:spacing w:line="360" w:lineRule="auto"/>
        <w:rPr>
          <w:spacing w:val="-3"/>
        </w:rPr>
      </w:pPr>
      <w:r>
        <w:rPr>
          <w:spacing w:val="-3"/>
        </w:rPr>
        <w:tab/>
      </w:r>
      <w:r w:rsidRPr="003A58C4">
        <w:rPr>
          <w:spacing w:val="-3"/>
        </w:rPr>
        <w:t xml:space="preserve">In this step, the user chooses the type of analysis e.g., heat transfer, heat transfer/fluid flow, heat transfer/stress analysis. A heat conduction model may be sufficient if mold filling is quick and </w:t>
      </w:r>
      <w:r w:rsidR="0035721F">
        <w:rPr>
          <w:spacing w:val="-3"/>
        </w:rPr>
        <w:t xml:space="preserve">the </w:t>
      </w:r>
      <w:r w:rsidRPr="003A58C4">
        <w:rPr>
          <w:spacing w:val="-3"/>
        </w:rPr>
        <w:t>effect of filling on metal and mold temperatures is not significant. Thermal stress calculation is desired in applications (e.g., single crystal or</w:t>
      </w:r>
      <w:r w:rsidR="00247398">
        <w:rPr>
          <w:spacing w:val="-3"/>
        </w:rPr>
        <w:t xml:space="preserve"> directionally solidified</w:t>
      </w:r>
      <w:r w:rsidRPr="003A58C4">
        <w:rPr>
          <w:spacing w:val="-3"/>
        </w:rPr>
        <w:t xml:space="preserve"> </w:t>
      </w:r>
      <w:r w:rsidR="00247398">
        <w:rPr>
          <w:spacing w:val="-3"/>
        </w:rPr>
        <w:t>(</w:t>
      </w:r>
      <w:r w:rsidRPr="003A58C4">
        <w:rPr>
          <w:spacing w:val="-3"/>
        </w:rPr>
        <w:t>DS</w:t>
      </w:r>
      <w:r w:rsidR="00247398">
        <w:rPr>
          <w:spacing w:val="-3"/>
        </w:rPr>
        <w:t>)</w:t>
      </w:r>
      <w:r w:rsidRPr="003A58C4">
        <w:rPr>
          <w:spacing w:val="-3"/>
        </w:rPr>
        <w:t xml:space="preserve"> airfoils) where stress-related defect prediction is important.</w:t>
      </w:r>
    </w:p>
    <w:p w14:paraId="5083971C" w14:textId="77777777" w:rsidR="00015B17" w:rsidRPr="003A58C4" w:rsidRDefault="00015B17" w:rsidP="00015B17">
      <w:pPr>
        <w:tabs>
          <w:tab w:val="left" w:pos="-1440"/>
          <w:tab w:val="left" w:pos="-720"/>
          <w:tab w:val="left" w:pos="0"/>
          <w:tab w:val="left" w:pos="737"/>
          <w:tab w:val="left" w:pos="1929"/>
          <w:tab w:val="left" w:pos="2160"/>
        </w:tabs>
        <w:suppressAutoHyphens/>
        <w:spacing w:line="360" w:lineRule="auto"/>
        <w:rPr>
          <w:spacing w:val="-3"/>
        </w:rPr>
      </w:pPr>
      <w:r w:rsidRPr="003A58C4">
        <w:rPr>
          <w:spacing w:val="-3"/>
        </w:rPr>
        <w:t xml:space="preserve">   </w:t>
      </w:r>
    </w:p>
    <w:p w14:paraId="6348E237" w14:textId="77777777" w:rsidR="00015B17" w:rsidRDefault="00015B17" w:rsidP="00015B17">
      <w:pPr>
        <w:tabs>
          <w:tab w:val="left" w:pos="-1440"/>
          <w:tab w:val="left" w:pos="-720"/>
          <w:tab w:val="left" w:pos="0"/>
          <w:tab w:val="left" w:pos="737"/>
          <w:tab w:val="left" w:pos="1929"/>
          <w:tab w:val="left" w:pos="2160"/>
        </w:tabs>
        <w:suppressAutoHyphens/>
        <w:spacing w:line="360" w:lineRule="auto"/>
        <w:outlineLvl w:val="0"/>
        <w:rPr>
          <w:b/>
          <w:spacing w:val="-3"/>
        </w:rPr>
      </w:pPr>
      <w:r w:rsidRPr="00CC236E">
        <w:rPr>
          <w:b/>
          <w:spacing w:val="-3"/>
        </w:rPr>
        <w:t>2.5.2.6 Postprocessing</w:t>
      </w:r>
    </w:p>
    <w:p w14:paraId="7E1B3809" w14:textId="77777777" w:rsidR="00E65F4E" w:rsidRPr="00CC236E" w:rsidRDefault="00E65F4E" w:rsidP="00015B17">
      <w:pPr>
        <w:tabs>
          <w:tab w:val="left" w:pos="-1440"/>
          <w:tab w:val="left" w:pos="-720"/>
          <w:tab w:val="left" w:pos="0"/>
          <w:tab w:val="left" w:pos="737"/>
          <w:tab w:val="left" w:pos="1929"/>
          <w:tab w:val="left" w:pos="2160"/>
        </w:tabs>
        <w:suppressAutoHyphens/>
        <w:spacing w:line="360" w:lineRule="auto"/>
        <w:outlineLvl w:val="0"/>
        <w:rPr>
          <w:b/>
          <w:spacing w:val="-3"/>
        </w:rPr>
      </w:pPr>
    </w:p>
    <w:p w14:paraId="7541AC39" w14:textId="4C6FD5E4" w:rsidR="00015B17" w:rsidRDefault="00015B17" w:rsidP="00015B17">
      <w:pPr>
        <w:tabs>
          <w:tab w:val="left" w:pos="-1440"/>
          <w:tab w:val="left" w:pos="-720"/>
          <w:tab w:val="left" w:pos="0"/>
          <w:tab w:val="left" w:pos="737"/>
          <w:tab w:val="left" w:pos="1929"/>
          <w:tab w:val="left" w:pos="2160"/>
        </w:tabs>
        <w:suppressAutoHyphens/>
        <w:spacing w:line="360" w:lineRule="auto"/>
        <w:rPr>
          <w:spacing w:val="-3"/>
        </w:rPr>
      </w:pPr>
      <w:r>
        <w:rPr>
          <w:spacing w:val="-3"/>
        </w:rPr>
        <w:tab/>
      </w:r>
      <w:r w:rsidRPr="003A58C4">
        <w:rPr>
          <w:spacing w:val="-3"/>
        </w:rPr>
        <w:t>Most software ha</w:t>
      </w:r>
      <w:r w:rsidR="00247398">
        <w:rPr>
          <w:spacing w:val="-3"/>
        </w:rPr>
        <w:t>ve</w:t>
      </w:r>
      <w:r w:rsidRPr="003A58C4">
        <w:rPr>
          <w:spacing w:val="-3"/>
        </w:rPr>
        <w:t xml:space="preserve"> post</w:t>
      </w:r>
      <w:r>
        <w:rPr>
          <w:spacing w:val="-3"/>
        </w:rPr>
        <w:t>-</w:t>
      </w:r>
      <w:r w:rsidRPr="003A58C4">
        <w:rPr>
          <w:spacing w:val="-3"/>
        </w:rPr>
        <w:t>processing capability that allows direct visualization of computational results. These may include time-dependent temperature distribution, flow velocity, stress distribution etc. Additionally, derived quantities can be displayed that can provide insight into the solidification related defects. Some of these quantities are is</w:t>
      </w:r>
      <w:r>
        <w:rPr>
          <w:spacing w:val="-3"/>
        </w:rPr>
        <w:t>o</w:t>
      </w:r>
      <w:r w:rsidRPr="003A58C4">
        <w:rPr>
          <w:spacing w:val="-3"/>
        </w:rPr>
        <w:t>chrons, temperature gradient, solidification velocity, temperature gradient/solidification velocity ratios</w:t>
      </w:r>
      <w:r>
        <w:rPr>
          <w:spacing w:val="-3"/>
        </w:rPr>
        <w:t>, local cooling rate, criteria functions (e.g., Niyama criterion for porosity §9.4.</w:t>
      </w:r>
      <w:r w:rsidR="00172C8D">
        <w:rPr>
          <w:spacing w:val="-3"/>
        </w:rPr>
        <w:t>2.</w:t>
      </w:r>
      <w:r>
        <w:rPr>
          <w:spacing w:val="-3"/>
        </w:rPr>
        <w:t xml:space="preserve">1) and void fraction. </w:t>
      </w:r>
      <w:r w:rsidRPr="003A58C4">
        <w:rPr>
          <w:spacing w:val="-3"/>
        </w:rPr>
        <w:t xml:space="preserve">An example showing the austenite grain size </w:t>
      </w:r>
      <w:r>
        <w:rPr>
          <w:spacing w:val="-3"/>
        </w:rPr>
        <w:t xml:space="preserve">prediction </w:t>
      </w:r>
      <w:r w:rsidR="00172C8D">
        <w:rPr>
          <w:spacing w:val="-3"/>
        </w:rPr>
        <w:t>in a ductile iron casting</w:t>
      </w:r>
      <w:r>
        <w:rPr>
          <w:spacing w:val="-3"/>
        </w:rPr>
        <w:t xml:space="preserve"> is given</w:t>
      </w:r>
      <w:r w:rsidRPr="003A58C4">
        <w:rPr>
          <w:spacing w:val="-3"/>
        </w:rPr>
        <w:t xml:space="preserve"> in Fig. 2.</w:t>
      </w:r>
      <w:r>
        <w:rPr>
          <w:spacing w:val="-3"/>
        </w:rPr>
        <w:t>8</w:t>
      </w:r>
      <w:r w:rsidRPr="003A58C4">
        <w:rPr>
          <w:spacing w:val="-3"/>
        </w:rPr>
        <w:t>.</w:t>
      </w:r>
      <w:r w:rsidR="00172C8D">
        <w:rPr>
          <w:spacing w:val="-3"/>
        </w:rPr>
        <w:t xml:space="preserve"> The </w:t>
      </w:r>
      <w:r w:rsidR="000901B1">
        <w:rPr>
          <w:spacing w:val="-3"/>
        </w:rPr>
        <w:t>calculation</w:t>
      </w:r>
      <w:r w:rsidR="00172C8D">
        <w:rPr>
          <w:spacing w:val="-3"/>
        </w:rPr>
        <w:t xml:space="preserve"> involved coupling macroscopic heat flow equations with</w:t>
      </w:r>
      <w:r w:rsidR="000901B1">
        <w:rPr>
          <w:spacing w:val="-3"/>
        </w:rPr>
        <w:t xml:space="preserve"> a model for computing microstructure in the casting by applying proper nucleation and growth laws as discussed in §2.1.1.</w:t>
      </w:r>
    </w:p>
    <w:p w14:paraId="737909C1" w14:textId="77777777" w:rsidR="00015B17" w:rsidRDefault="00015B17" w:rsidP="00015B17">
      <w:pPr>
        <w:suppressAutoHyphens/>
        <w:spacing w:line="360" w:lineRule="auto"/>
        <w:jc w:val="center"/>
        <w:rPr>
          <w:b/>
          <w:bCs/>
          <w:i/>
          <w:iCs/>
          <w:sz w:val="28"/>
          <w:szCs w:val="28"/>
        </w:rPr>
      </w:pPr>
      <w:r>
        <w:rPr>
          <w:spacing w:val="-3"/>
        </w:rPr>
        <w:br w:type="page"/>
      </w:r>
      <w:r>
        <w:rPr>
          <w:b/>
          <w:bCs/>
          <w:i/>
          <w:iCs/>
          <w:sz w:val="28"/>
          <w:szCs w:val="28"/>
        </w:rPr>
        <w:lastRenderedPageBreak/>
        <w:t>3. Thermodynamics of Solidification</w:t>
      </w:r>
    </w:p>
    <w:p w14:paraId="0578257B" w14:textId="77777777" w:rsidR="00015B17" w:rsidRDefault="00015B17" w:rsidP="00015B17">
      <w:pPr>
        <w:suppressAutoHyphens/>
        <w:spacing w:line="360" w:lineRule="auto"/>
        <w:jc w:val="both"/>
        <w:rPr>
          <w:spacing w:val="-3"/>
        </w:rPr>
      </w:pPr>
      <w:r>
        <w:rPr>
          <w:spacing w:val="-3"/>
        </w:rPr>
        <w:fldChar w:fldCharType="begin"/>
      </w:r>
      <w:r>
        <w:rPr>
          <w:spacing w:val="-3"/>
        </w:rPr>
        <w:instrText xml:space="preserve">PRIVATE </w:instrText>
      </w:r>
      <w:r>
        <w:rPr>
          <w:spacing w:val="-3"/>
        </w:rPr>
        <w:fldChar w:fldCharType="end"/>
      </w:r>
    </w:p>
    <w:p w14:paraId="6D42969B" w14:textId="77777777" w:rsidR="00015B17" w:rsidRDefault="00015B17" w:rsidP="00015B17">
      <w:pPr>
        <w:suppressAutoHyphens/>
        <w:spacing w:line="360" w:lineRule="auto"/>
        <w:rPr>
          <w:spacing w:val="-3"/>
        </w:rPr>
      </w:pPr>
      <w:r>
        <w:rPr>
          <w:spacing w:val="-3"/>
        </w:rPr>
        <w:tab/>
        <w:t xml:space="preserve">The application of thermodynamics to solidification is described. Topics include the various levels of equilibrium that can be employed, the construction of equilibrium interface conditions for curved interfaces, </w:t>
      </w:r>
      <w:r w:rsidRPr="003F349F">
        <w:rPr>
          <w:i/>
          <w:spacing w:val="-3"/>
        </w:rPr>
        <w:t>T</w:t>
      </w:r>
      <w:r w:rsidRPr="00727E8A">
        <w:rPr>
          <w:i/>
          <w:spacing w:val="-3"/>
          <w:sz w:val="26"/>
          <w:vertAlign w:val="subscript"/>
        </w:rPr>
        <w:t>0</w:t>
      </w:r>
      <w:r>
        <w:rPr>
          <w:spacing w:val="-3"/>
        </w:rPr>
        <w:t xml:space="preserve"> curves, and the use of thermodynamic databases for solidification. Finally because of its derivation from thermodynamics and “gradient flow” kinetic arguments, the basics of the phase field approach to modeling solidification are outlined.</w:t>
      </w:r>
    </w:p>
    <w:p w14:paraId="2E98979E" w14:textId="77777777" w:rsidR="00015B17" w:rsidRDefault="00015B17" w:rsidP="00015B17">
      <w:pPr>
        <w:suppressAutoHyphens/>
        <w:spacing w:line="360" w:lineRule="auto"/>
        <w:rPr>
          <w:spacing w:val="-3"/>
        </w:rPr>
      </w:pPr>
      <w:r>
        <w:rPr>
          <w:spacing w:val="-3"/>
        </w:rPr>
        <w:t xml:space="preserve"> </w:t>
      </w:r>
    </w:p>
    <w:p w14:paraId="2EFD6409" w14:textId="6767203A" w:rsidR="00015B17" w:rsidRDefault="00015B17" w:rsidP="00015B17">
      <w:pPr>
        <w:suppressAutoHyphens/>
        <w:spacing w:line="360" w:lineRule="auto"/>
        <w:outlineLvl w:val="0"/>
        <w:rPr>
          <w:spacing w:val="-3"/>
        </w:rPr>
      </w:pPr>
      <w:r>
        <w:rPr>
          <w:b/>
          <w:bCs/>
          <w:spacing w:val="-3"/>
        </w:rPr>
        <w:t>3.1 Hierarchy of Equilibrium</w:t>
      </w:r>
    </w:p>
    <w:p w14:paraId="49F38CBA" w14:textId="77777777" w:rsidR="00015B17" w:rsidRPr="002A1C2A" w:rsidRDefault="00015B17" w:rsidP="00015B17">
      <w:pPr>
        <w:suppressAutoHyphens/>
        <w:spacing w:line="360" w:lineRule="auto"/>
        <w:rPr>
          <w:spacing w:val="-3"/>
        </w:rPr>
      </w:pPr>
    </w:p>
    <w:p w14:paraId="1F6AA526" w14:textId="77777777" w:rsidR="00015B17" w:rsidRDefault="00015B17" w:rsidP="00015B17">
      <w:pPr>
        <w:suppressAutoHyphens/>
        <w:spacing w:line="360" w:lineRule="auto"/>
        <w:rPr>
          <w:spacing w:val="-3"/>
        </w:rPr>
      </w:pPr>
      <w:r w:rsidRPr="002A1C2A">
        <w:rPr>
          <w:spacing w:val="-3"/>
        </w:rPr>
        <w:tab/>
      </w:r>
      <w:r>
        <w:rPr>
          <w:spacing w:val="-3"/>
        </w:rPr>
        <w:t>The process of solidification cannot occur at equilibrium. However it is clear that different degrees of departure from full equilibrium occur and constitute a hierarchy which is followed with increasing solidification rate. This hierarchy is outlined in Table 3.1 (BOETTINGER and PEREPEZKO [1985]).</w:t>
      </w:r>
    </w:p>
    <w:p w14:paraId="594E53A8" w14:textId="77777777" w:rsidR="00015B17" w:rsidRDefault="00015B17" w:rsidP="00015B17">
      <w:pPr>
        <w:suppressAutoHyphens/>
        <w:spacing w:line="360" w:lineRule="auto"/>
        <w:jc w:val="both"/>
        <w:rPr>
          <w:spacing w:val="-3"/>
        </w:rPr>
      </w:pPr>
    </w:p>
    <w:p w14:paraId="2CEC3E5B" w14:textId="77777777" w:rsidR="00015B17" w:rsidRDefault="00015B17" w:rsidP="00015B17">
      <w:pPr>
        <w:suppressAutoHyphens/>
        <w:spacing w:line="360" w:lineRule="auto"/>
        <w:ind w:left="720"/>
        <w:jc w:val="center"/>
        <w:outlineLvl w:val="0"/>
      </w:pPr>
      <w:r>
        <w:t>Table 3.1 - Hierarchy of Equilibrium</w:t>
      </w:r>
    </w:p>
    <w:p w14:paraId="7E20F93A" w14:textId="77777777" w:rsidR="00015B17" w:rsidRDefault="00015B17" w:rsidP="00015B17">
      <w:pPr>
        <w:suppressAutoHyphens/>
        <w:spacing w:line="360" w:lineRule="auto"/>
        <w:ind w:left="720"/>
        <w:jc w:val="both"/>
        <w:rPr>
          <w:spacing w:val="-3"/>
        </w:rPr>
      </w:pPr>
    </w:p>
    <w:p w14:paraId="520633E9" w14:textId="77777777" w:rsidR="00015B17" w:rsidRDefault="00015B17" w:rsidP="00015B17">
      <w:pPr>
        <w:suppressAutoHyphens/>
        <w:spacing w:line="360" w:lineRule="auto"/>
        <w:ind w:left="720"/>
        <w:jc w:val="both"/>
        <w:rPr>
          <w:spacing w:val="-3"/>
        </w:rPr>
      </w:pPr>
      <w:r>
        <w:rPr>
          <w:spacing w:val="-3"/>
        </w:rPr>
        <w:t xml:space="preserve">  i. Full Diffusional (Global) Equilibrium</w:t>
      </w:r>
    </w:p>
    <w:p w14:paraId="530245A3" w14:textId="77777777" w:rsidR="00015B17" w:rsidRDefault="00015B17" w:rsidP="00015B17">
      <w:pPr>
        <w:tabs>
          <w:tab w:val="left" w:pos="-720"/>
          <w:tab w:val="left" w:pos="0"/>
        </w:tabs>
        <w:suppressAutoHyphens/>
        <w:spacing w:line="360" w:lineRule="auto"/>
        <w:ind w:left="2160" w:hanging="720"/>
        <w:jc w:val="both"/>
        <w:rPr>
          <w:spacing w:val="-3"/>
        </w:rPr>
      </w:pPr>
      <w:r>
        <w:rPr>
          <w:spacing w:val="-3"/>
        </w:rPr>
        <w:t>a. No chemical potential gradients (compositions of phases are uniform)</w:t>
      </w:r>
    </w:p>
    <w:p w14:paraId="19366FCF" w14:textId="77777777" w:rsidR="00015B17" w:rsidRDefault="00015B17" w:rsidP="00015B17">
      <w:pPr>
        <w:tabs>
          <w:tab w:val="left" w:pos="-720"/>
          <w:tab w:val="left" w:pos="0"/>
        </w:tabs>
        <w:suppressAutoHyphens/>
        <w:spacing w:line="360" w:lineRule="auto"/>
        <w:ind w:left="2160" w:hanging="720"/>
        <w:jc w:val="both"/>
        <w:rPr>
          <w:spacing w:val="-3"/>
        </w:rPr>
      </w:pPr>
      <w:r>
        <w:rPr>
          <w:spacing w:val="-3"/>
        </w:rPr>
        <w:t>b. No temperature gradients</w:t>
      </w:r>
    </w:p>
    <w:p w14:paraId="586C19C3" w14:textId="77777777" w:rsidR="00015B17" w:rsidRDefault="00015B17" w:rsidP="00015B17">
      <w:pPr>
        <w:tabs>
          <w:tab w:val="left" w:pos="-720"/>
          <w:tab w:val="left" w:pos="0"/>
        </w:tabs>
        <w:suppressAutoHyphens/>
        <w:spacing w:line="360" w:lineRule="auto"/>
        <w:ind w:left="2160" w:hanging="720"/>
        <w:jc w:val="both"/>
        <w:rPr>
          <w:spacing w:val="-3"/>
        </w:rPr>
      </w:pPr>
      <w:r>
        <w:rPr>
          <w:spacing w:val="-3"/>
        </w:rPr>
        <w:t>c. Applied to entire system at each instant during temperature changes</w:t>
      </w:r>
    </w:p>
    <w:p w14:paraId="46252535" w14:textId="77777777" w:rsidR="00015B17" w:rsidRDefault="00015B17" w:rsidP="00015B17">
      <w:pPr>
        <w:tabs>
          <w:tab w:val="left" w:pos="-720"/>
          <w:tab w:val="left" w:pos="0"/>
        </w:tabs>
        <w:suppressAutoHyphens/>
        <w:spacing w:line="360" w:lineRule="auto"/>
        <w:ind w:left="2160" w:hanging="720"/>
        <w:jc w:val="both"/>
        <w:rPr>
          <w:spacing w:val="-3"/>
        </w:rPr>
      </w:pPr>
      <w:r>
        <w:rPr>
          <w:spacing w:val="-3"/>
        </w:rPr>
        <w:t>d. Lever rule applicable</w:t>
      </w:r>
    </w:p>
    <w:p w14:paraId="1A113427" w14:textId="77777777" w:rsidR="00015B17" w:rsidRDefault="00015B17" w:rsidP="00015B17">
      <w:pPr>
        <w:tabs>
          <w:tab w:val="left" w:pos="-720"/>
        </w:tabs>
        <w:suppressAutoHyphens/>
        <w:spacing w:line="360" w:lineRule="auto"/>
        <w:ind w:left="720"/>
        <w:jc w:val="both"/>
        <w:rPr>
          <w:spacing w:val="-3"/>
        </w:rPr>
      </w:pPr>
      <w:r>
        <w:rPr>
          <w:spacing w:val="-3"/>
        </w:rPr>
        <w:t xml:space="preserve"> ii. Local Interfacial Equilibrium</w:t>
      </w:r>
    </w:p>
    <w:p w14:paraId="210A841A" w14:textId="77777777" w:rsidR="00015B17" w:rsidRDefault="00015B17" w:rsidP="00015B17">
      <w:pPr>
        <w:tabs>
          <w:tab w:val="left" w:pos="-720"/>
        </w:tabs>
        <w:suppressAutoHyphens/>
        <w:spacing w:line="360" w:lineRule="auto"/>
        <w:ind w:left="720"/>
        <w:jc w:val="both"/>
        <w:rPr>
          <w:spacing w:val="-3"/>
        </w:rPr>
      </w:pPr>
      <w:r>
        <w:rPr>
          <w:spacing w:val="-3"/>
        </w:rPr>
        <w:tab/>
        <w:t xml:space="preserve">a. Chemical potential for each component continuous across the interface </w:t>
      </w:r>
    </w:p>
    <w:p w14:paraId="2B7A9B4F" w14:textId="77777777" w:rsidR="00015B17" w:rsidRDefault="00015B17" w:rsidP="00015B17">
      <w:pPr>
        <w:tabs>
          <w:tab w:val="left" w:pos="-720"/>
          <w:tab w:val="left" w:pos="0"/>
        </w:tabs>
        <w:suppressAutoHyphens/>
        <w:spacing w:line="360" w:lineRule="auto"/>
        <w:ind w:left="2160" w:hanging="720"/>
        <w:jc w:val="both"/>
        <w:rPr>
          <w:spacing w:val="-3"/>
        </w:rPr>
      </w:pPr>
      <w:r>
        <w:rPr>
          <w:spacing w:val="-3"/>
        </w:rPr>
        <w:t>b. Phase diagram gives compositions and temperatures only at solid-liquid interface</w:t>
      </w:r>
    </w:p>
    <w:p w14:paraId="19A4F294" w14:textId="77777777" w:rsidR="00015B17" w:rsidRDefault="00015B17" w:rsidP="00015B17">
      <w:pPr>
        <w:tabs>
          <w:tab w:val="left" w:pos="-720"/>
          <w:tab w:val="left" w:pos="0"/>
        </w:tabs>
        <w:suppressAutoHyphens/>
        <w:spacing w:line="360" w:lineRule="auto"/>
        <w:ind w:left="2160" w:hanging="720"/>
        <w:jc w:val="both"/>
        <w:rPr>
          <w:spacing w:val="-3"/>
        </w:rPr>
      </w:pPr>
      <w:r>
        <w:rPr>
          <w:spacing w:val="-3"/>
        </w:rPr>
        <w:t>c. Correction made for interface curvature (Gibbs-Thomson Effect)</w:t>
      </w:r>
    </w:p>
    <w:p w14:paraId="67FAD92D" w14:textId="77777777" w:rsidR="00015B17" w:rsidRDefault="00015B17" w:rsidP="00015B17">
      <w:pPr>
        <w:tabs>
          <w:tab w:val="left" w:pos="-720"/>
        </w:tabs>
        <w:suppressAutoHyphens/>
        <w:spacing w:line="360" w:lineRule="auto"/>
        <w:ind w:left="720"/>
        <w:jc w:val="both"/>
        <w:rPr>
          <w:spacing w:val="-3"/>
        </w:rPr>
      </w:pPr>
      <w:r>
        <w:rPr>
          <w:spacing w:val="-3"/>
        </w:rPr>
        <w:t>iii. Metastable Local Interfacial Equilibrium</w:t>
      </w:r>
    </w:p>
    <w:p w14:paraId="1D6A8325" w14:textId="77777777" w:rsidR="00015B17" w:rsidRDefault="00015B17" w:rsidP="00015B17">
      <w:pPr>
        <w:tabs>
          <w:tab w:val="left" w:pos="-720"/>
          <w:tab w:val="left" w:pos="0"/>
        </w:tabs>
        <w:suppressAutoHyphens/>
        <w:spacing w:line="360" w:lineRule="auto"/>
        <w:ind w:left="2160" w:hanging="720"/>
        <w:jc w:val="both"/>
        <w:rPr>
          <w:spacing w:val="-3"/>
        </w:rPr>
      </w:pPr>
      <w:r>
        <w:rPr>
          <w:spacing w:val="-3"/>
        </w:rPr>
        <w:t>a. Important when stable phase cannot nucleate or grow fast enough</w:t>
      </w:r>
    </w:p>
    <w:p w14:paraId="1A35D638" w14:textId="77777777" w:rsidR="00015B17" w:rsidRDefault="00015B17" w:rsidP="00015B17">
      <w:pPr>
        <w:tabs>
          <w:tab w:val="left" w:pos="-720"/>
          <w:tab w:val="left" w:pos="0"/>
        </w:tabs>
        <w:suppressAutoHyphens/>
        <w:spacing w:line="360" w:lineRule="auto"/>
        <w:ind w:left="2160" w:hanging="720"/>
        <w:jc w:val="both"/>
        <w:rPr>
          <w:spacing w:val="-3"/>
        </w:rPr>
      </w:pPr>
      <w:r>
        <w:rPr>
          <w:spacing w:val="-3"/>
        </w:rPr>
        <w:lastRenderedPageBreak/>
        <w:t>b. Metastable phase diagram (a true thermodynamic phase diagram missing the stable phase or phases) gives the interface conditions</w:t>
      </w:r>
    </w:p>
    <w:p w14:paraId="1E67E987" w14:textId="77777777" w:rsidR="00015B17" w:rsidRPr="00F77FF1" w:rsidRDefault="00015B17" w:rsidP="00015B17">
      <w:pPr>
        <w:tabs>
          <w:tab w:val="left" w:pos="-720"/>
        </w:tabs>
        <w:suppressAutoHyphens/>
        <w:spacing w:line="360" w:lineRule="auto"/>
        <w:ind w:left="720"/>
        <w:jc w:val="both"/>
        <w:rPr>
          <w:spacing w:val="-3"/>
          <w:lang w:val="fr-FR"/>
        </w:rPr>
      </w:pPr>
      <w:r>
        <w:rPr>
          <w:spacing w:val="-3"/>
        </w:rPr>
        <w:t xml:space="preserve"> </w:t>
      </w:r>
      <w:r w:rsidRPr="00F77FF1">
        <w:rPr>
          <w:spacing w:val="-3"/>
          <w:lang w:val="fr-FR"/>
        </w:rPr>
        <w:t>iv.  Interfacial Non-Equilibrium</w:t>
      </w:r>
    </w:p>
    <w:p w14:paraId="1376A8F4" w14:textId="77777777" w:rsidR="00015B17" w:rsidRDefault="00015B17" w:rsidP="00015B17">
      <w:pPr>
        <w:tabs>
          <w:tab w:val="left" w:pos="-720"/>
          <w:tab w:val="left" w:pos="0"/>
        </w:tabs>
        <w:suppressAutoHyphens/>
        <w:spacing w:line="360" w:lineRule="auto"/>
        <w:ind w:left="2160" w:hanging="720"/>
        <w:jc w:val="both"/>
        <w:rPr>
          <w:spacing w:val="-3"/>
        </w:rPr>
      </w:pPr>
      <w:r w:rsidRPr="00F77FF1">
        <w:rPr>
          <w:spacing w:val="-3"/>
          <w:lang w:val="fr-FR"/>
        </w:rPr>
        <w:t xml:space="preserve">a.  </w:t>
      </w:r>
      <w:r>
        <w:rPr>
          <w:spacing w:val="-3"/>
        </w:rPr>
        <w:t>Phase diagram fails to give temperature and compositions at interface</w:t>
      </w:r>
    </w:p>
    <w:p w14:paraId="4A3C4200" w14:textId="77777777" w:rsidR="00015B17" w:rsidRDefault="00015B17" w:rsidP="00015B17">
      <w:pPr>
        <w:tabs>
          <w:tab w:val="left" w:pos="-720"/>
          <w:tab w:val="left" w:pos="0"/>
        </w:tabs>
        <w:suppressAutoHyphens/>
        <w:spacing w:line="360" w:lineRule="auto"/>
        <w:ind w:left="2160" w:hanging="720"/>
        <w:jc w:val="both"/>
        <w:rPr>
          <w:spacing w:val="-3"/>
        </w:rPr>
      </w:pPr>
      <w:r>
        <w:rPr>
          <w:spacing w:val="-3"/>
        </w:rPr>
        <w:t>b. Chemical potentials are not equal at interface</w:t>
      </w:r>
    </w:p>
    <w:p w14:paraId="04BCDE09" w14:textId="77777777" w:rsidR="00015B17" w:rsidRDefault="00015B17" w:rsidP="00015B17">
      <w:pPr>
        <w:tabs>
          <w:tab w:val="left" w:pos="-720"/>
          <w:tab w:val="left" w:pos="0"/>
        </w:tabs>
        <w:suppressAutoHyphens/>
        <w:spacing w:line="360" w:lineRule="auto"/>
        <w:ind w:left="2160" w:hanging="720"/>
        <w:jc w:val="both"/>
        <w:rPr>
          <w:spacing w:val="-3"/>
        </w:rPr>
      </w:pPr>
      <w:r>
        <w:rPr>
          <w:spacing w:val="-3"/>
        </w:rPr>
        <w:t>c. Free energy functions of phases still lead to criteria for the "impossible" (BAKER and CAHN [1971])</w:t>
      </w:r>
    </w:p>
    <w:p w14:paraId="5C9E9F30" w14:textId="77777777" w:rsidR="00015B17" w:rsidRDefault="00015B17" w:rsidP="00015B17">
      <w:pPr>
        <w:tabs>
          <w:tab w:val="left" w:pos="-720"/>
        </w:tabs>
        <w:suppressAutoHyphens/>
        <w:spacing w:line="360" w:lineRule="auto"/>
        <w:jc w:val="both"/>
        <w:rPr>
          <w:spacing w:val="-3"/>
        </w:rPr>
      </w:pPr>
    </w:p>
    <w:p w14:paraId="4C4DDCD0" w14:textId="77777777" w:rsidR="00015B17" w:rsidRDefault="00015B17" w:rsidP="00015B17">
      <w:pPr>
        <w:tabs>
          <w:tab w:val="left" w:pos="-720"/>
        </w:tabs>
        <w:suppressAutoHyphens/>
        <w:spacing w:line="360" w:lineRule="auto"/>
        <w:rPr>
          <w:spacing w:val="-3"/>
        </w:rPr>
      </w:pPr>
      <w:r>
        <w:rPr>
          <w:spacing w:val="-3"/>
        </w:rPr>
        <w:tab/>
        <w:t xml:space="preserve">The conditions required for global equilibrium, (i), are usually obtained only after long term annealing. Chemical potentials and temperature are uniform throughout the system. Under such conditions no changes occur with time. Global equilibrium is invoked for descriptions of solidification where the temperature is considered to be spatially uniform but slowly decreasing with time. The compositions of the entire liquid and entire solid phases follow the liquidus and solidus of the phase diagram. The fractions of the system that are liquid and solid are given by the </w:t>
      </w:r>
      <w:r w:rsidRPr="00DB2DE3">
        <w:rPr>
          <w:i/>
          <w:spacing w:val="-3"/>
        </w:rPr>
        <w:t>lever rule</w:t>
      </w:r>
      <w:r>
        <w:rPr>
          <w:spacing w:val="-3"/>
        </w:rPr>
        <w:t xml:space="preserve"> at each temperature during cooling. The lever rule is a consequence of a simple solute balance. This situation is only realized during solidification for certain combinations of slow cooling, small sample size or very fast diffusing interstitial solutes in the solid phases.</w:t>
      </w:r>
    </w:p>
    <w:p w14:paraId="621CF260" w14:textId="77777777" w:rsidR="00015B17" w:rsidRDefault="00015B17" w:rsidP="00015B17">
      <w:pPr>
        <w:tabs>
          <w:tab w:val="left" w:pos="-720"/>
        </w:tabs>
        <w:suppressAutoHyphens/>
        <w:spacing w:line="360" w:lineRule="auto"/>
        <w:rPr>
          <w:spacing w:val="-3"/>
        </w:rPr>
      </w:pPr>
    </w:p>
    <w:p w14:paraId="0B8B2C69" w14:textId="77777777" w:rsidR="00015B17" w:rsidRDefault="00015B17" w:rsidP="00015B17">
      <w:pPr>
        <w:tabs>
          <w:tab w:val="left" w:pos="-720"/>
        </w:tabs>
        <w:suppressAutoHyphens/>
        <w:spacing w:line="360" w:lineRule="auto"/>
        <w:rPr>
          <w:spacing w:val="-3"/>
        </w:rPr>
      </w:pPr>
      <w:r>
        <w:rPr>
          <w:spacing w:val="-3"/>
        </w:rPr>
        <w:tab/>
        <w:t xml:space="preserve"> During most solidification processes, gradients of temperature and composition must exist within the phases. However one can often accurately describe the overall kinetics using diffusion equations to describe the changes in temperature and composition within each phase and using the equilibrium phase diagram to give the allowable combinations of temperature and compositions of the liquid phase and solid phase just adjacent to the solidification interface.  This is called local interface equilibrium (ii in Table 3.1)</w:t>
      </w:r>
    </w:p>
    <w:p w14:paraId="75338252" w14:textId="77777777" w:rsidR="00015B17" w:rsidRDefault="00015B17" w:rsidP="00015B17">
      <w:pPr>
        <w:tabs>
          <w:tab w:val="left" w:pos="-720"/>
        </w:tabs>
        <w:suppressAutoHyphens/>
        <w:spacing w:line="360" w:lineRule="auto"/>
        <w:rPr>
          <w:spacing w:val="-3"/>
        </w:rPr>
      </w:pPr>
    </w:p>
    <w:p w14:paraId="541B7D3F" w14:textId="77777777" w:rsidR="00015B17" w:rsidRDefault="00015B17" w:rsidP="00015B17">
      <w:pPr>
        <w:tabs>
          <w:tab w:val="left" w:pos="-720"/>
        </w:tabs>
        <w:suppressAutoHyphens/>
        <w:spacing w:line="360" w:lineRule="auto"/>
        <w:rPr>
          <w:spacing w:val="-3"/>
        </w:rPr>
      </w:pPr>
      <w:r>
        <w:rPr>
          <w:spacing w:val="-3"/>
        </w:rPr>
        <w:tab/>
        <w:t>For a binary alloy, if the liquidus and solidus of the phase diagram can be approximated as straight lines, the local equilibrium condition can be written as</w:t>
      </w:r>
    </w:p>
    <w:p w14:paraId="3DA0C4A9" w14:textId="77777777" w:rsidR="00015B17" w:rsidRDefault="00015B17" w:rsidP="00015B17">
      <w:pPr>
        <w:tabs>
          <w:tab w:val="left" w:pos="-720"/>
        </w:tabs>
        <w:suppressAutoHyphens/>
        <w:spacing w:line="360" w:lineRule="auto"/>
        <w:rPr>
          <w:spacing w:val="-3"/>
        </w:rPr>
      </w:pPr>
    </w:p>
    <w:p w14:paraId="5BA55B03" w14:textId="77777777" w:rsidR="00015B17" w:rsidRDefault="00015B17" w:rsidP="00015B17">
      <w:pPr>
        <w:tabs>
          <w:tab w:val="left" w:pos="-720"/>
        </w:tabs>
        <w:suppressAutoHyphens/>
        <w:spacing w:line="360" w:lineRule="auto"/>
        <w:rPr>
          <w:spacing w:val="-3"/>
        </w:rPr>
      </w:pPr>
      <w:r>
        <w:rPr>
          <w:spacing w:val="-3"/>
        </w:rPr>
        <w:tab/>
      </w:r>
      <w:r>
        <w:rPr>
          <w:spacing w:val="-3"/>
        </w:rPr>
        <w:tab/>
      </w:r>
      <w:r w:rsidRPr="00F77FF1">
        <w:rPr>
          <w:spacing w:val="-3"/>
          <w:position w:val="-14"/>
        </w:rPr>
        <w:object w:dxaOrig="1820" w:dyaOrig="400" w14:anchorId="518FF441">
          <v:shape id="_x0000_i1170" type="#_x0000_t75" style="width:89.75pt;height:19.65pt" o:ole="">
            <v:imagedata r:id="rId286" o:title=""/>
          </v:shape>
          <o:OLEObject Type="Embed" ProgID="Equation.DSMT4" ShapeID="_x0000_i1170" DrawAspect="Content" ObjectID="_1840626736" r:id="rId287"/>
        </w:object>
      </w:r>
      <w:r>
        <w:rPr>
          <w:spacing w:val="-3"/>
        </w:rPr>
        <w:tab/>
      </w:r>
      <w:r>
        <w:rPr>
          <w:spacing w:val="-3"/>
        </w:rPr>
        <w:tab/>
      </w:r>
      <w:r>
        <w:rPr>
          <w:spacing w:val="-3"/>
        </w:rPr>
        <w:tab/>
      </w:r>
      <w:r>
        <w:rPr>
          <w:spacing w:val="-3"/>
        </w:rPr>
        <w:tab/>
      </w:r>
      <w:r>
        <w:rPr>
          <w:spacing w:val="-3"/>
        </w:rPr>
        <w:tab/>
        <w:t>(3.1)</w:t>
      </w:r>
    </w:p>
    <w:p w14:paraId="71A17733" w14:textId="77777777" w:rsidR="00015B17" w:rsidRDefault="00015B17" w:rsidP="00015B17">
      <w:pPr>
        <w:tabs>
          <w:tab w:val="left" w:pos="-720"/>
        </w:tabs>
        <w:suppressAutoHyphens/>
        <w:spacing w:line="360" w:lineRule="auto"/>
        <w:rPr>
          <w:spacing w:val="-3"/>
        </w:rPr>
      </w:pPr>
      <w:r>
        <w:rPr>
          <w:spacing w:val="-3"/>
        </w:rPr>
        <w:t>and</w:t>
      </w:r>
    </w:p>
    <w:p w14:paraId="5A66DC0F" w14:textId="77777777" w:rsidR="00015B17" w:rsidRDefault="00015B17" w:rsidP="00015B17">
      <w:pPr>
        <w:tabs>
          <w:tab w:val="left" w:pos="-720"/>
        </w:tabs>
        <w:suppressAutoHyphens/>
        <w:spacing w:line="360" w:lineRule="auto"/>
        <w:rPr>
          <w:spacing w:val="-3"/>
        </w:rPr>
      </w:pPr>
      <w:r>
        <w:rPr>
          <w:spacing w:val="-3"/>
        </w:rPr>
        <w:lastRenderedPageBreak/>
        <w:tab/>
      </w:r>
      <w:r>
        <w:rPr>
          <w:spacing w:val="-3"/>
        </w:rPr>
        <w:tab/>
      </w:r>
      <w:r w:rsidRPr="00F77FF1">
        <w:rPr>
          <w:spacing w:val="-3"/>
          <w:position w:val="-14"/>
        </w:rPr>
        <w:object w:dxaOrig="1160" w:dyaOrig="400" w14:anchorId="1A9A4532">
          <v:shape id="_x0000_i1171" type="#_x0000_t75" style="width:57.95pt;height:19.65pt" o:ole="">
            <v:imagedata r:id="rId288" o:title=""/>
          </v:shape>
          <o:OLEObject Type="Embed" ProgID="Equation.DSMT4" ShapeID="_x0000_i1171" DrawAspect="Content" ObjectID="_1840626737" r:id="rId289"/>
        </w:object>
      </w:r>
      <w:r>
        <w:rPr>
          <w:spacing w:val="-3"/>
        </w:rPr>
        <w:tab/>
      </w:r>
      <w:r>
        <w:rPr>
          <w:spacing w:val="-3"/>
        </w:rPr>
        <w:tab/>
      </w:r>
      <w:r>
        <w:rPr>
          <w:spacing w:val="-3"/>
        </w:rPr>
        <w:tab/>
      </w:r>
      <w:r>
        <w:rPr>
          <w:spacing w:val="-3"/>
        </w:rPr>
        <w:tab/>
      </w:r>
      <w:r>
        <w:rPr>
          <w:spacing w:val="-3"/>
        </w:rPr>
        <w:tab/>
      </w:r>
      <w:r>
        <w:rPr>
          <w:spacing w:val="-3"/>
        </w:rPr>
        <w:tab/>
        <w:t>(3.2)</w:t>
      </w:r>
    </w:p>
    <w:p w14:paraId="37150118" w14:textId="77777777" w:rsidR="00015B17" w:rsidRDefault="00015B17" w:rsidP="00015B17">
      <w:pPr>
        <w:tabs>
          <w:tab w:val="left" w:pos="-720"/>
        </w:tabs>
        <w:suppressAutoHyphens/>
        <w:spacing w:line="360" w:lineRule="auto"/>
        <w:rPr>
          <w:spacing w:val="-3"/>
        </w:rPr>
      </w:pPr>
    </w:p>
    <w:p w14:paraId="3BD7C0CC" w14:textId="77777777" w:rsidR="00015B17" w:rsidRDefault="003F349F" w:rsidP="00015B17">
      <w:pPr>
        <w:tabs>
          <w:tab w:val="left" w:pos="-720"/>
        </w:tabs>
        <w:suppressAutoHyphens/>
        <w:spacing w:line="360" w:lineRule="auto"/>
        <w:rPr>
          <w:spacing w:val="-3"/>
        </w:rPr>
      </w:pPr>
      <w:r>
        <w:rPr>
          <w:spacing w:val="-3"/>
        </w:rPr>
        <w:t>w</w:t>
      </w:r>
      <w:r w:rsidR="00015B17">
        <w:rPr>
          <w:spacing w:val="-3"/>
        </w:rPr>
        <w:t xml:space="preserve">here </w:t>
      </w:r>
      <w:r w:rsidR="00015B17">
        <w:rPr>
          <w:i/>
          <w:iCs/>
          <w:spacing w:val="-3"/>
        </w:rPr>
        <w:t>T</w:t>
      </w:r>
      <w:r w:rsidR="00015B17" w:rsidRPr="00883A53">
        <w:rPr>
          <w:spacing w:val="-3"/>
          <w:sz w:val="26"/>
          <w:vertAlign w:val="superscript"/>
        </w:rPr>
        <w:t>*</w:t>
      </w:r>
      <w:r w:rsidR="00015B17">
        <w:rPr>
          <w:spacing w:val="-3"/>
        </w:rPr>
        <w:t xml:space="preserve"> and </w:t>
      </w:r>
      <w:r w:rsidR="00015B17">
        <w:rPr>
          <w:i/>
          <w:iCs/>
          <w:spacing w:val="-3"/>
        </w:rPr>
        <w:t>T</w:t>
      </w:r>
      <w:r w:rsidR="00015B17" w:rsidRPr="00727E8A">
        <w:rPr>
          <w:spacing w:val="-3"/>
          <w:sz w:val="26"/>
          <w:vertAlign w:val="subscript"/>
        </w:rPr>
        <w:t>m</w:t>
      </w:r>
      <w:r w:rsidR="00015B17">
        <w:rPr>
          <w:spacing w:val="-3"/>
        </w:rPr>
        <w:t xml:space="preserve"> are the interface temperature and pure solvent melting temperature,</w:t>
      </w:r>
      <w:r w:rsidR="00015B17">
        <w:rPr>
          <w:i/>
          <w:iCs/>
          <w:spacing w:val="-3"/>
        </w:rPr>
        <w:t xml:space="preserve"> </w:t>
      </w:r>
      <w:r w:rsidR="00015B17" w:rsidRPr="005C4303">
        <w:rPr>
          <w:i/>
          <w:iCs/>
          <w:spacing w:val="-3"/>
          <w:position w:val="-12"/>
        </w:rPr>
        <w:object w:dxaOrig="360" w:dyaOrig="380" w14:anchorId="2B5D5200">
          <v:shape id="_x0000_i1172" type="#_x0000_t75" style="width:17.75pt;height:18.7pt" o:ole="">
            <v:imagedata r:id="rId290" o:title=""/>
          </v:shape>
          <o:OLEObject Type="Embed" ProgID="Equation.DSMT4" ShapeID="_x0000_i1172" DrawAspect="Content" ObjectID="_1840626738" r:id="rId291"/>
        </w:object>
      </w:r>
      <w:r w:rsidR="00015B17">
        <w:rPr>
          <w:spacing w:val="-3"/>
        </w:rPr>
        <w:t xml:space="preserve">is the liquidus slope, </w:t>
      </w:r>
      <w:r w:rsidR="00015B17" w:rsidRPr="005C4303">
        <w:rPr>
          <w:i/>
          <w:iCs/>
          <w:spacing w:val="-3"/>
        </w:rPr>
        <w:t>C</w:t>
      </w:r>
      <w:r w:rsidR="00015B17" w:rsidRPr="00727E8A">
        <w:rPr>
          <w:i/>
          <w:spacing w:val="-3"/>
          <w:sz w:val="26"/>
          <w:vertAlign w:val="subscript"/>
        </w:rPr>
        <w:t>L</w:t>
      </w:r>
      <w:r w:rsidR="00015B17" w:rsidRPr="00883A53">
        <w:rPr>
          <w:i/>
          <w:spacing w:val="-3"/>
          <w:sz w:val="26"/>
          <w:vertAlign w:val="superscript"/>
        </w:rPr>
        <w:t>*</w:t>
      </w:r>
      <w:r w:rsidR="00015B17">
        <w:rPr>
          <w:spacing w:val="-3"/>
        </w:rPr>
        <w:t xml:space="preserve"> and</w:t>
      </w:r>
      <w:r w:rsidR="00015B17">
        <w:rPr>
          <w:i/>
          <w:iCs/>
          <w:spacing w:val="-3"/>
        </w:rPr>
        <w:t xml:space="preserve"> </w:t>
      </w:r>
      <w:r w:rsidR="00015B17" w:rsidRPr="005C4303">
        <w:rPr>
          <w:i/>
          <w:iCs/>
          <w:spacing w:val="-3"/>
        </w:rPr>
        <w:t>C</w:t>
      </w:r>
      <w:r w:rsidR="00015B17" w:rsidRPr="00727E8A">
        <w:rPr>
          <w:i/>
          <w:spacing w:val="-3"/>
          <w:sz w:val="26"/>
          <w:vertAlign w:val="subscript"/>
        </w:rPr>
        <w:t>S</w:t>
      </w:r>
      <w:r w:rsidR="00015B17" w:rsidRPr="00883A53">
        <w:rPr>
          <w:i/>
          <w:spacing w:val="-3"/>
          <w:sz w:val="26"/>
          <w:vertAlign w:val="superscript"/>
        </w:rPr>
        <w:t>*</w:t>
      </w:r>
      <w:r w:rsidR="00015B17">
        <w:rPr>
          <w:spacing w:val="-3"/>
        </w:rPr>
        <w:t xml:space="preserve"> are the compositions at the interface of the liquid and solid and </w:t>
      </w:r>
      <w:r w:rsidR="00015B17" w:rsidRPr="005C4303">
        <w:rPr>
          <w:spacing w:val="-3"/>
          <w:position w:val="-6"/>
        </w:rPr>
        <w:object w:dxaOrig="320" w:dyaOrig="320" w14:anchorId="361FA4BD">
          <v:shape id="_x0000_i1173" type="#_x0000_t75" style="width:16.85pt;height:16.85pt" o:ole="">
            <v:imagedata r:id="rId292" o:title=""/>
          </v:shape>
          <o:OLEObject Type="Embed" ProgID="Equation.DSMT4" ShapeID="_x0000_i1173" DrawAspect="Content" ObjectID="_1840626739" r:id="rId293"/>
        </w:object>
      </w:r>
      <w:r w:rsidR="00015B17">
        <w:rPr>
          <w:spacing w:val="-3"/>
        </w:rPr>
        <w:t xml:space="preserve">is the equilibrium partition coefficient (ratio of the slope of the liquidus to the slope of the solidus). Though dimensionless, </w:t>
      </w:r>
      <w:r w:rsidR="00015B17" w:rsidRPr="005C4303">
        <w:rPr>
          <w:spacing w:val="-3"/>
          <w:position w:val="-6"/>
        </w:rPr>
        <w:object w:dxaOrig="320" w:dyaOrig="320" w14:anchorId="76FFBF39">
          <v:shape id="_x0000_i1174" type="#_x0000_t75" style="width:16.85pt;height:16.85pt" o:ole="">
            <v:imagedata r:id="rId292" o:title=""/>
          </v:shape>
          <o:OLEObject Type="Embed" ProgID="Equation.DSMT4" ShapeID="_x0000_i1174" DrawAspect="Content" ObjectID="_1840626740" r:id="rId294"/>
        </w:object>
      </w:r>
      <w:r w:rsidR="00015B17">
        <w:rPr>
          <w:spacing w:val="-3"/>
        </w:rPr>
        <w:t xml:space="preserve"> depend</w:t>
      </w:r>
      <w:r>
        <w:rPr>
          <w:spacing w:val="-3"/>
        </w:rPr>
        <w:t>s</w:t>
      </w:r>
      <w:r w:rsidR="00015B17">
        <w:rPr>
          <w:spacing w:val="-3"/>
        </w:rPr>
        <w:t xml:space="preserve"> on the units of the composition employed. </w:t>
      </w:r>
    </w:p>
    <w:p w14:paraId="5F0C2C19" w14:textId="77777777" w:rsidR="00015B17" w:rsidRDefault="00015B17" w:rsidP="00015B17">
      <w:pPr>
        <w:tabs>
          <w:tab w:val="left" w:pos="-720"/>
        </w:tabs>
        <w:suppressAutoHyphens/>
        <w:spacing w:line="360" w:lineRule="auto"/>
        <w:jc w:val="both"/>
        <w:rPr>
          <w:spacing w:val="-3"/>
        </w:rPr>
      </w:pPr>
    </w:p>
    <w:p w14:paraId="71049AB0" w14:textId="77777777" w:rsidR="00015B17" w:rsidRDefault="00015B17" w:rsidP="00015B17">
      <w:pPr>
        <w:suppressAutoHyphens/>
        <w:spacing w:line="360" w:lineRule="auto"/>
        <w:rPr>
          <w:spacing w:val="-3"/>
        </w:rPr>
      </w:pPr>
      <w:r>
        <w:rPr>
          <w:spacing w:val="-3"/>
        </w:rPr>
        <w:tab/>
        <w:t>The phase diagram is measured for coarse microstructures where the curvatures of interfaces between phases are negligible and/or zero. When phase diagram data are used as local conditions on curved interfaces between phases, the data must be modified for the normally small but important Gibbs-Thomson effect.  For isotropic interface energy the temperature of the interface between liquid and solid is given by</w:t>
      </w:r>
    </w:p>
    <w:p w14:paraId="58AF4972" w14:textId="77777777" w:rsidR="00015B17" w:rsidRDefault="00015B17" w:rsidP="00015B17">
      <w:pPr>
        <w:suppressAutoHyphens/>
        <w:spacing w:line="360" w:lineRule="auto"/>
        <w:jc w:val="both"/>
        <w:rPr>
          <w:spacing w:val="-3"/>
        </w:rPr>
      </w:pPr>
    </w:p>
    <w:p w14:paraId="57A18FD3" w14:textId="77777777" w:rsidR="00015B17" w:rsidRDefault="00832828" w:rsidP="00015B17">
      <w:pPr>
        <w:suppressAutoHyphens/>
        <w:spacing w:line="360" w:lineRule="auto"/>
        <w:jc w:val="center"/>
        <w:rPr>
          <w:spacing w:val="-3"/>
        </w:rPr>
      </w:pPr>
      <w:r w:rsidRPr="00957862">
        <w:rPr>
          <w:spacing w:val="-3"/>
          <w:position w:val="-14"/>
        </w:rPr>
        <w:object w:dxaOrig="2420" w:dyaOrig="400" w14:anchorId="4C57E25F">
          <v:shape id="_x0000_i1175" type="#_x0000_t75" style="width:120.6pt;height:19.65pt" o:ole="">
            <v:imagedata r:id="rId295" o:title=""/>
          </v:shape>
          <o:OLEObject Type="Embed" ProgID="Equation.DSMT4" ShapeID="_x0000_i1175" DrawAspect="Content" ObjectID="_1840626741" r:id="rId296"/>
        </w:object>
      </w:r>
      <w:r w:rsidR="003F349F">
        <w:rPr>
          <w:spacing w:val="-3"/>
        </w:rPr>
        <w:t>,</w:t>
      </w:r>
      <w:r w:rsidR="00015B17">
        <w:rPr>
          <w:spacing w:val="-3"/>
        </w:rPr>
        <w:tab/>
      </w:r>
      <w:r w:rsidR="00015B17">
        <w:rPr>
          <w:spacing w:val="-3"/>
        </w:rPr>
        <w:tab/>
      </w:r>
      <w:r w:rsidR="00015B17">
        <w:rPr>
          <w:spacing w:val="-3"/>
        </w:rPr>
        <w:tab/>
        <w:t>(3.3)</w:t>
      </w:r>
    </w:p>
    <w:p w14:paraId="6C1783B1" w14:textId="796D5C4C" w:rsidR="00015B17" w:rsidRDefault="00015B17" w:rsidP="00015B17">
      <w:pPr>
        <w:tabs>
          <w:tab w:val="left" w:pos="-720"/>
        </w:tabs>
        <w:suppressAutoHyphens/>
        <w:spacing w:line="360" w:lineRule="auto"/>
        <w:rPr>
          <w:spacing w:val="-3"/>
        </w:rPr>
      </w:pPr>
      <w:r>
        <w:rPr>
          <w:spacing w:val="-3"/>
        </w:rPr>
        <w:t xml:space="preserve">where </w:t>
      </w:r>
      <w:r w:rsidRPr="009F5D43">
        <w:rPr>
          <w:spacing w:val="-3"/>
          <w:position w:val="-24"/>
        </w:rPr>
        <w:object w:dxaOrig="820" w:dyaOrig="620" w14:anchorId="6294294E">
          <v:shape id="_x0000_i1176" type="#_x0000_t75" style="width:40.2pt;height:31.8pt" o:ole="">
            <v:imagedata r:id="rId297" o:title=""/>
          </v:shape>
          <o:OLEObject Type="Embed" ProgID="Equation.DSMT4" ShapeID="_x0000_i1176" DrawAspect="Content" ObjectID="_1840626742" r:id="rId298"/>
        </w:object>
      </w:r>
      <w:r>
        <w:rPr>
          <w:spacing w:val="-3"/>
        </w:rPr>
        <w:t xml:space="preserve"> </w:t>
      </w:r>
      <w:r w:rsidR="00832828">
        <w:rPr>
          <w:spacing w:val="-3"/>
        </w:rPr>
        <w:t>,</w:t>
      </w:r>
      <w:r>
        <w:rPr>
          <w:spacing w:val="-3"/>
        </w:rPr>
        <w:t xml:space="preserve"> the ratio of the liquid-solid </w:t>
      </w:r>
      <w:r w:rsidR="00001732">
        <w:rPr>
          <w:spacing w:val="-3"/>
        </w:rPr>
        <w:t xml:space="preserve">interface </w:t>
      </w:r>
      <w:r>
        <w:rPr>
          <w:spacing w:val="-3"/>
        </w:rPr>
        <w:t xml:space="preserve">energy to the latent heat per unit volume, </w:t>
      </w:r>
      <w:r>
        <w:rPr>
          <w:i/>
          <w:iCs/>
          <w:spacing w:val="-3"/>
        </w:rPr>
        <w:t>K</w:t>
      </w:r>
      <w:r w:rsidRPr="00727E8A">
        <w:rPr>
          <w:i/>
          <w:iCs/>
          <w:spacing w:val="-3"/>
          <w:sz w:val="26"/>
          <w:vertAlign w:val="subscript"/>
        </w:rPr>
        <w:t>m</w:t>
      </w:r>
      <w:r>
        <w:rPr>
          <w:spacing w:val="-3"/>
        </w:rPr>
        <w:t xml:space="preserve"> is the sum of the </w:t>
      </w:r>
      <w:r w:rsidR="00247398">
        <w:rPr>
          <w:spacing w:val="-3"/>
        </w:rPr>
        <w:t>principal</w:t>
      </w:r>
      <w:r>
        <w:rPr>
          <w:spacing w:val="-3"/>
        </w:rPr>
        <w:t xml:space="preserve"> curvatures of the interface (defined as positive when the center of curvature is in the solid). For a metallic alloy, the melting point is depressed ~ 0.1 K for a solid particle with radius of curvature of 1</w:t>
      </w:r>
      <w:r w:rsidRPr="00344E0C">
        <w:rPr>
          <w:rFonts w:ascii="Symbol" w:hAnsi="Symbol"/>
          <w:spacing w:val="-3"/>
        </w:rPr>
        <w:t></w:t>
      </w:r>
      <w:r>
        <w:rPr>
          <w:spacing w:val="-3"/>
        </w:rPr>
        <w:t xml:space="preserve">m. In the usual case where the liquid-solid interface energy is anisotropic, the </w:t>
      </w:r>
      <w:r w:rsidRPr="009F5D43">
        <w:rPr>
          <w:spacing w:val="-3"/>
          <w:position w:val="-12"/>
        </w:rPr>
        <w:object w:dxaOrig="360" w:dyaOrig="360" w14:anchorId="7B2C13D0">
          <v:shape id="_x0000_i1177" type="#_x0000_t75" style="width:17.75pt;height:17.75pt" o:ole="">
            <v:imagedata r:id="rId299" o:title=""/>
          </v:shape>
          <o:OLEObject Type="Embed" ProgID="Equation.DSMT4" ShapeID="_x0000_i1177" DrawAspect="Content" ObjectID="_1840626743" r:id="rId300"/>
        </w:object>
      </w:r>
      <w:r>
        <w:rPr>
          <w:spacing w:val="-3"/>
        </w:rPr>
        <w:t xml:space="preserve"> in the parameter </w:t>
      </w:r>
      <w:r w:rsidRPr="00F57B7B">
        <w:rPr>
          <w:spacing w:val="-3"/>
          <w:position w:val="-4"/>
        </w:rPr>
        <w:object w:dxaOrig="220" w:dyaOrig="240" w14:anchorId="65010A4C">
          <v:shape id="_x0000_i1178" type="#_x0000_t75" style="width:10.3pt;height:12.15pt" o:ole="">
            <v:imagedata r:id="rId301" o:title=""/>
          </v:shape>
          <o:OLEObject Type="Embed" ProgID="Equation.DSMT4" ShapeID="_x0000_i1178" DrawAspect="Content" ObjectID="_1840626744" r:id="rId302"/>
        </w:object>
      </w:r>
      <w:r>
        <w:rPr>
          <w:spacing w:val="-3"/>
        </w:rPr>
        <w:t xml:space="preserve"> is replaced by the interface stiffness, </w:t>
      </w:r>
      <w:r w:rsidRPr="00F57B7B">
        <w:rPr>
          <w:spacing w:val="-3"/>
          <w:position w:val="-12"/>
        </w:rPr>
        <w:object w:dxaOrig="2940" w:dyaOrig="400" w14:anchorId="73F4E9A3">
          <v:shape id="_x0000_i1179" type="#_x0000_t75" style="width:146.8pt;height:19.65pt" o:ole="">
            <v:imagedata r:id="rId303" o:title=""/>
          </v:shape>
          <o:OLEObject Type="Embed" ProgID="Equation.DSMT4" ShapeID="_x0000_i1179" DrawAspect="Content" ObjectID="_1840626745" r:id="rId304"/>
        </w:object>
      </w:r>
      <w:r>
        <w:rPr>
          <w:spacing w:val="-3"/>
        </w:rPr>
        <w:t>. This quantity includes the second derivative of the interface energy with respect to the change of the normal to the interface</w:t>
      </w:r>
      <w:r w:rsidRPr="009F5D43">
        <w:rPr>
          <w:spacing w:val="-3"/>
        </w:rPr>
        <w:t xml:space="preserve"> </w:t>
      </w:r>
      <w:r>
        <w:rPr>
          <w:spacing w:val="-3"/>
        </w:rPr>
        <w:t>in the two principle (</w:t>
      </w:r>
      <w:r w:rsidRPr="006036AB">
        <w:rPr>
          <w:spacing w:val="-3"/>
          <w:position w:val="-10"/>
        </w:rPr>
        <w:object w:dxaOrig="240" w:dyaOrig="340" w14:anchorId="15B3FEDD">
          <v:shape id="_x0000_i1180" type="#_x0000_t75" style="width:12.15pt;height:16.85pt" o:ole="">
            <v:imagedata r:id="rId305" o:title=""/>
          </v:shape>
          <o:OLEObject Type="Embed" ProgID="Equation.DSMT4" ShapeID="_x0000_i1180" DrawAspect="Content" ObjectID="_1840626746" r:id="rId306"/>
        </w:object>
      </w:r>
      <w:r>
        <w:rPr>
          <w:spacing w:val="-3"/>
        </w:rPr>
        <w:t xml:space="preserve"> and </w:t>
      </w:r>
      <w:r w:rsidRPr="006036AB">
        <w:rPr>
          <w:spacing w:val="-3"/>
          <w:position w:val="-10"/>
        </w:rPr>
        <w:object w:dxaOrig="260" w:dyaOrig="340" w14:anchorId="35452673">
          <v:shape id="_x0000_i1181" type="#_x0000_t75" style="width:13.1pt;height:16.85pt" o:ole="">
            <v:imagedata r:id="rId307" o:title=""/>
          </v:shape>
          <o:OLEObject Type="Embed" ProgID="Equation.DSMT4" ShapeID="_x0000_i1181" DrawAspect="Content" ObjectID="_1840626747" r:id="rId308"/>
        </w:object>
      </w:r>
      <w:r>
        <w:rPr>
          <w:spacing w:val="-3"/>
        </w:rPr>
        <w:t xml:space="preserve">) directions. In extreme cases of anisotropy, it is this factor that permits the existence of a sharp corner on a faceted crystal in contact with a liquid at equilibrium. </w:t>
      </w:r>
    </w:p>
    <w:p w14:paraId="5D2408AC" w14:textId="77777777" w:rsidR="00015B17" w:rsidRDefault="00015B17" w:rsidP="00015B17">
      <w:pPr>
        <w:tabs>
          <w:tab w:val="left" w:pos="8355"/>
        </w:tabs>
        <w:suppressAutoHyphens/>
        <w:spacing w:line="360" w:lineRule="auto"/>
        <w:rPr>
          <w:spacing w:val="-3"/>
        </w:rPr>
      </w:pPr>
      <w:r>
        <w:rPr>
          <w:spacing w:val="-3"/>
        </w:rPr>
        <w:tab/>
      </w:r>
    </w:p>
    <w:p w14:paraId="4A6D9390" w14:textId="77777777" w:rsidR="00015B17" w:rsidRDefault="00015B17" w:rsidP="00015B17">
      <w:pPr>
        <w:suppressAutoHyphens/>
        <w:spacing w:line="360" w:lineRule="auto"/>
        <w:rPr>
          <w:spacing w:val="-3"/>
        </w:rPr>
      </w:pPr>
      <w:r>
        <w:rPr>
          <w:spacing w:val="-3"/>
        </w:rPr>
        <w:tab/>
        <w:t xml:space="preserve">One often employs a fluid - fluid </w:t>
      </w:r>
      <w:r w:rsidR="00130F31">
        <w:rPr>
          <w:spacing w:val="-3"/>
        </w:rPr>
        <w:t xml:space="preserve">interface </w:t>
      </w:r>
      <w:r>
        <w:rPr>
          <w:spacing w:val="-3"/>
        </w:rPr>
        <w:t xml:space="preserve">analogy to replace the fluid-solid interface to obtain the essence of the Gibbs-Thomson effect for isotropic interface energy.  The effect is then considered to be due to the pressure difference that would exist across a </w:t>
      </w:r>
      <w:r>
        <w:rPr>
          <w:spacing w:val="-3"/>
        </w:rPr>
        <w:lastRenderedPageBreak/>
        <w:t>boundary with an interface tension. For mechanical equilibrium, the pressure on the concave inside of the interface must be higher than that pressure on the convex outside by an amount</w:t>
      </w:r>
      <w:r w:rsidRPr="00285250">
        <w:rPr>
          <w:spacing w:val="-3"/>
          <w:position w:val="-12"/>
        </w:rPr>
        <w:object w:dxaOrig="1180" w:dyaOrig="360" w14:anchorId="38E0CC2A">
          <v:shape id="_x0000_i1182" type="#_x0000_t75" style="width:58.9pt;height:17.75pt" o:ole="">
            <v:imagedata r:id="rId309" o:title=""/>
          </v:shape>
          <o:OLEObject Type="Embed" ProgID="Equation.DSMT4" ShapeID="_x0000_i1182" DrawAspect="Content" ObjectID="_1840626748" r:id="rId310"/>
        </w:object>
      </w:r>
      <w:r>
        <w:rPr>
          <w:spacing w:val="-3"/>
        </w:rPr>
        <w:t>. Even though the pressures are unequal across the interface, the temperature and chemical potential for each component must be equal across the interface for equilibrium.  For a pure material the chemical potential is just the molar free energy and we thus have values on the sides of the interface</w:t>
      </w:r>
    </w:p>
    <w:p w14:paraId="68C2D66C" w14:textId="77777777" w:rsidR="00015B17" w:rsidRDefault="00015B17" w:rsidP="00015B17">
      <w:pPr>
        <w:suppressAutoHyphens/>
        <w:spacing w:line="360" w:lineRule="auto"/>
        <w:rPr>
          <w:spacing w:val="-3"/>
        </w:rPr>
      </w:pPr>
    </w:p>
    <w:p w14:paraId="15A8E8A5" w14:textId="77777777" w:rsidR="00015B17" w:rsidRDefault="00015B17" w:rsidP="00015B17">
      <w:pPr>
        <w:suppressAutoHyphens/>
        <w:spacing w:line="360" w:lineRule="auto"/>
        <w:jc w:val="center"/>
        <w:rPr>
          <w:spacing w:val="-3"/>
        </w:rPr>
      </w:pPr>
      <w:r w:rsidRPr="00BC1453">
        <w:rPr>
          <w:spacing w:val="-3"/>
          <w:position w:val="-60"/>
        </w:rPr>
        <w:object w:dxaOrig="2700" w:dyaOrig="1320" w14:anchorId="23053E8D">
          <v:shape id="_x0000_i1183" type="#_x0000_t75" style="width:134.65pt;height:66.4pt" o:ole="">
            <v:imagedata r:id="rId311" o:title=""/>
          </v:shape>
          <o:OLEObject Type="Embed" ProgID="Equation.DSMT4" ShapeID="_x0000_i1183" DrawAspect="Content" ObjectID="_1840626749" r:id="rId312"/>
        </w:object>
      </w:r>
      <w:r>
        <w:rPr>
          <w:spacing w:val="-3"/>
        </w:rPr>
        <w:tab/>
      </w:r>
      <w:r>
        <w:rPr>
          <w:spacing w:val="-3"/>
        </w:rPr>
        <w:tab/>
      </w:r>
      <w:r>
        <w:rPr>
          <w:spacing w:val="-3"/>
        </w:rPr>
        <w:tab/>
      </w:r>
      <w:r>
        <w:rPr>
          <w:spacing w:val="-3"/>
        </w:rPr>
        <w:tab/>
      </w:r>
      <w:r>
        <w:rPr>
          <w:spacing w:val="-3"/>
        </w:rPr>
        <w:tab/>
      </w:r>
      <w:r>
        <w:rPr>
          <w:spacing w:val="-3"/>
        </w:rPr>
        <w:tab/>
        <w:t>(3.4)</w:t>
      </w:r>
    </w:p>
    <w:p w14:paraId="0BF1BBA4" w14:textId="77777777" w:rsidR="00015B17" w:rsidRDefault="00015B17" w:rsidP="00015B17">
      <w:pPr>
        <w:suppressAutoHyphens/>
        <w:spacing w:line="360" w:lineRule="auto"/>
        <w:jc w:val="center"/>
        <w:rPr>
          <w:spacing w:val="-3"/>
        </w:rPr>
      </w:pPr>
    </w:p>
    <w:p w14:paraId="53B830CF" w14:textId="77777777" w:rsidR="00015B17" w:rsidRDefault="00015B17" w:rsidP="00015B17">
      <w:pPr>
        <w:suppressAutoHyphens/>
        <w:spacing w:line="360" w:lineRule="auto"/>
        <w:rPr>
          <w:spacing w:val="-3"/>
        </w:rPr>
      </w:pPr>
      <w:r>
        <w:rPr>
          <w:spacing w:val="-3"/>
        </w:rPr>
        <w:t>To use molar free energies for the liquid and solid obtained at a common pressure, say</w:t>
      </w:r>
      <w:r w:rsidRPr="00BC1453">
        <w:rPr>
          <w:spacing w:val="-3"/>
          <w:position w:val="-10"/>
        </w:rPr>
        <w:object w:dxaOrig="320" w:dyaOrig="360" w14:anchorId="1B3D7227">
          <v:shape id="_x0000_i1184" type="#_x0000_t75" style="width:16.85pt;height:17.75pt" o:ole="">
            <v:imagedata r:id="rId313" o:title=""/>
          </v:shape>
          <o:OLEObject Type="Embed" ProgID="Equation.DSMT4" ShapeID="_x0000_i1184" DrawAspect="Content" ObjectID="_1840626750" r:id="rId314"/>
        </w:object>
      </w:r>
      <w:r>
        <w:rPr>
          <w:spacing w:val="-3"/>
        </w:rPr>
        <w:t xml:space="preserve">  (used for measuring the phase diagram), the free energy of the solid can be expanded about the pressure of the liquid and then rewritten as </w:t>
      </w:r>
    </w:p>
    <w:p w14:paraId="5C3551CF" w14:textId="77777777" w:rsidR="00015B17" w:rsidRDefault="00015B17" w:rsidP="00015B17">
      <w:pPr>
        <w:suppressAutoHyphens/>
        <w:spacing w:line="360" w:lineRule="auto"/>
        <w:rPr>
          <w:spacing w:val="-3"/>
        </w:rPr>
      </w:pPr>
      <w:r>
        <w:rPr>
          <w:spacing w:val="-3"/>
        </w:rPr>
        <w:t xml:space="preserve"> </w:t>
      </w:r>
    </w:p>
    <w:p w14:paraId="04905F86" w14:textId="77777777" w:rsidR="00015B17" w:rsidRDefault="00015B17" w:rsidP="00015B17">
      <w:pPr>
        <w:suppressAutoHyphens/>
        <w:spacing w:line="360" w:lineRule="auto"/>
        <w:jc w:val="center"/>
        <w:rPr>
          <w:spacing w:val="-3"/>
        </w:rPr>
      </w:pPr>
      <w:r w:rsidRPr="00BC1453">
        <w:rPr>
          <w:position w:val="-60"/>
        </w:rPr>
        <w:object w:dxaOrig="5240" w:dyaOrig="1320" w14:anchorId="1F510E39">
          <v:shape id="_x0000_i1185" type="#_x0000_t75" style="width:262.75pt;height:66.4pt" o:ole="">
            <v:imagedata r:id="rId315" o:title=""/>
          </v:shape>
          <o:OLEObject Type="Embed" ProgID="Equation.DSMT4" ShapeID="_x0000_i1185" DrawAspect="Content" ObjectID="_1840626751" r:id="rId316"/>
        </w:object>
      </w:r>
      <w:r>
        <w:t xml:space="preserve"> </w:t>
      </w:r>
      <w:r>
        <w:rPr>
          <w:spacing w:val="-3"/>
        </w:rPr>
        <w:tab/>
      </w:r>
      <w:r>
        <w:rPr>
          <w:spacing w:val="-3"/>
        </w:rPr>
        <w:tab/>
        <w:t>(3.5)</w:t>
      </w:r>
    </w:p>
    <w:p w14:paraId="31AD4BAE" w14:textId="77777777" w:rsidR="00015B17" w:rsidRDefault="00015B17" w:rsidP="00015B17">
      <w:pPr>
        <w:suppressAutoHyphens/>
        <w:spacing w:line="360" w:lineRule="auto"/>
        <w:rPr>
          <w:spacing w:val="-3"/>
        </w:rPr>
      </w:pPr>
      <w:r>
        <w:rPr>
          <w:spacing w:val="-3"/>
        </w:rPr>
        <w:t xml:space="preserve">where </w:t>
      </w:r>
      <w:r w:rsidRPr="006036AB">
        <w:rPr>
          <w:spacing w:val="-3"/>
          <w:position w:val="-12"/>
        </w:rPr>
        <w:object w:dxaOrig="340" w:dyaOrig="380" w14:anchorId="039B6233">
          <v:shape id="_x0000_i1186" type="#_x0000_t75" style="width:16.85pt;height:18.7pt" o:ole="">
            <v:imagedata r:id="rId317" o:title=""/>
          </v:shape>
          <o:OLEObject Type="Embed" ProgID="Equation.DSMT4" ShapeID="_x0000_i1186" DrawAspect="Content" ObjectID="_1840626752" r:id="rId318"/>
        </w:object>
      </w:r>
      <w:r>
        <w:rPr>
          <w:spacing w:val="-3"/>
        </w:rPr>
        <w:t xml:space="preserve"> is the molar volume of the solid. Thus if one uses a molar free energy for the liquid and solid obtained at a common pressure </w:t>
      </w:r>
      <w:r w:rsidRPr="00BC1453">
        <w:rPr>
          <w:spacing w:val="-3"/>
          <w:position w:val="-10"/>
        </w:rPr>
        <w:object w:dxaOrig="320" w:dyaOrig="360" w14:anchorId="7B12E88F">
          <v:shape id="_x0000_i1187" type="#_x0000_t75" style="width:16.85pt;height:17.75pt" o:ole="">
            <v:imagedata r:id="rId313" o:title=""/>
          </v:shape>
          <o:OLEObject Type="Embed" ProgID="Equation.DSMT4" ShapeID="_x0000_i1187" DrawAspect="Content" ObjectID="_1840626753" r:id="rId319"/>
        </w:object>
      </w:r>
      <w:r>
        <w:rPr>
          <w:spacing w:val="-3"/>
        </w:rPr>
        <w:t xml:space="preserve">, the term </w:t>
      </w:r>
      <w:r w:rsidRPr="001E3768">
        <w:rPr>
          <w:position w:val="-12"/>
        </w:rPr>
        <w:object w:dxaOrig="920" w:dyaOrig="380" w14:anchorId="1F70B255">
          <v:shape id="_x0000_i1188" type="#_x0000_t75" style="width:46.75pt;height:18.7pt" o:ole="">
            <v:imagedata r:id="rId320" o:title=""/>
          </v:shape>
          <o:OLEObject Type="Embed" ProgID="Equation.DSMT4" ShapeID="_x0000_i1188" DrawAspect="Content" ObjectID="_1840626754" r:id="rId321"/>
        </w:object>
      </w:r>
      <w:r w:rsidRPr="006036AB">
        <w:t>must be added</w:t>
      </w:r>
      <w:r>
        <w:t xml:space="preserve"> </w:t>
      </w:r>
      <w:r>
        <w:rPr>
          <w:spacing w:val="-3"/>
        </w:rPr>
        <w:t>to the molar free energy of the solid phase</w:t>
      </w:r>
      <w:r w:rsidRPr="00891421">
        <w:rPr>
          <w:spacing w:val="-3"/>
        </w:rPr>
        <w:t xml:space="preserve"> </w:t>
      </w:r>
      <w:r>
        <w:rPr>
          <w:spacing w:val="-3"/>
        </w:rPr>
        <w:t xml:space="preserve">before finding the temperature where the free energies of the liquid and solid are equal. Then </w:t>
      </w:r>
    </w:p>
    <w:p w14:paraId="603D2E4C" w14:textId="77777777" w:rsidR="00015B17" w:rsidRDefault="00015B17" w:rsidP="00015B17">
      <w:pPr>
        <w:tabs>
          <w:tab w:val="left" w:pos="-720"/>
        </w:tabs>
        <w:suppressAutoHyphens/>
        <w:spacing w:line="360" w:lineRule="auto"/>
        <w:jc w:val="both"/>
        <w:rPr>
          <w:spacing w:val="-3"/>
        </w:rPr>
      </w:pPr>
    </w:p>
    <w:p w14:paraId="2625FC84" w14:textId="77777777" w:rsidR="00015B17" w:rsidRDefault="00015B17" w:rsidP="00015B17">
      <w:pPr>
        <w:tabs>
          <w:tab w:val="left" w:pos="-720"/>
        </w:tabs>
        <w:suppressAutoHyphens/>
        <w:spacing w:line="360" w:lineRule="auto"/>
        <w:jc w:val="center"/>
      </w:pPr>
      <w:r w:rsidRPr="001F200D">
        <w:rPr>
          <w:position w:val="-16"/>
        </w:rPr>
        <w:object w:dxaOrig="3640" w:dyaOrig="440" w14:anchorId="41762E70">
          <v:shape id="_x0000_i1189" type="#_x0000_t75" style="width:182.35pt;height:21.5pt" o:ole="">
            <v:imagedata r:id="rId322" o:title=""/>
          </v:shape>
          <o:OLEObject Type="Embed" ProgID="Equation.DSMT4" ShapeID="_x0000_i1189" DrawAspect="Content" ObjectID="_1840626755" r:id="rId323"/>
        </w:object>
      </w:r>
      <w:r>
        <w:tab/>
      </w:r>
      <w:r>
        <w:tab/>
      </w:r>
      <w:r w:rsidRPr="00251F3D">
        <w:t>(3.6)</w:t>
      </w:r>
    </w:p>
    <w:p w14:paraId="1A5524CE" w14:textId="77777777" w:rsidR="00015B17" w:rsidRDefault="00015B17" w:rsidP="00015B17">
      <w:pPr>
        <w:tabs>
          <w:tab w:val="left" w:pos="-720"/>
        </w:tabs>
        <w:suppressAutoHyphens/>
        <w:spacing w:line="360" w:lineRule="auto"/>
        <w:jc w:val="center"/>
        <w:rPr>
          <w:spacing w:val="-3"/>
        </w:rPr>
      </w:pPr>
    </w:p>
    <w:p w14:paraId="4F71A5F0" w14:textId="77777777" w:rsidR="00015B17" w:rsidRDefault="00015B17" w:rsidP="00015B17">
      <w:pPr>
        <w:tabs>
          <w:tab w:val="left" w:pos="-720"/>
        </w:tabs>
        <w:suppressAutoHyphens/>
        <w:spacing w:line="360" w:lineRule="auto"/>
        <w:jc w:val="both"/>
        <w:rPr>
          <w:spacing w:val="-3"/>
        </w:rPr>
      </w:pPr>
      <w:r>
        <w:rPr>
          <w:spacing w:val="-3"/>
        </w:rPr>
        <w:t xml:space="preserve"> leads to the expression for the melting point modification, Eqn. (3.3)</w:t>
      </w:r>
      <w:r w:rsidR="003F349F">
        <w:rPr>
          <w:spacing w:val="-3"/>
        </w:rPr>
        <w:t>.</w:t>
      </w:r>
    </w:p>
    <w:p w14:paraId="55F7BD61" w14:textId="77777777" w:rsidR="00015B17" w:rsidRDefault="00015B17" w:rsidP="00015B17">
      <w:pPr>
        <w:tabs>
          <w:tab w:val="left" w:pos="-720"/>
        </w:tabs>
        <w:suppressAutoHyphens/>
        <w:spacing w:line="360" w:lineRule="auto"/>
        <w:jc w:val="both"/>
        <w:rPr>
          <w:spacing w:val="-3"/>
        </w:rPr>
      </w:pPr>
      <w:r>
        <w:rPr>
          <w:spacing w:val="-3"/>
        </w:rPr>
        <w:tab/>
      </w:r>
    </w:p>
    <w:p w14:paraId="1C29203C" w14:textId="77777777" w:rsidR="00015B17" w:rsidRDefault="00015B17" w:rsidP="00015B17">
      <w:pPr>
        <w:tabs>
          <w:tab w:val="left" w:pos="-720"/>
        </w:tabs>
        <w:suppressAutoHyphens/>
        <w:spacing w:line="360" w:lineRule="auto"/>
        <w:rPr>
          <w:spacing w:val="-3"/>
        </w:rPr>
      </w:pPr>
      <w:r>
        <w:rPr>
          <w:spacing w:val="-3"/>
        </w:rPr>
        <w:tab/>
        <w:t xml:space="preserve">Local equilibrium is never strictly valid, but it is based on the notion that interfaces will equilibrate much more quickly than will bulk phases. The conditions described in (ii) of </w:t>
      </w:r>
      <w:r>
        <w:rPr>
          <w:spacing w:val="-3"/>
        </w:rPr>
        <w:lastRenderedPageBreak/>
        <w:t>Table 3.1 are widely used to model the majority of solidification processes that occur in castings.  For example, under the assumptions of fast diffusion in the liquid phase, negligible diffusion in the solid phase, and local equilibrium at the interface neglecting the curvature correction, the Scheil Equation (see §6.2.2 and §7.3.1) gives a reasonable first approximation to the dendritic coring or microsegregation in conventional castings. Clearly phase diagrams constitute an essential part of the database for the modeling and analysis of solidification problems. Although they are typically measured under the assumptions of global equilibrium, phase diagrams may be applied locally to describe solidification interfaces with the Gibbs-Thomson effect added when interface curvature is large.</w:t>
      </w:r>
    </w:p>
    <w:p w14:paraId="70C66A25" w14:textId="77777777" w:rsidR="00E65F4E" w:rsidRDefault="00E65F4E" w:rsidP="00015B17">
      <w:pPr>
        <w:tabs>
          <w:tab w:val="left" w:pos="-720"/>
        </w:tabs>
        <w:suppressAutoHyphens/>
        <w:spacing w:line="360" w:lineRule="auto"/>
        <w:rPr>
          <w:spacing w:val="-3"/>
        </w:rPr>
      </w:pPr>
    </w:p>
    <w:p w14:paraId="06E3112B" w14:textId="77777777" w:rsidR="00E65F4E" w:rsidRDefault="00015B17" w:rsidP="00015B17">
      <w:pPr>
        <w:tabs>
          <w:tab w:val="left" w:pos="-720"/>
        </w:tabs>
        <w:suppressAutoHyphens/>
        <w:spacing w:line="360" w:lineRule="auto"/>
        <w:rPr>
          <w:spacing w:val="-3"/>
        </w:rPr>
      </w:pPr>
      <w:r>
        <w:rPr>
          <w:spacing w:val="-3"/>
        </w:rPr>
        <w:tab/>
        <w:t>Metastable equilibrium, (iii) in Table 3.1, can also be used locally at interfaces and is important in understand</w:t>
      </w:r>
      <w:r w:rsidR="000B522E">
        <w:rPr>
          <w:spacing w:val="-3"/>
        </w:rPr>
        <w:t>ing</w:t>
      </w:r>
      <w:r>
        <w:rPr>
          <w:spacing w:val="-3"/>
        </w:rPr>
        <w:t xml:space="preserve"> solidification of cast iron. For example, one can understand the microstructural change of cast iron from the stable gray form (austenite and graphite) to the metastable white form (austenite and cementite) with increasing solidification rate (and interface supercooling) using information from the stable and the metastable phase diagrams combined with a kinetic analysis (JONES and KURZ [1980]).  The eutectic temperature and composition for white cast iron are well defined thermodynamic quantities just as they are for gray cast iron.  As with stable equilibrium, metastable equilibrium is represented by a common tangent construction to the molar free energy vs. composition curves for the liquid, austenite, and cementite phases and thus minimizes the free energy as long as graphite is absent. When solidification is complete, a two phase mixture of austenite and cementite can exist in a global metastable equilibrium. The concept of local metastable equilibrium is especially important during rapid solidification (PEREPEZKO and BOETTINGER [1983], PEREPEZKO [1988]) because some equilibrium phases, especially those with complex crystal structures, have sluggish nucleation and/or growth kinetics and may be absent in rapidly solidified microstructures.</w:t>
      </w:r>
    </w:p>
    <w:p w14:paraId="50165EAF" w14:textId="77777777" w:rsidR="00E65F4E" w:rsidRDefault="00E65F4E" w:rsidP="00015B17">
      <w:pPr>
        <w:tabs>
          <w:tab w:val="left" w:pos="-720"/>
        </w:tabs>
        <w:suppressAutoHyphens/>
        <w:spacing w:line="360" w:lineRule="auto"/>
        <w:rPr>
          <w:spacing w:val="-3"/>
        </w:rPr>
      </w:pPr>
    </w:p>
    <w:p w14:paraId="053B4508" w14:textId="77777777" w:rsidR="00015B17" w:rsidRDefault="00015B17" w:rsidP="00015B17">
      <w:pPr>
        <w:tabs>
          <w:tab w:val="left" w:pos="-720"/>
        </w:tabs>
        <w:suppressAutoHyphens/>
        <w:spacing w:line="360" w:lineRule="auto"/>
        <w:rPr>
          <w:spacing w:val="-3"/>
        </w:rPr>
      </w:pPr>
      <w:r>
        <w:rPr>
          <w:spacing w:val="-3"/>
        </w:rPr>
        <w:tab/>
        <w:t>An example of a metastable phase diagram superimposed on a stable phase diagram is given in Fig. 3.1 for the Al-Fe system. If Al</w:t>
      </w:r>
      <w:r w:rsidRPr="00727E8A">
        <w:rPr>
          <w:spacing w:val="-3"/>
          <w:sz w:val="26"/>
          <w:vertAlign w:val="subscript"/>
        </w:rPr>
        <w:t>3</w:t>
      </w:r>
      <w:r>
        <w:rPr>
          <w:spacing w:val="-3"/>
        </w:rPr>
        <w:t>Fe is absent, phase boundaries involving a metastable phase, Al</w:t>
      </w:r>
      <w:r w:rsidRPr="00727E8A">
        <w:rPr>
          <w:spacing w:val="-3"/>
          <w:sz w:val="26"/>
          <w:vertAlign w:val="subscript"/>
        </w:rPr>
        <w:t>6</w:t>
      </w:r>
      <w:r>
        <w:rPr>
          <w:spacing w:val="-3"/>
        </w:rPr>
        <w:t>Fe, which is isomorphous with Al</w:t>
      </w:r>
      <w:r w:rsidRPr="00727E8A">
        <w:rPr>
          <w:spacing w:val="-3"/>
          <w:sz w:val="26"/>
          <w:vertAlign w:val="subscript"/>
        </w:rPr>
        <w:t>6</w:t>
      </w:r>
      <w:r>
        <w:rPr>
          <w:spacing w:val="-3"/>
        </w:rPr>
        <w:t>Mn, are obtained. In particular a metastable eutectic, L</w:t>
      </w:r>
      <w:r>
        <w:rPr>
          <w:spacing w:val="-3"/>
        </w:rPr>
        <w:sym w:font="Symbol" w:char="F0AE"/>
      </w:r>
      <w:r>
        <w:rPr>
          <w:spacing w:val="-3"/>
        </w:rPr>
        <w:t>Al+Al</w:t>
      </w:r>
      <w:r w:rsidRPr="00727E8A">
        <w:rPr>
          <w:spacing w:val="-3"/>
          <w:sz w:val="26"/>
          <w:vertAlign w:val="subscript"/>
        </w:rPr>
        <w:t>6</w:t>
      </w:r>
      <w:r>
        <w:rPr>
          <w:spacing w:val="-3"/>
        </w:rPr>
        <w:t>Fe occurs. Transitions of microstructures involving Al</w:t>
      </w:r>
      <w:r w:rsidRPr="00727E8A">
        <w:rPr>
          <w:spacing w:val="-3"/>
          <w:sz w:val="26"/>
          <w:vertAlign w:val="subscript"/>
        </w:rPr>
        <w:t>3</w:t>
      </w:r>
      <w:r>
        <w:rPr>
          <w:spacing w:val="-3"/>
        </w:rPr>
        <w:t xml:space="preserve">Fe to </w:t>
      </w:r>
      <w:r>
        <w:rPr>
          <w:spacing w:val="-3"/>
        </w:rPr>
        <w:lastRenderedPageBreak/>
        <w:t>those involving Al</w:t>
      </w:r>
      <w:r w:rsidRPr="00727E8A">
        <w:rPr>
          <w:spacing w:val="-3"/>
          <w:sz w:val="26"/>
          <w:vertAlign w:val="subscript"/>
        </w:rPr>
        <w:t>6</w:t>
      </w:r>
      <w:r>
        <w:rPr>
          <w:spacing w:val="-3"/>
        </w:rPr>
        <w:t>Fe have been observed with increasing solidification speed by ADAM and HOGAN [1972] and by HUGHES and JONES [1976]. The competitive growth kinetics of the two can also be analyzed using the stable and metastable phase diagrams.</w:t>
      </w:r>
    </w:p>
    <w:p w14:paraId="4DD3F522" w14:textId="77777777" w:rsidR="00E65F4E" w:rsidRDefault="00E65F4E" w:rsidP="00015B17">
      <w:pPr>
        <w:tabs>
          <w:tab w:val="left" w:pos="-720"/>
        </w:tabs>
        <w:suppressAutoHyphens/>
        <w:spacing w:line="360" w:lineRule="auto"/>
        <w:rPr>
          <w:spacing w:val="-3"/>
        </w:rPr>
      </w:pPr>
    </w:p>
    <w:p w14:paraId="57700027" w14:textId="737AD2F5" w:rsidR="00015B17" w:rsidRDefault="00015B17" w:rsidP="00015B17">
      <w:pPr>
        <w:tabs>
          <w:tab w:val="left" w:pos="-720"/>
        </w:tabs>
        <w:suppressAutoHyphens/>
        <w:spacing w:line="360" w:lineRule="auto"/>
        <w:rPr>
          <w:spacing w:val="-3"/>
        </w:rPr>
      </w:pPr>
      <w:r>
        <w:rPr>
          <w:spacing w:val="-3"/>
        </w:rPr>
        <w:tab/>
        <w:t xml:space="preserve"> For local equilibrium, whether stable or metastable, the chemical potentials of the components for the liquid and solid are equal across the interface. In Table 3.1, however, another situation is described in (iv), and relates to the situation where the temperature of the interface remains continuous but the chemical potentials </w:t>
      </w:r>
      <w:r w:rsidR="005F6459">
        <w:rPr>
          <w:spacing w:val="-3"/>
        </w:rPr>
        <w:t>cannot</w:t>
      </w:r>
      <w:r>
        <w:rPr>
          <w:spacing w:val="-3"/>
        </w:rPr>
        <w:t xml:space="preserve"> be approximated as being equal across an interface growing at a high solidification rate and large interface supercooling.  These rapid growth rates can trap the solute into the freezing solid at levels exceeding the equilibrium value for the corresponding liquid composition present at the interface.  Thus the chemical potential of the solute increases upon being incorporated in the freezing solid in a process called</w:t>
      </w:r>
      <w:r>
        <w:rPr>
          <w:i/>
          <w:iCs/>
          <w:spacing w:val="-3"/>
        </w:rPr>
        <w:t xml:space="preserve"> solute trapping.</w:t>
      </w:r>
      <w:r>
        <w:rPr>
          <w:spacing w:val="-3"/>
        </w:rPr>
        <w:t xml:space="preserve"> This increase in chemical potential of the solute across the interface must be balanced by a decrease in chemical potential of the solvent in order for crystallization to occur; i.e., to yield a net decrease in free energy (BAKER and CAHN [1971]).  </w:t>
      </w:r>
      <w:r w:rsidR="00001732">
        <w:rPr>
          <w:spacing w:val="-3"/>
        </w:rPr>
        <w:t>For a binary alloy, t</w:t>
      </w:r>
      <w:r>
        <w:rPr>
          <w:spacing w:val="-3"/>
        </w:rPr>
        <w:t>he free energy change during solidification,</w:t>
      </w:r>
      <w:r>
        <w:rPr>
          <w:i/>
          <w:iCs/>
          <w:spacing w:val="-3"/>
        </w:rPr>
        <w:t xml:space="preserve"> ΔG</w:t>
      </w:r>
      <w:r>
        <w:rPr>
          <w:spacing w:val="-3"/>
        </w:rPr>
        <w:t>, (product minus reactant; i.e., solid minus liquid) is given by</w:t>
      </w:r>
    </w:p>
    <w:p w14:paraId="7EC2BA19" w14:textId="77777777" w:rsidR="00015B17" w:rsidRDefault="00015B17" w:rsidP="00015B17">
      <w:pPr>
        <w:tabs>
          <w:tab w:val="left" w:pos="-720"/>
        </w:tabs>
        <w:suppressAutoHyphens/>
        <w:spacing w:line="360" w:lineRule="auto"/>
        <w:jc w:val="both"/>
        <w:rPr>
          <w:spacing w:val="-3"/>
        </w:rPr>
      </w:pPr>
    </w:p>
    <w:p w14:paraId="0F6A3A6F" w14:textId="74204D86" w:rsidR="00015B17" w:rsidRDefault="00F14A03" w:rsidP="00001732">
      <w:pPr>
        <w:tabs>
          <w:tab w:val="left" w:pos="-720"/>
        </w:tabs>
        <w:suppressAutoHyphens/>
        <w:spacing w:line="360" w:lineRule="auto"/>
        <w:jc w:val="center"/>
        <w:rPr>
          <w:rStyle w:val="EquationCaption"/>
          <w:spacing w:val="-3"/>
        </w:rPr>
      </w:pPr>
      <m:oMath>
        <m:r>
          <w:rPr>
            <w:rFonts w:ascii="Cambria Math"/>
            <w:spacing w:val="-3"/>
          </w:rPr>
          <m:t>ΔG=</m:t>
        </m:r>
        <m:d>
          <m:dPr>
            <m:ctrlPr>
              <w:rPr>
                <w:rFonts w:ascii="Cambria Math" w:hAnsi="Cambria Math"/>
                <w:i/>
                <w:spacing w:val="-3"/>
              </w:rPr>
            </m:ctrlPr>
          </m:dPr>
          <m:e>
            <m:sSubSup>
              <m:sSubSupPr>
                <m:ctrlPr>
                  <w:rPr>
                    <w:rFonts w:ascii="Cambria Math" w:hAnsi="Cambria Math"/>
                    <w:i/>
                    <w:spacing w:val="-3"/>
                  </w:rPr>
                </m:ctrlPr>
              </m:sSubSupPr>
              <m:e>
                <m:r>
                  <w:rPr>
                    <w:rFonts w:ascii="Cambria Math"/>
                    <w:spacing w:val="-3"/>
                  </w:rPr>
                  <m:t>μ</m:t>
                </m:r>
              </m:e>
              <m:sub>
                <m:r>
                  <w:rPr>
                    <w:rFonts w:ascii="Cambria Math"/>
                    <w:spacing w:val="-3"/>
                  </w:rPr>
                  <m:t>S</m:t>
                </m:r>
              </m:sub>
              <m:sup>
                <m:r>
                  <w:rPr>
                    <w:rFonts w:ascii="Cambria Math"/>
                    <w:spacing w:val="-3"/>
                  </w:rPr>
                  <m:t>A</m:t>
                </m:r>
              </m:sup>
            </m:sSubSup>
            <m:r>
              <w:rPr>
                <w:rFonts w:ascii="Cambria Math"/>
                <w:spacing w:val="-3"/>
              </w:rPr>
              <m:t>-</m:t>
            </m:r>
            <m:sSubSup>
              <m:sSubSupPr>
                <m:ctrlPr>
                  <w:rPr>
                    <w:rFonts w:ascii="Cambria Math" w:hAnsi="Cambria Math"/>
                    <w:i/>
                    <w:spacing w:val="-3"/>
                  </w:rPr>
                </m:ctrlPr>
              </m:sSubSupPr>
              <m:e>
                <m:r>
                  <w:rPr>
                    <w:rFonts w:ascii="Cambria Math"/>
                    <w:spacing w:val="-3"/>
                  </w:rPr>
                  <m:t>μ</m:t>
                </m:r>
              </m:e>
              <m:sub>
                <m:r>
                  <w:rPr>
                    <w:rFonts w:ascii="Cambria Math"/>
                    <w:spacing w:val="-3"/>
                  </w:rPr>
                  <m:t>L</m:t>
                </m:r>
              </m:sub>
              <m:sup>
                <m:r>
                  <w:rPr>
                    <w:rFonts w:ascii="Cambria Math"/>
                    <w:spacing w:val="-3"/>
                  </w:rPr>
                  <m:t>A</m:t>
                </m:r>
              </m:sup>
            </m:sSubSup>
          </m:e>
        </m:d>
        <m:d>
          <m:dPr>
            <m:ctrlPr>
              <w:rPr>
                <w:rFonts w:ascii="Cambria Math" w:hAnsi="Cambria Math"/>
                <w:i/>
                <w:spacing w:val="-3"/>
              </w:rPr>
            </m:ctrlPr>
          </m:dPr>
          <m:e>
            <m:r>
              <w:rPr>
                <w:rFonts w:ascii="Cambria Math"/>
                <w:spacing w:val="-3"/>
              </w:rPr>
              <m:t>1</m:t>
            </m:r>
            <m:r>
              <w:rPr>
                <w:rFonts w:ascii="Cambria Math"/>
                <w:spacing w:val="-3"/>
              </w:rPr>
              <m:t>-</m:t>
            </m:r>
            <m:sSubSup>
              <m:sSubSupPr>
                <m:ctrlPr>
                  <w:rPr>
                    <w:rFonts w:ascii="Cambria Math" w:hAnsi="Cambria Math"/>
                    <w:i/>
                    <w:spacing w:val="-3"/>
                  </w:rPr>
                </m:ctrlPr>
              </m:sSubSupPr>
              <m:e>
                <m:r>
                  <w:rPr>
                    <w:rFonts w:ascii="Cambria Math"/>
                    <w:spacing w:val="-3"/>
                  </w:rPr>
                  <m:t>C</m:t>
                </m:r>
              </m:e>
              <m:sub>
                <m:r>
                  <w:rPr>
                    <w:rFonts w:ascii="Cambria Math"/>
                    <w:spacing w:val="-3"/>
                  </w:rPr>
                  <m:t>R</m:t>
                </m:r>
              </m:sub>
              <m:sup>
                <m:r>
                  <w:rPr>
                    <w:rFonts w:ascii="Cambria Math" w:hAnsi="Cambria Math" w:cs="Cambria Math"/>
                    <w:spacing w:val="-3"/>
                  </w:rPr>
                  <m:t>*</m:t>
                </m:r>
              </m:sup>
            </m:sSubSup>
          </m:e>
        </m:d>
        <m:r>
          <w:rPr>
            <w:rFonts w:ascii="Cambria Math"/>
            <w:spacing w:val="-3"/>
          </w:rPr>
          <m:t>+</m:t>
        </m:r>
        <m:d>
          <m:dPr>
            <m:ctrlPr>
              <w:rPr>
                <w:rFonts w:ascii="Cambria Math" w:hAnsi="Cambria Math"/>
                <w:i/>
                <w:spacing w:val="-3"/>
              </w:rPr>
            </m:ctrlPr>
          </m:dPr>
          <m:e>
            <m:sSubSup>
              <m:sSubSupPr>
                <m:ctrlPr>
                  <w:rPr>
                    <w:rFonts w:ascii="Cambria Math" w:hAnsi="Cambria Math"/>
                    <w:i/>
                    <w:spacing w:val="-3"/>
                  </w:rPr>
                </m:ctrlPr>
              </m:sSubSupPr>
              <m:e>
                <m:r>
                  <w:rPr>
                    <w:rFonts w:ascii="Cambria Math"/>
                    <w:spacing w:val="-3"/>
                  </w:rPr>
                  <m:t>μ</m:t>
                </m:r>
              </m:e>
              <m:sub>
                <m:r>
                  <w:rPr>
                    <w:rFonts w:ascii="Cambria Math"/>
                    <w:spacing w:val="-3"/>
                  </w:rPr>
                  <m:t>S</m:t>
                </m:r>
              </m:sub>
              <m:sup>
                <m:r>
                  <w:rPr>
                    <w:rFonts w:ascii="Cambria Math"/>
                    <w:spacing w:val="-3"/>
                  </w:rPr>
                  <m:t>B</m:t>
                </m:r>
              </m:sup>
            </m:sSubSup>
            <m:r>
              <w:rPr>
                <w:rFonts w:ascii="Cambria Math"/>
                <w:spacing w:val="-3"/>
              </w:rPr>
              <m:t>-</m:t>
            </m:r>
            <m:sSubSup>
              <m:sSubSupPr>
                <m:ctrlPr>
                  <w:rPr>
                    <w:rFonts w:ascii="Cambria Math" w:hAnsi="Cambria Math"/>
                    <w:i/>
                    <w:spacing w:val="-3"/>
                  </w:rPr>
                </m:ctrlPr>
              </m:sSubSupPr>
              <m:e>
                <m:r>
                  <w:rPr>
                    <w:rFonts w:ascii="Cambria Math"/>
                    <w:spacing w:val="-3"/>
                  </w:rPr>
                  <m:t>μ</m:t>
                </m:r>
              </m:e>
              <m:sub>
                <m:r>
                  <w:rPr>
                    <w:rFonts w:ascii="Cambria Math"/>
                    <w:spacing w:val="-3"/>
                  </w:rPr>
                  <m:t>L</m:t>
                </m:r>
              </m:sub>
              <m:sup>
                <m:r>
                  <w:rPr>
                    <w:rFonts w:ascii="Cambria Math"/>
                    <w:spacing w:val="-3"/>
                  </w:rPr>
                  <m:t>B</m:t>
                </m:r>
              </m:sup>
            </m:sSubSup>
          </m:e>
        </m:d>
        <m:sSubSup>
          <m:sSubSupPr>
            <m:ctrlPr>
              <w:rPr>
                <w:rFonts w:ascii="Cambria Math" w:hAnsi="Cambria Math"/>
                <w:i/>
                <w:spacing w:val="-3"/>
              </w:rPr>
            </m:ctrlPr>
          </m:sSubSupPr>
          <m:e>
            <m:r>
              <w:rPr>
                <w:rFonts w:ascii="Cambria Math"/>
                <w:spacing w:val="-3"/>
              </w:rPr>
              <m:t>C</m:t>
            </m:r>
          </m:e>
          <m:sub>
            <m:r>
              <w:rPr>
                <w:rFonts w:ascii="Cambria Math"/>
                <w:spacing w:val="-3"/>
              </w:rPr>
              <m:t>R</m:t>
            </m:r>
          </m:sub>
          <m:sup>
            <m:r>
              <w:rPr>
                <w:rFonts w:ascii="Cambria Math" w:hAnsi="Cambria Math" w:cs="Cambria Math"/>
                <w:spacing w:val="-3"/>
              </w:rPr>
              <m:t>*</m:t>
            </m:r>
          </m:sup>
        </m:sSubSup>
      </m:oMath>
      <w:r w:rsidR="00015B17">
        <w:rPr>
          <w:rStyle w:val="EquationCaption"/>
          <w:spacing w:val="-3"/>
        </w:rPr>
        <w:tab/>
      </w:r>
      <w:r w:rsidR="00015B17">
        <w:rPr>
          <w:rStyle w:val="EquationCaption"/>
          <w:spacing w:val="-3"/>
        </w:rPr>
        <w:tab/>
        <w:t>(3.7)</w:t>
      </w:r>
    </w:p>
    <w:p w14:paraId="795076C8" w14:textId="77777777" w:rsidR="00015B17" w:rsidRDefault="00015B17" w:rsidP="00015B17">
      <w:pPr>
        <w:tabs>
          <w:tab w:val="left" w:pos="-720"/>
        </w:tabs>
        <w:suppressAutoHyphens/>
        <w:spacing w:line="360" w:lineRule="auto"/>
        <w:jc w:val="center"/>
        <w:rPr>
          <w:spacing w:val="-3"/>
        </w:rPr>
      </w:pPr>
    </w:p>
    <w:p w14:paraId="1EE9DB48" w14:textId="77777777" w:rsidR="00015B17" w:rsidRDefault="00E65F4E" w:rsidP="00015B17">
      <w:pPr>
        <w:tabs>
          <w:tab w:val="left" w:pos="-720"/>
        </w:tabs>
        <w:suppressAutoHyphens/>
        <w:spacing w:line="360" w:lineRule="auto"/>
        <w:rPr>
          <w:spacing w:val="-3"/>
        </w:rPr>
      </w:pPr>
      <w:r>
        <w:rPr>
          <w:spacing w:val="-3"/>
        </w:rPr>
        <w:t>wh</w:t>
      </w:r>
      <w:r w:rsidR="00015B17">
        <w:rPr>
          <w:spacing w:val="-3"/>
        </w:rPr>
        <w:t xml:space="preserve">ere </w:t>
      </w:r>
      <w:r w:rsidR="00015B17" w:rsidRPr="009920E5">
        <w:rPr>
          <w:spacing w:val="-3"/>
          <w:position w:val="-12"/>
        </w:rPr>
        <w:object w:dxaOrig="340" w:dyaOrig="380" w14:anchorId="079EC6C2">
          <v:shape id="_x0000_i1190" type="#_x0000_t75" style="width:16.85pt;height:18.7pt" o:ole="">
            <v:imagedata r:id="rId324" o:title=""/>
          </v:shape>
          <o:OLEObject Type="Embed" ProgID="Equation.DSMT4" ShapeID="_x0000_i1190" DrawAspect="Content" ObjectID="_1840626756" r:id="rId325"/>
        </w:object>
      </w:r>
      <w:r w:rsidR="00015B17">
        <w:rPr>
          <w:spacing w:val="-3"/>
        </w:rPr>
        <w:t xml:space="preserve"> and </w:t>
      </w:r>
      <w:r w:rsidR="00015B17" w:rsidRPr="009920E5">
        <w:rPr>
          <w:spacing w:val="-3"/>
          <w:position w:val="-12"/>
        </w:rPr>
        <w:object w:dxaOrig="340" w:dyaOrig="380" w14:anchorId="713BA411">
          <v:shape id="_x0000_i1191" type="#_x0000_t75" style="width:16.85pt;height:18.7pt" o:ole="">
            <v:imagedata r:id="rId326" o:title=""/>
          </v:shape>
          <o:OLEObject Type="Embed" ProgID="Equation.DSMT4" ShapeID="_x0000_i1191" DrawAspect="Content" ObjectID="_1840626757" r:id="rId327"/>
        </w:object>
      </w:r>
      <w:r w:rsidR="00015B17">
        <w:rPr>
          <w:spacing w:val="-3"/>
        </w:rPr>
        <w:t xml:space="preserve"> are the chemical potentials for species A and B in the solid, and </w:t>
      </w:r>
      <w:r w:rsidR="00015B17" w:rsidRPr="009920E5">
        <w:rPr>
          <w:spacing w:val="-3"/>
          <w:position w:val="-10"/>
        </w:rPr>
        <w:object w:dxaOrig="340" w:dyaOrig="360" w14:anchorId="181204BB">
          <v:shape id="_x0000_i1192" type="#_x0000_t75" style="width:16.85pt;height:17.75pt" o:ole="">
            <v:imagedata r:id="rId328" o:title=""/>
          </v:shape>
          <o:OLEObject Type="Embed" ProgID="Equation.DSMT4" ShapeID="_x0000_i1192" DrawAspect="Content" ObjectID="_1840626758" r:id="rId329"/>
        </w:object>
      </w:r>
      <w:r w:rsidR="00015B17">
        <w:rPr>
          <w:spacing w:val="-3"/>
        </w:rPr>
        <w:t xml:space="preserve">and </w:t>
      </w:r>
      <w:r w:rsidR="00015B17" w:rsidRPr="009920E5">
        <w:rPr>
          <w:spacing w:val="-3"/>
          <w:position w:val="-10"/>
        </w:rPr>
        <w:object w:dxaOrig="340" w:dyaOrig="360" w14:anchorId="064C4AC9">
          <v:shape id="_x0000_i1193" type="#_x0000_t75" style="width:16.85pt;height:17.75pt" o:ole="">
            <v:imagedata r:id="rId330" o:title=""/>
          </v:shape>
          <o:OLEObject Type="Embed" ProgID="Equation.DSMT4" ShapeID="_x0000_i1193" DrawAspect="Content" ObjectID="_1840626759" r:id="rId331"/>
        </w:object>
      </w:r>
      <w:r w:rsidR="00015B17">
        <w:rPr>
          <w:spacing w:val="-3"/>
        </w:rPr>
        <w:t xml:space="preserve"> are the chemical potentials in the liquid. These potentials are functions of the temperature and solid or liquid composition at the interface during solidification (</w:t>
      </w:r>
      <w:r w:rsidR="00015B17" w:rsidRPr="00F57C81">
        <w:rPr>
          <w:i/>
          <w:iCs/>
          <w:spacing w:val="-3"/>
        </w:rPr>
        <w:t>C</w:t>
      </w:r>
      <w:r w:rsidR="00015B17" w:rsidRPr="00727E8A">
        <w:rPr>
          <w:i/>
          <w:spacing w:val="-3"/>
          <w:sz w:val="26"/>
          <w:vertAlign w:val="subscript"/>
        </w:rPr>
        <w:t>S</w:t>
      </w:r>
      <w:r w:rsidR="00015B17" w:rsidRPr="00883A53">
        <w:rPr>
          <w:i/>
          <w:spacing w:val="-3"/>
          <w:sz w:val="26"/>
          <w:vertAlign w:val="superscript"/>
        </w:rPr>
        <w:t>*</w:t>
      </w:r>
      <w:r w:rsidR="00015B17" w:rsidRPr="00883A53">
        <w:rPr>
          <w:spacing w:val="-3"/>
          <w:sz w:val="26"/>
          <w:vertAlign w:val="superscript"/>
        </w:rPr>
        <w:t xml:space="preserve"> </w:t>
      </w:r>
      <w:r w:rsidR="00015B17">
        <w:rPr>
          <w:spacing w:val="-3"/>
        </w:rPr>
        <w:t xml:space="preserve">or </w:t>
      </w:r>
      <w:r w:rsidR="00015B17" w:rsidRPr="00F57C81">
        <w:rPr>
          <w:i/>
          <w:iCs/>
          <w:spacing w:val="-3"/>
        </w:rPr>
        <w:t>C</w:t>
      </w:r>
      <w:r w:rsidR="00015B17" w:rsidRPr="00727E8A">
        <w:rPr>
          <w:i/>
          <w:spacing w:val="-3"/>
          <w:sz w:val="26"/>
          <w:vertAlign w:val="subscript"/>
        </w:rPr>
        <w:t>L</w:t>
      </w:r>
      <w:r w:rsidR="00015B17" w:rsidRPr="00883A53">
        <w:rPr>
          <w:i/>
          <w:spacing w:val="-3"/>
          <w:sz w:val="26"/>
          <w:vertAlign w:val="superscript"/>
        </w:rPr>
        <w:t>*</w:t>
      </w:r>
      <w:r w:rsidR="00015B17">
        <w:rPr>
          <w:spacing w:val="-3"/>
        </w:rPr>
        <w:t xml:space="preserve">). Baker &amp; Cahn call </w:t>
      </w:r>
      <w:r w:rsidR="00015B17" w:rsidRPr="000854C2">
        <w:rPr>
          <w:spacing w:val="-3"/>
          <w:position w:val="-10"/>
        </w:rPr>
        <w:object w:dxaOrig="320" w:dyaOrig="360" w14:anchorId="37DDB41F">
          <v:shape id="_x0000_i1194" type="#_x0000_t75" style="width:16.85pt;height:17.75pt" o:ole="">
            <v:imagedata r:id="rId332" o:title=""/>
          </v:shape>
          <o:OLEObject Type="Embed" ProgID="Equation.DSMT4" ShapeID="_x0000_i1194" DrawAspect="Content" ObjectID="_1840626760" r:id="rId333"/>
        </w:object>
      </w:r>
      <w:r w:rsidR="00015B17">
        <w:rPr>
          <w:spacing w:val="-3"/>
        </w:rPr>
        <w:t xml:space="preserve"> the composition of the </w:t>
      </w:r>
      <w:r w:rsidR="00015B17" w:rsidRPr="000854C2">
        <w:rPr>
          <w:i/>
          <w:spacing w:val="-3"/>
        </w:rPr>
        <w:t>reactant</w:t>
      </w:r>
      <w:r w:rsidR="00015B17">
        <w:rPr>
          <w:spacing w:val="-3"/>
        </w:rPr>
        <w:t xml:space="preserve">. It is the composition of the increment of alloy whose change from liquid to solid is being considered. As described in the section on interface kinetics, </w:t>
      </w:r>
      <w:r w:rsidR="00015B17" w:rsidRPr="000854C2">
        <w:rPr>
          <w:spacing w:val="-3"/>
          <w:position w:val="-10"/>
        </w:rPr>
        <w:object w:dxaOrig="320" w:dyaOrig="360" w14:anchorId="4F53DE74">
          <v:shape id="_x0000_i1195" type="#_x0000_t75" style="width:16.85pt;height:17.75pt" o:ole="">
            <v:imagedata r:id="rId332" o:title=""/>
          </v:shape>
          <o:OLEObject Type="Embed" ProgID="Equation.DSMT4" ShapeID="_x0000_i1195" DrawAspect="Content" ObjectID="_1840626761" r:id="rId334"/>
        </w:object>
      </w:r>
      <w:r w:rsidR="00015B17">
        <w:rPr>
          <w:spacing w:val="-3"/>
        </w:rPr>
        <w:t xml:space="preserve"> is thought to be between the values of </w:t>
      </w:r>
      <w:r w:rsidR="00015B17" w:rsidRPr="000854C2">
        <w:rPr>
          <w:spacing w:val="-3"/>
          <w:position w:val="-10"/>
        </w:rPr>
        <w:object w:dxaOrig="320" w:dyaOrig="360" w14:anchorId="5F89F622">
          <v:shape id="_x0000_i1196" type="#_x0000_t75" style="width:16.85pt;height:17.75pt" o:ole="">
            <v:imagedata r:id="rId335" o:title=""/>
          </v:shape>
          <o:OLEObject Type="Embed" ProgID="Equation.DSMT4" ShapeID="_x0000_i1196" DrawAspect="Content" ObjectID="_1840626762" r:id="rId336"/>
        </w:object>
      </w:r>
      <w:r w:rsidR="00015B17">
        <w:rPr>
          <w:spacing w:val="-3"/>
        </w:rPr>
        <w:t xml:space="preserve"> and </w:t>
      </w:r>
      <w:r w:rsidR="00015B17" w:rsidRPr="000854C2">
        <w:rPr>
          <w:spacing w:val="-3"/>
          <w:position w:val="-12"/>
        </w:rPr>
        <w:object w:dxaOrig="320" w:dyaOrig="380" w14:anchorId="4AB46911">
          <v:shape id="_x0000_i1197" type="#_x0000_t75" style="width:16.85pt;height:18.7pt" o:ole="">
            <v:imagedata r:id="rId337" o:title=""/>
          </v:shape>
          <o:OLEObject Type="Embed" ProgID="Equation.DSMT4" ShapeID="_x0000_i1197" DrawAspect="Content" ObjectID="_1840626763" r:id="rId338"/>
        </w:object>
      </w:r>
      <w:r w:rsidR="00015B17">
        <w:rPr>
          <w:spacing w:val="-3"/>
        </w:rPr>
        <w:t xml:space="preserve"> depending on the kinetic model. We note that for solidification of pure A Eqn. (3.7) reduces to just the difference in molar free energy between pure solid and liquid which is often approximated as</w:t>
      </w:r>
    </w:p>
    <w:p w14:paraId="0C8E201E" w14:textId="77777777" w:rsidR="00015B17" w:rsidRDefault="00015B17" w:rsidP="00015B17">
      <w:pPr>
        <w:tabs>
          <w:tab w:val="left" w:pos="-720"/>
        </w:tabs>
        <w:suppressAutoHyphens/>
        <w:spacing w:line="360" w:lineRule="auto"/>
        <w:jc w:val="center"/>
        <w:rPr>
          <w:spacing w:val="-3"/>
        </w:rPr>
      </w:pPr>
      <w:r w:rsidRPr="00945252">
        <w:rPr>
          <w:spacing w:val="-2"/>
          <w:position w:val="-30"/>
        </w:rPr>
        <w:object w:dxaOrig="1760" w:dyaOrig="720" w14:anchorId="062F8E8A">
          <v:shape id="_x0000_i1198" type="#_x0000_t75" style="width:88.85pt;height:36.45pt" o:ole="">
            <v:imagedata r:id="rId339" o:title=""/>
          </v:shape>
          <o:OLEObject Type="Embed" ProgID="Equation.DSMT4" ShapeID="_x0000_i1198" DrawAspect="Content" ObjectID="_1840626764" r:id="rId340"/>
        </w:object>
      </w:r>
      <w:r>
        <w:rPr>
          <w:spacing w:val="-2"/>
        </w:rPr>
        <w:tab/>
      </w:r>
      <w:r>
        <w:rPr>
          <w:spacing w:val="-2"/>
        </w:rPr>
        <w:tab/>
      </w:r>
      <w:r>
        <w:rPr>
          <w:spacing w:val="-3"/>
        </w:rPr>
        <w:t>(3.8)</w:t>
      </w:r>
    </w:p>
    <w:p w14:paraId="4372D2E6" w14:textId="77777777" w:rsidR="00015B17" w:rsidRDefault="000154A4" w:rsidP="00015B17">
      <w:pPr>
        <w:tabs>
          <w:tab w:val="left" w:pos="-720"/>
        </w:tabs>
        <w:suppressAutoHyphens/>
        <w:spacing w:line="360" w:lineRule="auto"/>
        <w:rPr>
          <w:spacing w:val="-3"/>
        </w:rPr>
      </w:pPr>
      <w:r>
        <w:rPr>
          <w:spacing w:val="-3"/>
        </w:rPr>
        <w:t>w</w:t>
      </w:r>
      <w:r w:rsidR="00015B17">
        <w:rPr>
          <w:spacing w:val="-3"/>
        </w:rPr>
        <w:t xml:space="preserve">here </w:t>
      </w:r>
      <w:r w:rsidR="00015B17" w:rsidRPr="009C7279">
        <w:rPr>
          <w:spacing w:val="-3"/>
          <w:position w:val="-12"/>
        </w:rPr>
        <w:object w:dxaOrig="320" w:dyaOrig="360" w14:anchorId="697C040B">
          <v:shape id="_x0000_i1199" type="#_x0000_t75" style="width:16.85pt;height:17.75pt" o:ole="">
            <v:imagedata r:id="rId341" o:title=""/>
          </v:shape>
          <o:OLEObject Type="Embed" ProgID="Equation.DSMT4" ShapeID="_x0000_i1199" DrawAspect="Content" ObjectID="_1840626765" r:id="rId342"/>
        </w:object>
      </w:r>
      <w:r w:rsidR="00015B17">
        <w:rPr>
          <w:spacing w:val="-3"/>
        </w:rPr>
        <w:t xml:space="preserve"> is the molar heat of fusion.</w:t>
      </w:r>
    </w:p>
    <w:p w14:paraId="27119DA5" w14:textId="77777777" w:rsidR="00015B17" w:rsidRDefault="00015B17" w:rsidP="00015B17">
      <w:pPr>
        <w:tabs>
          <w:tab w:val="left" w:pos="-720"/>
        </w:tabs>
        <w:suppressAutoHyphens/>
        <w:spacing w:line="360" w:lineRule="auto"/>
        <w:jc w:val="both"/>
        <w:rPr>
          <w:spacing w:val="-3"/>
        </w:rPr>
      </w:pPr>
    </w:p>
    <w:p w14:paraId="69D97F7B" w14:textId="77777777" w:rsidR="00015B17" w:rsidRDefault="00015B17" w:rsidP="00015B17">
      <w:pPr>
        <w:tabs>
          <w:tab w:val="left" w:pos="-720"/>
        </w:tabs>
        <w:suppressAutoHyphens/>
        <w:spacing w:line="360" w:lineRule="auto"/>
        <w:rPr>
          <w:spacing w:val="-3"/>
        </w:rPr>
      </w:pPr>
      <w:r>
        <w:rPr>
          <w:spacing w:val="-3"/>
        </w:rPr>
        <w:tab/>
        <w:t xml:space="preserve">Despite the loss of interface equilibrium during rapid solidification, the free energy functions of the solid and liquid phases and their associated chemical potentials can be used to define the possible range of compositions that can exist at the interface at various temperatures.  This restriction is obtained by the requirement that </w:t>
      </w:r>
      <w:r>
        <w:rPr>
          <w:i/>
          <w:iCs/>
          <w:spacing w:val="-3"/>
        </w:rPr>
        <w:t>ΔG</w:t>
      </w:r>
      <w:r>
        <w:rPr>
          <w:spacing w:val="-3"/>
        </w:rPr>
        <w:t xml:space="preserve"> be negative.  For </w:t>
      </w:r>
      <w:r w:rsidRPr="000854C2">
        <w:rPr>
          <w:spacing w:val="-3"/>
          <w:position w:val="-12"/>
        </w:rPr>
        <w:object w:dxaOrig="840" w:dyaOrig="380" w14:anchorId="55B417E0">
          <v:shape id="_x0000_i1200" type="#_x0000_t75" style="width:42.1pt;height:18.7pt" o:ole="">
            <v:imagedata r:id="rId343" o:title=""/>
          </v:shape>
          <o:OLEObject Type="Embed" ProgID="Equation.DSMT4" ShapeID="_x0000_i1200" DrawAspect="Content" ObjectID="_1840626766" r:id="rId344"/>
        </w:object>
      </w:r>
      <w:r>
        <w:rPr>
          <w:spacing w:val="-3"/>
        </w:rPr>
        <w:t xml:space="preserve">, Fig. 3.2 shows the region of allowable values of solid compositions </w:t>
      </w:r>
      <w:r w:rsidRPr="000854C2">
        <w:rPr>
          <w:spacing w:val="-3"/>
          <w:position w:val="-12"/>
        </w:rPr>
        <w:object w:dxaOrig="320" w:dyaOrig="380" w14:anchorId="7904CC35">
          <v:shape id="_x0000_i1201" type="#_x0000_t75" style="width:16.85pt;height:18.7pt" o:ole="">
            <v:imagedata r:id="rId337" o:title=""/>
          </v:shape>
          <o:OLEObject Type="Embed" ProgID="Equation.DSMT4" ShapeID="_x0000_i1201" DrawAspect="Content" ObjectID="_1840626767" r:id="rId345"/>
        </w:object>
      </w:r>
      <w:r>
        <w:rPr>
          <w:spacing w:val="-3"/>
        </w:rPr>
        <w:t xml:space="preserve"> at the interface for a fixed liquid composition, </w:t>
      </w:r>
      <w:r>
        <w:rPr>
          <w:i/>
          <w:iCs/>
          <w:spacing w:val="-3"/>
        </w:rPr>
        <w:t>C</w:t>
      </w:r>
      <w:r w:rsidRPr="00727E8A">
        <w:rPr>
          <w:spacing w:val="-3"/>
          <w:sz w:val="26"/>
          <w:vertAlign w:val="subscript"/>
        </w:rPr>
        <w:t>L</w:t>
      </w:r>
      <w:r w:rsidRPr="00883A53">
        <w:rPr>
          <w:spacing w:val="-3"/>
          <w:sz w:val="26"/>
          <w:vertAlign w:val="superscript"/>
        </w:rPr>
        <w:t>*</w:t>
      </w:r>
      <w:r>
        <w:rPr>
          <w:spacing w:val="-3"/>
        </w:rPr>
        <w:t>, at the interface as a function of interface temperature (BOETTINGER [1982]). Such allowable regions can be calculated from a thermodynamic model of the system of interest.</w:t>
      </w:r>
    </w:p>
    <w:p w14:paraId="57FC88E5" w14:textId="77777777" w:rsidR="00015B17" w:rsidRDefault="00015B17" w:rsidP="00015B17">
      <w:pPr>
        <w:tabs>
          <w:tab w:val="left" w:pos="-720"/>
        </w:tabs>
        <w:suppressAutoHyphens/>
        <w:spacing w:line="360" w:lineRule="auto"/>
        <w:jc w:val="both"/>
        <w:rPr>
          <w:spacing w:val="-3"/>
        </w:rPr>
      </w:pPr>
    </w:p>
    <w:p w14:paraId="0E1C92A9" w14:textId="7A4C4FEC" w:rsidR="00015B17" w:rsidRDefault="00015B17" w:rsidP="00015B17">
      <w:pPr>
        <w:tabs>
          <w:tab w:val="left" w:pos="-720"/>
        </w:tabs>
        <w:suppressAutoHyphens/>
        <w:spacing w:line="360" w:lineRule="auto"/>
        <w:jc w:val="both"/>
        <w:outlineLvl w:val="0"/>
        <w:rPr>
          <w:spacing w:val="-3"/>
        </w:rPr>
      </w:pPr>
      <w:r>
        <w:rPr>
          <w:b/>
          <w:bCs/>
          <w:spacing w:val="-3"/>
        </w:rPr>
        <w:t>3.2 T</w:t>
      </w:r>
      <w:r w:rsidRPr="00727E8A">
        <w:rPr>
          <w:b/>
          <w:bCs/>
          <w:spacing w:val="-3"/>
          <w:sz w:val="26"/>
          <w:vertAlign w:val="subscript"/>
        </w:rPr>
        <w:t>0</w:t>
      </w:r>
      <w:r>
        <w:rPr>
          <w:b/>
          <w:bCs/>
          <w:spacing w:val="-3"/>
        </w:rPr>
        <w:t xml:space="preserve"> Curves</w:t>
      </w:r>
      <w:r>
        <w:rPr>
          <w:spacing w:val="-3"/>
        </w:rPr>
        <w:t xml:space="preserve">  </w:t>
      </w:r>
    </w:p>
    <w:p w14:paraId="79330C39" w14:textId="77777777" w:rsidR="00015B17" w:rsidRDefault="00015B17" w:rsidP="00015B17">
      <w:pPr>
        <w:tabs>
          <w:tab w:val="left" w:pos="-720"/>
        </w:tabs>
        <w:suppressAutoHyphens/>
        <w:spacing w:line="360" w:lineRule="auto"/>
        <w:jc w:val="both"/>
        <w:rPr>
          <w:spacing w:val="-3"/>
        </w:rPr>
      </w:pPr>
      <w:r>
        <w:rPr>
          <w:spacing w:val="-3"/>
        </w:rPr>
        <w:tab/>
      </w:r>
    </w:p>
    <w:p w14:paraId="3668D4B4" w14:textId="7E3C0C6D" w:rsidR="00015B17" w:rsidRDefault="00015B17" w:rsidP="00015B17">
      <w:pPr>
        <w:tabs>
          <w:tab w:val="left" w:pos="-720"/>
        </w:tabs>
        <w:suppressAutoHyphens/>
        <w:spacing w:line="360" w:lineRule="auto"/>
        <w:rPr>
          <w:spacing w:val="-3"/>
        </w:rPr>
      </w:pPr>
      <w:r>
        <w:rPr>
          <w:spacing w:val="-3"/>
        </w:rPr>
        <w:tab/>
        <w:t>As shown in Fig. 3.2, a thermodynamic temperature can be described for any selected pair of liquid and solid compositions that is the highest temperature at which the crystallization can occur. A limiting case can be considered</w:t>
      </w:r>
      <w:r w:rsidRPr="00A67167">
        <w:rPr>
          <w:spacing w:val="-3"/>
        </w:rPr>
        <w:t xml:space="preserve"> </w:t>
      </w:r>
      <w:r>
        <w:rPr>
          <w:spacing w:val="-3"/>
        </w:rPr>
        <w:t xml:space="preserve">where the composition of the solid formed at the interface, </w:t>
      </w:r>
      <w:r>
        <w:rPr>
          <w:i/>
          <w:iCs/>
          <w:spacing w:val="-3"/>
        </w:rPr>
        <w:t>C</w:t>
      </w:r>
      <w:r w:rsidRPr="00727E8A">
        <w:rPr>
          <w:i/>
          <w:iCs/>
          <w:spacing w:val="-3"/>
          <w:sz w:val="26"/>
          <w:vertAlign w:val="subscript"/>
        </w:rPr>
        <w:t>s</w:t>
      </w:r>
      <w:r w:rsidRPr="00883A53">
        <w:rPr>
          <w:i/>
          <w:iCs/>
          <w:spacing w:val="-3"/>
          <w:sz w:val="26"/>
          <w:vertAlign w:val="superscript"/>
        </w:rPr>
        <w:t>*</w:t>
      </w:r>
      <w:r>
        <w:rPr>
          <w:i/>
          <w:iCs/>
          <w:spacing w:val="-3"/>
        </w:rPr>
        <w:t xml:space="preserve">, </w:t>
      </w:r>
      <w:r>
        <w:rPr>
          <w:spacing w:val="-3"/>
        </w:rPr>
        <w:t xml:space="preserve">equals the composition of the liquid at the interface, </w:t>
      </w:r>
      <w:r>
        <w:rPr>
          <w:i/>
          <w:iCs/>
          <w:spacing w:val="-3"/>
        </w:rPr>
        <w:t>C</w:t>
      </w:r>
      <w:r w:rsidRPr="00727E8A">
        <w:rPr>
          <w:i/>
          <w:iCs/>
          <w:spacing w:val="-3"/>
          <w:sz w:val="26"/>
          <w:vertAlign w:val="subscript"/>
        </w:rPr>
        <w:t>L</w:t>
      </w:r>
      <w:r w:rsidRPr="00883A53">
        <w:rPr>
          <w:i/>
          <w:iCs/>
          <w:spacing w:val="-3"/>
          <w:sz w:val="26"/>
          <w:vertAlign w:val="superscript"/>
        </w:rPr>
        <w:t>*</w:t>
      </w:r>
      <w:r>
        <w:rPr>
          <w:spacing w:val="-3"/>
        </w:rPr>
        <w:t>. This is called</w:t>
      </w:r>
      <w:r>
        <w:rPr>
          <w:i/>
          <w:iCs/>
          <w:spacing w:val="-3"/>
        </w:rPr>
        <w:t xml:space="preserve"> partitionless solidification</w:t>
      </w:r>
      <w:r>
        <w:rPr>
          <w:spacing w:val="-3"/>
        </w:rPr>
        <w:t xml:space="preserve">, and is favored at very high solidification rate. The </w:t>
      </w:r>
      <w:r>
        <w:rPr>
          <w:i/>
          <w:iCs/>
          <w:spacing w:val="-3"/>
        </w:rPr>
        <w:t>T</w:t>
      </w:r>
      <w:r w:rsidRPr="00727E8A">
        <w:rPr>
          <w:spacing w:val="-3"/>
          <w:sz w:val="26"/>
          <w:vertAlign w:val="subscript"/>
        </w:rPr>
        <w:t>0</w:t>
      </w:r>
      <w:r>
        <w:rPr>
          <w:spacing w:val="-3"/>
        </w:rPr>
        <w:t xml:space="preserve"> temperature is defined as the highest interface temperature where this can occur (APTEKAR and KAMENETSKAYA [1962]), (BILONI and CHALMERS [1965]). This temperature traces a curve as a function of interface composition that lies between the liquidus and solidus curves of the phase diagram. The curve is found thermodynamically by finding the temperature where the molar free energies of the liquid and solid phases are equal for the interface composition of interest. It is the temperature where </w:t>
      </w:r>
      <w:r>
        <w:rPr>
          <w:i/>
          <w:iCs/>
          <w:spacing w:val="-3"/>
        </w:rPr>
        <w:t>ΔG</w:t>
      </w:r>
      <w:r w:rsidR="005F6459">
        <w:rPr>
          <w:i/>
          <w:iCs/>
          <w:spacing w:val="-3"/>
        </w:rPr>
        <w:t xml:space="preserve"> </w:t>
      </w:r>
      <w:r>
        <w:rPr>
          <w:spacing w:val="-3"/>
        </w:rPr>
        <w:t>=</w:t>
      </w:r>
      <w:r w:rsidR="005F6459">
        <w:rPr>
          <w:spacing w:val="-3"/>
        </w:rPr>
        <w:t xml:space="preserve"> </w:t>
      </w:r>
      <w:r>
        <w:rPr>
          <w:spacing w:val="-3"/>
        </w:rPr>
        <w:t xml:space="preserve">0 for </w:t>
      </w:r>
      <w:r w:rsidRPr="00D33165">
        <w:rPr>
          <w:spacing w:val="-3"/>
          <w:position w:val="-12"/>
        </w:rPr>
        <w:object w:dxaOrig="1680" w:dyaOrig="360" w14:anchorId="481AF34E">
          <v:shape id="_x0000_i1202" type="#_x0000_t75" style="width:84.15pt;height:17.75pt" o:ole="">
            <v:imagedata r:id="rId346" o:title=""/>
          </v:shape>
          <o:OLEObject Type="Embed" ProgID="Equation.DSMT4" ShapeID="_x0000_i1202" DrawAspect="Content" ObjectID="_1840626768" r:id="rId347"/>
        </w:object>
      </w:r>
      <w:r>
        <w:rPr>
          <w:spacing w:val="-3"/>
        </w:rPr>
        <w:t xml:space="preserve"> in Eqn. (3.7).</w:t>
      </w:r>
    </w:p>
    <w:p w14:paraId="6EB4C9BD" w14:textId="77777777" w:rsidR="00015B17" w:rsidRDefault="00015B17" w:rsidP="00015B17">
      <w:pPr>
        <w:tabs>
          <w:tab w:val="left" w:pos="-720"/>
        </w:tabs>
        <w:suppressAutoHyphens/>
        <w:spacing w:line="360" w:lineRule="auto"/>
        <w:rPr>
          <w:spacing w:val="-3"/>
        </w:rPr>
      </w:pPr>
    </w:p>
    <w:p w14:paraId="28AC5B63" w14:textId="49FBEAE1" w:rsidR="00015B17" w:rsidRDefault="00015B17" w:rsidP="00015B17">
      <w:pPr>
        <w:tabs>
          <w:tab w:val="left" w:pos="-720"/>
        </w:tabs>
        <w:suppressAutoHyphens/>
        <w:spacing w:line="360" w:lineRule="auto"/>
        <w:rPr>
          <w:spacing w:val="-3"/>
        </w:rPr>
      </w:pPr>
      <w:r>
        <w:rPr>
          <w:i/>
          <w:iCs/>
          <w:spacing w:val="-3"/>
        </w:rPr>
        <w:tab/>
        <w:t>T</w:t>
      </w:r>
      <w:r w:rsidRPr="00727E8A">
        <w:rPr>
          <w:spacing w:val="-3"/>
          <w:sz w:val="26"/>
          <w:vertAlign w:val="subscript"/>
        </w:rPr>
        <w:t>0</w:t>
      </w:r>
      <w:r>
        <w:rPr>
          <w:spacing w:val="-3"/>
        </w:rPr>
        <w:t xml:space="preserve"> curves exist for the liquid with stable or metastable phases, and lie between the liquidus and solidus for those phases. In </w:t>
      </w:r>
      <w:r w:rsidR="003B1B72">
        <w:rPr>
          <w:spacing w:val="-3"/>
        </w:rPr>
        <w:t>fact,</w:t>
      </w:r>
      <w:r>
        <w:rPr>
          <w:spacing w:val="-3"/>
        </w:rPr>
        <w:t xml:space="preserve"> for dilute alloys</w:t>
      </w:r>
      <w:r w:rsidR="00001732">
        <w:rPr>
          <w:spacing w:val="-3"/>
        </w:rPr>
        <w:t>,</w:t>
      </w:r>
      <w:r>
        <w:rPr>
          <w:spacing w:val="-3"/>
        </w:rPr>
        <w:t xml:space="preserve"> the slope of the </w:t>
      </w:r>
      <w:r>
        <w:rPr>
          <w:i/>
          <w:iCs/>
          <w:spacing w:val="-3"/>
        </w:rPr>
        <w:t>T</w:t>
      </w:r>
      <w:r w:rsidRPr="00727E8A">
        <w:rPr>
          <w:i/>
          <w:iCs/>
          <w:spacing w:val="-3"/>
          <w:sz w:val="26"/>
          <w:vertAlign w:val="subscript"/>
        </w:rPr>
        <w:t>0</w:t>
      </w:r>
      <w:r>
        <w:rPr>
          <w:spacing w:val="-3"/>
        </w:rPr>
        <w:t xml:space="preserve"> curve is </w:t>
      </w:r>
      <w:r w:rsidR="00130F31" w:rsidRPr="00130F31">
        <w:rPr>
          <w:spacing w:val="-3"/>
          <w:position w:val="-10"/>
        </w:rPr>
        <w:object w:dxaOrig="2160" w:dyaOrig="360" w14:anchorId="4CF4E076">
          <v:shape id="_x0000_i1203" type="#_x0000_t75" style="width:108.45pt;height:17.75pt" o:ole="">
            <v:imagedata r:id="rId348" o:title=""/>
          </v:shape>
          <o:OLEObject Type="Embed" ProgID="Equation.DSMT4" ShapeID="_x0000_i1203" DrawAspect="Content" ObjectID="_1840626769" r:id="rId349"/>
        </w:object>
      </w:r>
      <w:r>
        <w:rPr>
          <w:spacing w:val="-3"/>
        </w:rPr>
        <w:t xml:space="preserve"> Fig. 3.3 shows schematically, possible </w:t>
      </w:r>
      <w:r>
        <w:rPr>
          <w:i/>
          <w:iCs/>
          <w:spacing w:val="-3"/>
        </w:rPr>
        <w:t>T</w:t>
      </w:r>
      <w:r w:rsidRPr="00727E8A">
        <w:rPr>
          <w:spacing w:val="-3"/>
          <w:sz w:val="26"/>
          <w:vertAlign w:val="subscript"/>
        </w:rPr>
        <w:t>0</w:t>
      </w:r>
      <w:r>
        <w:rPr>
          <w:spacing w:val="-3"/>
        </w:rPr>
        <w:t xml:space="preserve"> curves for three eutectic phase diagrams (BOETTINGER [1982]). An important use of these curves is to determine whether a bound exists for the extension of solubility by rapid melt quenching.  If the </w:t>
      </w:r>
      <w:r>
        <w:rPr>
          <w:i/>
          <w:iCs/>
          <w:spacing w:val="-3"/>
        </w:rPr>
        <w:t>T</w:t>
      </w:r>
      <w:r w:rsidRPr="00727E8A">
        <w:rPr>
          <w:spacing w:val="-3"/>
          <w:sz w:val="26"/>
          <w:vertAlign w:val="subscript"/>
        </w:rPr>
        <w:t>0</w:t>
      </w:r>
      <w:r>
        <w:rPr>
          <w:spacing w:val="-3"/>
        </w:rPr>
        <w:t xml:space="preserve"> curves plunge to very low temperatures as in Fig. 3.3a, single phase α or ß crystals with composition beyond their respective </w:t>
      </w:r>
      <w:r>
        <w:rPr>
          <w:i/>
          <w:iCs/>
          <w:spacing w:val="-3"/>
        </w:rPr>
        <w:t>T</w:t>
      </w:r>
      <w:r w:rsidRPr="00727E8A">
        <w:rPr>
          <w:spacing w:val="-3"/>
          <w:sz w:val="26"/>
          <w:vertAlign w:val="subscript"/>
        </w:rPr>
        <w:t>0</w:t>
      </w:r>
      <w:r>
        <w:rPr>
          <w:spacing w:val="-3"/>
        </w:rPr>
        <w:t xml:space="preserve"> curves cannot be formed from the melt.  In fact, for phases with a retrograde solidus, the</w:t>
      </w:r>
      <w:r>
        <w:rPr>
          <w:i/>
          <w:iCs/>
          <w:spacing w:val="-3"/>
        </w:rPr>
        <w:t xml:space="preserve"> T</w:t>
      </w:r>
      <w:r w:rsidRPr="00727E8A">
        <w:rPr>
          <w:spacing w:val="-3"/>
          <w:sz w:val="26"/>
          <w:vertAlign w:val="subscript"/>
        </w:rPr>
        <w:t>0</w:t>
      </w:r>
      <w:r>
        <w:rPr>
          <w:spacing w:val="-3"/>
        </w:rPr>
        <w:t xml:space="preserve"> curve plunges to absolute zero at a composition no greater than the liquidus composition at the retrograde temperature, thus placing a bound on solubility extension (CAHN et al. [1980]). A retrograde solidus is solidus whose slope becomes infinite </w:t>
      </w:r>
      <w:r w:rsidR="00130F31">
        <w:rPr>
          <w:spacing w:val="-3"/>
        </w:rPr>
        <w:t xml:space="preserve">at some </w:t>
      </w:r>
      <w:r>
        <w:rPr>
          <w:spacing w:val="-3"/>
        </w:rPr>
        <w:t>temperature. Experiments on laser-melted doped Si alloys seem to confirm this bound (WHITE et al. [1983]).  Eutectic systems with plunging</w:t>
      </w:r>
      <w:r>
        <w:rPr>
          <w:i/>
          <w:iCs/>
          <w:spacing w:val="-3"/>
        </w:rPr>
        <w:t xml:space="preserve"> T</w:t>
      </w:r>
      <w:r w:rsidRPr="00727E8A">
        <w:rPr>
          <w:spacing w:val="-3"/>
          <w:sz w:val="26"/>
          <w:vertAlign w:val="subscript"/>
        </w:rPr>
        <w:t>0</w:t>
      </w:r>
      <w:r>
        <w:rPr>
          <w:spacing w:val="-3"/>
        </w:rPr>
        <w:t xml:space="preserve"> curves are good candidates for easy metallic glass formation.  An alloy in the center of such a phase diagram can only </w:t>
      </w:r>
      <w:r w:rsidRPr="000154A4">
        <w:rPr>
          <w:i/>
          <w:spacing w:val="-3"/>
        </w:rPr>
        <w:t>crystallize</w:t>
      </w:r>
      <w:r>
        <w:rPr>
          <w:spacing w:val="-3"/>
        </w:rPr>
        <w:t xml:space="preserve"> into a mixture of solid phases with different compositions regardless of the departure from equilibrium.  The diffusional kinetics of </w:t>
      </w:r>
      <w:r w:rsidR="00130F31">
        <w:rPr>
          <w:spacing w:val="-3"/>
        </w:rPr>
        <w:t xml:space="preserve">creating solid phases from </w:t>
      </w:r>
      <w:r>
        <w:rPr>
          <w:spacing w:val="-3"/>
        </w:rPr>
        <w:t>the liquid phase depresses the solidification temperature to near the glass transition,</w:t>
      </w:r>
      <w:r>
        <w:rPr>
          <w:i/>
          <w:iCs/>
          <w:spacing w:val="-3"/>
        </w:rPr>
        <w:t xml:space="preserve"> T</w:t>
      </w:r>
      <w:r w:rsidRPr="003E0F31">
        <w:rPr>
          <w:spacing w:val="-3"/>
          <w:sz w:val="26"/>
          <w:szCs w:val="26"/>
          <w:vertAlign w:val="subscript"/>
        </w:rPr>
        <w:t>g</w:t>
      </w:r>
      <w:r>
        <w:rPr>
          <w:spacing w:val="-3"/>
        </w:rPr>
        <w:t>, where an increased liquid viscosity effectively halts crystallization.</w:t>
      </w:r>
    </w:p>
    <w:p w14:paraId="773AA507" w14:textId="77777777" w:rsidR="000154A4" w:rsidRDefault="000154A4" w:rsidP="00015B17">
      <w:pPr>
        <w:tabs>
          <w:tab w:val="left" w:pos="-720"/>
        </w:tabs>
        <w:suppressAutoHyphens/>
        <w:spacing w:line="360" w:lineRule="auto"/>
        <w:rPr>
          <w:spacing w:val="-3"/>
        </w:rPr>
      </w:pPr>
    </w:p>
    <w:p w14:paraId="1FD9E300" w14:textId="4603A4B0" w:rsidR="00015B17" w:rsidRDefault="00015B17" w:rsidP="00015B17">
      <w:pPr>
        <w:tabs>
          <w:tab w:val="left" w:pos="-720"/>
        </w:tabs>
        <w:suppressAutoHyphens/>
        <w:spacing w:line="360" w:lineRule="auto"/>
        <w:rPr>
          <w:spacing w:val="-3"/>
        </w:rPr>
      </w:pPr>
      <w:r>
        <w:rPr>
          <w:spacing w:val="-3"/>
        </w:rPr>
        <w:tab/>
        <w:t xml:space="preserve">In contrast, alloys with </w:t>
      </w:r>
      <w:r>
        <w:rPr>
          <w:i/>
          <w:iCs/>
          <w:spacing w:val="-3"/>
        </w:rPr>
        <w:t>T</w:t>
      </w:r>
      <w:r w:rsidRPr="00727E8A">
        <w:rPr>
          <w:spacing w:val="-3"/>
          <w:sz w:val="26"/>
          <w:vertAlign w:val="subscript"/>
        </w:rPr>
        <w:t>0</w:t>
      </w:r>
      <w:r>
        <w:rPr>
          <w:spacing w:val="-3"/>
        </w:rPr>
        <w:t xml:space="preserve"> curves </w:t>
      </w:r>
      <w:r w:rsidR="00130F31">
        <w:rPr>
          <w:spacing w:val="-3"/>
        </w:rPr>
        <w:t xml:space="preserve">that </w:t>
      </w:r>
      <w:r>
        <w:rPr>
          <w:spacing w:val="-3"/>
        </w:rPr>
        <w:t>are only slightly depressed below the stable liquidus curves, as in Fig. 3.3b, c, make good candidates for extension of the solubility limit of the solid (crystalline) phase and unlikely ones for glass formation.  In Fig. 3.3b the crystal structures of α and β are different and the</w:t>
      </w:r>
      <w:r>
        <w:rPr>
          <w:i/>
          <w:iCs/>
          <w:spacing w:val="-3"/>
        </w:rPr>
        <w:t xml:space="preserve"> T</w:t>
      </w:r>
      <w:r w:rsidRPr="00727E8A">
        <w:rPr>
          <w:spacing w:val="-3"/>
          <w:sz w:val="26"/>
          <w:vertAlign w:val="subscript"/>
        </w:rPr>
        <w:t>0</w:t>
      </w:r>
      <w:r>
        <w:rPr>
          <w:spacing w:val="-3"/>
        </w:rPr>
        <w:t xml:space="preserve"> curve cross, whereas in Fig. 3.3c the crystal structures are the same and the </w:t>
      </w:r>
      <w:r>
        <w:rPr>
          <w:i/>
          <w:iCs/>
          <w:spacing w:val="-3"/>
        </w:rPr>
        <w:t>T</w:t>
      </w:r>
      <w:r w:rsidRPr="00727E8A">
        <w:rPr>
          <w:spacing w:val="-3"/>
          <w:sz w:val="26"/>
          <w:vertAlign w:val="subscript"/>
        </w:rPr>
        <w:t>0</w:t>
      </w:r>
      <w:r>
        <w:rPr>
          <w:spacing w:val="-3"/>
        </w:rPr>
        <w:t xml:space="preserve"> curve is continuous across the diagram. At temperatures and liquid compositions below the </w:t>
      </w:r>
      <w:r>
        <w:rPr>
          <w:i/>
          <w:iCs/>
          <w:spacing w:val="-3"/>
        </w:rPr>
        <w:t>T</w:t>
      </w:r>
      <w:r w:rsidRPr="00727E8A">
        <w:rPr>
          <w:spacing w:val="-3"/>
          <w:sz w:val="26"/>
          <w:vertAlign w:val="subscript"/>
        </w:rPr>
        <w:t>0</w:t>
      </w:r>
      <w:r>
        <w:rPr>
          <w:spacing w:val="-3"/>
        </w:rPr>
        <w:t xml:space="preserve"> curves, partitionless solidification is thermodynamically possible. Ni-Cr and Ag-Cu are examples of the behavior in Fig. 3.3b,</w:t>
      </w:r>
      <w:r w:rsidR="00130F31">
        <w:rPr>
          <w:spacing w:val="-3"/>
        </w:rPr>
        <w:t xml:space="preserve"> and Fig. 3.3</w:t>
      </w:r>
      <w:r>
        <w:rPr>
          <w:spacing w:val="-3"/>
        </w:rPr>
        <w:t>c respectively.</w:t>
      </w:r>
      <w:r w:rsidRPr="00F57C81">
        <w:rPr>
          <w:spacing w:val="-3"/>
        </w:rPr>
        <w:t xml:space="preserve"> </w:t>
      </w:r>
      <w:r>
        <w:rPr>
          <w:spacing w:val="-3"/>
        </w:rPr>
        <w:t>Solubility limit extension is useful metallurgically because of the possibility of the development of larger fractions of strengthening precipitates (</w:t>
      </w:r>
      <w:r w:rsidR="00A53CF1">
        <w:rPr>
          <w:spacing w:val="-3"/>
        </w:rPr>
        <w:t>dispersoids</w:t>
      </w:r>
      <w:r>
        <w:rPr>
          <w:spacing w:val="-3"/>
        </w:rPr>
        <w:t>) during subsequent thermal processing (although limited to only once such thermal cycle).</w:t>
      </w:r>
    </w:p>
    <w:p w14:paraId="04E62862" w14:textId="77777777" w:rsidR="00015B17" w:rsidRDefault="00015B17" w:rsidP="00015B17">
      <w:pPr>
        <w:tabs>
          <w:tab w:val="left" w:pos="-720"/>
        </w:tabs>
        <w:suppressAutoHyphens/>
        <w:spacing w:line="360" w:lineRule="auto"/>
        <w:jc w:val="both"/>
        <w:rPr>
          <w:spacing w:val="-3"/>
        </w:rPr>
      </w:pPr>
    </w:p>
    <w:p w14:paraId="0CA7DF9E" w14:textId="77777777" w:rsidR="00015B17" w:rsidRPr="00BC7F6A" w:rsidRDefault="00015B17" w:rsidP="00015B17">
      <w:pPr>
        <w:tabs>
          <w:tab w:val="left" w:pos="-720"/>
        </w:tabs>
        <w:suppressAutoHyphens/>
        <w:spacing w:line="360" w:lineRule="auto"/>
        <w:jc w:val="both"/>
        <w:outlineLvl w:val="0"/>
        <w:rPr>
          <w:b/>
          <w:spacing w:val="-3"/>
        </w:rPr>
      </w:pPr>
      <w:r w:rsidRPr="00BC7F6A">
        <w:rPr>
          <w:b/>
          <w:spacing w:val="-3"/>
        </w:rPr>
        <w:t xml:space="preserve">3.3 Thermodynamic Databases </w:t>
      </w:r>
    </w:p>
    <w:p w14:paraId="1F3A63BA" w14:textId="77777777" w:rsidR="00015B17" w:rsidRDefault="00015B17" w:rsidP="00015B17">
      <w:pPr>
        <w:tabs>
          <w:tab w:val="left" w:pos="-720"/>
        </w:tabs>
        <w:suppressAutoHyphens/>
        <w:spacing w:line="360" w:lineRule="auto"/>
        <w:jc w:val="both"/>
        <w:rPr>
          <w:spacing w:val="-3"/>
        </w:rPr>
      </w:pPr>
    </w:p>
    <w:p w14:paraId="1E109A4F" w14:textId="4A2EB5B0" w:rsidR="00015B17" w:rsidRDefault="00015B17" w:rsidP="00015B17">
      <w:pPr>
        <w:tabs>
          <w:tab w:val="left" w:pos="-720"/>
        </w:tabs>
        <w:suppressAutoHyphens/>
        <w:spacing w:line="360" w:lineRule="auto"/>
        <w:rPr>
          <w:spacing w:val="-3"/>
        </w:rPr>
      </w:pPr>
      <w:r>
        <w:rPr>
          <w:spacing w:val="-3"/>
        </w:rPr>
        <w:lastRenderedPageBreak/>
        <w:tab/>
      </w:r>
      <w:r w:rsidRPr="002707B9">
        <w:rPr>
          <w:spacing w:val="-3"/>
        </w:rPr>
        <w:t>In addition to experimental work</w:t>
      </w:r>
      <w:r>
        <w:rPr>
          <w:spacing w:val="-3"/>
        </w:rPr>
        <w:t xml:space="preserve"> to determine phase diagrams</w:t>
      </w:r>
      <w:r w:rsidRPr="002707B9">
        <w:rPr>
          <w:spacing w:val="-3"/>
        </w:rPr>
        <w:t xml:space="preserve">, researchers have sought to determine </w:t>
      </w:r>
      <w:r>
        <w:rPr>
          <w:spacing w:val="-3"/>
        </w:rPr>
        <w:t xml:space="preserve">the underlying </w:t>
      </w:r>
      <w:r w:rsidRPr="002707B9">
        <w:rPr>
          <w:spacing w:val="-3"/>
        </w:rPr>
        <w:t>free energy functions of phases by two methods. The first method uses first principle calculation of interaction energies between atoms in the various phases</w:t>
      </w:r>
      <w:r>
        <w:rPr>
          <w:spacing w:val="-3"/>
        </w:rPr>
        <w:t xml:space="preserve"> and </w:t>
      </w:r>
      <w:r w:rsidRPr="002707B9">
        <w:rPr>
          <w:spacing w:val="-3"/>
        </w:rPr>
        <w:t>statistical mechanics</w:t>
      </w:r>
      <w:r>
        <w:rPr>
          <w:spacing w:val="-3"/>
        </w:rPr>
        <w:t xml:space="preserve"> (Asta et al. [2001], </w:t>
      </w:r>
      <w:r w:rsidRPr="00FA4235">
        <w:rPr>
          <w:spacing w:val="-3"/>
        </w:rPr>
        <w:t xml:space="preserve">van de Walle and Ceder </w:t>
      </w:r>
      <w:r>
        <w:rPr>
          <w:spacing w:val="-3"/>
        </w:rPr>
        <w:t>[</w:t>
      </w:r>
      <w:r w:rsidRPr="00FA4235">
        <w:rPr>
          <w:spacing w:val="-3"/>
        </w:rPr>
        <w:t>2002</w:t>
      </w:r>
      <w:r>
        <w:rPr>
          <w:spacing w:val="-3"/>
        </w:rPr>
        <w:t>])</w:t>
      </w:r>
      <w:r w:rsidRPr="002707B9">
        <w:rPr>
          <w:spacing w:val="-3"/>
        </w:rPr>
        <w:t xml:space="preserve">. </w:t>
      </w:r>
      <w:r>
        <w:rPr>
          <w:spacing w:val="-3"/>
        </w:rPr>
        <w:t xml:space="preserve">Progress with this method has been impressive and is providing much needed formation energies for the second method. However improvements of the accuracy of the temperature scale are required for engineering metallurgical processing. </w:t>
      </w:r>
      <w:r w:rsidRPr="002707B9">
        <w:rPr>
          <w:spacing w:val="-3"/>
        </w:rPr>
        <w:t>The second method, which is referred to as the CALPHAD method, employs simple, mathematically analytical, free energy functions of the phases that approximate physical models for the atomic i</w:t>
      </w:r>
      <w:r>
        <w:rPr>
          <w:spacing w:val="-3"/>
        </w:rPr>
        <w:t xml:space="preserve">nteractions in each phase (e.g. see Andersson et al. [2002]). The </w:t>
      </w:r>
      <w:r w:rsidRPr="002707B9">
        <w:rPr>
          <w:spacing w:val="-3"/>
        </w:rPr>
        <w:t>regular solution model</w:t>
      </w:r>
      <w:r w:rsidR="00130F31">
        <w:rPr>
          <w:spacing w:val="-3"/>
        </w:rPr>
        <w:t>, its generalization,</w:t>
      </w:r>
      <w:r w:rsidRPr="002707B9">
        <w:rPr>
          <w:spacing w:val="-3"/>
        </w:rPr>
        <w:t xml:space="preserve"> </w:t>
      </w:r>
      <w:r>
        <w:rPr>
          <w:spacing w:val="-3"/>
        </w:rPr>
        <w:t>and its extension to multiple sublattices are</w:t>
      </w:r>
      <w:r w:rsidRPr="002707B9">
        <w:rPr>
          <w:spacing w:val="-3"/>
        </w:rPr>
        <w:t xml:space="preserve"> example</w:t>
      </w:r>
      <w:r>
        <w:rPr>
          <w:spacing w:val="-3"/>
        </w:rPr>
        <w:t>s of this approach</w:t>
      </w:r>
      <w:r w:rsidRPr="002707B9">
        <w:rPr>
          <w:spacing w:val="-3"/>
        </w:rPr>
        <w:t xml:space="preserve">. Sets of free energy functions </w:t>
      </w:r>
      <w:r>
        <w:rPr>
          <w:spacing w:val="-3"/>
        </w:rPr>
        <w:t xml:space="preserve">for phases </w:t>
      </w:r>
      <w:r w:rsidRPr="002707B9">
        <w:rPr>
          <w:spacing w:val="-3"/>
        </w:rPr>
        <w:t>are published in the literature for many b</w:t>
      </w:r>
      <w:r>
        <w:rPr>
          <w:spacing w:val="-3"/>
        </w:rPr>
        <w:t xml:space="preserve">inary and ternary systems providing a compact data set for complex alloy constitution. </w:t>
      </w:r>
      <w:r w:rsidRPr="002707B9">
        <w:rPr>
          <w:spacing w:val="-3"/>
        </w:rPr>
        <w:t xml:space="preserve">Numerical parameters for these analytical functions are obtained by fitting the </w:t>
      </w:r>
      <w:r>
        <w:rPr>
          <w:spacing w:val="-3"/>
        </w:rPr>
        <w:t xml:space="preserve">available </w:t>
      </w:r>
      <w:r w:rsidRPr="002707B9">
        <w:rPr>
          <w:spacing w:val="-3"/>
        </w:rPr>
        <w:t>thermodynamic data (calorimetry, vapor pressure, emf, etc.</w:t>
      </w:r>
      <w:r>
        <w:rPr>
          <w:spacing w:val="-3"/>
        </w:rPr>
        <w:t xml:space="preserve"> and first principle derived formation energies</w:t>
      </w:r>
      <w:r w:rsidRPr="002707B9">
        <w:rPr>
          <w:spacing w:val="-3"/>
        </w:rPr>
        <w:t xml:space="preserve">) and the experimental phase diagram.  Fig. </w:t>
      </w:r>
      <w:r>
        <w:rPr>
          <w:spacing w:val="-3"/>
        </w:rPr>
        <w:t xml:space="preserve">3.4 </w:t>
      </w:r>
      <w:r w:rsidRPr="002707B9">
        <w:rPr>
          <w:spacing w:val="-3"/>
        </w:rPr>
        <w:t xml:space="preserve">shows the calculated phase diagram </w:t>
      </w:r>
      <w:r>
        <w:rPr>
          <w:spacing w:val="-3"/>
        </w:rPr>
        <w:t xml:space="preserve">by Ansara et al. [1998] </w:t>
      </w:r>
      <w:r w:rsidRPr="002707B9">
        <w:rPr>
          <w:spacing w:val="-3"/>
        </w:rPr>
        <w:t>for the Co-Mo system compared to the experimental data.</w:t>
      </w:r>
      <w:r>
        <w:rPr>
          <w:spacing w:val="-3"/>
        </w:rPr>
        <w:t xml:space="preserve"> </w:t>
      </w:r>
      <w:r w:rsidRPr="002707B9">
        <w:rPr>
          <w:spacing w:val="-3"/>
        </w:rPr>
        <w:t>For higher order systems, considerable success has been achieved using thermodynamic treatment of the ternary subsystems and employing thermodynamic extrapolation method</w:t>
      </w:r>
      <w:r w:rsidR="000154A4">
        <w:rPr>
          <w:spacing w:val="-3"/>
        </w:rPr>
        <w:t>s</w:t>
      </w:r>
      <w:r w:rsidRPr="002707B9">
        <w:rPr>
          <w:spacing w:val="-3"/>
        </w:rPr>
        <w:t xml:space="preserve"> to treat the quaternary and all higher order systems. </w:t>
      </w:r>
    </w:p>
    <w:p w14:paraId="7DFC83F7" w14:textId="77777777" w:rsidR="00015B17" w:rsidRDefault="00015B17" w:rsidP="00015B17">
      <w:pPr>
        <w:tabs>
          <w:tab w:val="left" w:pos="-720"/>
        </w:tabs>
        <w:suppressAutoHyphens/>
        <w:spacing w:line="360" w:lineRule="auto"/>
        <w:rPr>
          <w:spacing w:val="-3"/>
        </w:rPr>
      </w:pPr>
    </w:p>
    <w:p w14:paraId="5B5F8E91" w14:textId="0B0D8680" w:rsidR="00015B17" w:rsidRDefault="00015B17" w:rsidP="00015B17">
      <w:pPr>
        <w:tabs>
          <w:tab w:val="left" w:pos="-720"/>
        </w:tabs>
        <w:suppressAutoHyphens/>
        <w:spacing w:line="360" w:lineRule="auto"/>
        <w:rPr>
          <w:spacing w:val="-3"/>
        </w:rPr>
      </w:pPr>
      <w:r>
        <w:rPr>
          <w:spacing w:val="-3"/>
        </w:rPr>
        <w:tab/>
      </w:r>
      <w:r w:rsidRPr="002707B9">
        <w:rPr>
          <w:spacing w:val="-3"/>
        </w:rPr>
        <w:t xml:space="preserve">The thermodynamic calculation approach to phase diagrams permits estimates to be made for </w:t>
      </w:r>
      <w:r w:rsidR="00130F31">
        <w:rPr>
          <w:spacing w:val="-3"/>
        </w:rPr>
        <w:t xml:space="preserve">the solidification of </w:t>
      </w:r>
      <w:r w:rsidRPr="002707B9">
        <w:rPr>
          <w:spacing w:val="-3"/>
        </w:rPr>
        <w:t xml:space="preserve">complex practical materials. </w:t>
      </w:r>
      <w:r>
        <w:rPr>
          <w:spacing w:val="-3"/>
        </w:rPr>
        <w:t>As an</w:t>
      </w:r>
      <w:r w:rsidRPr="002707B9">
        <w:rPr>
          <w:spacing w:val="-3"/>
        </w:rPr>
        <w:t xml:space="preserve"> example, the constituent ternary subsystems of the Ni-Cr-Co-Ti-Ta-Al-Mo-W system have been modeled</w:t>
      </w:r>
      <w:r w:rsidR="00B6250D">
        <w:rPr>
          <w:spacing w:val="-3"/>
        </w:rPr>
        <w:t xml:space="preserve"> and a</w:t>
      </w:r>
      <w:r w:rsidRPr="002707B9">
        <w:rPr>
          <w:spacing w:val="-3"/>
        </w:rPr>
        <w:t xml:space="preserve"> thermodynamic interpolation method  applied to produce predictions for </w:t>
      </w:r>
      <w:r w:rsidR="00130F31">
        <w:rPr>
          <w:spacing w:val="-3"/>
        </w:rPr>
        <w:t>an</w:t>
      </w:r>
      <w:r w:rsidR="00130F31" w:rsidRPr="002707B9">
        <w:rPr>
          <w:spacing w:val="-3"/>
        </w:rPr>
        <w:t xml:space="preserve"> </w:t>
      </w:r>
      <w:r w:rsidRPr="002707B9">
        <w:rPr>
          <w:spacing w:val="-3"/>
        </w:rPr>
        <w:t xml:space="preserve">8 component </w:t>
      </w:r>
      <w:r w:rsidR="00B6250D">
        <w:rPr>
          <w:spacing w:val="-3"/>
        </w:rPr>
        <w:t>alloy</w:t>
      </w:r>
      <w:r w:rsidRPr="002707B9">
        <w:rPr>
          <w:spacing w:val="-3"/>
        </w:rPr>
        <w:t xml:space="preserve"> CMSX-2</w:t>
      </w:r>
      <w:r w:rsidR="00B6250D">
        <w:rPr>
          <w:spacing w:val="-3"/>
        </w:rPr>
        <w:t xml:space="preserve">, </w:t>
      </w:r>
      <w:r w:rsidR="00130F31">
        <w:rPr>
          <w:spacing w:val="-3"/>
        </w:rPr>
        <w:t xml:space="preserve">a </w:t>
      </w:r>
      <w:r w:rsidR="00130F31" w:rsidRPr="002707B9">
        <w:rPr>
          <w:spacing w:val="-3"/>
        </w:rPr>
        <w:t xml:space="preserve">commercial </w:t>
      </w:r>
      <w:r w:rsidR="00130F31">
        <w:rPr>
          <w:spacing w:val="-3"/>
        </w:rPr>
        <w:t xml:space="preserve">single crystal aero-turbine </w:t>
      </w:r>
      <w:r w:rsidR="00130F31" w:rsidRPr="002707B9">
        <w:rPr>
          <w:spacing w:val="-3"/>
        </w:rPr>
        <w:t>alloy</w:t>
      </w:r>
      <w:r w:rsidR="00B6250D">
        <w:rPr>
          <w:spacing w:val="-3"/>
        </w:rPr>
        <w:t xml:space="preserve"> (Boettinger et al. [1998])</w:t>
      </w:r>
      <w:r w:rsidR="00130F31">
        <w:rPr>
          <w:spacing w:val="-3"/>
        </w:rPr>
        <w:t>.</w:t>
      </w:r>
      <w:r w:rsidRPr="002707B9">
        <w:rPr>
          <w:spacing w:val="-3"/>
        </w:rPr>
        <w:t xml:space="preserve"> </w:t>
      </w:r>
      <w:r>
        <w:rPr>
          <w:spacing w:val="-3"/>
        </w:rPr>
        <w:t xml:space="preserve">For solidification of multicomponent alloys, partition coefficients, </w:t>
      </w:r>
      <w:r w:rsidRPr="004E3C77">
        <w:rPr>
          <w:spacing w:val="-3"/>
          <w:position w:val="-12"/>
        </w:rPr>
        <w:object w:dxaOrig="320" w:dyaOrig="380" w14:anchorId="6953E2A3">
          <v:shape id="_x0000_i1204" type="#_x0000_t75" style="width:16.85pt;height:18.7pt" o:ole="">
            <v:imagedata r:id="rId350" o:title=""/>
          </v:shape>
          <o:OLEObject Type="Embed" ProgID="Equation.DSMT4" ShapeID="_x0000_i1204" DrawAspect="Content" ObjectID="_1840626770" r:id="rId351"/>
        </w:object>
      </w:r>
      <w:r>
        <w:rPr>
          <w:spacing w:val="-3"/>
        </w:rPr>
        <w:t xml:space="preserve"> and liquidus slopes </w:t>
      </w:r>
      <w:r w:rsidRPr="00B56784">
        <w:rPr>
          <w:spacing w:val="-3"/>
          <w:position w:val="-12"/>
        </w:rPr>
        <w:object w:dxaOrig="380" w:dyaOrig="380" w14:anchorId="522A63E6">
          <v:shape id="_x0000_i1205" type="#_x0000_t75" style="width:18.7pt;height:18.7pt" o:ole="">
            <v:imagedata r:id="rId352" o:title=""/>
          </v:shape>
          <o:OLEObject Type="Embed" ProgID="Equation.DSMT4" ShapeID="_x0000_i1205" DrawAspect="Content" ObjectID="_1840626771" r:id="rId353"/>
        </w:object>
      </w:r>
      <w:r>
        <w:rPr>
          <w:spacing w:val="-3"/>
        </w:rPr>
        <w:t xml:space="preserve"> are defined for each alloying addition to the major component.   F</w:t>
      </w:r>
      <w:r w:rsidRPr="002707B9">
        <w:rPr>
          <w:spacing w:val="-3"/>
        </w:rPr>
        <w:t xml:space="preserve">or </w:t>
      </w:r>
      <w:r>
        <w:rPr>
          <w:spacing w:val="-3"/>
        </w:rPr>
        <w:t>a</w:t>
      </w:r>
      <w:r w:rsidRPr="002707B9">
        <w:rPr>
          <w:spacing w:val="-3"/>
        </w:rPr>
        <w:t xml:space="preserve"> liquid concentration of the alloy, </w:t>
      </w:r>
      <w:r w:rsidRPr="00B56784">
        <w:rPr>
          <w:spacing w:val="-3"/>
          <w:position w:val="-12"/>
        </w:rPr>
        <w:object w:dxaOrig="360" w:dyaOrig="380" w14:anchorId="3F4762D8">
          <v:shape id="_x0000_i1206" type="#_x0000_t75" style="width:17.75pt;height:18.7pt" o:ole="">
            <v:imagedata r:id="rId354" o:title=""/>
          </v:shape>
          <o:OLEObject Type="Embed" ProgID="Equation.DSMT4" ShapeID="_x0000_i1206" DrawAspect="Content" ObjectID="_1840626772" r:id="rId355"/>
        </w:object>
      </w:r>
      <w:r>
        <w:rPr>
          <w:spacing w:val="-3"/>
        </w:rPr>
        <w:t xml:space="preserve"> in </w:t>
      </w:r>
      <w:r w:rsidRPr="002707B9">
        <w:rPr>
          <w:spacing w:val="-3"/>
        </w:rPr>
        <w:t xml:space="preserve">Table </w:t>
      </w:r>
      <w:r>
        <w:rPr>
          <w:spacing w:val="-3"/>
        </w:rPr>
        <w:t>3.</w:t>
      </w:r>
      <w:r w:rsidRPr="002707B9">
        <w:rPr>
          <w:spacing w:val="-3"/>
        </w:rPr>
        <w:t>2</w:t>
      </w:r>
      <w:r>
        <w:rPr>
          <w:spacing w:val="-3"/>
        </w:rPr>
        <w:t xml:space="preserve"> </w:t>
      </w:r>
      <w:r w:rsidRPr="002707B9">
        <w:rPr>
          <w:spacing w:val="-3"/>
        </w:rPr>
        <w:t xml:space="preserve">the liquidus </w:t>
      </w:r>
      <w:r>
        <w:rPr>
          <w:spacing w:val="-3"/>
        </w:rPr>
        <w:t xml:space="preserve">(interface) </w:t>
      </w:r>
      <w:r w:rsidRPr="002707B9">
        <w:rPr>
          <w:spacing w:val="-3"/>
        </w:rPr>
        <w:t>temperature</w:t>
      </w:r>
      <w:r>
        <w:rPr>
          <w:spacing w:val="-3"/>
        </w:rPr>
        <w:t xml:space="preserve"> is computed as 1606 K and </w:t>
      </w:r>
      <w:r w:rsidRPr="002707B9">
        <w:rPr>
          <w:spacing w:val="-3"/>
        </w:rPr>
        <w:t>the</w:t>
      </w:r>
      <w:r w:rsidRPr="002707B9">
        <w:rPr>
          <w:i/>
          <w:spacing w:val="-3"/>
        </w:rPr>
        <w:t xml:space="preserve"> </w:t>
      </w:r>
      <w:r w:rsidRPr="002707B9">
        <w:rPr>
          <w:spacing w:val="-3"/>
        </w:rPr>
        <w:t>solid concentrations</w:t>
      </w:r>
      <w:r w:rsidRPr="00F45EA8">
        <w:rPr>
          <w:spacing w:val="-3"/>
        </w:rPr>
        <w:t xml:space="preserve"> </w:t>
      </w:r>
      <w:r w:rsidRPr="00BC7F6A">
        <w:rPr>
          <w:spacing w:val="-3"/>
        </w:rPr>
        <w:t>at that</w:t>
      </w:r>
      <w:r>
        <w:rPr>
          <w:spacing w:val="-3"/>
        </w:rPr>
        <w:t xml:space="preserve"> </w:t>
      </w:r>
      <w:r w:rsidRPr="00BC7F6A">
        <w:rPr>
          <w:spacing w:val="-3"/>
        </w:rPr>
        <w:t>temperature</w:t>
      </w:r>
      <w:r w:rsidRPr="002707B9">
        <w:rPr>
          <w:spacing w:val="-3"/>
        </w:rPr>
        <w:t xml:space="preserve">, </w:t>
      </w:r>
      <w:r w:rsidRPr="00B56784">
        <w:rPr>
          <w:spacing w:val="-3"/>
          <w:position w:val="-12"/>
        </w:rPr>
        <w:object w:dxaOrig="340" w:dyaOrig="380" w14:anchorId="30A7CEB6">
          <v:shape id="_x0000_i1207" type="#_x0000_t75" style="width:16.85pt;height:18.7pt" o:ole="">
            <v:imagedata r:id="rId356" o:title=""/>
          </v:shape>
          <o:OLEObject Type="Embed" ProgID="Equation.DSMT4" ShapeID="_x0000_i1207" DrawAspect="Content" ObjectID="_1840626773" r:id="rId357"/>
        </w:object>
      </w:r>
      <w:r>
        <w:rPr>
          <w:spacing w:val="-3"/>
        </w:rPr>
        <w:t>, the partition</w:t>
      </w:r>
      <w:r w:rsidRPr="002707B9">
        <w:rPr>
          <w:spacing w:val="-3"/>
        </w:rPr>
        <w:t xml:space="preserve"> ratio</w:t>
      </w:r>
      <w:r>
        <w:rPr>
          <w:spacing w:val="-3"/>
        </w:rPr>
        <w:t>s</w:t>
      </w:r>
      <w:r w:rsidRPr="002707B9">
        <w:rPr>
          <w:spacing w:val="-3"/>
        </w:rPr>
        <w:t>,</w:t>
      </w:r>
      <w:r>
        <w:rPr>
          <w:spacing w:val="-3"/>
        </w:rPr>
        <w:t xml:space="preserve"> </w:t>
      </w:r>
      <w:r w:rsidRPr="004E3C77">
        <w:rPr>
          <w:spacing w:val="-3"/>
          <w:position w:val="-12"/>
        </w:rPr>
        <w:object w:dxaOrig="320" w:dyaOrig="380" w14:anchorId="30B1F894">
          <v:shape id="_x0000_i1208" type="#_x0000_t75" style="width:16.85pt;height:18.7pt" o:ole="">
            <v:imagedata r:id="rId350" o:title=""/>
          </v:shape>
          <o:OLEObject Type="Embed" ProgID="Equation.DSMT4" ShapeID="_x0000_i1208" DrawAspect="Content" ObjectID="_1840626774" r:id="rId358"/>
        </w:object>
      </w:r>
      <w:r w:rsidRPr="002707B9">
        <w:rPr>
          <w:spacing w:val="-3"/>
        </w:rPr>
        <w:t xml:space="preserve">  and the </w:t>
      </w:r>
      <w:r>
        <w:rPr>
          <w:spacing w:val="-3"/>
        </w:rPr>
        <w:t xml:space="preserve">liquidus </w:t>
      </w:r>
      <w:r>
        <w:rPr>
          <w:spacing w:val="-3"/>
        </w:rPr>
        <w:lastRenderedPageBreak/>
        <w:t>surface slopes</w:t>
      </w:r>
      <w:r w:rsidRPr="002707B9">
        <w:rPr>
          <w:spacing w:val="-3"/>
        </w:rPr>
        <w:t xml:space="preserve">, </w:t>
      </w:r>
      <w:r w:rsidRPr="00B56784">
        <w:rPr>
          <w:spacing w:val="-3"/>
          <w:position w:val="-12"/>
        </w:rPr>
        <w:object w:dxaOrig="380" w:dyaOrig="380" w14:anchorId="369A2526">
          <v:shape id="_x0000_i1209" type="#_x0000_t75" style="width:18.7pt;height:18.7pt" o:ole="">
            <v:imagedata r:id="rId352" o:title=""/>
          </v:shape>
          <o:OLEObject Type="Embed" ProgID="Equation.DSMT4" ShapeID="_x0000_i1209" DrawAspect="Content" ObjectID="_1840626775" r:id="rId359"/>
        </w:object>
      </w:r>
      <w:r w:rsidRPr="002707B9">
        <w:rPr>
          <w:spacing w:val="-3"/>
        </w:rPr>
        <w:t xml:space="preserve"> </w:t>
      </w:r>
      <w:r>
        <w:rPr>
          <w:spacing w:val="-3"/>
        </w:rPr>
        <w:t xml:space="preserve">are given </w:t>
      </w:r>
      <w:r w:rsidRPr="002707B9">
        <w:rPr>
          <w:spacing w:val="-3"/>
        </w:rPr>
        <w:t xml:space="preserve">for each solute. </w:t>
      </w:r>
      <w:r>
        <w:rPr>
          <w:spacing w:val="-3"/>
        </w:rPr>
        <w:t xml:space="preserve">As solidification proceeds, the same determination can be performed </w:t>
      </w:r>
      <w:r w:rsidR="00130F31">
        <w:rPr>
          <w:spacing w:val="-3"/>
        </w:rPr>
        <w:t>as solute</w:t>
      </w:r>
      <w:r>
        <w:rPr>
          <w:spacing w:val="-3"/>
        </w:rPr>
        <w:t xml:space="preserve"> </w:t>
      </w:r>
      <w:r w:rsidR="00130F31">
        <w:rPr>
          <w:spacing w:val="-3"/>
        </w:rPr>
        <w:t xml:space="preserve">rejected by the growing solid enriches the remaining </w:t>
      </w:r>
      <w:r>
        <w:rPr>
          <w:spacing w:val="-3"/>
        </w:rPr>
        <w:t>liquid. Thus o</w:t>
      </w:r>
      <w:r w:rsidRPr="002707B9">
        <w:rPr>
          <w:spacing w:val="-3"/>
        </w:rPr>
        <w:t xml:space="preserve">utput from thermodynamic software can be used to deliver phase diagram information to </w:t>
      </w:r>
      <w:r>
        <w:rPr>
          <w:spacing w:val="-3"/>
        </w:rPr>
        <w:t>the various solidification</w:t>
      </w:r>
      <w:r w:rsidRPr="002707B9">
        <w:rPr>
          <w:spacing w:val="-3"/>
        </w:rPr>
        <w:t xml:space="preserve"> models</w:t>
      </w:r>
      <w:r>
        <w:rPr>
          <w:spacing w:val="-3"/>
        </w:rPr>
        <w:t xml:space="preserve"> to be described in the remainder of this chapter</w:t>
      </w:r>
      <w:r w:rsidRPr="002707B9">
        <w:rPr>
          <w:spacing w:val="-3"/>
        </w:rPr>
        <w:t>.</w:t>
      </w:r>
      <w:r>
        <w:rPr>
          <w:spacing w:val="-3"/>
        </w:rPr>
        <w:t xml:space="preserve"> The ability to output the concentration dependence of parameters is a major asset of this method. </w:t>
      </w:r>
      <w:r w:rsidR="00130F31">
        <w:rPr>
          <w:spacing w:val="-3"/>
        </w:rPr>
        <w:t xml:space="preserve">For heat flow modeling, the enthalpy of the phases as a function of phase composition and temperature can also be obtained </w:t>
      </w:r>
      <w:r>
        <w:rPr>
          <w:spacing w:val="-3"/>
        </w:rPr>
        <w:t xml:space="preserve">from </w:t>
      </w:r>
      <w:r w:rsidR="00130F31">
        <w:rPr>
          <w:spacing w:val="-3"/>
        </w:rPr>
        <w:t xml:space="preserve">thermodynamic </w:t>
      </w:r>
      <w:r>
        <w:rPr>
          <w:spacing w:val="-3"/>
        </w:rPr>
        <w:t>databases.</w:t>
      </w:r>
    </w:p>
    <w:p w14:paraId="7BED49FB" w14:textId="77777777" w:rsidR="00015B17" w:rsidRPr="002707B9" w:rsidRDefault="00015B17" w:rsidP="00015B17">
      <w:pPr>
        <w:tabs>
          <w:tab w:val="left" w:pos="-720"/>
        </w:tabs>
        <w:suppressAutoHyphens/>
        <w:spacing w:line="360" w:lineRule="auto"/>
        <w:jc w:val="both"/>
        <w:rPr>
          <w:spacing w:val="-3"/>
        </w:rPr>
      </w:pPr>
    </w:p>
    <w:p w14:paraId="593C254F" w14:textId="77777777" w:rsidR="00D83B91" w:rsidRPr="002707B9" w:rsidRDefault="00015B17" w:rsidP="00D83B91">
      <w:pPr>
        <w:tabs>
          <w:tab w:val="left" w:pos="-720"/>
        </w:tabs>
        <w:suppressAutoHyphens/>
        <w:spacing w:line="360" w:lineRule="auto"/>
        <w:jc w:val="center"/>
        <w:rPr>
          <w:spacing w:val="-3"/>
        </w:rPr>
      </w:pPr>
      <w:r w:rsidRPr="002707B9">
        <w:rPr>
          <w:spacing w:val="-3"/>
        </w:rPr>
        <w:fldChar w:fldCharType="begin"/>
      </w:r>
      <w:r w:rsidRPr="002707B9">
        <w:rPr>
          <w:spacing w:val="-3"/>
        </w:rPr>
        <w:instrText xml:space="preserve"> SEQ CHAPTER \h \r 1</w:instrText>
      </w:r>
      <w:r w:rsidRPr="002707B9">
        <w:rPr>
          <w:spacing w:val="-3"/>
        </w:rPr>
        <w:fldChar w:fldCharType="end"/>
      </w:r>
      <w:r w:rsidRPr="002707B9">
        <w:rPr>
          <w:spacing w:val="-3"/>
        </w:rPr>
        <w:t xml:space="preserve">Table </w:t>
      </w:r>
      <w:r>
        <w:rPr>
          <w:spacing w:val="-3"/>
        </w:rPr>
        <w:t>3.2 –</w:t>
      </w:r>
      <w:r w:rsidRPr="002707B9">
        <w:rPr>
          <w:spacing w:val="-3"/>
        </w:rPr>
        <w:t xml:space="preserve"> </w:t>
      </w:r>
      <w:r>
        <w:rPr>
          <w:spacing w:val="-3"/>
        </w:rPr>
        <w:t xml:space="preserve">From Boettinger et al. [1998]. </w:t>
      </w:r>
      <w:r w:rsidRPr="002707B9">
        <w:rPr>
          <w:spacing w:val="-3"/>
        </w:rPr>
        <w:t xml:space="preserve">Example of output from Thermodynamic </w:t>
      </w:r>
      <w:r w:rsidR="006E6FC2">
        <w:rPr>
          <w:spacing w:val="-3"/>
        </w:rPr>
        <w:t>s</w:t>
      </w:r>
      <w:r w:rsidRPr="002707B9">
        <w:rPr>
          <w:spacing w:val="-3"/>
        </w:rPr>
        <w:t xml:space="preserve">ubroutine. The units of concentration are </w:t>
      </w:r>
      <w:r w:rsidRPr="003B1B72">
        <w:rPr>
          <w:spacing w:val="-3"/>
        </w:rPr>
        <w:t>wt</w:t>
      </w:r>
      <w:r w:rsidRPr="002707B9">
        <w:rPr>
          <w:spacing w:val="-3"/>
        </w:rPr>
        <w:t>% and liquidus slope are K /</w:t>
      </w:r>
      <w:r>
        <w:rPr>
          <w:spacing w:val="-3"/>
        </w:rPr>
        <w:t xml:space="preserve"> </w:t>
      </w:r>
      <w:r w:rsidRPr="003B1B72">
        <w:rPr>
          <w:spacing w:val="-3"/>
        </w:rPr>
        <w:t>wt%</w:t>
      </w:r>
      <w:r w:rsidRPr="001B068D">
        <w:rPr>
          <w:spacing w:val="-3"/>
          <w:highlight w:val="yellow"/>
        </w:rPr>
        <w:t>.</w:t>
      </w:r>
      <w:r w:rsidRPr="002707B9">
        <w:rPr>
          <w:spacing w:val="-3"/>
        </w:rPr>
        <w:t xml:space="preserve"> Ni is treated as the solvent. The liquidus temperature is computed as 1606 K.</w:t>
      </w:r>
      <w:r>
        <w:rPr>
          <w:spacing w:val="-3"/>
        </w:rPr>
        <w:t xml:space="preserve"> </w:t>
      </w:r>
      <w:r w:rsidR="00D83B91">
        <w:rPr>
          <w:spacing w:val="-3"/>
        </w:rPr>
        <w:t xml:space="preserve"> </w:t>
      </w:r>
    </w:p>
    <w:p w14:paraId="73701CBD" w14:textId="77777777" w:rsidR="00015B17" w:rsidRDefault="00015B17" w:rsidP="00015B17">
      <w:pPr>
        <w:tabs>
          <w:tab w:val="left" w:pos="-720"/>
        </w:tabs>
        <w:suppressAutoHyphens/>
        <w:spacing w:line="360" w:lineRule="auto"/>
        <w:jc w:val="center"/>
        <w:rPr>
          <w:spacing w:val="-3"/>
        </w:rPr>
      </w:pPr>
    </w:p>
    <w:tbl>
      <w:tblPr>
        <w:tblW w:w="8190" w:type="dxa"/>
        <w:tblInd w:w="840" w:type="dxa"/>
        <w:tblLayout w:type="fixed"/>
        <w:tblCellMar>
          <w:left w:w="120" w:type="dxa"/>
          <w:right w:w="120" w:type="dxa"/>
        </w:tblCellMar>
        <w:tblLook w:val="0000" w:firstRow="0" w:lastRow="0" w:firstColumn="0" w:lastColumn="0" w:noHBand="0" w:noVBand="0"/>
      </w:tblPr>
      <w:tblGrid>
        <w:gridCol w:w="1170"/>
        <w:gridCol w:w="810"/>
        <w:gridCol w:w="810"/>
        <w:gridCol w:w="810"/>
        <w:gridCol w:w="810"/>
        <w:gridCol w:w="810"/>
        <w:gridCol w:w="990"/>
        <w:gridCol w:w="900"/>
        <w:gridCol w:w="1080"/>
      </w:tblGrid>
      <w:tr w:rsidR="00015B17" w:rsidRPr="002707B9" w14:paraId="61B0D88C" w14:textId="77777777" w:rsidTr="006E6FC2">
        <w:trPr>
          <w:cantSplit/>
          <w:tblHeader/>
        </w:trPr>
        <w:tc>
          <w:tcPr>
            <w:tcW w:w="1170" w:type="dxa"/>
            <w:tcBorders>
              <w:top w:val="double" w:sz="7" w:space="0" w:color="000000"/>
              <w:left w:val="double" w:sz="7" w:space="0" w:color="000000"/>
              <w:bottom w:val="double" w:sz="7" w:space="0" w:color="000000"/>
              <w:right w:val="single" w:sz="7" w:space="0" w:color="000000"/>
            </w:tcBorders>
          </w:tcPr>
          <w:p w14:paraId="2F0B8515" w14:textId="77777777" w:rsidR="00015B17" w:rsidRPr="002707B9" w:rsidRDefault="00015B17" w:rsidP="00015B17">
            <w:pPr>
              <w:tabs>
                <w:tab w:val="left" w:pos="-720"/>
              </w:tabs>
              <w:suppressAutoHyphens/>
              <w:spacing w:line="360" w:lineRule="auto"/>
              <w:jc w:val="both"/>
              <w:rPr>
                <w:spacing w:val="-3"/>
              </w:rPr>
            </w:pPr>
            <w:r w:rsidRPr="002707B9">
              <w:rPr>
                <w:spacing w:val="-3"/>
              </w:rPr>
              <w:t>CMSX-2</w:t>
            </w:r>
          </w:p>
        </w:tc>
        <w:tc>
          <w:tcPr>
            <w:tcW w:w="810" w:type="dxa"/>
            <w:tcBorders>
              <w:top w:val="double" w:sz="7" w:space="0" w:color="000000"/>
              <w:left w:val="single" w:sz="7" w:space="0" w:color="000000"/>
              <w:bottom w:val="double" w:sz="7" w:space="0" w:color="000000"/>
              <w:right w:val="single" w:sz="7" w:space="0" w:color="000000"/>
            </w:tcBorders>
          </w:tcPr>
          <w:p w14:paraId="67FD4B5F" w14:textId="77777777" w:rsidR="00015B17" w:rsidRPr="002707B9" w:rsidRDefault="00015B17" w:rsidP="00015B17">
            <w:pPr>
              <w:tabs>
                <w:tab w:val="left" w:pos="-720"/>
              </w:tabs>
              <w:suppressAutoHyphens/>
              <w:spacing w:line="360" w:lineRule="auto"/>
              <w:jc w:val="both"/>
              <w:rPr>
                <w:spacing w:val="-3"/>
              </w:rPr>
            </w:pPr>
            <w:r w:rsidRPr="002707B9">
              <w:rPr>
                <w:spacing w:val="-3"/>
              </w:rPr>
              <w:t>Ni</w:t>
            </w:r>
          </w:p>
        </w:tc>
        <w:tc>
          <w:tcPr>
            <w:tcW w:w="810" w:type="dxa"/>
            <w:tcBorders>
              <w:top w:val="double" w:sz="7" w:space="0" w:color="000000"/>
              <w:left w:val="single" w:sz="7" w:space="0" w:color="000000"/>
              <w:bottom w:val="double" w:sz="7" w:space="0" w:color="000000"/>
              <w:right w:val="single" w:sz="7" w:space="0" w:color="000000"/>
            </w:tcBorders>
          </w:tcPr>
          <w:p w14:paraId="7B41660E" w14:textId="77777777" w:rsidR="00015B17" w:rsidRPr="002707B9" w:rsidRDefault="00015B17" w:rsidP="00015B17">
            <w:pPr>
              <w:tabs>
                <w:tab w:val="left" w:pos="-720"/>
              </w:tabs>
              <w:suppressAutoHyphens/>
              <w:spacing w:line="360" w:lineRule="auto"/>
              <w:jc w:val="both"/>
              <w:rPr>
                <w:spacing w:val="-3"/>
              </w:rPr>
            </w:pPr>
            <w:r w:rsidRPr="002707B9">
              <w:rPr>
                <w:spacing w:val="-3"/>
              </w:rPr>
              <w:t>Cr</w:t>
            </w:r>
          </w:p>
        </w:tc>
        <w:tc>
          <w:tcPr>
            <w:tcW w:w="810" w:type="dxa"/>
            <w:tcBorders>
              <w:top w:val="double" w:sz="7" w:space="0" w:color="000000"/>
              <w:left w:val="single" w:sz="7" w:space="0" w:color="000000"/>
              <w:bottom w:val="double" w:sz="7" w:space="0" w:color="000000"/>
              <w:right w:val="single" w:sz="7" w:space="0" w:color="000000"/>
            </w:tcBorders>
          </w:tcPr>
          <w:p w14:paraId="16F53288" w14:textId="77777777" w:rsidR="00015B17" w:rsidRPr="002707B9" w:rsidRDefault="00015B17" w:rsidP="00015B17">
            <w:pPr>
              <w:tabs>
                <w:tab w:val="left" w:pos="-720"/>
              </w:tabs>
              <w:suppressAutoHyphens/>
              <w:spacing w:line="360" w:lineRule="auto"/>
              <w:jc w:val="both"/>
              <w:rPr>
                <w:spacing w:val="-3"/>
              </w:rPr>
            </w:pPr>
            <w:r w:rsidRPr="002707B9">
              <w:rPr>
                <w:spacing w:val="-3"/>
              </w:rPr>
              <w:t>Co</w:t>
            </w:r>
          </w:p>
        </w:tc>
        <w:tc>
          <w:tcPr>
            <w:tcW w:w="810" w:type="dxa"/>
            <w:tcBorders>
              <w:top w:val="double" w:sz="7" w:space="0" w:color="000000"/>
              <w:left w:val="single" w:sz="7" w:space="0" w:color="000000"/>
              <w:bottom w:val="double" w:sz="7" w:space="0" w:color="000000"/>
              <w:right w:val="single" w:sz="7" w:space="0" w:color="000000"/>
            </w:tcBorders>
          </w:tcPr>
          <w:p w14:paraId="57A0403B" w14:textId="77777777" w:rsidR="00015B17" w:rsidRPr="002707B9" w:rsidRDefault="00015B17" w:rsidP="00015B17">
            <w:pPr>
              <w:tabs>
                <w:tab w:val="left" w:pos="-720"/>
              </w:tabs>
              <w:suppressAutoHyphens/>
              <w:spacing w:line="360" w:lineRule="auto"/>
              <w:jc w:val="both"/>
              <w:rPr>
                <w:spacing w:val="-3"/>
              </w:rPr>
            </w:pPr>
            <w:r w:rsidRPr="002707B9">
              <w:rPr>
                <w:spacing w:val="-3"/>
              </w:rPr>
              <w:t>Ti</w:t>
            </w:r>
          </w:p>
        </w:tc>
        <w:tc>
          <w:tcPr>
            <w:tcW w:w="810" w:type="dxa"/>
            <w:tcBorders>
              <w:top w:val="double" w:sz="7" w:space="0" w:color="000000"/>
              <w:left w:val="single" w:sz="7" w:space="0" w:color="000000"/>
              <w:bottom w:val="double" w:sz="7" w:space="0" w:color="000000"/>
              <w:right w:val="single" w:sz="7" w:space="0" w:color="000000"/>
            </w:tcBorders>
          </w:tcPr>
          <w:p w14:paraId="39CCF372" w14:textId="77777777" w:rsidR="00015B17" w:rsidRPr="002707B9" w:rsidRDefault="00015B17" w:rsidP="00015B17">
            <w:pPr>
              <w:tabs>
                <w:tab w:val="left" w:pos="-720"/>
              </w:tabs>
              <w:suppressAutoHyphens/>
              <w:spacing w:line="360" w:lineRule="auto"/>
              <w:jc w:val="both"/>
              <w:rPr>
                <w:spacing w:val="-3"/>
              </w:rPr>
            </w:pPr>
            <w:r w:rsidRPr="002707B9">
              <w:rPr>
                <w:spacing w:val="-3"/>
              </w:rPr>
              <w:t>Ta</w:t>
            </w:r>
          </w:p>
        </w:tc>
        <w:tc>
          <w:tcPr>
            <w:tcW w:w="990" w:type="dxa"/>
            <w:tcBorders>
              <w:top w:val="double" w:sz="7" w:space="0" w:color="000000"/>
              <w:left w:val="single" w:sz="7" w:space="0" w:color="000000"/>
              <w:bottom w:val="double" w:sz="7" w:space="0" w:color="000000"/>
              <w:right w:val="single" w:sz="7" w:space="0" w:color="000000"/>
            </w:tcBorders>
          </w:tcPr>
          <w:p w14:paraId="06A4385B" w14:textId="77777777" w:rsidR="00015B17" w:rsidRPr="002707B9" w:rsidRDefault="00015B17" w:rsidP="00015B17">
            <w:pPr>
              <w:tabs>
                <w:tab w:val="left" w:pos="-720"/>
              </w:tabs>
              <w:suppressAutoHyphens/>
              <w:spacing w:line="360" w:lineRule="auto"/>
              <w:jc w:val="both"/>
              <w:rPr>
                <w:spacing w:val="-3"/>
              </w:rPr>
            </w:pPr>
            <w:r w:rsidRPr="002707B9">
              <w:rPr>
                <w:spacing w:val="-3"/>
              </w:rPr>
              <w:t>Al</w:t>
            </w:r>
          </w:p>
        </w:tc>
        <w:tc>
          <w:tcPr>
            <w:tcW w:w="900" w:type="dxa"/>
            <w:tcBorders>
              <w:top w:val="double" w:sz="7" w:space="0" w:color="000000"/>
              <w:left w:val="single" w:sz="7" w:space="0" w:color="000000"/>
              <w:bottom w:val="double" w:sz="7" w:space="0" w:color="000000"/>
              <w:right w:val="single" w:sz="7" w:space="0" w:color="000000"/>
            </w:tcBorders>
          </w:tcPr>
          <w:p w14:paraId="6512A9A9" w14:textId="77777777" w:rsidR="00015B17" w:rsidRPr="002707B9" w:rsidRDefault="00015B17" w:rsidP="00015B17">
            <w:pPr>
              <w:tabs>
                <w:tab w:val="left" w:pos="-720"/>
              </w:tabs>
              <w:suppressAutoHyphens/>
              <w:spacing w:line="360" w:lineRule="auto"/>
              <w:jc w:val="both"/>
              <w:rPr>
                <w:spacing w:val="-3"/>
              </w:rPr>
            </w:pPr>
            <w:r w:rsidRPr="002707B9">
              <w:rPr>
                <w:spacing w:val="-3"/>
              </w:rPr>
              <w:t>Mo</w:t>
            </w:r>
          </w:p>
        </w:tc>
        <w:tc>
          <w:tcPr>
            <w:tcW w:w="1080" w:type="dxa"/>
            <w:tcBorders>
              <w:top w:val="double" w:sz="7" w:space="0" w:color="000000"/>
              <w:left w:val="single" w:sz="7" w:space="0" w:color="000000"/>
              <w:bottom w:val="double" w:sz="7" w:space="0" w:color="000000"/>
              <w:right w:val="single" w:sz="7" w:space="0" w:color="000000"/>
            </w:tcBorders>
          </w:tcPr>
          <w:p w14:paraId="1803B7DA" w14:textId="77777777" w:rsidR="00015B17" w:rsidRPr="002707B9" w:rsidRDefault="00015B17" w:rsidP="00015B17">
            <w:pPr>
              <w:tabs>
                <w:tab w:val="left" w:pos="-720"/>
              </w:tabs>
              <w:suppressAutoHyphens/>
              <w:spacing w:line="360" w:lineRule="auto"/>
              <w:jc w:val="both"/>
              <w:rPr>
                <w:spacing w:val="-3"/>
              </w:rPr>
            </w:pPr>
            <w:r w:rsidRPr="002707B9">
              <w:rPr>
                <w:spacing w:val="-3"/>
              </w:rPr>
              <w:t>W</w:t>
            </w:r>
          </w:p>
        </w:tc>
      </w:tr>
      <w:tr w:rsidR="00015B17" w:rsidRPr="002707B9" w14:paraId="32E89F4B" w14:textId="77777777" w:rsidTr="006E6FC2">
        <w:trPr>
          <w:cantSplit/>
        </w:trPr>
        <w:tc>
          <w:tcPr>
            <w:tcW w:w="1170" w:type="dxa"/>
            <w:tcBorders>
              <w:top w:val="double" w:sz="7" w:space="0" w:color="000000"/>
              <w:left w:val="double" w:sz="7" w:space="0" w:color="000000"/>
              <w:bottom w:val="single" w:sz="7" w:space="0" w:color="000000"/>
              <w:right w:val="single" w:sz="7" w:space="0" w:color="000000"/>
            </w:tcBorders>
          </w:tcPr>
          <w:p w14:paraId="58704F18" w14:textId="77777777" w:rsidR="00015B17" w:rsidRPr="004E3C77" w:rsidRDefault="00015B17" w:rsidP="00015B17">
            <w:pPr>
              <w:tabs>
                <w:tab w:val="left" w:pos="-720"/>
              </w:tabs>
              <w:suppressAutoHyphens/>
              <w:spacing w:line="360" w:lineRule="auto"/>
              <w:jc w:val="both"/>
              <w:rPr>
                <w:i/>
                <w:spacing w:val="-3"/>
              </w:rPr>
            </w:pPr>
            <w:r w:rsidRPr="00B56784">
              <w:rPr>
                <w:spacing w:val="-3"/>
                <w:position w:val="-12"/>
              </w:rPr>
              <w:object w:dxaOrig="360" w:dyaOrig="380" w14:anchorId="52900569">
                <v:shape id="_x0000_i1210" type="#_x0000_t75" style="width:17.75pt;height:18.7pt" o:ole="">
                  <v:imagedata r:id="rId354" o:title=""/>
                </v:shape>
                <o:OLEObject Type="Embed" ProgID="Equation.DSMT4" ShapeID="_x0000_i1210" DrawAspect="Content" ObjectID="_1840626776" r:id="rId360"/>
              </w:object>
            </w:r>
          </w:p>
        </w:tc>
        <w:tc>
          <w:tcPr>
            <w:tcW w:w="810" w:type="dxa"/>
            <w:tcBorders>
              <w:top w:val="double" w:sz="7" w:space="0" w:color="000000"/>
              <w:left w:val="single" w:sz="7" w:space="0" w:color="000000"/>
              <w:bottom w:val="single" w:sz="7" w:space="0" w:color="000000"/>
              <w:right w:val="single" w:sz="7" w:space="0" w:color="000000"/>
            </w:tcBorders>
          </w:tcPr>
          <w:p w14:paraId="67973C8F" w14:textId="77777777" w:rsidR="00015B17" w:rsidRPr="002707B9" w:rsidRDefault="00015B17" w:rsidP="00015B17">
            <w:pPr>
              <w:tabs>
                <w:tab w:val="left" w:pos="-720"/>
              </w:tabs>
              <w:suppressAutoHyphens/>
              <w:spacing w:line="360" w:lineRule="auto"/>
              <w:jc w:val="both"/>
              <w:rPr>
                <w:spacing w:val="-3"/>
              </w:rPr>
            </w:pPr>
            <w:r w:rsidRPr="002707B9">
              <w:rPr>
                <w:spacing w:val="-3"/>
              </w:rPr>
              <w:t>65.8</w:t>
            </w:r>
          </w:p>
        </w:tc>
        <w:tc>
          <w:tcPr>
            <w:tcW w:w="810" w:type="dxa"/>
            <w:tcBorders>
              <w:top w:val="double" w:sz="7" w:space="0" w:color="000000"/>
              <w:left w:val="single" w:sz="7" w:space="0" w:color="000000"/>
              <w:bottom w:val="single" w:sz="7" w:space="0" w:color="000000"/>
              <w:right w:val="single" w:sz="7" w:space="0" w:color="000000"/>
            </w:tcBorders>
          </w:tcPr>
          <w:p w14:paraId="2FFB28EB" w14:textId="77777777" w:rsidR="00015B17" w:rsidRPr="002707B9" w:rsidRDefault="00015B17" w:rsidP="00015B17">
            <w:pPr>
              <w:tabs>
                <w:tab w:val="left" w:pos="-720"/>
              </w:tabs>
              <w:suppressAutoHyphens/>
              <w:spacing w:line="360" w:lineRule="auto"/>
              <w:jc w:val="both"/>
              <w:rPr>
                <w:spacing w:val="-3"/>
              </w:rPr>
            </w:pPr>
            <w:r w:rsidRPr="002707B9">
              <w:rPr>
                <w:spacing w:val="-3"/>
              </w:rPr>
              <w:t>8.0</w:t>
            </w:r>
          </w:p>
        </w:tc>
        <w:tc>
          <w:tcPr>
            <w:tcW w:w="810" w:type="dxa"/>
            <w:tcBorders>
              <w:top w:val="double" w:sz="7" w:space="0" w:color="000000"/>
              <w:left w:val="single" w:sz="7" w:space="0" w:color="000000"/>
              <w:bottom w:val="single" w:sz="7" w:space="0" w:color="000000"/>
              <w:right w:val="single" w:sz="7" w:space="0" w:color="000000"/>
            </w:tcBorders>
          </w:tcPr>
          <w:p w14:paraId="515D9996" w14:textId="77777777" w:rsidR="00015B17" w:rsidRPr="002707B9" w:rsidRDefault="00015B17" w:rsidP="00015B17">
            <w:pPr>
              <w:tabs>
                <w:tab w:val="left" w:pos="-720"/>
              </w:tabs>
              <w:suppressAutoHyphens/>
              <w:spacing w:line="360" w:lineRule="auto"/>
              <w:jc w:val="both"/>
              <w:rPr>
                <w:spacing w:val="-3"/>
              </w:rPr>
            </w:pPr>
            <w:r w:rsidRPr="002707B9">
              <w:rPr>
                <w:spacing w:val="-3"/>
              </w:rPr>
              <w:t>5.0</w:t>
            </w:r>
          </w:p>
        </w:tc>
        <w:tc>
          <w:tcPr>
            <w:tcW w:w="810" w:type="dxa"/>
            <w:tcBorders>
              <w:top w:val="double" w:sz="7" w:space="0" w:color="000000"/>
              <w:left w:val="single" w:sz="7" w:space="0" w:color="000000"/>
              <w:bottom w:val="single" w:sz="7" w:space="0" w:color="000000"/>
              <w:right w:val="single" w:sz="7" w:space="0" w:color="000000"/>
            </w:tcBorders>
          </w:tcPr>
          <w:p w14:paraId="0ED9DDA5" w14:textId="77777777" w:rsidR="00015B17" w:rsidRPr="002707B9" w:rsidRDefault="00015B17" w:rsidP="00015B17">
            <w:pPr>
              <w:tabs>
                <w:tab w:val="left" w:pos="-720"/>
              </w:tabs>
              <w:suppressAutoHyphens/>
              <w:spacing w:line="360" w:lineRule="auto"/>
              <w:jc w:val="both"/>
              <w:rPr>
                <w:spacing w:val="-3"/>
              </w:rPr>
            </w:pPr>
            <w:r w:rsidRPr="002707B9">
              <w:rPr>
                <w:spacing w:val="-3"/>
              </w:rPr>
              <w:t>1.0</w:t>
            </w:r>
          </w:p>
        </w:tc>
        <w:tc>
          <w:tcPr>
            <w:tcW w:w="810" w:type="dxa"/>
            <w:tcBorders>
              <w:top w:val="double" w:sz="7" w:space="0" w:color="000000"/>
              <w:left w:val="single" w:sz="7" w:space="0" w:color="000000"/>
              <w:bottom w:val="single" w:sz="7" w:space="0" w:color="000000"/>
              <w:right w:val="single" w:sz="7" w:space="0" w:color="000000"/>
            </w:tcBorders>
          </w:tcPr>
          <w:p w14:paraId="5718C7B9" w14:textId="77777777" w:rsidR="00015B17" w:rsidRPr="002707B9" w:rsidRDefault="00015B17" w:rsidP="00015B17">
            <w:pPr>
              <w:tabs>
                <w:tab w:val="left" w:pos="-720"/>
              </w:tabs>
              <w:suppressAutoHyphens/>
              <w:spacing w:line="360" w:lineRule="auto"/>
              <w:jc w:val="both"/>
              <w:rPr>
                <w:spacing w:val="-3"/>
              </w:rPr>
            </w:pPr>
            <w:r w:rsidRPr="002707B9">
              <w:rPr>
                <w:spacing w:val="-3"/>
              </w:rPr>
              <w:t>6.0</w:t>
            </w:r>
          </w:p>
        </w:tc>
        <w:tc>
          <w:tcPr>
            <w:tcW w:w="990" w:type="dxa"/>
            <w:tcBorders>
              <w:top w:val="double" w:sz="7" w:space="0" w:color="000000"/>
              <w:left w:val="single" w:sz="7" w:space="0" w:color="000000"/>
              <w:bottom w:val="single" w:sz="7" w:space="0" w:color="000000"/>
              <w:right w:val="single" w:sz="7" w:space="0" w:color="000000"/>
            </w:tcBorders>
          </w:tcPr>
          <w:p w14:paraId="6CB2FAAB" w14:textId="77777777" w:rsidR="00015B17" w:rsidRPr="002707B9" w:rsidRDefault="00015B17" w:rsidP="00015B17">
            <w:pPr>
              <w:tabs>
                <w:tab w:val="left" w:pos="-720"/>
              </w:tabs>
              <w:suppressAutoHyphens/>
              <w:spacing w:line="360" w:lineRule="auto"/>
              <w:jc w:val="both"/>
              <w:rPr>
                <w:spacing w:val="-3"/>
              </w:rPr>
            </w:pPr>
            <w:r w:rsidRPr="002707B9">
              <w:rPr>
                <w:spacing w:val="-3"/>
              </w:rPr>
              <w:t>5.6</w:t>
            </w:r>
          </w:p>
        </w:tc>
        <w:tc>
          <w:tcPr>
            <w:tcW w:w="900" w:type="dxa"/>
            <w:tcBorders>
              <w:top w:val="double" w:sz="7" w:space="0" w:color="000000"/>
              <w:left w:val="single" w:sz="7" w:space="0" w:color="000000"/>
              <w:bottom w:val="single" w:sz="7" w:space="0" w:color="000000"/>
              <w:right w:val="single" w:sz="7" w:space="0" w:color="000000"/>
            </w:tcBorders>
          </w:tcPr>
          <w:p w14:paraId="294752A1" w14:textId="77777777" w:rsidR="00015B17" w:rsidRPr="002707B9" w:rsidRDefault="00015B17" w:rsidP="00015B17">
            <w:pPr>
              <w:tabs>
                <w:tab w:val="left" w:pos="-720"/>
              </w:tabs>
              <w:suppressAutoHyphens/>
              <w:spacing w:line="360" w:lineRule="auto"/>
              <w:jc w:val="both"/>
              <w:rPr>
                <w:spacing w:val="-3"/>
              </w:rPr>
            </w:pPr>
            <w:r w:rsidRPr="002707B9">
              <w:rPr>
                <w:spacing w:val="-3"/>
              </w:rPr>
              <w:t>0.6</w:t>
            </w:r>
          </w:p>
        </w:tc>
        <w:tc>
          <w:tcPr>
            <w:tcW w:w="1080" w:type="dxa"/>
            <w:tcBorders>
              <w:top w:val="double" w:sz="7" w:space="0" w:color="000000"/>
              <w:left w:val="single" w:sz="7" w:space="0" w:color="000000"/>
              <w:bottom w:val="single" w:sz="7" w:space="0" w:color="000000"/>
              <w:right w:val="single" w:sz="7" w:space="0" w:color="000000"/>
            </w:tcBorders>
          </w:tcPr>
          <w:p w14:paraId="3039C288" w14:textId="77777777" w:rsidR="00015B17" w:rsidRPr="002707B9" w:rsidRDefault="00015B17" w:rsidP="00015B17">
            <w:pPr>
              <w:tabs>
                <w:tab w:val="left" w:pos="-720"/>
              </w:tabs>
              <w:suppressAutoHyphens/>
              <w:spacing w:line="360" w:lineRule="auto"/>
              <w:jc w:val="both"/>
              <w:rPr>
                <w:spacing w:val="-3"/>
              </w:rPr>
            </w:pPr>
            <w:r w:rsidRPr="002707B9">
              <w:rPr>
                <w:spacing w:val="-3"/>
              </w:rPr>
              <w:t>8.0</w:t>
            </w:r>
          </w:p>
        </w:tc>
      </w:tr>
      <w:tr w:rsidR="00015B17" w:rsidRPr="002707B9" w14:paraId="6AC38FE0" w14:textId="77777777" w:rsidTr="006E6FC2">
        <w:trPr>
          <w:cantSplit/>
        </w:trPr>
        <w:tc>
          <w:tcPr>
            <w:tcW w:w="1170" w:type="dxa"/>
            <w:tcBorders>
              <w:top w:val="single" w:sz="7" w:space="0" w:color="000000"/>
              <w:left w:val="double" w:sz="7" w:space="0" w:color="000000"/>
              <w:bottom w:val="single" w:sz="7" w:space="0" w:color="000000"/>
              <w:right w:val="single" w:sz="7" w:space="0" w:color="000000"/>
            </w:tcBorders>
          </w:tcPr>
          <w:p w14:paraId="2133C974" w14:textId="77777777" w:rsidR="00015B17" w:rsidRPr="004E3C77" w:rsidRDefault="00015B17" w:rsidP="00015B17">
            <w:pPr>
              <w:tabs>
                <w:tab w:val="left" w:pos="-720"/>
              </w:tabs>
              <w:suppressAutoHyphens/>
              <w:spacing w:line="360" w:lineRule="auto"/>
              <w:jc w:val="both"/>
              <w:rPr>
                <w:i/>
                <w:spacing w:val="-3"/>
              </w:rPr>
            </w:pPr>
            <w:r w:rsidRPr="00B56784">
              <w:rPr>
                <w:spacing w:val="-3"/>
                <w:position w:val="-12"/>
              </w:rPr>
              <w:object w:dxaOrig="340" w:dyaOrig="380" w14:anchorId="7A2C687B">
                <v:shape id="_x0000_i1211" type="#_x0000_t75" style="width:16.85pt;height:18.7pt" o:ole="">
                  <v:imagedata r:id="rId356" o:title=""/>
                </v:shape>
                <o:OLEObject Type="Embed" ProgID="Equation.DSMT4" ShapeID="_x0000_i1211" DrawAspect="Content" ObjectID="_1840626777" r:id="rId361"/>
              </w:object>
            </w:r>
          </w:p>
        </w:tc>
        <w:tc>
          <w:tcPr>
            <w:tcW w:w="810" w:type="dxa"/>
            <w:tcBorders>
              <w:top w:val="single" w:sz="7" w:space="0" w:color="000000"/>
              <w:left w:val="single" w:sz="7" w:space="0" w:color="000000"/>
              <w:bottom w:val="single" w:sz="7" w:space="0" w:color="000000"/>
              <w:right w:val="single" w:sz="7" w:space="0" w:color="000000"/>
            </w:tcBorders>
          </w:tcPr>
          <w:p w14:paraId="5AC42C60" w14:textId="77777777" w:rsidR="00015B17" w:rsidRPr="002707B9" w:rsidRDefault="00015B17" w:rsidP="00015B17">
            <w:pPr>
              <w:tabs>
                <w:tab w:val="left" w:pos="-720"/>
              </w:tabs>
              <w:suppressAutoHyphens/>
              <w:spacing w:line="360" w:lineRule="auto"/>
              <w:jc w:val="both"/>
              <w:rPr>
                <w:spacing w:val="-3"/>
              </w:rPr>
            </w:pPr>
            <w:r w:rsidRPr="002707B9">
              <w:rPr>
                <w:spacing w:val="-3"/>
              </w:rPr>
              <w:t>68.2</w:t>
            </w:r>
          </w:p>
        </w:tc>
        <w:tc>
          <w:tcPr>
            <w:tcW w:w="810" w:type="dxa"/>
            <w:tcBorders>
              <w:top w:val="single" w:sz="7" w:space="0" w:color="000000"/>
              <w:left w:val="single" w:sz="7" w:space="0" w:color="000000"/>
              <w:bottom w:val="single" w:sz="7" w:space="0" w:color="000000"/>
              <w:right w:val="single" w:sz="7" w:space="0" w:color="000000"/>
            </w:tcBorders>
          </w:tcPr>
          <w:p w14:paraId="32E7326C" w14:textId="77777777" w:rsidR="00015B17" w:rsidRPr="002707B9" w:rsidRDefault="00015B17" w:rsidP="00015B17">
            <w:pPr>
              <w:tabs>
                <w:tab w:val="left" w:pos="-720"/>
              </w:tabs>
              <w:suppressAutoHyphens/>
              <w:spacing w:line="360" w:lineRule="auto"/>
              <w:jc w:val="both"/>
              <w:rPr>
                <w:spacing w:val="-3"/>
              </w:rPr>
            </w:pPr>
            <w:r w:rsidRPr="002707B9">
              <w:rPr>
                <w:spacing w:val="-3"/>
              </w:rPr>
              <w:t>8.45</w:t>
            </w:r>
          </w:p>
        </w:tc>
        <w:tc>
          <w:tcPr>
            <w:tcW w:w="810" w:type="dxa"/>
            <w:tcBorders>
              <w:top w:val="single" w:sz="7" w:space="0" w:color="000000"/>
              <w:left w:val="single" w:sz="7" w:space="0" w:color="000000"/>
              <w:bottom w:val="single" w:sz="7" w:space="0" w:color="000000"/>
              <w:right w:val="single" w:sz="7" w:space="0" w:color="000000"/>
            </w:tcBorders>
          </w:tcPr>
          <w:p w14:paraId="6A862103" w14:textId="77777777" w:rsidR="00015B17" w:rsidRPr="002707B9" w:rsidRDefault="00015B17" w:rsidP="00015B17">
            <w:pPr>
              <w:tabs>
                <w:tab w:val="left" w:pos="-720"/>
              </w:tabs>
              <w:suppressAutoHyphens/>
              <w:spacing w:line="360" w:lineRule="auto"/>
              <w:jc w:val="both"/>
              <w:rPr>
                <w:spacing w:val="-3"/>
              </w:rPr>
            </w:pPr>
            <w:r w:rsidRPr="002707B9">
              <w:rPr>
                <w:spacing w:val="-3"/>
              </w:rPr>
              <w:t>3.49</w:t>
            </w:r>
          </w:p>
        </w:tc>
        <w:tc>
          <w:tcPr>
            <w:tcW w:w="810" w:type="dxa"/>
            <w:tcBorders>
              <w:top w:val="single" w:sz="7" w:space="0" w:color="000000"/>
              <w:left w:val="single" w:sz="7" w:space="0" w:color="000000"/>
              <w:bottom w:val="single" w:sz="7" w:space="0" w:color="000000"/>
              <w:right w:val="single" w:sz="7" w:space="0" w:color="000000"/>
            </w:tcBorders>
          </w:tcPr>
          <w:p w14:paraId="36AD70BE" w14:textId="77777777" w:rsidR="00015B17" w:rsidRPr="002707B9" w:rsidRDefault="00015B17" w:rsidP="00015B17">
            <w:pPr>
              <w:tabs>
                <w:tab w:val="left" w:pos="-720"/>
              </w:tabs>
              <w:suppressAutoHyphens/>
              <w:spacing w:line="360" w:lineRule="auto"/>
              <w:jc w:val="both"/>
              <w:rPr>
                <w:spacing w:val="-3"/>
              </w:rPr>
            </w:pPr>
            <w:r w:rsidRPr="002707B9">
              <w:rPr>
                <w:spacing w:val="-3"/>
              </w:rPr>
              <w:t>0.492</w:t>
            </w:r>
          </w:p>
        </w:tc>
        <w:tc>
          <w:tcPr>
            <w:tcW w:w="810" w:type="dxa"/>
            <w:tcBorders>
              <w:top w:val="single" w:sz="7" w:space="0" w:color="000000"/>
              <w:left w:val="single" w:sz="7" w:space="0" w:color="000000"/>
              <w:bottom w:val="single" w:sz="7" w:space="0" w:color="000000"/>
              <w:right w:val="single" w:sz="7" w:space="0" w:color="000000"/>
            </w:tcBorders>
          </w:tcPr>
          <w:p w14:paraId="36CAFE25" w14:textId="77777777" w:rsidR="00015B17" w:rsidRPr="002707B9" w:rsidRDefault="00015B17" w:rsidP="00015B17">
            <w:pPr>
              <w:tabs>
                <w:tab w:val="left" w:pos="-720"/>
              </w:tabs>
              <w:suppressAutoHyphens/>
              <w:spacing w:line="360" w:lineRule="auto"/>
              <w:jc w:val="both"/>
              <w:rPr>
                <w:spacing w:val="-3"/>
              </w:rPr>
            </w:pPr>
            <w:r w:rsidRPr="002707B9">
              <w:rPr>
                <w:spacing w:val="-3"/>
              </w:rPr>
              <w:t>3.27</w:t>
            </w:r>
          </w:p>
        </w:tc>
        <w:tc>
          <w:tcPr>
            <w:tcW w:w="990" w:type="dxa"/>
            <w:tcBorders>
              <w:top w:val="single" w:sz="7" w:space="0" w:color="000000"/>
              <w:left w:val="single" w:sz="7" w:space="0" w:color="000000"/>
              <w:bottom w:val="single" w:sz="7" w:space="0" w:color="000000"/>
              <w:right w:val="single" w:sz="7" w:space="0" w:color="000000"/>
            </w:tcBorders>
          </w:tcPr>
          <w:p w14:paraId="2484921B" w14:textId="77777777" w:rsidR="00015B17" w:rsidRPr="002707B9" w:rsidRDefault="00015B17" w:rsidP="00015B17">
            <w:pPr>
              <w:tabs>
                <w:tab w:val="left" w:pos="-720"/>
              </w:tabs>
              <w:suppressAutoHyphens/>
              <w:spacing w:line="360" w:lineRule="auto"/>
              <w:jc w:val="both"/>
              <w:rPr>
                <w:spacing w:val="-3"/>
              </w:rPr>
            </w:pPr>
            <w:r w:rsidRPr="002707B9">
              <w:rPr>
                <w:spacing w:val="-3"/>
              </w:rPr>
              <w:t>5.11</w:t>
            </w:r>
          </w:p>
        </w:tc>
        <w:tc>
          <w:tcPr>
            <w:tcW w:w="900" w:type="dxa"/>
            <w:tcBorders>
              <w:top w:val="single" w:sz="7" w:space="0" w:color="000000"/>
              <w:left w:val="single" w:sz="7" w:space="0" w:color="000000"/>
              <w:bottom w:val="single" w:sz="7" w:space="0" w:color="000000"/>
              <w:right w:val="single" w:sz="7" w:space="0" w:color="000000"/>
            </w:tcBorders>
          </w:tcPr>
          <w:p w14:paraId="0CE5E649" w14:textId="77777777" w:rsidR="00015B17" w:rsidRPr="002707B9" w:rsidRDefault="00015B17" w:rsidP="00015B17">
            <w:pPr>
              <w:tabs>
                <w:tab w:val="left" w:pos="-720"/>
              </w:tabs>
              <w:suppressAutoHyphens/>
              <w:spacing w:line="360" w:lineRule="auto"/>
              <w:jc w:val="both"/>
              <w:rPr>
                <w:spacing w:val="-3"/>
              </w:rPr>
            </w:pPr>
            <w:r w:rsidRPr="002707B9">
              <w:rPr>
                <w:spacing w:val="-3"/>
              </w:rPr>
              <w:t>0.403</w:t>
            </w:r>
          </w:p>
        </w:tc>
        <w:tc>
          <w:tcPr>
            <w:tcW w:w="1080" w:type="dxa"/>
            <w:tcBorders>
              <w:top w:val="single" w:sz="7" w:space="0" w:color="000000"/>
              <w:left w:val="single" w:sz="7" w:space="0" w:color="000000"/>
              <w:bottom w:val="single" w:sz="7" w:space="0" w:color="000000"/>
              <w:right w:val="single" w:sz="7" w:space="0" w:color="000000"/>
            </w:tcBorders>
          </w:tcPr>
          <w:p w14:paraId="6AC03524" w14:textId="77777777" w:rsidR="00015B17" w:rsidRPr="002707B9" w:rsidRDefault="00015B17" w:rsidP="00015B17">
            <w:pPr>
              <w:tabs>
                <w:tab w:val="left" w:pos="-720"/>
              </w:tabs>
              <w:suppressAutoHyphens/>
              <w:spacing w:line="360" w:lineRule="auto"/>
              <w:jc w:val="both"/>
              <w:rPr>
                <w:spacing w:val="-3"/>
              </w:rPr>
            </w:pPr>
            <w:r w:rsidRPr="002707B9">
              <w:rPr>
                <w:spacing w:val="-3"/>
              </w:rPr>
              <w:t>10.6</w:t>
            </w:r>
          </w:p>
        </w:tc>
      </w:tr>
      <w:tr w:rsidR="00015B17" w:rsidRPr="002707B9" w14:paraId="678C62F3" w14:textId="77777777" w:rsidTr="006E6FC2">
        <w:trPr>
          <w:cantSplit/>
        </w:trPr>
        <w:tc>
          <w:tcPr>
            <w:tcW w:w="1170" w:type="dxa"/>
            <w:tcBorders>
              <w:top w:val="single" w:sz="7" w:space="0" w:color="000000"/>
              <w:left w:val="double" w:sz="7" w:space="0" w:color="000000"/>
              <w:bottom w:val="single" w:sz="7" w:space="0" w:color="000000"/>
              <w:right w:val="single" w:sz="7" w:space="0" w:color="000000"/>
            </w:tcBorders>
          </w:tcPr>
          <w:p w14:paraId="6B73707F" w14:textId="77777777" w:rsidR="00015B17" w:rsidRPr="002707B9" w:rsidRDefault="00015B17" w:rsidP="00015B17">
            <w:pPr>
              <w:tabs>
                <w:tab w:val="left" w:pos="-720"/>
              </w:tabs>
              <w:suppressAutoHyphens/>
              <w:spacing w:line="360" w:lineRule="auto"/>
              <w:jc w:val="both"/>
              <w:rPr>
                <w:spacing w:val="-3"/>
              </w:rPr>
            </w:pPr>
            <w:r w:rsidRPr="00B56784">
              <w:rPr>
                <w:spacing w:val="-3"/>
                <w:position w:val="-12"/>
              </w:rPr>
              <w:object w:dxaOrig="380" w:dyaOrig="380" w14:anchorId="14B120A3">
                <v:shape id="_x0000_i1212" type="#_x0000_t75" style="width:18.7pt;height:18.7pt" o:ole="">
                  <v:imagedata r:id="rId352" o:title=""/>
                </v:shape>
                <o:OLEObject Type="Embed" ProgID="Equation.DSMT4" ShapeID="_x0000_i1212" DrawAspect="Content" ObjectID="_1840626778" r:id="rId362"/>
              </w:object>
            </w:r>
          </w:p>
        </w:tc>
        <w:tc>
          <w:tcPr>
            <w:tcW w:w="810" w:type="dxa"/>
            <w:tcBorders>
              <w:top w:val="single" w:sz="7" w:space="0" w:color="000000"/>
              <w:left w:val="single" w:sz="7" w:space="0" w:color="000000"/>
              <w:bottom w:val="single" w:sz="7" w:space="0" w:color="000000"/>
              <w:right w:val="single" w:sz="7" w:space="0" w:color="000000"/>
            </w:tcBorders>
          </w:tcPr>
          <w:p w14:paraId="46AF9619" w14:textId="77777777" w:rsidR="00015B17" w:rsidRPr="002707B9" w:rsidRDefault="00015B17" w:rsidP="00015B17">
            <w:pPr>
              <w:tabs>
                <w:tab w:val="left" w:pos="-720"/>
              </w:tabs>
              <w:suppressAutoHyphens/>
              <w:spacing w:line="360" w:lineRule="auto"/>
              <w:jc w:val="both"/>
              <w:rPr>
                <w:spacing w:val="-3"/>
              </w:rPr>
            </w:pPr>
            <w:r w:rsidRPr="002707B9">
              <w:rPr>
                <w:spacing w:val="-3"/>
              </w:rPr>
              <w:t>---</w:t>
            </w:r>
          </w:p>
        </w:tc>
        <w:tc>
          <w:tcPr>
            <w:tcW w:w="810" w:type="dxa"/>
            <w:tcBorders>
              <w:top w:val="single" w:sz="7" w:space="0" w:color="000000"/>
              <w:left w:val="single" w:sz="7" w:space="0" w:color="000000"/>
              <w:bottom w:val="single" w:sz="7" w:space="0" w:color="000000"/>
              <w:right w:val="single" w:sz="7" w:space="0" w:color="000000"/>
            </w:tcBorders>
          </w:tcPr>
          <w:p w14:paraId="591E0E87" w14:textId="77777777" w:rsidR="00015B17" w:rsidRPr="002707B9" w:rsidRDefault="00015B17" w:rsidP="00015B17">
            <w:pPr>
              <w:tabs>
                <w:tab w:val="left" w:pos="-720"/>
              </w:tabs>
              <w:suppressAutoHyphens/>
              <w:spacing w:line="360" w:lineRule="auto"/>
              <w:jc w:val="both"/>
              <w:rPr>
                <w:spacing w:val="-3"/>
              </w:rPr>
            </w:pPr>
            <w:r w:rsidRPr="002707B9">
              <w:rPr>
                <w:spacing w:val="-3"/>
              </w:rPr>
              <w:t>-1.80</w:t>
            </w:r>
          </w:p>
        </w:tc>
        <w:tc>
          <w:tcPr>
            <w:tcW w:w="810" w:type="dxa"/>
            <w:tcBorders>
              <w:top w:val="single" w:sz="7" w:space="0" w:color="000000"/>
              <w:left w:val="single" w:sz="7" w:space="0" w:color="000000"/>
              <w:bottom w:val="single" w:sz="7" w:space="0" w:color="000000"/>
              <w:right w:val="single" w:sz="7" w:space="0" w:color="000000"/>
            </w:tcBorders>
          </w:tcPr>
          <w:p w14:paraId="71203BE3" w14:textId="77777777" w:rsidR="00015B17" w:rsidRPr="002707B9" w:rsidRDefault="00015B17" w:rsidP="00015B17">
            <w:pPr>
              <w:tabs>
                <w:tab w:val="left" w:pos="-720"/>
              </w:tabs>
              <w:suppressAutoHyphens/>
              <w:spacing w:line="360" w:lineRule="auto"/>
              <w:jc w:val="both"/>
              <w:rPr>
                <w:spacing w:val="-3"/>
              </w:rPr>
            </w:pPr>
            <w:r w:rsidRPr="002707B9">
              <w:rPr>
                <w:spacing w:val="-3"/>
              </w:rPr>
              <w:t>-5.73</w:t>
            </w:r>
          </w:p>
        </w:tc>
        <w:tc>
          <w:tcPr>
            <w:tcW w:w="810" w:type="dxa"/>
            <w:tcBorders>
              <w:top w:val="single" w:sz="7" w:space="0" w:color="000000"/>
              <w:left w:val="single" w:sz="7" w:space="0" w:color="000000"/>
              <w:bottom w:val="single" w:sz="7" w:space="0" w:color="000000"/>
              <w:right w:val="single" w:sz="7" w:space="0" w:color="000000"/>
            </w:tcBorders>
          </w:tcPr>
          <w:p w14:paraId="7CA6746A" w14:textId="77777777" w:rsidR="00015B17" w:rsidRPr="002707B9" w:rsidRDefault="00015B17" w:rsidP="00015B17">
            <w:pPr>
              <w:tabs>
                <w:tab w:val="left" w:pos="-720"/>
              </w:tabs>
              <w:suppressAutoHyphens/>
              <w:spacing w:line="360" w:lineRule="auto"/>
              <w:jc w:val="both"/>
              <w:rPr>
                <w:spacing w:val="-3"/>
              </w:rPr>
            </w:pPr>
            <w:r w:rsidRPr="002707B9">
              <w:rPr>
                <w:spacing w:val="-3"/>
              </w:rPr>
              <w:t>-16.3</w:t>
            </w:r>
          </w:p>
        </w:tc>
        <w:tc>
          <w:tcPr>
            <w:tcW w:w="810" w:type="dxa"/>
            <w:tcBorders>
              <w:top w:val="single" w:sz="7" w:space="0" w:color="000000"/>
              <w:left w:val="single" w:sz="7" w:space="0" w:color="000000"/>
              <w:bottom w:val="single" w:sz="7" w:space="0" w:color="000000"/>
              <w:right w:val="single" w:sz="7" w:space="0" w:color="000000"/>
            </w:tcBorders>
          </w:tcPr>
          <w:p w14:paraId="18CCF794" w14:textId="77777777" w:rsidR="00015B17" w:rsidRPr="002707B9" w:rsidRDefault="00015B17" w:rsidP="00015B17">
            <w:pPr>
              <w:tabs>
                <w:tab w:val="left" w:pos="-720"/>
              </w:tabs>
              <w:suppressAutoHyphens/>
              <w:spacing w:line="360" w:lineRule="auto"/>
              <w:jc w:val="both"/>
              <w:rPr>
                <w:spacing w:val="-3"/>
              </w:rPr>
            </w:pPr>
            <w:r w:rsidRPr="002707B9">
              <w:rPr>
                <w:spacing w:val="-3"/>
              </w:rPr>
              <w:t>-5.00</w:t>
            </w:r>
          </w:p>
        </w:tc>
        <w:tc>
          <w:tcPr>
            <w:tcW w:w="990" w:type="dxa"/>
            <w:tcBorders>
              <w:top w:val="single" w:sz="7" w:space="0" w:color="000000"/>
              <w:left w:val="single" w:sz="7" w:space="0" w:color="000000"/>
              <w:bottom w:val="single" w:sz="7" w:space="0" w:color="000000"/>
              <w:right w:val="single" w:sz="7" w:space="0" w:color="000000"/>
            </w:tcBorders>
          </w:tcPr>
          <w:p w14:paraId="0A429FFE" w14:textId="77777777" w:rsidR="00015B17" w:rsidRPr="002707B9" w:rsidRDefault="00015B17" w:rsidP="00015B17">
            <w:pPr>
              <w:tabs>
                <w:tab w:val="left" w:pos="-720"/>
              </w:tabs>
              <w:suppressAutoHyphens/>
              <w:spacing w:line="360" w:lineRule="auto"/>
              <w:jc w:val="both"/>
              <w:rPr>
                <w:spacing w:val="-3"/>
              </w:rPr>
            </w:pPr>
            <w:r w:rsidRPr="002707B9">
              <w:rPr>
                <w:spacing w:val="-3"/>
              </w:rPr>
              <w:t>-15.44</w:t>
            </w:r>
          </w:p>
        </w:tc>
        <w:tc>
          <w:tcPr>
            <w:tcW w:w="900" w:type="dxa"/>
            <w:tcBorders>
              <w:top w:val="single" w:sz="7" w:space="0" w:color="000000"/>
              <w:left w:val="single" w:sz="7" w:space="0" w:color="000000"/>
              <w:bottom w:val="single" w:sz="7" w:space="0" w:color="000000"/>
              <w:right w:val="single" w:sz="7" w:space="0" w:color="000000"/>
            </w:tcBorders>
          </w:tcPr>
          <w:p w14:paraId="390081BB" w14:textId="77777777" w:rsidR="00015B17" w:rsidRPr="002707B9" w:rsidRDefault="00015B17" w:rsidP="00015B17">
            <w:pPr>
              <w:tabs>
                <w:tab w:val="left" w:pos="-720"/>
              </w:tabs>
              <w:suppressAutoHyphens/>
              <w:spacing w:line="360" w:lineRule="auto"/>
              <w:jc w:val="both"/>
              <w:rPr>
                <w:spacing w:val="-3"/>
              </w:rPr>
            </w:pPr>
            <w:r w:rsidRPr="002707B9">
              <w:rPr>
                <w:spacing w:val="-3"/>
              </w:rPr>
              <w:t>-5.72</w:t>
            </w:r>
          </w:p>
        </w:tc>
        <w:tc>
          <w:tcPr>
            <w:tcW w:w="1080" w:type="dxa"/>
            <w:tcBorders>
              <w:top w:val="single" w:sz="7" w:space="0" w:color="000000"/>
              <w:left w:val="single" w:sz="7" w:space="0" w:color="000000"/>
              <w:bottom w:val="single" w:sz="7" w:space="0" w:color="000000"/>
              <w:right w:val="single" w:sz="7" w:space="0" w:color="000000"/>
            </w:tcBorders>
          </w:tcPr>
          <w:p w14:paraId="637DAE16" w14:textId="77777777" w:rsidR="00015B17" w:rsidRPr="002707B9" w:rsidRDefault="00015B17" w:rsidP="00015B17">
            <w:pPr>
              <w:tabs>
                <w:tab w:val="left" w:pos="-720"/>
              </w:tabs>
              <w:suppressAutoHyphens/>
              <w:spacing w:line="360" w:lineRule="auto"/>
              <w:jc w:val="both"/>
              <w:rPr>
                <w:spacing w:val="-3"/>
              </w:rPr>
            </w:pPr>
            <w:r w:rsidRPr="002707B9">
              <w:rPr>
                <w:spacing w:val="-3"/>
              </w:rPr>
              <w:t>-0.641</w:t>
            </w:r>
          </w:p>
        </w:tc>
      </w:tr>
      <w:tr w:rsidR="00015B17" w:rsidRPr="002707B9" w14:paraId="6C870326" w14:textId="77777777" w:rsidTr="006E6FC2">
        <w:trPr>
          <w:cantSplit/>
        </w:trPr>
        <w:tc>
          <w:tcPr>
            <w:tcW w:w="1170" w:type="dxa"/>
            <w:tcBorders>
              <w:top w:val="single" w:sz="7" w:space="0" w:color="000000"/>
              <w:left w:val="double" w:sz="7" w:space="0" w:color="000000"/>
              <w:bottom w:val="double" w:sz="7" w:space="0" w:color="000000"/>
              <w:right w:val="single" w:sz="7" w:space="0" w:color="000000"/>
            </w:tcBorders>
          </w:tcPr>
          <w:p w14:paraId="0FBCDFC5" w14:textId="77777777" w:rsidR="00015B17" w:rsidRPr="002707B9" w:rsidRDefault="00015B17" w:rsidP="00015B17">
            <w:pPr>
              <w:tabs>
                <w:tab w:val="left" w:pos="-720"/>
              </w:tabs>
              <w:suppressAutoHyphens/>
              <w:spacing w:line="360" w:lineRule="auto"/>
              <w:jc w:val="both"/>
              <w:rPr>
                <w:spacing w:val="-3"/>
              </w:rPr>
            </w:pPr>
            <w:r w:rsidRPr="004E3C77">
              <w:rPr>
                <w:spacing w:val="-3"/>
                <w:position w:val="-12"/>
              </w:rPr>
              <w:object w:dxaOrig="320" w:dyaOrig="380" w14:anchorId="6A3DBAB2">
                <v:shape id="_x0000_i1213" type="#_x0000_t75" style="width:16.85pt;height:18.7pt" o:ole="">
                  <v:imagedata r:id="rId350" o:title=""/>
                </v:shape>
                <o:OLEObject Type="Embed" ProgID="Equation.DSMT4" ShapeID="_x0000_i1213" DrawAspect="Content" ObjectID="_1840626779" r:id="rId363"/>
              </w:object>
            </w:r>
          </w:p>
        </w:tc>
        <w:tc>
          <w:tcPr>
            <w:tcW w:w="810" w:type="dxa"/>
            <w:tcBorders>
              <w:top w:val="single" w:sz="7" w:space="0" w:color="000000"/>
              <w:left w:val="single" w:sz="7" w:space="0" w:color="000000"/>
              <w:bottom w:val="double" w:sz="7" w:space="0" w:color="000000"/>
              <w:right w:val="single" w:sz="7" w:space="0" w:color="000000"/>
            </w:tcBorders>
          </w:tcPr>
          <w:p w14:paraId="5BE133B9" w14:textId="77777777" w:rsidR="00015B17" w:rsidRPr="002707B9" w:rsidRDefault="00015B17" w:rsidP="00015B17">
            <w:pPr>
              <w:tabs>
                <w:tab w:val="left" w:pos="-720"/>
              </w:tabs>
              <w:suppressAutoHyphens/>
              <w:spacing w:line="360" w:lineRule="auto"/>
              <w:jc w:val="both"/>
              <w:rPr>
                <w:spacing w:val="-3"/>
              </w:rPr>
            </w:pPr>
            <w:r w:rsidRPr="002707B9">
              <w:rPr>
                <w:spacing w:val="-3"/>
              </w:rPr>
              <w:t>---</w:t>
            </w:r>
          </w:p>
        </w:tc>
        <w:tc>
          <w:tcPr>
            <w:tcW w:w="810" w:type="dxa"/>
            <w:tcBorders>
              <w:top w:val="single" w:sz="7" w:space="0" w:color="000000"/>
              <w:left w:val="single" w:sz="7" w:space="0" w:color="000000"/>
              <w:bottom w:val="double" w:sz="7" w:space="0" w:color="000000"/>
              <w:right w:val="single" w:sz="7" w:space="0" w:color="000000"/>
            </w:tcBorders>
          </w:tcPr>
          <w:p w14:paraId="698A3205" w14:textId="77777777" w:rsidR="00015B17" w:rsidRPr="002707B9" w:rsidRDefault="00015B17" w:rsidP="00015B17">
            <w:pPr>
              <w:tabs>
                <w:tab w:val="left" w:pos="-720"/>
              </w:tabs>
              <w:suppressAutoHyphens/>
              <w:spacing w:line="360" w:lineRule="auto"/>
              <w:jc w:val="both"/>
              <w:rPr>
                <w:spacing w:val="-3"/>
              </w:rPr>
            </w:pPr>
            <w:r w:rsidRPr="002707B9">
              <w:rPr>
                <w:spacing w:val="-3"/>
              </w:rPr>
              <w:t>1.06</w:t>
            </w:r>
          </w:p>
        </w:tc>
        <w:tc>
          <w:tcPr>
            <w:tcW w:w="810" w:type="dxa"/>
            <w:tcBorders>
              <w:top w:val="single" w:sz="7" w:space="0" w:color="000000"/>
              <w:left w:val="single" w:sz="7" w:space="0" w:color="000000"/>
              <w:bottom w:val="double" w:sz="7" w:space="0" w:color="000000"/>
              <w:right w:val="single" w:sz="7" w:space="0" w:color="000000"/>
            </w:tcBorders>
          </w:tcPr>
          <w:p w14:paraId="75ADE6A5" w14:textId="77777777" w:rsidR="00015B17" w:rsidRPr="002707B9" w:rsidRDefault="00015B17" w:rsidP="00015B17">
            <w:pPr>
              <w:tabs>
                <w:tab w:val="left" w:pos="-720"/>
              </w:tabs>
              <w:suppressAutoHyphens/>
              <w:spacing w:line="360" w:lineRule="auto"/>
              <w:jc w:val="both"/>
              <w:rPr>
                <w:spacing w:val="-3"/>
              </w:rPr>
            </w:pPr>
            <w:r w:rsidRPr="002707B9">
              <w:rPr>
                <w:spacing w:val="-3"/>
              </w:rPr>
              <w:t>0.699</w:t>
            </w:r>
          </w:p>
        </w:tc>
        <w:tc>
          <w:tcPr>
            <w:tcW w:w="810" w:type="dxa"/>
            <w:tcBorders>
              <w:top w:val="single" w:sz="7" w:space="0" w:color="000000"/>
              <w:left w:val="single" w:sz="7" w:space="0" w:color="000000"/>
              <w:bottom w:val="double" w:sz="7" w:space="0" w:color="000000"/>
              <w:right w:val="single" w:sz="7" w:space="0" w:color="000000"/>
            </w:tcBorders>
          </w:tcPr>
          <w:p w14:paraId="2B76394F" w14:textId="77777777" w:rsidR="00015B17" w:rsidRPr="002707B9" w:rsidRDefault="00015B17" w:rsidP="00015B17">
            <w:pPr>
              <w:tabs>
                <w:tab w:val="left" w:pos="-720"/>
              </w:tabs>
              <w:suppressAutoHyphens/>
              <w:spacing w:line="360" w:lineRule="auto"/>
              <w:jc w:val="both"/>
              <w:rPr>
                <w:spacing w:val="-3"/>
              </w:rPr>
            </w:pPr>
            <w:r w:rsidRPr="002707B9">
              <w:rPr>
                <w:spacing w:val="-3"/>
              </w:rPr>
              <w:t>0.492</w:t>
            </w:r>
          </w:p>
        </w:tc>
        <w:tc>
          <w:tcPr>
            <w:tcW w:w="810" w:type="dxa"/>
            <w:tcBorders>
              <w:top w:val="single" w:sz="7" w:space="0" w:color="000000"/>
              <w:left w:val="single" w:sz="7" w:space="0" w:color="000000"/>
              <w:bottom w:val="double" w:sz="7" w:space="0" w:color="000000"/>
              <w:right w:val="single" w:sz="7" w:space="0" w:color="000000"/>
            </w:tcBorders>
          </w:tcPr>
          <w:p w14:paraId="71815ECB" w14:textId="77777777" w:rsidR="00015B17" w:rsidRPr="002707B9" w:rsidRDefault="00015B17" w:rsidP="00015B17">
            <w:pPr>
              <w:tabs>
                <w:tab w:val="left" w:pos="-720"/>
              </w:tabs>
              <w:suppressAutoHyphens/>
              <w:spacing w:line="360" w:lineRule="auto"/>
              <w:jc w:val="both"/>
              <w:rPr>
                <w:spacing w:val="-3"/>
              </w:rPr>
            </w:pPr>
            <w:r w:rsidRPr="002707B9">
              <w:rPr>
                <w:spacing w:val="-3"/>
              </w:rPr>
              <w:t>0.545</w:t>
            </w:r>
          </w:p>
        </w:tc>
        <w:tc>
          <w:tcPr>
            <w:tcW w:w="990" w:type="dxa"/>
            <w:tcBorders>
              <w:top w:val="single" w:sz="7" w:space="0" w:color="000000"/>
              <w:left w:val="single" w:sz="7" w:space="0" w:color="000000"/>
              <w:bottom w:val="double" w:sz="7" w:space="0" w:color="000000"/>
              <w:right w:val="single" w:sz="7" w:space="0" w:color="000000"/>
            </w:tcBorders>
          </w:tcPr>
          <w:p w14:paraId="0B1E7C73" w14:textId="77777777" w:rsidR="00015B17" w:rsidRPr="002707B9" w:rsidRDefault="00015B17" w:rsidP="00015B17">
            <w:pPr>
              <w:tabs>
                <w:tab w:val="left" w:pos="-720"/>
              </w:tabs>
              <w:suppressAutoHyphens/>
              <w:spacing w:line="360" w:lineRule="auto"/>
              <w:jc w:val="both"/>
              <w:rPr>
                <w:spacing w:val="-3"/>
              </w:rPr>
            </w:pPr>
            <w:r w:rsidRPr="002707B9">
              <w:rPr>
                <w:spacing w:val="-3"/>
              </w:rPr>
              <w:t>0.913</w:t>
            </w:r>
          </w:p>
        </w:tc>
        <w:tc>
          <w:tcPr>
            <w:tcW w:w="900" w:type="dxa"/>
            <w:tcBorders>
              <w:top w:val="single" w:sz="7" w:space="0" w:color="000000"/>
              <w:left w:val="single" w:sz="7" w:space="0" w:color="000000"/>
              <w:bottom w:val="double" w:sz="7" w:space="0" w:color="000000"/>
              <w:right w:val="single" w:sz="7" w:space="0" w:color="000000"/>
            </w:tcBorders>
          </w:tcPr>
          <w:p w14:paraId="2B98EE11" w14:textId="77777777" w:rsidR="00015B17" w:rsidRPr="002707B9" w:rsidRDefault="00015B17" w:rsidP="00015B17">
            <w:pPr>
              <w:tabs>
                <w:tab w:val="left" w:pos="-720"/>
              </w:tabs>
              <w:suppressAutoHyphens/>
              <w:spacing w:line="360" w:lineRule="auto"/>
              <w:jc w:val="both"/>
              <w:rPr>
                <w:spacing w:val="-3"/>
              </w:rPr>
            </w:pPr>
            <w:r w:rsidRPr="002707B9">
              <w:rPr>
                <w:spacing w:val="-3"/>
              </w:rPr>
              <w:t>0.672</w:t>
            </w:r>
          </w:p>
        </w:tc>
        <w:tc>
          <w:tcPr>
            <w:tcW w:w="1080" w:type="dxa"/>
            <w:tcBorders>
              <w:top w:val="single" w:sz="7" w:space="0" w:color="000000"/>
              <w:left w:val="single" w:sz="7" w:space="0" w:color="000000"/>
              <w:bottom w:val="double" w:sz="7" w:space="0" w:color="000000"/>
              <w:right w:val="single" w:sz="7" w:space="0" w:color="000000"/>
            </w:tcBorders>
          </w:tcPr>
          <w:p w14:paraId="24F1D50C" w14:textId="77777777" w:rsidR="00015B17" w:rsidRPr="002707B9" w:rsidRDefault="00015B17" w:rsidP="00015B17">
            <w:pPr>
              <w:tabs>
                <w:tab w:val="left" w:pos="-720"/>
              </w:tabs>
              <w:suppressAutoHyphens/>
              <w:spacing w:line="360" w:lineRule="auto"/>
              <w:jc w:val="both"/>
              <w:rPr>
                <w:spacing w:val="-3"/>
              </w:rPr>
            </w:pPr>
            <w:r w:rsidRPr="002707B9">
              <w:rPr>
                <w:spacing w:val="-3"/>
              </w:rPr>
              <w:t>1.32</w:t>
            </w:r>
          </w:p>
        </w:tc>
      </w:tr>
    </w:tbl>
    <w:p w14:paraId="1290C830" w14:textId="77777777" w:rsidR="00015B17" w:rsidRDefault="006E6FC2" w:rsidP="006E6FC2">
      <w:pPr>
        <w:tabs>
          <w:tab w:val="left" w:pos="-720"/>
        </w:tabs>
        <w:suppressAutoHyphens/>
        <w:spacing w:line="360" w:lineRule="auto"/>
        <w:jc w:val="center"/>
        <w:rPr>
          <w:spacing w:val="-3"/>
        </w:rPr>
      </w:pPr>
      <w:r>
        <w:rPr>
          <w:spacing w:val="-3"/>
        </w:rPr>
        <w:t xml:space="preserve">Note that, unlike binary systems, the sign of </w:t>
      </w:r>
      <w:r w:rsidRPr="00FB6563">
        <w:rPr>
          <w:spacing w:val="-3"/>
          <w:position w:val="-16"/>
        </w:rPr>
        <w:object w:dxaOrig="1160" w:dyaOrig="440" w14:anchorId="5D302251">
          <v:shape id="_x0000_i1214" type="#_x0000_t75" style="width:57.95pt;height:21.5pt" o:ole="">
            <v:imagedata r:id="rId364" o:title=""/>
          </v:shape>
          <o:OLEObject Type="Embed" ProgID="Equation.DSMT4" ShapeID="_x0000_i1214" DrawAspect="Content" ObjectID="_1840626780" r:id="rId365"/>
        </w:object>
      </w:r>
      <w:r>
        <w:rPr>
          <w:spacing w:val="-3"/>
        </w:rPr>
        <w:t>need not be negative in multicomponent alloys.</w:t>
      </w:r>
    </w:p>
    <w:p w14:paraId="575C84D2" w14:textId="77777777" w:rsidR="006E6FC2" w:rsidRPr="002707B9" w:rsidRDefault="006E6FC2" w:rsidP="00015B17">
      <w:pPr>
        <w:tabs>
          <w:tab w:val="left" w:pos="-720"/>
        </w:tabs>
        <w:suppressAutoHyphens/>
        <w:spacing w:line="360" w:lineRule="auto"/>
        <w:jc w:val="both"/>
        <w:rPr>
          <w:spacing w:val="-3"/>
        </w:rPr>
      </w:pPr>
    </w:p>
    <w:p w14:paraId="13604CA6" w14:textId="77777777" w:rsidR="00015B17" w:rsidRPr="005C752E" w:rsidRDefault="00015B17" w:rsidP="00015B17">
      <w:pPr>
        <w:tabs>
          <w:tab w:val="left" w:pos="-720"/>
        </w:tabs>
        <w:suppressAutoHyphens/>
        <w:spacing w:line="360" w:lineRule="auto"/>
        <w:jc w:val="both"/>
        <w:outlineLvl w:val="0"/>
        <w:rPr>
          <w:b/>
          <w:spacing w:val="-3"/>
        </w:rPr>
      </w:pPr>
      <w:r w:rsidRPr="00FD7E0E">
        <w:rPr>
          <w:b/>
          <w:spacing w:val="-3"/>
        </w:rPr>
        <w:t>3.4 The</w:t>
      </w:r>
      <w:r>
        <w:rPr>
          <w:spacing w:val="-3"/>
        </w:rPr>
        <w:t xml:space="preserve"> </w:t>
      </w:r>
      <w:r w:rsidRPr="005C752E">
        <w:rPr>
          <w:b/>
          <w:spacing w:val="-3"/>
        </w:rPr>
        <w:t>Phase Field Method</w:t>
      </w:r>
    </w:p>
    <w:p w14:paraId="70694668" w14:textId="77777777" w:rsidR="00015B17" w:rsidRDefault="00015B17" w:rsidP="00015B17">
      <w:pPr>
        <w:tabs>
          <w:tab w:val="left" w:pos="-720"/>
        </w:tabs>
        <w:suppressAutoHyphens/>
        <w:spacing w:line="360" w:lineRule="auto"/>
        <w:jc w:val="both"/>
        <w:rPr>
          <w:spacing w:val="-3"/>
        </w:rPr>
      </w:pPr>
    </w:p>
    <w:p w14:paraId="11BEF646" w14:textId="7CFCFDC5" w:rsidR="00015B17" w:rsidRDefault="00015B17" w:rsidP="00015B17">
      <w:pPr>
        <w:tabs>
          <w:tab w:val="left" w:pos="-720"/>
        </w:tabs>
        <w:suppressAutoHyphens/>
        <w:spacing w:line="360" w:lineRule="auto"/>
        <w:rPr>
          <w:spacing w:val="-3"/>
        </w:rPr>
      </w:pPr>
      <w:r>
        <w:rPr>
          <w:spacing w:val="-3"/>
        </w:rPr>
        <w:tab/>
        <w:t xml:space="preserve">In the 1990s a </w:t>
      </w:r>
      <w:r w:rsidRPr="00F113AF">
        <w:rPr>
          <w:spacing w:val="-3"/>
        </w:rPr>
        <w:t xml:space="preserve">method </w:t>
      </w:r>
      <w:r>
        <w:rPr>
          <w:spacing w:val="-3"/>
        </w:rPr>
        <w:t xml:space="preserve">was refined to treat solidification and other phase transformations that avoids mathematical tracking </w:t>
      </w:r>
      <w:r w:rsidR="000154A4">
        <w:rPr>
          <w:spacing w:val="-3"/>
        </w:rPr>
        <w:t xml:space="preserve">of </w:t>
      </w:r>
      <w:r>
        <w:rPr>
          <w:spacing w:val="-3"/>
        </w:rPr>
        <w:t xml:space="preserve">the interface between the phases. This method is particularly useful for modeling of solidification with complex interface shapes and multiphase solidification processes. </w:t>
      </w:r>
      <w:r w:rsidRPr="00A26D78">
        <w:rPr>
          <w:spacing w:val="-3"/>
        </w:rPr>
        <w:t>The basis of the phase-field model for solidification</w:t>
      </w:r>
      <w:r>
        <w:rPr>
          <w:spacing w:val="-3"/>
        </w:rPr>
        <w:t xml:space="preserve"> </w:t>
      </w:r>
      <w:r w:rsidRPr="00A26D78">
        <w:rPr>
          <w:spacing w:val="-3"/>
        </w:rPr>
        <w:t xml:space="preserve">of pure materials </w:t>
      </w:r>
      <w:r>
        <w:rPr>
          <w:spacing w:val="-3"/>
        </w:rPr>
        <w:t xml:space="preserve">is found in </w:t>
      </w:r>
      <w:r w:rsidRPr="00A26D78">
        <w:rPr>
          <w:spacing w:val="-3"/>
        </w:rPr>
        <w:t>efforts by Langer [1</w:t>
      </w:r>
      <w:r>
        <w:rPr>
          <w:spacing w:val="-3"/>
        </w:rPr>
        <w:t>986</w:t>
      </w:r>
      <w:r w:rsidRPr="00A26D78">
        <w:rPr>
          <w:spacing w:val="-3"/>
        </w:rPr>
        <w:t>]</w:t>
      </w:r>
      <w:r>
        <w:rPr>
          <w:spacing w:val="-3"/>
        </w:rPr>
        <w:t xml:space="preserve"> </w:t>
      </w:r>
      <w:r w:rsidRPr="00A26D78">
        <w:rPr>
          <w:spacing w:val="-3"/>
        </w:rPr>
        <w:t>and Ca</w:t>
      </w:r>
      <w:r>
        <w:rPr>
          <w:spacing w:val="-3"/>
        </w:rPr>
        <w:t>l</w:t>
      </w:r>
      <w:r w:rsidRPr="00A26D78">
        <w:rPr>
          <w:spacing w:val="-3"/>
        </w:rPr>
        <w:t>ginalp [</w:t>
      </w:r>
      <w:r>
        <w:rPr>
          <w:spacing w:val="-3"/>
        </w:rPr>
        <w:t>1986</w:t>
      </w:r>
      <w:r w:rsidRPr="00A26D78">
        <w:rPr>
          <w:spacing w:val="-3"/>
        </w:rPr>
        <w:t>], with related ideas in the context</w:t>
      </w:r>
      <w:r>
        <w:rPr>
          <w:spacing w:val="-3"/>
        </w:rPr>
        <w:t xml:space="preserve"> </w:t>
      </w:r>
      <w:r w:rsidRPr="00A26D78">
        <w:rPr>
          <w:spacing w:val="-3"/>
        </w:rPr>
        <w:t>of anti-phase boundary migration (APB) by Allen</w:t>
      </w:r>
      <w:r>
        <w:rPr>
          <w:spacing w:val="-3"/>
        </w:rPr>
        <w:t xml:space="preserve"> </w:t>
      </w:r>
      <w:r w:rsidRPr="00A26D78">
        <w:rPr>
          <w:spacing w:val="-3"/>
        </w:rPr>
        <w:t>and Cahn [</w:t>
      </w:r>
      <w:r>
        <w:rPr>
          <w:spacing w:val="-3"/>
        </w:rPr>
        <w:t>1979</w:t>
      </w:r>
      <w:r w:rsidRPr="00A26D78">
        <w:rPr>
          <w:spacing w:val="-3"/>
        </w:rPr>
        <w:t>]. Such models treat the presence of an</w:t>
      </w:r>
      <w:r>
        <w:rPr>
          <w:spacing w:val="-3"/>
        </w:rPr>
        <w:t xml:space="preserve"> </w:t>
      </w:r>
      <w:r w:rsidRPr="00A26D78">
        <w:rPr>
          <w:spacing w:val="-3"/>
        </w:rPr>
        <w:t>interface by the introduction of a gradient correction</w:t>
      </w:r>
      <w:r>
        <w:rPr>
          <w:spacing w:val="-3"/>
        </w:rPr>
        <w:t xml:space="preserve"> </w:t>
      </w:r>
      <w:r w:rsidRPr="00A26D78">
        <w:rPr>
          <w:spacing w:val="-3"/>
        </w:rPr>
        <w:t xml:space="preserve">to </w:t>
      </w:r>
      <w:r w:rsidRPr="00A26D78">
        <w:rPr>
          <w:spacing w:val="-3"/>
        </w:rPr>
        <w:lastRenderedPageBreak/>
        <w:t>the thermodynamic potentials.</w:t>
      </w:r>
      <w:r>
        <w:rPr>
          <w:spacing w:val="-3"/>
        </w:rPr>
        <w:t xml:space="preserve">  It </w:t>
      </w:r>
      <w:r w:rsidRPr="00F113AF">
        <w:rPr>
          <w:spacing w:val="-3"/>
        </w:rPr>
        <w:t>employs a phase-field variable, e.g.</w:t>
      </w:r>
      <w:r w:rsidR="00061F4B">
        <w:rPr>
          <w:spacing w:val="-3"/>
        </w:rPr>
        <w:t>,</w:t>
      </w:r>
      <w:r w:rsidRPr="00F113AF">
        <w:rPr>
          <w:spacing w:val="-3"/>
        </w:rPr>
        <w:t xml:space="preserve"> </w:t>
      </w:r>
      <w:r w:rsidRPr="00F113AF">
        <w:rPr>
          <w:i/>
          <w:spacing w:val="-3"/>
        </w:rPr>
        <w:sym w:font="Symbol" w:char="F066"/>
      </w:r>
      <w:r w:rsidRPr="00F113AF">
        <w:rPr>
          <w:spacing w:val="-3"/>
        </w:rPr>
        <w:t xml:space="preserve">, which is a function of position and time, to describe whether the material is liquid or solid. </w:t>
      </w:r>
      <w:r>
        <w:rPr>
          <w:spacing w:val="-3"/>
        </w:rPr>
        <w:t xml:space="preserve">The variable has some features in common with the fraction of liquid used for mushy zone descriptions and the enthalpy method described in § 2 but is a much more detailed variable that represents the interface transition. </w:t>
      </w:r>
      <w:r w:rsidRPr="00F113AF">
        <w:rPr>
          <w:spacing w:val="-3"/>
        </w:rPr>
        <w:t>The behavior of this variable is governed by an equation that is coupled to equations for heat and solute transport. Interfaces between liquid and solid are described by smooth but highly localized changes of this variable between fixed values that represent solid and liquid, (</w:t>
      </w:r>
      <w:r>
        <w:rPr>
          <w:spacing w:val="-3"/>
        </w:rPr>
        <w:t>here</w:t>
      </w:r>
      <w:r w:rsidRPr="00F113AF">
        <w:rPr>
          <w:spacing w:val="-3"/>
        </w:rPr>
        <w:t>, 0 and 1 respectively).</w:t>
      </w:r>
      <w:r>
        <w:rPr>
          <w:spacing w:val="-3"/>
        </w:rPr>
        <w:t xml:space="preserve"> The approach is described here and reference will be made to dynamic calculations throughout the chapter. References for alloy solidification are </w:t>
      </w:r>
      <w:r w:rsidR="000154A4">
        <w:rPr>
          <w:spacing w:val="-3"/>
        </w:rPr>
        <w:t xml:space="preserve">Wheeler </w:t>
      </w:r>
      <w:r>
        <w:rPr>
          <w:spacing w:val="-3"/>
        </w:rPr>
        <w:t xml:space="preserve">et al [1992], Calginalp [1993], Warren &amp; Boettinger [1995], Steinbach et al. [1996], Beckermann et al. [1999] and Kim et al. [1999]. </w:t>
      </w:r>
    </w:p>
    <w:p w14:paraId="65FAA3E2" w14:textId="77777777" w:rsidR="00015B17" w:rsidRPr="00F113AF" w:rsidRDefault="00015B17" w:rsidP="00015B17">
      <w:pPr>
        <w:tabs>
          <w:tab w:val="left" w:pos="-720"/>
        </w:tabs>
        <w:suppressAutoHyphens/>
        <w:spacing w:line="360" w:lineRule="auto"/>
        <w:jc w:val="both"/>
        <w:rPr>
          <w:spacing w:val="-3"/>
        </w:rPr>
      </w:pPr>
    </w:p>
    <w:p w14:paraId="5B6E07BE" w14:textId="77777777" w:rsidR="00015B17" w:rsidRPr="00F113AF" w:rsidRDefault="00015B17" w:rsidP="00015B17">
      <w:pPr>
        <w:tabs>
          <w:tab w:val="left" w:pos="-720"/>
        </w:tabs>
        <w:suppressAutoHyphens/>
        <w:spacing w:line="360" w:lineRule="auto"/>
        <w:jc w:val="both"/>
        <w:rPr>
          <w:spacing w:val="-3"/>
        </w:rPr>
      </w:pPr>
    </w:p>
    <w:p w14:paraId="272BDA6B" w14:textId="77777777" w:rsidR="00015B17" w:rsidRPr="00CE0C6C" w:rsidRDefault="00015B17" w:rsidP="00015B17">
      <w:pPr>
        <w:tabs>
          <w:tab w:val="left" w:pos="-720"/>
        </w:tabs>
        <w:suppressAutoHyphens/>
        <w:spacing w:line="360" w:lineRule="auto"/>
        <w:jc w:val="both"/>
        <w:outlineLvl w:val="0"/>
        <w:rPr>
          <w:b/>
          <w:spacing w:val="-3"/>
        </w:rPr>
      </w:pPr>
      <w:r w:rsidRPr="00CE0C6C">
        <w:rPr>
          <w:b/>
          <w:spacing w:val="-3"/>
        </w:rPr>
        <w:t>3.4.1</w:t>
      </w:r>
      <w:r>
        <w:rPr>
          <w:b/>
          <w:spacing w:val="-3"/>
        </w:rPr>
        <w:t xml:space="preserve"> </w:t>
      </w:r>
      <w:r w:rsidRPr="00CE0C6C">
        <w:rPr>
          <w:b/>
          <w:spacing w:val="-3"/>
        </w:rPr>
        <w:t>The Phase Field Variable</w:t>
      </w:r>
    </w:p>
    <w:p w14:paraId="5866FEE8" w14:textId="77777777" w:rsidR="00015B17" w:rsidRPr="00CE0C6C" w:rsidRDefault="00015B17" w:rsidP="00015B17">
      <w:pPr>
        <w:tabs>
          <w:tab w:val="left" w:pos="-720"/>
        </w:tabs>
        <w:suppressAutoHyphens/>
        <w:spacing w:line="360" w:lineRule="auto"/>
        <w:jc w:val="both"/>
        <w:rPr>
          <w:b/>
          <w:spacing w:val="-3"/>
          <w:u w:val="single"/>
        </w:rPr>
      </w:pPr>
    </w:p>
    <w:p w14:paraId="024DE16D" w14:textId="7613E9E5" w:rsidR="00015B17" w:rsidRDefault="00015B17" w:rsidP="00015B17">
      <w:pPr>
        <w:tabs>
          <w:tab w:val="left" w:pos="-720"/>
        </w:tabs>
        <w:suppressAutoHyphens/>
        <w:spacing w:line="360" w:lineRule="auto"/>
        <w:rPr>
          <w:spacing w:val="-3"/>
        </w:rPr>
      </w:pPr>
      <w:r>
        <w:rPr>
          <w:spacing w:val="-3"/>
        </w:rPr>
        <w:tab/>
      </w:r>
      <w:r w:rsidRPr="00F113AF">
        <w:rPr>
          <w:spacing w:val="-3"/>
        </w:rPr>
        <w:t xml:space="preserve">A single scalar order parameter can be used to model solidification of a single phase material. However, to employ such a simple description of the liquid-solid transition necessarily requires a number of approximations. Fig. </w:t>
      </w:r>
      <w:r>
        <w:rPr>
          <w:spacing w:val="-3"/>
        </w:rPr>
        <w:t>3.5</w:t>
      </w:r>
      <w:r w:rsidRPr="00F113AF">
        <w:rPr>
          <w:spacing w:val="-3"/>
        </w:rPr>
        <w:t xml:space="preserve"> adapted from Mikeev and Chernov [</w:t>
      </w:r>
      <w:r>
        <w:rPr>
          <w:spacing w:val="-3"/>
        </w:rPr>
        <w:t>1991</w:t>
      </w:r>
      <w:r w:rsidRPr="00F113AF">
        <w:rPr>
          <w:spacing w:val="-3"/>
        </w:rPr>
        <w:t>] shows one possible physical interpretation of a single scalar phase-field variable. The interfacial region and its motion during solidification are depicted by a damped wave that represents the probability of finding an atom at a particular location. On the left, the atoms tend to be located at discrete atomic planes corresponding to the crystal. As the liquid is approached, the probability has the same average value but becomes less localized</w:t>
      </w:r>
      <w:r>
        <w:rPr>
          <w:spacing w:val="-3"/>
        </w:rPr>
        <w:t xml:space="preserve"> to lattice points</w:t>
      </w:r>
      <w:r w:rsidRPr="00F113AF">
        <w:rPr>
          <w:spacing w:val="-3"/>
        </w:rPr>
        <w:t xml:space="preserve"> as indicated by the reduced amplitude of the wave. </w:t>
      </w:r>
      <w:r w:rsidR="003B1B72" w:rsidRPr="00F113AF">
        <w:rPr>
          <w:spacing w:val="-3"/>
        </w:rPr>
        <w:t>Finally,</w:t>
      </w:r>
      <w:r w:rsidRPr="00F113AF">
        <w:rPr>
          <w:spacing w:val="-3"/>
        </w:rPr>
        <w:t xml:space="preserve"> the probability achieves a constant value in the liquid indicating the absence of localization of atoms to specific sites; i.e., a liquid. The </w:t>
      </w:r>
      <w:r w:rsidRPr="00F113AF">
        <w:rPr>
          <w:i/>
          <w:spacing w:val="-3"/>
        </w:rPr>
        <w:t>amplitude</w:t>
      </w:r>
      <w:r w:rsidRPr="00F113AF">
        <w:rPr>
          <w:spacing w:val="-3"/>
        </w:rPr>
        <w:t xml:space="preserve"> of the wave might be related to the phase field</w:t>
      </w:r>
      <w:r>
        <w:rPr>
          <w:spacing w:val="-3"/>
        </w:rPr>
        <w:t xml:space="preserve"> </w:t>
      </w:r>
      <w:r w:rsidRPr="00F113AF">
        <w:rPr>
          <w:i/>
          <w:spacing w:val="-3"/>
        </w:rPr>
        <w:sym w:font="Symbol" w:char="F066"/>
      </w:r>
      <w:r w:rsidRPr="00F113AF">
        <w:rPr>
          <w:spacing w:val="-3"/>
        </w:rPr>
        <w:t xml:space="preserve">. </w:t>
      </w:r>
      <w:r>
        <w:rPr>
          <w:spacing w:val="-3"/>
        </w:rPr>
        <w:t>M</w:t>
      </w:r>
      <w:r w:rsidRPr="00F113AF">
        <w:rPr>
          <w:spacing w:val="-3"/>
        </w:rPr>
        <w:t>ultiple scalar phase field variables can be used to treat situations where more than two solid phases appear</w:t>
      </w:r>
      <w:r>
        <w:rPr>
          <w:spacing w:val="-3"/>
        </w:rPr>
        <w:t xml:space="preserve"> as in </w:t>
      </w:r>
      <w:r w:rsidRPr="00F113AF">
        <w:rPr>
          <w:spacing w:val="-3"/>
        </w:rPr>
        <w:t xml:space="preserve">eutectic and peritectic reactions. </w:t>
      </w:r>
      <w:r>
        <w:rPr>
          <w:spacing w:val="-3"/>
        </w:rPr>
        <w:t>P</w:t>
      </w:r>
      <w:r w:rsidRPr="00F113AF">
        <w:rPr>
          <w:spacing w:val="-3"/>
        </w:rPr>
        <w:t>olycrystalline material</w:t>
      </w:r>
      <w:r>
        <w:rPr>
          <w:spacing w:val="-3"/>
        </w:rPr>
        <w:t xml:space="preserve"> can also be treated using m</w:t>
      </w:r>
      <w:r w:rsidRPr="00F113AF">
        <w:rPr>
          <w:spacing w:val="-3"/>
        </w:rPr>
        <w:t xml:space="preserve">ultiple phase field variables </w:t>
      </w:r>
      <w:r>
        <w:rPr>
          <w:spacing w:val="-3"/>
        </w:rPr>
        <w:t>(Chen [1995</w:t>
      </w:r>
      <w:r w:rsidRPr="00F113AF">
        <w:rPr>
          <w:spacing w:val="-3"/>
        </w:rPr>
        <w:t>]</w:t>
      </w:r>
      <w:r>
        <w:rPr>
          <w:spacing w:val="-3"/>
        </w:rPr>
        <w:t xml:space="preserve">) or using an angular variable in addition to the phase field variable (Warren et al. [2003]). </w:t>
      </w:r>
    </w:p>
    <w:p w14:paraId="00CDCF98" w14:textId="77777777" w:rsidR="00015B17" w:rsidRPr="00F113AF" w:rsidRDefault="00015B17" w:rsidP="00015B17">
      <w:pPr>
        <w:tabs>
          <w:tab w:val="left" w:pos="-720"/>
        </w:tabs>
        <w:suppressAutoHyphens/>
        <w:spacing w:line="360" w:lineRule="auto"/>
        <w:jc w:val="both"/>
        <w:rPr>
          <w:spacing w:val="-3"/>
        </w:rPr>
      </w:pPr>
    </w:p>
    <w:p w14:paraId="72A1A826" w14:textId="77777777" w:rsidR="00015B17" w:rsidRPr="005A2CE5" w:rsidRDefault="00015B17" w:rsidP="00015B17">
      <w:pPr>
        <w:tabs>
          <w:tab w:val="left" w:pos="-720"/>
        </w:tabs>
        <w:suppressAutoHyphens/>
        <w:spacing w:line="360" w:lineRule="auto"/>
        <w:jc w:val="both"/>
        <w:outlineLvl w:val="0"/>
        <w:rPr>
          <w:b/>
          <w:spacing w:val="-3"/>
        </w:rPr>
      </w:pPr>
      <w:r w:rsidRPr="005A2CE5">
        <w:rPr>
          <w:b/>
          <w:spacing w:val="-3"/>
        </w:rPr>
        <w:lastRenderedPageBreak/>
        <w:t>3.4.2 Thermodynamic Derivation of the Phase Field Model</w:t>
      </w:r>
    </w:p>
    <w:p w14:paraId="3EBCB7E7" w14:textId="77777777" w:rsidR="00015B17" w:rsidRPr="00F113AF" w:rsidRDefault="00015B17" w:rsidP="00015B17">
      <w:pPr>
        <w:tabs>
          <w:tab w:val="left" w:pos="-720"/>
        </w:tabs>
        <w:suppressAutoHyphens/>
        <w:spacing w:line="360" w:lineRule="auto"/>
        <w:jc w:val="both"/>
        <w:rPr>
          <w:spacing w:val="-3"/>
        </w:rPr>
      </w:pPr>
    </w:p>
    <w:p w14:paraId="68E7FA8C" w14:textId="20ED929A" w:rsidR="00015B17" w:rsidRDefault="00015B17" w:rsidP="00015B17">
      <w:pPr>
        <w:tabs>
          <w:tab w:val="left" w:pos="-720"/>
        </w:tabs>
        <w:suppressAutoHyphens/>
        <w:spacing w:line="360" w:lineRule="auto"/>
        <w:rPr>
          <w:spacing w:val="-3"/>
        </w:rPr>
      </w:pPr>
      <w:r>
        <w:rPr>
          <w:spacing w:val="-3"/>
        </w:rPr>
        <w:tab/>
      </w:r>
      <w:r w:rsidRPr="00F113AF">
        <w:rPr>
          <w:spacing w:val="-3"/>
        </w:rPr>
        <w:t>There are two approaches to phase field modeling: those that use a thermodynamic treatment with</w:t>
      </w:r>
      <w:r>
        <w:rPr>
          <w:spacing w:val="-3"/>
        </w:rPr>
        <w:t xml:space="preserve"> gradient energies and </w:t>
      </w:r>
      <w:r w:rsidRPr="00F113AF">
        <w:rPr>
          <w:spacing w:val="-3"/>
        </w:rPr>
        <w:t>gradient flow</w:t>
      </w:r>
      <w:r>
        <w:rPr>
          <w:spacing w:val="-3"/>
        </w:rPr>
        <w:t xml:space="preserve"> dynamics</w:t>
      </w:r>
      <w:r w:rsidRPr="00F113AF">
        <w:rPr>
          <w:spacing w:val="-3"/>
        </w:rPr>
        <w:t xml:space="preserve"> and those that are </w:t>
      </w:r>
      <w:r>
        <w:rPr>
          <w:spacing w:val="-3"/>
        </w:rPr>
        <w:t>mostly</w:t>
      </w:r>
      <w:r w:rsidRPr="00F113AF">
        <w:rPr>
          <w:spacing w:val="-3"/>
        </w:rPr>
        <w:t xml:space="preserve"> concerned with reproducing the traditi</w:t>
      </w:r>
      <w:r>
        <w:rPr>
          <w:spacing w:val="-3"/>
        </w:rPr>
        <w:t xml:space="preserve">onal sharp interface approach. Here </w:t>
      </w:r>
      <w:r w:rsidRPr="00F113AF">
        <w:rPr>
          <w:spacing w:val="-3"/>
        </w:rPr>
        <w:t xml:space="preserve">we </w:t>
      </w:r>
      <w:r>
        <w:rPr>
          <w:spacing w:val="-3"/>
        </w:rPr>
        <w:t xml:space="preserve">only </w:t>
      </w:r>
      <w:r w:rsidRPr="00F113AF">
        <w:rPr>
          <w:spacing w:val="-3"/>
        </w:rPr>
        <w:t>examine a thermodynamic treatment with a single scalar order parameter</w:t>
      </w:r>
      <w:r>
        <w:rPr>
          <w:spacing w:val="-3"/>
        </w:rPr>
        <w:t xml:space="preserve">. </w:t>
      </w:r>
      <w:r w:rsidRPr="00F113AF">
        <w:rPr>
          <w:spacing w:val="-3"/>
        </w:rPr>
        <w:t>This approach is found in many papers on the phase field method and determines the evolution equations from a few basic concepts</w:t>
      </w:r>
      <w:r>
        <w:rPr>
          <w:spacing w:val="-3"/>
        </w:rPr>
        <w:t xml:space="preserve">. The following is extracted from the review of Boettinger et al. [2002]. </w:t>
      </w:r>
    </w:p>
    <w:p w14:paraId="2683C0B3" w14:textId="77777777" w:rsidR="00015B17" w:rsidRPr="00F113AF" w:rsidRDefault="00015B17" w:rsidP="00015B17">
      <w:pPr>
        <w:tabs>
          <w:tab w:val="left" w:pos="-720"/>
        </w:tabs>
        <w:suppressAutoHyphens/>
        <w:spacing w:line="360" w:lineRule="auto"/>
        <w:rPr>
          <w:spacing w:val="-3"/>
        </w:rPr>
      </w:pPr>
    </w:p>
    <w:p w14:paraId="278465D3" w14:textId="77777777" w:rsidR="00015B17" w:rsidRPr="00F113AF" w:rsidRDefault="006E6FC2" w:rsidP="00015B17">
      <w:pPr>
        <w:tabs>
          <w:tab w:val="left" w:pos="-720"/>
        </w:tabs>
        <w:suppressAutoHyphens/>
        <w:spacing w:line="360" w:lineRule="auto"/>
        <w:rPr>
          <w:i/>
          <w:spacing w:val="-3"/>
        </w:rPr>
      </w:pPr>
      <w:r>
        <w:rPr>
          <w:spacing w:val="-3"/>
        </w:rPr>
        <w:tab/>
      </w:r>
      <w:r w:rsidR="00015B17" w:rsidRPr="00F113AF">
        <w:rPr>
          <w:spacing w:val="-3"/>
        </w:rPr>
        <w:t xml:space="preserve">By demanding that the entropy always increases locally for a system where the internal energy and concentration are conserved, </w:t>
      </w:r>
      <w:r w:rsidR="00015B17">
        <w:rPr>
          <w:spacing w:val="-3"/>
        </w:rPr>
        <w:t xml:space="preserve">restrictions on the </w:t>
      </w:r>
      <w:r w:rsidR="00015B17" w:rsidRPr="00F113AF">
        <w:rPr>
          <w:spacing w:val="-3"/>
        </w:rPr>
        <w:t xml:space="preserve">relationships between the fluxes of internal energy and concentration can be obtained. </w:t>
      </w:r>
      <w:r w:rsidR="00015B17">
        <w:rPr>
          <w:spacing w:val="-3"/>
        </w:rPr>
        <w:t xml:space="preserve">The simplest postulates yield </w:t>
      </w:r>
      <w:r w:rsidR="00015B17" w:rsidRPr="00F113AF">
        <w:rPr>
          <w:spacing w:val="-3"/>
        </w:rPr>
        <w:t xml:space="preserve">generalizations of Fourier’s and Fick’s laws of </w:t>
      </w:r>
      <w:r w:rsidR="004B43A5">
        <w:rPr>
          <w:spacing w:val="-3"/>
        </w:rPr>
        <w:t xml:space="preserve">heat and solute </w:t>
      </w:r>
      <w:r w:rsidR="00015B17" w:rsidRPr="00F113AF">
        <w:rPr>
          <w:spacing w:val="-3"/>
        </w:rPr>
        <w:t xml:space="preserve">diffusion. Since the phase field variable is not conserved, a separate relationship governing </w:t>
      </w:r>
      <w:r w:rsidR="00015B17" w:rsidRPr="00F113AF">
        <w:rPr>
          <w:i/>
          <w:spacing w:val="-3"/>
        </w:rPr>
        <w:sym w:font="Symbol" w:char="F066"/>
      </w:r>
      <w:r w:rsidR="00015B17" w:rsidRPr="00F113AF">
        <w:rPr>
          <w:i/>
          <w:spacing w:val="-3"/>
        </w:rPr>
        <w:t xml:space="preserve"> </w:t>
      </w:r>
      <w:r w:rsidR="00015B17" w:rsidRPr="00F113AF">
        <w:rPr>
          <w:spacing w:val="-3"/>
        </w:rPr>
        <w:t>is required to guarantee that the entropy increases</w:t>
      </w:r>
      <w:r w:rsidR="00015B17" w:rsidRPr="00F113AF">
        <w:rPr>
          <w:i/>
          <w:spacing w:val="-3"/>
        </w:rPr>
        <w:t>.</w:t>
      </w:r>
    </w:p>
    <w:p w14:paraId="1D431E7B" w14:textId="77777777" w:rsidR="00015B17" w:rsidRPr="00F113AF" w:rsidRDefault="00015B17" w:rsidP="00015B17">
      <w:pPr>
        <w:tabs>
          <w:tab w:val="left" w:pos="-720"/>
        </w:tabs>
        <w:suppressAutoHyphens/>
        <w:spacing w:line="360" w:lineRule="auto"/>
        <w:rPr>
          <w:i/>
          <w:spacing w:val="-3"/>
        </w:rPr>
      </w:pPr>
    </w:p>
    <w:p w14:paraId="32F50B75" w14:textId="77777777" w:rsidR="00015B17" w:rsidRDefault="006E6FC2" w:rsidP="00015B17">
      <w:pPr>
        <w:tabs>
          <w:tab w:val="left" w:pos="-720"/>
        </w:tabs>
        <w:suppressAutoHyphens/>
        <w:spacing w:line="360" w:lineRule="auto"/>
        <w:outlineLvl w:val="0"/>
        <w:rPr>
          <w:spacing w:val="-3"/>
        </w:rPr>
      </w:pPr>
      <w:r>
        <w:rPr>
          <w:spacing w:val="-3"/>
        </w:rPr>
        <w:tab/>
      </w:r>
      <w:r w:rsidR="00015B17" w:rsidRPr="00F113AF">
        <w:rPr>
          <w:spacing w:val="-3"/>
        </w:rPr>
        <w:t xml:space="preserve">To treat cases containing interfaces, </w:t>
      </w:r>
      <w:r w:rsidR="00015B17">
        <w:rPr>
          <w:spacing w:val="-3"/>
        </w:rPr>
        <w:t>an entropy</w:t>
      </w:r>
      <w:r w:rsidR="00015B17" w:rsidRPr="00F113AF">
        <w:rPr>
          <w:spacing w:val="-3"/>
        </w:rPr>
        <w:t xml:space="preserve"> functional </w:t>
      </w:r>
      <w:r w:rsidR="00015B17" w:rsidRPr="00F113AF">
        <w:rPr>
          <w:i/>
          <w:spacing w:val="-3"/>
        </w:rPr>
        <w:t>S</w:t>
      </w:r>
      <w:r w:rsidR="00015B17" w:rsidRPr="00F113AF">
        <w:rPr>
          <w:spacing w:val="-3"/>
        </w:rPr>
        <w:t xml:space="preserve"> is defined over the system volume </w:t>
      </w:r>
      <w:r w:rsidR="00015B17" w:rsidRPr="00F113AF">
        <w:rPr>
          <w:i/>
          <w:spacing w:val="-3"/>
        </w:rPr>
        <w:t>V</w:t>
      </w:r>
      <w:r w:rsidR="00015B17" w:rsidRPr="00F113AF">
        <w:rPr>
          <w:spacing w:val="-3"/>
        </w:rPr>
        <w:t xml:space="preserve"> as</w:t>
      </w:r>
    </w:p>
    <w:p w14:paraId="7DC558DF" w14:textId="77777777" w:rsidR="00015B17" w:rsidRPr="00F113AF" w:rsidRDefault="00015B17" w:rsidP="00015B17">
      <w:pPr>
        <w:tabs>
          <w:tab w:val="left" w:pos="-720"/>
        </w:tabs>
        <w:suppressAutoHyphens/>
        <w:spacing w:line="360" w:lineRule="auto"/>
        <w:rPr>
          <w:spacing w:val="-3"/>
        </w:rPr>
      </w:pPr>
    </w:p>
    <w:p w14:paraId="16EF6D42" w14:textId="77777777" w:rsidR="00015B17" w:rsidRDefault="00015B17" w:rsidP="00015B17">
      <w:pPr>
        <w:tabs>
          <w:tab w:val="left" w:pos="-720"/>
        </w:tabs>
        <w:suppressAutoHyphens/>
        <w:spacing w:line="360" w:lineRule="auto"/>
        <w:jc w:val="center"/>
        <w:rPr>
          <w:spacing w:val="-3"/>
        </w:rPr>
      </w:pPr>
      <w:r w:rsidRPr="00A929FF">
        <w:rPr>
          <w:b/>
          <w:spacing w:val="-3"/>
          <w:position w:val="-34"/>
        </w:rPr>
        <w:object w:dxaOrig="5260" w:dyaOrig="800" w14:anchorId="1AA16D99">
          <v:shape id="_x0000_i1215" type="#_x0000_t75" style="width:262.75pt;height:40.2pt" o:ole="" fillcolor="window">
            <v:imagedata r:id="rId366" o:title=""/>
          </v:shape>
          <o:OLEObject Type="Embed" ProgID="Equation.DSMT4" ShapeID="_x0000_i1215" DrawAspect="Content" ObjectID="_1840626781" r:id="rId367"/>
        </w:object>
      </w:r>
      <w:r w:rsidR="006E6FC2">
        <w:rPr>
          <w:spacing w:val="-3"/>
        </w:rPr>
        <w:t>,</w:t>
      </w:r>
      <w:r w:rsidRPr="00F113AF">
        <w:rPr>
          <w:b/>
          <w:spacing w:val="-3"/>
        </w:rPr>
        <w:tab/>
      </w:r>
      <w:r>
        <w:rPr>
          <w:spacing w:val="-3"/>
        </w:rPr>
        <w:t>(3.9)</w:t>
      </w:r>
    </w:p>
    <w:p w14:paraId="7A3F3565" w14:textId="77777777" w:rsidR="00015B17" w:rsidRPr="00F113AF" w:rsidRDefault="00015B17" w:rsidP="00015B17">
      <w:pPr>
        <w:tabs>
          <w:tab w:val="left" w:pos="-720"/>
        </w:tabs>
        <w:suppressAutoHyphens/>
        <w:spacing w:line="360" w:lineRule="auto"/>
        <w:jc w:val="center"/>
        <w:rPr>
          <w:b/>
          <w:spacing w:val="-3"/>
        </w:rPr>
      </w:pPr>
    </w:p>
    <w:p w14:paraId="65F05B46" w14:textId="551DD6F7" w:rsidR="00015B17" w:rsidRDefault="00015B17" w:rsidP="004B43A5">
      <w:pPr>
        <w:tabs>
          <w:tab w:val="left" w:pos="-720"/>
        </w:tabs>
        <w:suppressAutoHyphens/>
        <w:spacing w:line="360" w:lineRule="auto"/>
        <w:rPr>
          <w:spacing w:val="-3"/>
        </w:rPr>
      </w:pPr>
      <w:r w:rsidRPr="00F113AF">
        <w:rPr>
          <w:spacing w:val="-3"/>
        </w:rPr>
        <w:t xml:space="preserve">where </w:t>
      </w:r>
      <w:r w:rsidRPr="00F113AF">
        <w:rPr>
          <w:i/>
          <w:spacing w:val="-3"/>
        </w:rPr>
        <w:t>s, e, c</w:t>
      </w:r>
      <w:r w:rsidRPr="00F113AF">
        <w:rPr>
          <w:spacing w:val="-3"/>
        </w:rPr>
        <w:t xml:space="preserve"> and </w:t>
      </w:r>
      <w:r w:rsidRPr="00F113AF">
        <w:rPr>
          <w:i/>
          <w:spacing w:val="-3"/>
        </w:rPr>
        <w:sym w:font="Symbol" w:char="F066"/>
      </w:r>
      <w:r w:rsidRPr="00F113AF">
        <w:rPr>
          <w:spacing w:val="-3"/>
        </w:rPr>
        <w:t xml:space="preserve"> are the entropy density, internal energy density, concentration and phase field respectively with </w:t>
      </w:r>
      <m:oMath>
        <m:sSubSup>
          <m:sSubSupPr>
            <m:ctrlPr>
              <w:rPr>
                <w:rFonts w:ascii="Cambria Math" w:hAnsi="Cambria Math"/>
                <w:i/>
                <w:spacing w:val="-3"/>
                <w:sz w:val="26"/>
                <w:szCs w:val="26"/>
              </w:rPr>
            </m:ctrlPr>
          </m:sSubSupPr>
          <m:e>
            <m:r>
              <w:rPr>
                <w:rFonts w:ascii="Cambria Math"/>
                <w:spacing w:val="-3"/>
                <w:sz w:val="26"/>
                <w:szCs w:val="26"/>
              </w:rPr>
              <m:t>ε</m:t>
            </m:r>
          </m:e>
          <m:sub>
            <m:r>
              <w:rPr>
                <w:rFonts w:ascii="Cambria Math"/>
                <w:spacing w:val="-3"/>
                <w:sz w:val="26"/>
                <w:szCs w:val="26"/>
              </w:rPr>
              <m:t>e</m:t>
            </m:r>
          </m:sub>
          <m:sup>
            <m:r>
              <w:rPr>
                <w:rFonts w:ascii="Cambria Math"/>
                <w:spacing w:val="-3"/>
                <w:sz w:val="26"/>
                <w:szCs w:val="26"/>
              </w:rPr>
              <m:t>'</m:t>
            </m:r>
          </m:sup>
        </m:sSubSup>
        <m:r>
          <w:rPr>
            <w:rFonts w:ascii="Cambria Math"/>
            <w:spacing w:val="-3"/>
            <w:sz w:val="26"/>
            <w:szCs w:val="26"/>
          </w:rPr>
          <m:t>,</m:t>
        </m:r>
        <m:sSubSup>
          <m:sSubSupPr>
            <m:ctrlPr>
              <w:rPr>
                <w:rFonts w:ascii="Cambria Math" w:hAnsi="Cambria Math"/>
                <w:i/>
                <w:spacing w:val="-3"/>
                <w:sz w:val="26"/>
                <w:szCs w:val="26"/>
              </w:rPr>
            </m:ctrlPr>
          </m:sSubSupPr>
          <m:e>
            <m:r>
              <w:rPr>
                <w:rFonts w:ascii="Cambria Math"/>
                <w:spacing w:val="-3"/>
                <w:sz w:val="26"/>
                <w:szCs w:val="26"/>
              </w:rPr>
              <m:t>ε</m:t>
            </m:r>
          </m:e>
          <m:sub>
            <m:r>
              <w:rPr>
                <w:rFonts w:ascii="Cambria Math"/>
                <w:spacing w:val="-3"/>
                <w:sz w:val="26"/>
                <w:szCs w:val="26"/>
              </w:rPr>
              <m:t>c</m:t>
            </m:r>
          </m:sub>
          <m:sup>
            <m:r>
              <w:rPr>
                <w:rFonts w:ascii="Cambria Math"/>
                <w:spacing w:val="-3"/>
                <w:sz w:val="26"/>
                <w:szCs w:val="26"/>
              </w:rPr>
              <m:t>'</m:t>
            </m:r>
          </m:sup>
        </m:sSubSup>
        <m:r>
          <w:rPr>
            <w:rFonts w:ascii="Cambria Math" w:hAnsi="Cambria Math" w:cs="Cambria Math"/>
            <w:spacing w:val="-3"/>
            <w:sz w:val="26"/>
            <w:szCs w:val="26"/>
          </w:rPr>
          <m:t xml:space="preserve"> </m:t>
        </m:r>
        <m:r>
          <m:rPr>
            <m:nor/>
          </m:rPr>
          <w:rPr>
            <w:rFonts w:ascii="Cambria Math"/>
            <w:spacing w:val="-3"/>
            <w:sz w:val="26"/>
            <w:szCs w:val="26"/>
          </w:rPr>
          <m:t>and</m:t>
        </m:r>
        <m:r>
          <m:rPr>
            <m:sty m:val="p"/>
          </m:rPr>
          <w:rPr>
            <w:rFonts w:ascii="Cambria Math" w:hAnsi="Cambria Math" w:cs="Cambria Math"/>
            <w:spacing w:val="-3"/>
            <w:sz w:val="26"/>
            <w:szCs w:val="26"/>
          </w:rPr>
          <m:t xml:space="preserve"> </m:t>
        </m:r>
        <m:sSubSup>
          <m:sSubSupPr>
            <m:ctrlPr>
              <w:rPr>
                <w:rFonts w:ascii="Cambria Math" w:hAnsi="Cambria Math"/>
                <w:spacing w:val="-3"/>
                <w:sz w:val="26"/>
                <w:szCs w:val="26"/>
              </w:rPr>
            </m:ctrlPr>
          </m:sSubSupPr>
          <m:e>
            <m:r>
              <w:rPr>
                <w:rFonts w:ascii="Cambria Math"/>
                <w:spacing w:val="-3"/>
                <w:sz w:val="26"/>
                <w:szCs w:val="26"/>
              </w:rPr>
              <m:t>ε</m:t>
            </m:r>
          </m:e>
          <m:sub>
            <m:r>
              <w:rPr>
                <w:rFonts w:ascii="Cambria Math"/>
                <w:spacing w:val="-3"/>
                <w:sz w:val="26"/>
                <w:szCs w:val="26"/>
              </w:rPr>
              <m:t>φ</m:t>
            </m:r>
            <m:ctrlPr>
              <w:rPr>
                <w:rFonts w:ascii="Cambria Math" w:hAnsi="Cambria Math"/>
                <w:i/>
                <w:spacing w:val="-3"/>
                <w:sz w:val="26"/>
                <w:szCs w:val="26"/>
              </w:rPr>
            </m:ctrlPr>
          </m:sub>
          <m:sup>
            <m:r>
              <w:rPr>
                <w:rFonts w:ascii="Cambria Math"/>
                <w:spacing w:val="-3"/>
                <w:sz w:val="26"/>
                <w:szCs w:val="26"/>
              </w:rPr>
              <m:t>'</m:t>
            </m:r>
            <m:ctrlPr>
              <w:rPr>
                <w:rFonts w:ascii="Cambria Math" w:hAnsi="Cambria Math"/>
                <w:i/>
                <w:spacing w:val="-3"/>
                <w:sz w:val="26"/>
                <w:szCs w:val="26"/>
              </w:rPr>
            </m:ctrlPr>
          </m:sup>
        </m:sSubSup>
      </m:oMath>
      <w:r>
        <w:rPr>
          <w:spacing w:val="-3"/>
        </w:rPr>
        <w:t xml:space="preserve"> </w:t>
      </w:r>
      <w:r w:rsidRPr="00F113AF">
        <w:rPr>
          <w:spacing w:val="-3"/>
        </w:rPr>
        <w:t xml:space="preserve">being the associated gradient energy coefficients. The entropy density </w:t>
      </w:r>
      <w:r w:rsidRPr="00F113AF">
        <w:rPr>
          <w:i/>
          <w:spacing w:val="-3"/>
        </w:rPr>
        <w:t>s</w:t>
      </w:r>
      <w:r w:rsidRPr="00F113AF">
        <w:rPr>
          <w:spacing w:val="-3"/>
        </w:rPr>
        <w:t xml:space="preserve"> must contain a </w:t>
      </w:r>
      <w:r w:rsidRPr="00F113AF">
        <w:rPr>
          <w:i/>
          <w:spacing w:val="-3"/>
        </w:rPr>
        <w:t>double well</w:t>
      </w:r>
      <w:r w:rsidRPr="00F113AF">
        <w:rPr>
          <w:spacing w:val="-3"/>
        </w:rPr>
        <w:t xml:space="preserve"> in the variable </w:t>
      </w:r>
      <w:r w:rsidRPr="00F113AF">
        <w:rPr>
          <w:i/>
          <w:spacing w:val="-3"/>
        </w:rPr>
        <w:sym w:font="Symbol" w:char="F066"/>
      </w:r>
      <w:r w:rsidRPr="00F113AF">
        <w:rPr>
          <w:spacing w:val="-3"/>
        </w:rPr>
        <w:t xml:space="preserve"> that distinguishes the liquid and solid. The quantity </w:t>
      </w:r>
      <w:r w:rsidRPr="00F113AF">
        <w:rPr>
          <w:i/>
          <w:spacing w:val="-3"/>
        </w:rPr>
        <w:t>S</w:t>
      </w:r>
      <w:r w:rsidRPr="00F113AF">
        <w:rPr>
          <w:spacing w:val="-3"/>
        </w:rPr>
        <w:t xml:space="preserve"> also includes the entropy associated with gradients (interfaces). From such an approach follows naturally equations for energy (heat) diffusion, solute diffusion and phase field evolution. </w:t>
      </w:r>
      <w:r>
        <w:rPr>
          <w:spacing w:val="-3"/>
        </w:rPr>
        <w:t xml:space="preserve">A </w:t>
      </w:r>
      <w:r w:rsidRPr="00F113AF">
        <w:rPr>
          <w:spacing w:val="-3"/>
        </w:rPr>
        <w:t>formulation using this entropy functional especially with all three gradient energy contributions is quite general</w:t>
      </w:r>
      <w:r w:rsidRPr="003D079A">
        <w:rPr>
          <w:spacing w:val="-3"/>
        </w:rPr>
        <w:t xml:space="preserve"> </w:t>
      </w:r>
      <w:r>
        <w:rPr>
          <w:spacing w:val="-3"/>
        </w:rPr>
        <w:t>(Bi &amp; Sekerka [1998</w:t>
      </w:r>
      <w:r w:rsidRPr="00F113AF">
        <w:rPr>
          <w:spacing w:val="-3"/>
        </w:rPr>
        <w:t>]</w:t>
      </w:r>
      <w:r>
        <w:rPr>
          <w:spacing w:val="-3"/>
        </w:rPr>
        <w:t>)</w:t>
      </w:r>
      <w:r w:rsidRPr="00F113AF">
        <w:rPr>
          <w:spacing w:val="-3"/>
        </w:rPr>
        <w:t>.</w:t>
      </w:r>
    </w:p>
    <w:p w14:paraId="50EA88BC" w14:textId="77777777" w:rsidR="00015B17" w:rsidRPr="00F113AF" w:rsidRDefault="00015B17" w:rsidP="00015B17">
      <w:pPr>
        <w:tabs>
          <w:tab w:val="left" w:pos="-720"/>
        </w:tabs>
        <w:suppressAutoHyphens/>
        <w:spacing w:line="360" w:lineRule="auto"/>
        <w:rPr>
          <w:spacing w:val="-3"/>
        </w:rPr>
      </w:pPr>
    </w:p>
    <w:p w14:paraId="508C7B3F" w14:textId="77777777" w:rsidR="00015B17" w:rsidRDefault="006E6FC2" w:rsidP="00015B17">
      <w:pPr>
        <w:tabs>
          <w:tab w:val="left" w:pos="-720"/>
        </w:tabs>
        <w:suppressAutoHyphens/>
        <w:spacing w:line="360" w:lineRule="auto"/>
        <w:rPr>
          <w:spacing w:val="-3"/>
        </w:rPr>
      </w:pPr>
      <w:r>
        <w:rPr>
          <w:spacing w:val="-3"/>
        </w:rPr>
        <w:lastRenderedPageBreak/>
        <w:tab/>
      </w:r>
      <w:r w:rsidR="00015B17" w:rsidRPr="00F113AF">
        <w:rPr>
          <w:spacing w:val="-3"/>
        </w:rPr>
        <w:t>We will present a simpler isothermal formulation to which we append a heat flow equation. This gives essentially equivalent results to the entropy formulation if</w:t>
      </w:r>
      <w:r w:rsidR="00015B17" w:rsidRPr="00A97F16">
        <w:rPr>
          <w:spacing w:val="-3"/>
          <w:position w:val="-12"/>
        </w:rPr>
        <w:object w:dxaOrig="639" w:dyaOrig="380" w14:anchorId="69E39D2C">
          <v:shape id="_x0000_i1216" type="#_x0000_t75" style="width:31.8pt;height:18.7pt" o:ole="" fillcolor="window">
            <v:imagedata r:id="rId368" o:title=""/>
          </v:shape>
          <o:OLEObject Type="Embed" ProgID="Equation.DSMT4" ShapeID="_x0000_i1216" DrawAspect="Content" ObjectID="_1840626782" r:id="rId369"/>
        </w:object>
      </w:r>
      <w:r w:rsidR="00015B17" w:rsidRPr="00F113AF">
        <w:rPr>
          <w:spacing w:val="-3"/>
        </w:rPr>
        <w:t xml:space="preserve">. The enthalpy </w:t>
      </w:r>
      <w:r w:rsidR="00015B17">
        <w:rPr>
          <w:spacing w:val="-3"/>
        </w:rPr>
        <w:t>per unit volume</w:t>
      </w:r>
      <w:r w:rsidR="00015B17" w:rsidRPr="00F113AF">
        <w:rPr>
          <w:spacing w:val="-3"/>
        </w:rPr>
        <w:t xml:space="preserve"> is expressed as</w:t>
      </w:r>
    </w:p>
    <w:p w14:paraId="38610FC1" w14:textId="77777777" w:rsidR="00015B17" w:rsidRPr="00F113AF" w:rsidRDefault="00015B17" w:rsidP="00015B17">
      <w:pPr>
        <w:tabs>
          <w:tab w:val="left" w:pos="-720"/>
        </w:tabs>
        <w:suppressAutoHyphens/>
        <w:spacing w:line="360" w:lineRule="auto"/>
        <w:jc w:val="both"/>
        <w:rPr>
          <w:spacing w:val="-3"/>
        </w:rPr>
      </w:pPr>
    </w:p>
    <w:p w14:paraId="7EA64038" w14:textId="77777777" w:rsidR="00015B17" w:rsidRDefault="000154A4" w:rsidP="00015B17">
      <w:pPr>
        <w:tabs>
          <w:tab w:val="left" w:pos="-720"/>
        </w:tabs>
        <w:suppressAutoHyphens/>
        <w:spacing w:line="360" w:lineRule="auto"/>
        <w:jc w:val="center"/>
        <w:rPr>
          <w:spacing w:val="-3"/>
        </w:rPr>
      </w:pPr>
      <w:r w:rsidRPr="00A97F16">
        <w:rPr>
          <w:b/>
          <w:spacing w:val="-3"/>
          <w:position w:val="-12"/>
        </w:rPr>
        <w:object w:dxaOrig="2040" w:dyaOrig="380" w14:anchorId="5C119113">
          <v:shape id="_x0000_i1217" type="#_x0000_t75" style="width:101.9pt;height:18.7pt" o:ole="" fillcolor="window">
            <v:imagedata r:id="rId370" o:title=""/>
          </v:shape>
          <o:OLEObject Type="Embed" ProgID="Equation.DSMT4" ShapeID="_x0000_i1217" DrawAspect="Content" ObjectID="_1840626783" r:id="rId371"/>
        </w:object>
      </w:r>
      <w:r w:rsidR="00015B17" w:rsidRPr="00F113AF">
        <w:rPr>
          <w:spacing w:val="-3"/>
        </w:rPr>
        <w:t xml:space="preserve"> </w:t>
      </w:r>
      <w:r w:rsidR="00015B17" w:rsidRPr="00F113AF">
        <w:rPr>
          <w:spacing w:val="-3"/>
        </w:rPr>
        <w:tab/>
      </w:r>
      <w:r w:rsidR="006E6FC2">
        <w:rPr>
          <w:spacing w:val="-3"/>
        </w:rPr>
        <w:t>,</w:t>
      </w:r>
      <w:r w:rsidR="00015B17" w:rsidRPr="00F113AF">
        <w:rPr>
          <w:spacing w:val="-3"/>
        </w:rPr>
        <w:tab/>
      </w:r>
      <w:r w:rsidR="00015B17">
        <w:rPr>
          <w:spacing w:val="-3"/>
        </w:rPr>
        <w:t>(3.10)</w:t>
      </w:r>
    </w:p>
    <w:p w14:paraId="4AFA8DC4" w14:textId="77777777" w:rsidR="00015B17" w:rsidRPr="00F113AF" w:rsidRDefault="00015B17" w:rsidP="00015B17">
      <w:pPr>
        <w:tabs>
          <w:tab w:val="left" w:pos="-720"/>
        </w:tabs>
        <w:suppressAutoHyphens/>
        <w:spacing w:line="360" w:lineRule="auto"/>
        <w:jc w:val="center"/>
        <w:rPr>
          <w:b/>
          <w:spacing w:val="-3"/>
        </w:rPr>
      </w:pPr>
    </w:p>
    <w:p w14:paraId="091D87ED" w14:textId="77777777" w:rsidR="00015B17" w:rsidRDefault="00015B17" w:rsidP="00015B17">
      <w:pPr>
        <w:tabs>
          <w:tab w:val="left" w:pos="-720"/>
        </w:tabs>
        <w:suppressAutoHyphens/>
        <w:spacing w:line="360" w:lineRule="auto"/>
        <w:jc w:val="both"/>
        <w:rPr>
          <w:spacing w:val="-3"/>
        </w:rPr>
      </w:pPr>
      <w:r w:rsidRPr="00F113AF">
        <w:rPr>
          <w:spacing w:val="-3"/>
        </w:rPr>
        <w:t>yielding an equation for thermal diffusion with a source term given by</w:t>
      </w:r>
    </w:p>
    <w:p w14:paraId="4CF43BE8" w14:textId="77777777" w:rsidR="00015B17" w:rsidRPr="00F113AF" w:rsidRDefault="00015B17" w:rsidP="00015B17">
      <w:pPr>
        <w:tabs>
          <w:tab w:val="left" w:pos="-720"/>
        </w:tabs>
        <w:suppressAutoHyphens/>
        <w:spacing w:line="360" w:lineRule="auto"/>
        <w:jc w:val="both"/>
        <w:rPr>
          <w:spacing w:val="-3"/>
        </w:rPr>
      </w:pPr>
    </w:p>
    <w:p w14:paraId="50AAFE95" w14:textId="77777777" w:rsidR="00015B17" w:rsidRDefault="00015B17" w:rsidP="00015B17">
      <w:pPr>
        <w:tabs>
          <w:tab w:val="left" w:pos="-720"/>
        </w:tabs>
        <w:suppressAutoHyphens/>
        <w:spacing w:line="360" w:lineRule="auto"/>
        <w:jc w:val="center"/>
        <w:rPr>
          <w:spacing w:val="-3"/>
        </w:rPr>
      </w:pPr>
      <w:r w:rsidRPr="00A97F16">
        <w:rPr>
          <w:spacing w:val="-3"/>
          <w:position w:val="-24"/>
        </w:rPr>
        <w:object w:dxaOrig="2720" w:dyaOrig="620" w14:anchorId="28F77BEB">
          <v:shape id="_x0000_i1218" type="#_x0000_t75" style="width:135.6pt;height:31.8pt" o:ole="" fillcolor="window">
            <v:imagedata r:id="rId372" o:title=""/>
          </v:shape>
          <o:OLEObject Type="Embed" ProgID="Equation.DSMT4" ShapeID="_x0000_i1218" DrawAspect="Content" ObjectID="_1840626784" r:id="rId373"/>
        </w:object>
      </w:r>
      <w:r w:rsidR="006E6FC2">
        <w:rPr>
          <w:spacing w:val="-3"/>
        </w:rPr>
        <w:t>,</w:t>
      </w:r>
      <w:r w:rsidRPr="00F113AF">
        <w:rPr>
          <w:spacing w:val="-3"/>
        </w:rPr>
        <w:tab/>
      </w:r>
      <w:r>
        <w:rPr>
          <w:spacing w:val="-3"/>
        </w:rPr>
        <w:t>(3.11)</w:t>
      </w:r>
    </w:p>
    <w:p w14:paraId="4AF58906" w14:textId="77777777" w:rsidR="00015B17" w:rsidRPr="00F113AF" w:rsidRDefault="00015B17" w:rsidP="00015B17">
      <w:pPr>
        <w:tabs>
          <w:tab w:val="left" w:pos="-720"/>
        </w:tabs>
        <w:suppressAutoHyphens/>
        <w:spacing w:line="360" w:lineRule="auto"/>
        <w:jc w:val="center"/>
        <w:rPr>
          <w:spacing w:val="-3"/>
        </w:rPr>
      </w:pPr>
    </w:p>
    <w:p w14:paraId="48967E6D" w14:textId="69C95294" w:rsidR="00015B17" w:rsidRPr="00F113AF" w:rsidRDefault="00015B17" w:rsidP="00015B17">
      <w:pPr>
        <w:tabs>
          <w:tab w:val="left" w:pos="-720"/>
        </w:tabs>
        <w:suppressAutoHyphens/>
        <w:spacing w:line="360" w:lineRule="auto"/>
        <w:rPr>
          <w:spacing w:val="-3"/>
        </w:rPr>
      </w:pPr>
      <w:r w:rsidRPr="00F113AF">
        <w:rPr>
          <w:spacing w:val="-3"/>
        </w:rPr>
        <w:t xml:space="preserve">where </w:t>
      </w:r>
      <w:r>
        <w:rPr>
          <w:i/>
          <w:spacing w:val="-3"/>
        </w:rPr>
        <w:t>H</w:t>
      </w:r>
      <w:r w:rsidRPr="00727E8A">
        <w:rPr>
          <w:i/>
          <w:spacing w:val="-3"/>
          <w:sz w:val="26"/>
          <w:vertAlign w:val="subscript"/>
        </w:rPr>
        <w:t>0</w:t>
      </w:r>
      <w:r w:rsidRPr="00F113AF">
        <w:rPr>
          <w:spacing w:val="-3"/>
        </w:rPr>
        <w:t xml:space="preserve"> is a constant, </w:t>
      </w:r>
      <w:r w:rsidRPr="00F113AF">
        <w:rPr>
          <w:i/>
          <w:spacing w:val="-3"/>
        </w:rPr>
        <w:t>T</w:t>
      </w:r>
      <w:r w:rsidRPr="00F113AF">
        <w:rPr>
          <w:spacing w:val="-3"/>
        </w:rPr>
        <w:t xml:space="preserve"> is the temperature, </w:t>
      </w:r>
      <w:r w:rsidRPr="00DA77FD">
        <w:rPr>
          <w:i/>
          <w:spacing w:val="-3"/>
          <w:position w:val="-6"/>
        </w:rPr>
        <w:object w:dxaOrig="340" w:dyaOrig="320" w14:anchorId="39599D12">
          <v:shape id="_x0000_i1219" type="#_x0000_t75" style="width:16.85pt;height:16.85pt" o:ole="">
            <v:imagedata r:id="rId374" o:title=""/>
          </v:shape>
          <o:OLEObject Type="Embed" ProgID="Equation.DSMT4" ShapeID="_x0000_i1219" DrawAspect="Content" ObjectID="_1840626785" r:id="rId375"/>
        </w:object>
      </w:r>
      <w:r w:rsidRPr="00F113AF">
        <w:rPr>
          <w:spacing w:val="-3"/>
        </w:rPr>
        <w:t xml:space="preserve"> is the heat capacity per unit volume that in general depends on temperature, </w:t>
      </w:r>
      <w:r w:rsidRPr="00DA77FD">
        <w:rPr>
          <w:i/>
          <w:spacing w:val="-3"/>
          <w:position w:val="-12"/>
        </w:rPr>
        <w:object w:dxaOrig="300" w:dyaOrig="360" w14:anchorId="3DEB85F1">
          <v:shape id="_x0000_i1220" type="#_x0000_t75" style="width:14.95pt;height:17.75pt" o:ole="">
            <v:imagedata r:id="rId376" o:title=""/>
          </v:shape>
          <o:OLEObject Type="Embed" ProgID="Equation.DSMT4" ShapeID="_x0000_i1220" DrawAspect="Content" ObjectID="_1840626786" r:id="rId377"/>
        </w:object>
      </w:r>
      <w:r w:rsidRPr="00F113AF">
        <w:rPr>
          <w:spacing w:val="-3"/>
        </w:rPr>
        <w:t xml:space="preserve"> is the latent heat per unit volume</w:t>
      </w:r>
      <w:r w:rsidR="000154A4">
        <w:rPr>
          <w:spacing w:val="-3"/>
        </w:rPr>
        <w:t>,</w:t>
      </w:r>
      <w:r w:rsidRPr="00F113AF">
        <w:rPr>
          <w:spacing w:val="-3"/>
        </w:rPr>
        <w:t xml:space="preserve"> and </w:t>
      </w:r>
      <w:r w:rsidRPr="00F113AF">
        <w:rPr>
          <w:i/>
          <w:spacing w:val="-3"/>
        </w:rPr>
        <w:t xml:space="preserve"> k</w:t>
      </w:r>
      <w:r w:rsidRPr="00F113AF">
        <w:rPr>
          <w:spacing w:val="-3"/>
        </w:rPr>
        <w:t xml:space="preserve"> is the thermal conductivity. From the </w:t>
      </w:r>
      <w:r>
        <w:rPr>
          <w:spacing w:val="-3"/>
        </w:rPr>
        <w:t>second term in Eqn. 3.11,</w:t>
      </w:r>
      <w:r w:rsidRPr="00F113AF">
        <w:rPr>
          <w:spacing w:val="-3"/>
        </w:rPr>
        <w:t xml:space="preserve"> it can be seen that the latent heat evolution occurs where </w:t>
      </w:r>
      <w:r w:rsidRPr="00F113AF">
        <w:rPr>
          <w:i/>
          <w:spacing w:val="-3"/>
        </w:rPr>
        <w:sym w:font="Symbol" w:char="F066"/>
      </w:r>
      <w:r w:rsidRPr="00F113AF">
        <w:rPr>
          <w:spacing w:val="-3"/>
        </w:rPr>
        <w:t xml:space="preserve"> is changing with time, </w:t>
      </w:r>
      <w:r>
        <w:rPr>
          <w:spacing w:val="-3"/>
        </w:rPr>
        <w:t>i.e., near a moving interface. This has close similarity with Eqn. 2.7</w:t>
      </w:r>
      <w:r w:rsidR="00727C3E">
        <w:rPr>
          <w:spacing w:val="-3"/>
        </w:rPr>
        <w:t xml:space="preserve">; however the meaning of </w:t>
      </w:r>
      <w:r w:rsidR="00727C3E" w:rsidRPr="00886989">
        <w:rPr>
          <w:spacing w:val="-3"/>
          <w:position w:val="-12"/>
        </w:rPr>
        <w:object w:dxaOrig="279" w:dyaOrig="360" w14:anchorId="0F7E568E">
          <v:shape id="_x0000_i1221" type="#_x0000_t75" style="width:14.05pt;height:17.75pt" o:ole="">
            <v:imagedata r:id="rId378" o:title=""/>
          </v:shape>
          <o:OLEObject Type="Embed" ProgID="Equation.DSMT4" ShapeID="_x0000_i1221" DrawAspect="Content" ObjectID="_1840626787" r:id="rId379"/>
        </w:object>
      </w:r>
      <w:r w:rsidR="00727C3E">
        <w:rPr>
          <w:spacing w:val="-3"/>
        </w:rPr>
        <w:t xml:space="preserve">and </w:t>
      </w:r>
      <w:r w:rsidR="00727C3E" w:rsidRPr="00886989">
        <w:rPr>
          <w:spacing w:val="-3"/>
          <w:position w:val="-10"/>
        </w:rPr>
        <w:object w:dxaOrig="200" w:dyaOrig="320" w14:anchorId="7CCB3D8E">
          <v:shape id="_x0000_i1222" type="#_x0000_t75" style="width:10.3pt;height:16.85pt" o:ole="">
            <v:imagedata r:id="rId380" o:title=""/>
          </v:shape>
          <o:OLEObject Type="Embed" ProgID="Equation.DSMT4" ShapeID="_x0000_i1222" DrawAspect="Content" ObjectID="_1840626788" r:id="rId381"/>
        </w:object>
      </w:r>
      <w:r w:rsidR="00727C3E">
        <w:rPr>
          <w:spacing w:val="-3"/>
        </w:rPr>
        <w:t xml:space="preserve"> are quite different, the former representing a dendritic mushy zone and the latter representing a transition between liquid and solid on the nanometer scale.</w:t>
      </w:r>
    </w:p>
    <w:p w14:paraId="507CEDDE" w14:textId="77777777" w:rsidR="00015B17" w:rsidRPr="00F113AF" w:rsidRDefault="00015B17" w:rsidP="00015B17">
      <w:pPr>
        <w:tabs>
          <w:tab w:val="left" w:pos="-720"/>
        </w:tabs>
        <w:suppressAutoHyphens/>
        <w:spacing w:line="360" w:lineRule="auto"/>
        <w:rPr>
          <w:spacing w:val="-3"/>
        </w:rPr>
      </w:pPr>
    </w:p>
    <w:p w14:paraId="63BE486B" w14:textId="77777777" w:rsidR="00015B17" w:rsidRDefault="006E6FC2" w:rsidP="00015B17">
      <w:pPr>
        <w:tabs>
          <w:tab w:val="left" w:pos="-720"/>
        </w:tabs>
        <w:suppressAutoHyphens/>
        <w:spacing w:line="360" w:lineRule="auto"/>
        <w:rPr>
          <w:spacing w:val="-3"/>
        </w:rPr>
      </w:pPr>
      <w:r>
        <w:rPr>
          <w:spacing w:val="-3"/>
        </w:rPr>
        <w:tab/>
      </w:r>
      <w:r w:rsidR="00015B17" w:rsidRPr="00F113AF">
        <w:rPr>
          <w:spacing w:val="-3"/>
        </w:rPr>
        <w:t xml:space="preserve">An isothermal treatment forms the free energy functional </w:t>
      </w:r>
      <w:r w:rsidR="00015B17" w:rsidRPr="00F113AF">
        <w:rPr>
          <w:i/>
          <w:spacing w:val="-3"/>
        </w:rPr>
        <w:t>F</w:t>
      </w:r>
      <w:r w:rsidR="00015B17" w:rsidRPr="00F113AF">
        <w:rPr>
          <w:spacing w:val="-3"/>
        </w:rPr>
        <w:t xml:space="preserve">, which must decrease during any process, as </w:t>
      </w:r>
    </w:p>
    <w:p w14:paraId="15ED2ADB" w14:textId="77777777" w:rsidR="00015B17" w:rsidRPr="00F113AF" w:rsidRDefault="00015B17" w:rsidP="00015B17">
      <w:pPr>
        <w:tabs>
          <w:tab w:val="left" w:pos="-720"/>
        </w:tabs>
        <w:suppressAutoHyphens/>
        <w:spacing w:line="360" w:lineRule="auto"/>
        <w:jc w:val="both"/>
        <w:rPr>
          <w:spacing w:val="-3"/>
        </w:rPr>
      </w:pPr>
    </w:p>
    <w:p w14:paraId="4691E24F" w14:textId="77777777" w:rsidR="00015B17" w:rsidRDefault="00015B17" w:rsidP="00015B17">
      <w:pPr>
        <w:tabs>
          <w:tab w:val="left" w:pos="-720"/>
        </w:tabs>
        <w:suppressAutoHyphens/>
        <w:spacing w:line="360" w:lineRule="auto"/>
        <w:jc w:val="center"/>
        <w:rPr>
          <w:spacing w:val="-3"/>
        </w:rPr>
      </w:pPr>
      <w:r w:rsidRPr="00A97F16">
        <w:rPr>
          <w:spacing w:val="-3"/>
          <w:position w:val="-34"/>
        </w:rPr>
        <w:object w:dxaOrig="4440" w:dyaOrig="800" w14:anchorId="1C0564BA">
          <v:shape id="_x0000_i1223" type="#_x0000_t75" style="width:221.6pt;height:40.2pt" o:ole="" fillcolor="window">
            <v:imagedata r:id="rId382" o:title=""/>
          </v:shape>
          <o:OLEObject Type="Embed" ProgID="Equation.DSMT4" ShapeID="_x0000_i1223" DrawAspect="Content" ObjectID="_1840626789" r:id="rId383"/>
        </w:object>
      </w:r>
      <w:r w:rsidR="006E6FC2">
        <w:rPr>
          <w:spacing w:val="-3"/>
        </w:rPr>
        <w:t>,</w:t>
      </w:r>
      <w:r>
        <w:rPr>
          <w:spacing w:val="-3"/>
        </w:rPr>
        <w:tab/>
      </w:r>
      <w:r>
        <w:rPr>
          <w:spacing w:val="-3"/>
        </w:rPr>
        <w:tab/>
        <w:t>(3.12)</w:t>
      </w:r>
    </w:p>
    <w:p w14:paraId="65A3C6DD" w14:textId="77777777" w:rsidR="00015B17" w:rsidRPr="00F113AF" w:rsidRDefault="00015B17" w:rsidP="00015B17">
      <w:pPr>
        <w:tabs>
          <w:tab w:val="left" w:pos="-720"/>
        </w:tabs>
        <w:suppressAutoHyphens/>
        <w:spacing w:line="360" w:lineRule="auto"/>
        <w:jc w:val="center"/>
        <w:rPr>
          <w:spacing w:val="-3"/>
        </w:rPr>
      </w:pPr>
    </w:p>
    <w:p w14:paraId="57110824" w14:textId="77777777" w:rsidR="00015B17" w:rsidRPr="00F113AF" w:rsidRDefault="00015B17" w:rsidP="00015B17">
      <w:pPr>
        <w:tabs>
          <w:tab w:val="left" w:pos="-720"/>
        </w:tabs>
        <w:suppressAutoHyphens/>
        <w:spacing w:line="360" w:lineRule="auto"/>
        <w:rPr>
          <w:spacing w:val="-3"/>
        </w:rPr>
      </w:pPr>
      <w:r w:rsidRPr="00F113AF">
        <w:rPr>
          <w:spacing w:val="-3"/>
        </w:rPr>
        <w:t xml:space="preserve">where </w:t>
      </w:r>
      <w:r w:rsidRPr="00F113AF">
        <w:rPr>
          <w:i/>
          <w:spacing w:val="-3"/>
        </w:rPr>
        <w:t xml:space="preserve">f </w:t>
      </w:r>
      <w:r w:rsidRPr="00F113AF">
        <w:rPr>
          <w:spacing w:val="-3"/>
        </w:rPr>
        <w:t>(</w:t>
      </w:r>
      <w:r w:rsidRPr="00F113AF">
        <w:rPr>
          <w:i/>
          <w:spacing w:val="-3"/>
        </w:rPr>
        <w:sym w:font="Symbol" w:char="F066"/>
      </w:r>
      <w:r w:rsidRPr="00F113AF">
        <w:rPr>
          <w:i/>
          <w:spacing w:val="-3"/>
        </w:rPr>
        <w:t>,c,T</w:t>
      </w:r>
      <w:r w:rsidRPr="00F113AF">
        <w:rPr>
          <w:spacing w:val="-3"/>
        </w:rPr>
        <w:t xml:space="preserve">) is the free energy density, and where the gradient energy coefficients have different units than the (primed) gradient </w:t>
      </w:r>
      <w:r w:rsidR="000154A4" w:rsidRPr="00F113AF">
        <w:rPr>
          <w:spacing w:val="-3"/>
        </w:rPr>
        <w:t>en</w:t>
      </w:r>
      <w:r w:rsidR="000154A4">
        <w:rPr>
          <w:spacing w:val="-3"/>
        </w:rPr>
        <w:t>ergy</w:t>
      </w:r>
      <w:r w:rsidR="000154A4" w:rsidRPr="00F113AF">
        <w:rPr>
          <w:spacing w:val="-3"/>
        </w:rPr>
        <w:t xml:space="preserve"> </w:t>
      </w:r>
      <w:r w:rsidRPr="00F113AF">
        <w:rPr>
          <w:spacing w:val="-3"/>
        </w:rPr>
        <w:t>coefficients used in Eqn.</w:t>
      </w:r>
      <w:r>
        <w:rPr>
          <w:spacing w:val="-3"/>
        </w:rPr>
        <w:t xml:space="preserve"> (3.9)</w:t>
      </w:r>
      <w:r w:rsidRPr="00F113AF">
        <w:rPr>
          <w:spacing w:val="-3"/>
        </w:rPr>
        <w:t>.</w:t>
      </w:r>
    </w:p>
    <w:p w14:paraId="43723095" w14:textId="77777777" w:rsidR="00015B17" w:rsidRPr="00F113AF" w:rsidRDefault="00015B17" w:rsidP="00015B17">
      <w:pPr>
        <w:tabs>
          <w:tab w:val="left" w:pos="-720"/>
        </w:tabs>
        <w:suppressAutoHyphens/>
        <w:spacing w:line="360" w:lineRule="auto"/>
        <w:jc w:val="both"/>
        <w:rPr>
          <w:spacing w:val="-3"/>
        </w:rPr>
      </w:pPr>
    </w:p>
    <w:p w14:paraId="0EBEA65D" w14:textId="77777777" w:rsidR="00015B17" w:rsidRPr="00F113AF" w:rsidRDefault="006E6FC2" w:rsidP="00015B17">
      <w:pPr>
        <w:tabs>
          <w:tab w:val="left" w:pos="-720"/>
        </w:tabs>
        <w:suppressAutoHyphens/>
        <w:spacing w:line="360" w:lineRule="auto"/>
        <w:rPr>
          <w:spacing w:val="-3"/>
        </w:rPr>
      </w:pPr>
      <w:r>
        <w:rPr>
          <w:spacing w:val="-3"/>
        </w:rPr>
        <w:tab/>
      </w:r>
      <w:r w:rsidR="00015B17" w:rsidRPr="00F113AF">
        <w:rPr>
          <w:spacing w:val="-3"/>
        </w:rPr>
        <w:t xml:space="preserve">For equilibrium, the variational derivatives of </w:t>
      </w:r>
      <w:r w:rsidR="00015B17" w:rsidRPr="00F113AF">
        <w:rPr>
          <w:i/>
          <w:spacing w:val="-3"/>
        </w:rPr>
        <w:t>F</w:t>
      </w:r>
      <w:r w:rsidR="00015B17" w:rsidRPr="00F113AF">
        <w:rPr>
          <w:spacing w:val="-3"/>
        </w:rPr>
        <w:t xml:space="preserve"> must satisfy</w:t>
      </w:r>
      <w:r w:rsidR="00015B17" w:rsidRPr="00F113AF">
        <w:rPr>
          <w:i/>
          <w:spacing w:val="-3"/>
        </w:rPr>
        <w:t xml:space="preserve"> </w:t>
      </w:r>
      <w:r w:rsidR="00015B17" w:rsidRPr="00F113AF">
        <w:rPr>
          <w:spacing w:val="-3"/>
        </w:rPr>
        <w:t>the equations,</w:t>
      </w:r>
    </w:p>
    <w:p w14:paraId="4300F648" w14:textId="77777777" w:rsidR="00015B17" w:rsidRPr="00F113AF" w:rsidRDefault="00015B17" w:rsidP="00015B17">
      <w:pPr>
        <w:tabs>
          <w:tab w:val="left" w:pos="-720"/>
        </w:tabs>
        <w:suppressAutoHyphens/>
        <w:spacing w:line="360" w:lineRule="auto"/>
        <w:jc w:val="center"/>
        <w:rPr>
          <w:spacing w:val="-3"/>
        </w:rPr>
      </w:pPr>
      <w:r w:rsidRPr="00A97F16">
        <w:rPr>
          <w:spacing w:val="-3"/>
          <w:position w:val="-30"/>
        </w:rPr>
        <w:object w:dxaOrig="2640" w:dyaOrig="680" w14:anchorId="15F5FC07">
          <v:shape id="_x0000_i1224" type="#_x0000_t75" style="width:131.85pt;height:33.65pt" o:ole="" fillcolor="window">
            <v:imagedata r:id="rId384" o:title=""/>
          </v:shape>
          <o:OLEObject Type="Embed" ProgID="Equation.DSMT4" ShapeID="_x0000_i1224" DrawAspect="Content" ObjectID="_1840626790" r:id="rId385"/>
        </w:object>
      </w:r>
      <w:r w:rsidRPr="009B1AB0">
        <w:rPr>
          <w:spacing w:val="-3"/>
        </w:rPr>
        <w:t xml:space="preserve"> </w:t>
      </w:r>
      <w:r>
        <w:rPr>
          <w:spacing w:val="-3"/>
        </w:rPr>
        <w:tab/>
      </w:r>
      <w:r>
        <w:rPr>
          <w:spacing w:val="-3"/>
        </w:rPr>
        <w:tab/>
        <w:t>(3.13)</w:t>
      </w:r>
    </w:p>
    <w:p w14:paraId="16F5005A" w14:textId="77777777" w:rsidR="00015B17" w:rsidRDefault="00015B17" w:rsidP="00015B17">
      <w:pPr>
        <w:tabs>
          <w:tab w:val="left" w:pos="-720"/>
        </w:tabs>
        <w:suppressAutoHyphens/>
        <w:spacing w:line="360" w:lineRule="auto"/>
        <w:jc w:val="center"/>
        <w:rPr>
          <w:spacing w:val="-3"/>
        </w:rPr>
      </w:pPr>
      <w:r w:rsidRPr="00A97F16">
        <w:rPr>
          <w:spacing w:val="-3"/>
          <w:position w:val="-30"/>
        </w:rPr>
        <w:object w:dxaOrig="3000" w:dyaOrig="680" w14:anchorId="18D264D3">
          <v:shape id="_x0000_i1225" type="#_x0000_t75" style="width:149.6pt;height:34.6pt" o:ole="" fillcolor="window">
            <v:imagedata r:id="rId386" o:title=""/>
          </v:shape>
          <o:OLEObject Type="Embed" ProgID="Equation.DSMT4" ShapeID="_x0000_i1225" DrawAspect="Content" ObjectID="_1840626791" r:id="rId387"/>
        </w:object>
      </w:r>
      <w:r w:rsidR="006E6FC2">
        <w:rPr>
          <w:spacing w:val="-3"/>
        </w:rPr>
        <w:t>,</w:t>
      </w:r>
      <w:r w:rsidRPr="00F113AF">
        <w:rPr>
          <w:spacing w:val="-3"/>
        </w:rPr>
        <w:tab/>
      </w:r>
      <w:r>
        <w:rPr>
          <w:spacing w:val="-3"/>
        </w:rPr>
        <w:t>(3.14)</w:t>
      </w:r>
    </w:p>
    <w:p w14:paraId="501B2827" w14:textId="77777777" w:rsidR="00015B17" w:rsidRPr="00F113AF" w:rsidRDefault="00015B17" w:rsidP="00015B17">
      <w:pPr>
        <w:tabs>
          <w:tab w:val="left" w:pos="-720"/>
        </w:tabs>
        <w:suppressAutoHyphens/>
        <w:spacing w:line="360" w:lineRule="auto"/>
        <w:jc w:val="center"/>
        <w:rPr>
          <w:spacing w:val="-3"/>
        </w:rPr>
      </w:pPr>
    </w:p>
    <w:p w14:paraId="3CE0477F" w14:textId="2A51D72B" w:rsidR="00015B17" w:rsidRDefault="00727C3E" w:rsidP="00015B17">
      <w:pPr>
        <w:tabs>
          <w:tab w:val="left" w:pos="-720"/>
        </w:tabs>
        <w:suppressAutoHyphens/>
        <w:spacing w:line="360" w:lineRule="auto"/>
        <w:rPr>
          <w:spacing w:val="-3"/>
        </w:rPr>
      </w:pPr>
      <w:r>
        <w:rPr>
          <w:spacing w:val="-3"/>
        </w:rPr>
        <w:t>where</w:t>
      </w:r>
      <w:r w:rsidRPr="00F113AF">
        <w:rPr>
          <w:spacing w:val="-3"/>
        </w:rPr>
        <w:t xml:space="preserve"> </w:t>
      </w:r>
      <w:r w:rsidR="00015B17" w:rsidRPr="00F113AF">
        <w:rPr>
          <w:spacing w:val="-3"/>
        </w:rPr>
        <w:t xml:space="preserve">the gradient energy coefficients are </w:t>
      </w:r>
      <w:r>
        <w:rPr>
          <w:spacing w:val="-3"/>
        </w:rPr>
        <w:t xml:space="preserve">assumed </w:t>
      </w:r>
      <w:r w:rsidR="00015B17" w:rsidRPr="00F113AF">
        <w:rPr>
          <w:spacing w:val="-3"/>
        </w:rPr>
        <w:t xml:space="preserve">constant. The constant in Eqn. </w:t>
      </w:r>
      <w:r w:rsidR="00015B17">
        <w:rPr>
          <w:spacing w:val="-3"/>
        </w:rPr>
        <w:t>(3.14)</w:t>
      </w:r>
      <w:r w:rsidR="00015B17" w:rsidRPr="00F113AF">
        <w:rPr>
          <w:spacing w:val="-3"/>
        </w:rPr>
        <w:t xml:space="preserve"> occurs due to the constraint that the total amount of solute in the volume </w:t>
      </w:r>
      <w:r w:rsidR="00015B17" w:rsidRPr="00F113AF">
        <w:rPr>
          <w:i/>
          <w:spacing w:val="-3"/>
        </w:rPr>
        <w:t>V</w:t>
      </w:r>
      <w:r w:rsidR="00015B17" w:rsidRPr="00F113AF">
        <w:rPr>
          <w:spacing w:val="-3"/>
        </w:rPr>
        <w:t xml:space="preserve"> is constant; i.e., concentration is a conserved quantity. </w:t>
      </w:r>
    </w:p>
    <w:p w14:paraId="03239920" w14:textId="77777777" w:rsidR="00015B17" w:rsidRPr="00F113AF" w:rsidRDefault="00015B17" w:rsidP="00015B17">
      <w:pPr>
        <w:tabs>
          <w:tab w:val="left" w:pos="-720"/>
        </w:tabs>
        <w:suppressAutoHyphens/>
        <w:spacing w:line="360" w:lineRule="auto"/>
        <w:rPr>
          <w:spacing w:val="-3"/>
        </w:rPr>
      </w:pPr>
    </w:p>
    <w:p w14:paraId="07B606C4" w14:textId="77777777" w:rsidR="00015B17" w:rsidRPr="00F113AF" w:rsidRDefault="006E6FC2" w:rsidP="00015B17">
      <w:pPr>
        <w:tabs>
          <w:tab w:val="left" w:pos="-720"/>
        </w:tabs>
        <w:suppressAutoHyphens/>
        <w:spacing w:line="360" w:lineRule="auto"/>
        <w:rPr>
          <w:spacing w:val="-3"/>
        </w:rPr>
      </w:pPr>
      <w:r>
        <w:rPr>
          <w:spacing w:val="-3"/>
        </w:rPr>
        <w:tab/>
      </w:r>
      <w:r w:rsidR="00015B17" w:rsidRPr="00F113AF">
        <w:rPr>
          <w:spacing w:val="-3"/>
        </w:rPr>
        <w:t>For time dependent situations, the simplest equations that guarantee a decrease in total free energy with time (an increase in entropy in the general formulation) are given by</w:t>
      </w:r>
    </w:p>
    <w:p w14:paraId="6D2E5223" w14:textId="77777777" w:rsidR="00015B17" w:rsidRPr="00F113AF" w:rsidRDefault="00015B17" w:rsidP="00015B17">
      <w:pPr>
        <w:tabs>
          <w:tab w:val="left" w:pos="-720"/>
        </w:tabs>
        <w:suppressAutoHyphens/>
        <w:spacing w:line="360" w:lineRule="auto"/>
        <w:jc w:val="center"/>
        <w:rPr>
          <w:spacing w:val="-3"/>
        </w:rPr>
      </w:pPr>
      <w:r w:rsidRPr="006F2F91">
        <w:rPr>
          <w:spacing w:val="-3"/>
          <w:position w:val="-30"/>
        </w:rPr>
        <w:object w:dxaOrig="2720" w:dyaOrig="720" w14:anchorId="5A72A2AE">
          <v:shape id="_x0000_i1226" type="#_x0000_t75" style="width:135.6pt;height:36.45pt" o:ole="" fillcolor="window">
            <v:imagedata r:id="rId388" o:title=""/>
          </v:shape>
          <o:OLEObject Type="Embed" ProgID="Equation.DSMT4" ShapeID="_x0000_i1226" DrawAspect="Content" ObjectID="_1840626792" r:id="rId389"/>
        </w:object>
      </w:r>
      <w:r w:rsidRPr="00F113AF">
        <w:rPr>
          <w:spacing w:val="-3"/>
        </w:rPr>
        <w:tab/>
      </w:r>
      <w:r w:rsidRPr="00F113AF">
        <w:rPr>
          <w:spacing w:val="-3"/>
        </w:rPr>
        <w:tab/>
      </w:r>
      <w:r>
        <w:rPr>
          <w:spacing w:val="-3"/>
        </w:rPr>
        <w:t>(3.15)</w:t>
      </w:r>
    </w:p>
    <w:p w14:paraId="2511FDBF" w14:textId="77777777" w:rsidR="00015B17" w:rsidRPr="00F113AF" w:rsidRDefault="00015B17" w:rsidP="00015B17">
      <w:pPr>
        <w:tabs>
          <w:tab w:val="left" w:pos="-720"/>
        </w:tabs>
        <w:suppressAutoHyphens/>
        <w:spacing w:line="360" w:lineRule="auto"/>
        <w:jc w:val="center"/>
        <w:rPr>
          <w:spacing w:val="-3"/>
        </w:rPr>
      </w:pPr>
      <w:r w:rsidRPr="006F2F91">
        <w:rPr>
          <w:spacing w:val="-3"/>
          <w:position w:val="-30"/>
        </w:rPr>
        <w:object w:dxaOrig="4120" w:dyaOrig="720" w14:anchorId="7AD7D79B">
          <v:shape id="_x0000_i1227" type="#_x0000_t75" style="width:206.65pt;height:36.45pt" o:ole="" fillcolor="window">
            <v:imagedata r:id="rId390" o:title=""/>
          </v:shape>
          <o:OLEObject Type="Embed" ProgID="Equation.DSMT4" ShapeID="_x0000_i1227" DrawAspect="Content" ObjectID="_1840626793" r:id="rId391"/>
        </w:object>
      </w:r>
      <w:r w:rsidRPr="00F113AF">
        <w:rPr>
          <w:spacing w:val="-3"/>
        </w:rPr>
        <w:tab/>
      </w:r>
      <w:r>
        <w:rPr>
          <w:spacing w:val="-3"/>
        </w:rPr>
        <w:t>(3.16)</w:t>
      </w:r>
    </w:p>
    <w:p w14:paraId="3E404873" w14:textId="20B856BA" w:rsidR="00015B17" w:rsidRPr="00F113AF" w:rsidRDefault="00015B17" w:rsidP="00015B17">
      <w:pPr>
        <w:tabs>
          <w:tab w:val="left" w:pos="-720"/>
        </w:tabs>
        <w:suppressAutoHyphens/>
        <w:spacing w:line="360" w:lineRule="auto"/>
        <w:rPr>
          <w:spacing w:val="-3"/>
        </w:rPr>
      </w:pPr>
      <w:r w:rsidRPr="00F113AF">
        <w:rPr>
          <w:spacing w:val="-3"/>
        </w:rPr>
        <w:t xml:space="preserve">The parameters </w:t>
      </w:r>
      <w:r w:rsidRPr="009B1AB0">
        <w:rPr>
          <w:spacing w:val="-3"/>
          <w:position w:val="-14"/>
        </w:rPr>
        <w:object w:dxaOrig="1200" w:dyaOrig="380" w14:anchorId="457752D0">
          <v:shape id="_x0000_i1228" type="#_x0000_t75" style="width:60.8pt;height:19.65pt" o:ole="" fillcolor="window">
            <v:imagedata r:id="rId392" o:title=""/>
          </v:shape>
          <o:OLEObject Type="Embed" ProgID="Equation.DSMT4" ShapeID="_x0000_i1228" DrawAspect="Content" ObjectID="_1840626794" r:id="rId393"/>
        </w:object>
      </w:r>
      <w:r w:rsidRPr="00F113AF">
        <w:rPr>
          <w:spacing w:val="-3"/>
        </w:rPr>
        <w:t xml:space="preserve"> are positive mobilities related to the interface kinetic coefficient and solute diffusion coefficient as described below.  Eqns. </w:t>
      </w:r>
      <w:r>
        <w:rPr>
          <w:spacing w:val="-3"/>
        </w:rPr>
        <w:t>(3.15) and (3.16)</w:t>
      </w:r>
      <w:r w:rsidRPr="00F113AF">
        <w:rPr>
          <w:spacing w:val="-3"/>
        </w:rPr>
        <w:t xml:space="preserve"> have different forms because composition is a conserved quantity and the phase field is not. Eqn. </w:t>
      </w:r>
      <w:r>
        <w:rPr>
          <w:spacing w:val="-3"/>
        </w:rPr>
        <w:t>(3.15)</w:t>
      </w:r>
      <w:r w:rsidRPr="00F113AF">
        <w:rPr>
          <w:spacing w:val="-3"/>
        </w:rPr>
        <w:t xml:space="preserve"> is called the Allen-Cahn equation</w:t>
      </w:r>
      <w:r>
        <w:rPr>
          <w:spacing w:val="-3"/>
        </w:rPr>
        <w:t xml:space="preserve"> when applied to antiphase boundary motion</w:t>
      </w:r>
      <w:r w:rsidRPr="00F113AF">
        <w:rPr>
          <w:spacing w:val="-3"/>
        </w:rPr>
        <w:t xml:space="preserve">. Eqn. </w:t>
      </w:r>
      <w:r>
        <w:rPr>
          <w:spacing w:val="-3"/>
        </w:rPr>
        <w:t xml:space="preserve">(3.16) is the Cahn-Hilliard equation. </w:t>
      </w:r>
      <w:r w:rsidRPr="00F113AF">
        <w:rPr>
          <w:spacing w:val="-3"/>
        </w:rPr>
        <w:t xml:space="preserve">In this formulation the pair are coupled through the energy function </w:t>
      </w:r>
      <w:r w:rsidRPr="00F113AF">
        <w:rPr>
          <w:i/>
          <w:spacing w:val="-3"/>
        </w:rPr>
        <w:t>f</w:t>
      </w:r>
      <w:r w:rsidRPr="00F113AF">
        <w:rPr>
          <w:spacing w:val="-3"/>
        </w:rPr>
        <w:t>(</w:t>
      </w:r>
      <w:r w:rsidRPr="00F113AF">
        <w:rPr>
          <w:i/>
          <w:spacing w:val="-3"/>
        </w:rPr>
        <w:sym w:font="Symbol" w:char="F066"/>
      </w:r>
      <w:r w:rsidRPr="00F113AF">
        <w:rPr>
          <w:i/>
          <w:spacing w:val="-3"/>
        </w:rPr>
        <w:t>,c,T</w:t>
      </w:r>
      <w:r w:rsidRPr="00F113AF">
        <w:rPr>
          <w:spacing w:val="-3"/>
        </w:rPr>
        <w:t xml:space="preserve">). In the second equation, we set </w:t>
      </w:r>
      <w:r w:rsidRPr="009B1AB0">
        <w:rPr>
          <w:spacing w:val="-3"/>
          <w:position w:val="-12"/>
        </w:rPr>
        <w:object w:dxaOrig="680" w:dyaOrig="360" w14:anchorId="0DB0D8FF">
          <v:shape id="_x0000_i1229" type="#_x0000_t75" style="width:33.65pt;height:17.75pt" o:ole="" fillcolor="window">
            <v:imagedata r:id="rId394" o:title=""/>
          </v:shape>
          <o:OLEObject Type="Embed" ProgID="Equation.DSMT4" ShapeID="_x0000_i1229" DrawAspect="Content" ObjectID="_1840626795" r:id="rId395"/>
        </w:object>
      </w:r>
      <w:r w:rsidRPr="00F113AF">
        <w:rPr>
          <w:spacing w:val="-3"/>
        </w:rPr>
        <w:t xml:space="preserve"> for the remainder of this paper. With </w:t>
      </w:r>
      <w:r w:rsidRPr="009B1AB0">
        <w:rPr>
          <w:spacing w:val="-3"/>
          <w:position w:val="-12"/>
        </w:rPr>
        <w:object w:dxaOrig="680" w:dyaOrig="360" w14:anchorId="54816389">
          <v:shape id="_x0000_i1230" type="#_x0000_t75" style="width:33.65pt;height:17.75pt" o:ole="" fillcolor="window">
            <v:imagedata r:id="rId396" o:title=""/>
          </v:shape>
          <o:OLEObject Type="Embed" ProgID="Equation.DSMT4" ShapeID="_x0000_i1230" DrawAspect="Content" ObjectID="_1840626796" r:id="rId397"/>
        </w:object>
      </w:r>
      <w:r w:rsidRPr="00F113AF">
        <w:rPr>
          <w:spacing w:val="-3"/>
        </w:rPr>
        <w:t xml:space="preserve"> and a double-well </w:t>
      </w:r>
      <w:r>
        <w:rPr>
          <w:spacing w:val="-3"/>
        </w:rPr>
        <w:t xml:space="preserve">(miscibility gap) </w:t>
      </w:r>
      <w:r w:rsidRPr="00F113AF">
        <w:rPr>
          <w:spacing w:val="-3"/>
        </w:rPr>
        <w:t xml:space="preserve">in </w:t>
      </w:r>
      <w:r w:rsidRPr="00F113AF">
        <w:rPr>
          <w:i/>
          <w:spacing w:val="-3"/>
        </w:rPr>
        <w:t>f</w:t>
      </w:r>
      <w:r w:rsidRPr="00F113AF">
        <w:rPr>
          <w:spacing w:val="-3"/>
        </w:rPr>
        <w:t>(c), Eqn.</w:t>
      </w:r>
      <w:r>
        <w:rPr>
          <w:spacing w:val="-3"/>
        </w:rPr>
        <w:t xml:space="preserve"> (3.16)</w:t>
      </w:r>
      <w:r w:rsidRPr="00F113AF">
        <w:rPr>
          <w:spacing w:val="-3"/>
        </w:rPr>
        <w:t xml:space="preserve"> describe</w:t>
      </w:r>
      <w:r>
        <w:rPr>
          <w:spacing w:val="-3"/>
        </w:rPr>
        <w:t>s</w:t>
      </w:r>
      <w:r w:rsidRPr="00F113AF">
        <w:rPr>
          <w:spacing w:val="-3"/>
        </w:rPr>
        <w:t xml:space="preserve"> spinodal decomposition. </w:t>
      </w:r>
    </w:p>
    <w:p w14:paraId="4328493B" w14:textId="77777777" w:rsidR="00015B17" w:rsidRPr="00F113AF" w:rsidRDefault="00015B17" w:rsidP="00015B17">
      <w:pPr>
        <w:tabs>
          <w:tab w:val="left" w:pos="-720"/>
        </w:tabs>
        <w:suppressAutoHyphens/>
        <w:spacing w:line="360" w:lineRule="auto"/>
        <w:jc w:val="both"/>
        <w:rPr>
          <w:spacing w:val="-3"/>
        </w:rPr>
      </w:pPr>
    </w:p>
    <w:p w14:paraId="7B8E3405" w14:textId="77777777" w:rsidR="00015B17" w:rsidRDefault="00015B17" w:rsidP="00015B17">
      <w:pPr>
        <w:tabs>
          <w:tab w:val="left" w:pos="-720"/>
        </w:tabs>
        <w:suppressAutoHyphens/>
        <w:spacing w:line="360" w:lineRule="auto"/>
        <w:jc w:val="both"/>
        <w:outlineLvl w:val="0"/>
        <w:rPr>
          <w:spacing w:val="-3"/>
        </w:rPr>
      </w:pPr>
      <w:r w:rsidRPr="00CE0C6C">
        <w:rPr>
          <w:b/>
          <w:spacing w:val="-3"/>
        </w:rPr>
        <w:t>3.4.3 The Alloy Free Energy Function</w:t>
      </w:r>
      <w:r w:rsidRPr="00F113AF">
        <w:rPr>
          <w:spacing w:val="-3"/>
        </w:rPr>
        <w:t xml:space="preserve"> </w:t>
      </w:r>
    </w:p>
    <w:p w14:paraId="196EB0FC" w14:textId="77777777" w:rsidR="00015B17" w:rsidRDefault="00015B17" w:rsidP="00015B17">
      <w:pPr>
        <w:tabs>
          <w:tab w:val="left" w:pos="-720"/>
        </w:tabs>
        <w:suppressAutoHyphens/>
        <w:spacing w:line="360" w:lineRule="auto"/>
        <w:jc w:val="both"/>
        <w:rPr>
          <w:spacing w:val="-3"/>
        </w:rPr>
      </w:pPr>
    </w:p>
    <w:p w14:paraId="46886F1D" w14:textId="77777777" w:rsidR="00015B17" w:rsidRPr="00F113AF" w:rsidRDefault="00015B17" w:rsidP="00015B17">
      <w:pPr>
        <w:tabs>
          <w:tab w:val="left" w:pos="-720"/>
        </w:tabs>
        <w:suppressAutoHyphens/>
        <w:spacing w:line="360" w:lineRule="auto"/>
        <w:rPr>
          <w:spacing w:val="-3"/>
        </w:rPr>
      </w:pPr>
      <w:r>
        <w:rPr>
          <w:spacing w:val="-3"/>
        </w:rPr>
        <w:tab/>
      </w:r>
      <w:r w:rsidRPr="00F113AF">
        <w:rPr>
          <w:spacing w:val="-3"/>
        </w:rPr>
        <w:t xml:space="preserve">The free energy density uses two functions: a double well function and an interpolating function. Here we chose the two functions, </w:t>
      </w:r>
      <w:r w:rsidRPr="009B1AB0">
        <w:rPr>
          <w:spacing w:val="-3"/>
          <w:position w:val="-10"/>
        </w:rPr>
        <w:object w:dxaOrig="1640" w:dyaOrig="360" w14:anchorId="02D461C1">
          <v:shape id="_x0000_i1231" type="#_x0000_t75" style="width:82.3pt;height:17.75pt" o:ole="" fillcolor="window">
            <v:imagedata r:id="rId398" o:title=""/>
          </v:shape>
          <o:OLEObject Type="Embed" ProgID="Equation.DSMT4" ShapeID="_x0000_i1231" DrawAspect="Content" ObjectID="_1840626797" r:id="rId399"/>
        </w:object>
      </w:r>
      <w:r w:rsidRPr="00F113AF">
        <w:rPr>
          <w:spacing w:val="-3"/>
        </w:rPr>
        <w:t xml:space="preserve"> and</w:t>
      </w:r>
      <w:r>
        <w:rPr>
          <w:spacing w:val="-3"/>
        </w:rPr>
        <w:t xml:space="preserve"> </w:t>
      </w:r>
      <w:r w:rsidRPr="009B1AB0">
        <w:rPr>
          <w:spacing w:val="-3"/>
          <w:position w:val="-10"/>
        </w:rPr>
        <w:object w:dxaOrig="2480" w:dyaOrig="360" w14:anchorId="28B6DA91">
          <v:shape id="_x0000_i1232" type="#_x0000_t75" style="width:124.35pt;height:17.75pt" o:ole="" fillcolor="window">
            <v:imagedata r:id="rId400" o:title=""/>
          </v:shape>
          <o:OLEObject Type="Embed" ProgID="Equation.DSMT4" ShapeID="_x0000_i1232" DrawAspect="Content" ObjectID="_1840626798" r:id="rId401"/>
        </w:object>
      </w:r>
      <w:r w:rsidRPr="00F113AF">
        <w:rPr>
          <w:spacing w:val="-3"/>
        </w:rPr>
        <w:t>, respectively. Note that by design,</w:t>
      </w:r>
      <w:r w:rsidRPr="009B1AB0">
        <w:rPr>
          <w:b/>
          <w:spacing w:val="-3"/>
          <w:position w:val="-10"/>
        </w:rPr>
        <w:object w:dxaOrig="1500" w:dyaOrig="320" w14:anchorId="09EBC206">
          <v:shape id="_x0000_i1233" type="#_x0000_t75" style="width:74.8pt;height:16.85pt" o:ole="" fillcolor="window">
            <v:imagedata r:id="rId402" o:title=""/>
          </v:shape>
          <o:OLEObject Type="Embed" ProgID="Equation.DSMT4" ShapeID="_x0000_i1233" DrawAspect="Content" ObjectID="_1840626799" r:id="rId403"/>
        </w:object>
      </w:r>
      <w:r w:rsidRPr="00F113AF">
        <w:rPr>
          <w:spacing w:val="-3"/>
        </w:rPr>
        <w:t xml:space="preserve">, ensuring that </w:t>
      </w:r>
      <w:r w:rsidRPr="009B1AB0">
        <w:rPr>
          <w:spacing w:val="-3"/>
          <w:position w:val="-10"/>
        </w:rPr>
        <w:object w:dxaOrig="1020" w:dyaOrig="340" w14:anchorId="347F2663">
          <v:shape id="_x0000_i1234" type="#_x0000_t75" style="width:51.45pt;height:16.85pt" o:ole="" fillcolor="window">
            <v:imagedata r:id="rId404" o:title=""/>
          </v:shape>
          <o:OLEObject Type="Embed" ProgID="Equation.DSMT4" ShapeID="_x0000_i1234" DrawAspect="Content" ObjectID="_1840626800" r:id="rId405"/>
        </w:object>
      </w:r>
      <w:r w:rsidRPr="00F113AF">
        <w:rPr>
          <w:spacing w:val="-3"/>
        </w:rPr>
        <w:t xml:space="preserve">when </w:t>
      </w:r>
      <w:r w:rsidRPr="00F113AF">
        <w:rPr>
          <w:i/>
          <w:spacing w:val="-3"/>
        </w:rPr>
        <w:sym w:font="Symbol" w:char="F066"/>
      </w:r>
      <w:r w:rsidRPr="00F113AF">
        <w:rPr>
          <w:spacing w:val="-3"/>
        </w:rPr>
        <w:t xml:space="preserve">=0 and 1, for all temperatures. In this paper </w:t>
      </w:r>
      <w:r w:rsidRPr="00F113AF">
        <w:rPr>
          <w:i/>
          <w:spacing w:val="-3"/>
        </w:rPr>
        <w:sym w:font="Symbol" w:char="F066"/>
      </w:r>
      <w:r w:rsidRPr="00F113AF">
        <w:rPr>
          <w:i/>
          <w:spacing w:val="-3"/>
        </w:rPr>
        <w:t>=0</w:t>
      </w:r>
      <w:r w:rsidRPr="00F113AF">
        <w:rPr>
          <w:spacing w:val="-3"/>
        </w:rPr>
        <w:t xml:space="preserve"> represents solid and </w:t>
      </w:r>
      <w:r w:rsidRPr="00F113AF">
        <w:rPr>
          <w:i/>
          <w:spacing w:val="-3"/>
        </w:rPr>
        <w:sym w:font="Symbol" w:char="F066"/>
      </w:r>
      <w:r w:rsidRPr="00F113AF">
        <w:rPr>
          <w:i/>
          <w:spacing w:val="-3"/>
        </w:rPr>
        <w:t>=1</w:t>
      </w:r>
      <w:r w:rsidRPr="00F113AF">
        <w:rPr>
          <w:spacing w:val="-3"/>
        </w:rPr>
        <w:t xml:space="preserve"> </w:t>
      </w:r>
      <w:r w:rsidRPr="00F113AF">
        <w:rPr>
          <w:spacing w:val="-3"/>
        </w:rPr>
        <w:lastRenderedPageBreak/>
        <w:t>represents liquid, although the opposite convention is often used. Plots</w:t>
      </w:r>
      <w:r w:rsidRPr="00F113AF">
        <w:rPr>
          <w:b/>
          <w:spacing w:val="-3"/>
        </w:rPr>
        <w:t xml:space="preserve"> </w:t>
      </w:r>
      <w:r w:rsidRPr="00F113AF">
        <w:rPr>
          <w:spacing w:val="-3"/>
        </w:rPr>
        <w:t xml:space="preserve">of these functions are given in Fig. </w:t>
      </w:r>
      <w:r>
        <w:rPr>
          <w:spacing w:val="-3"/>
        </w:rPr>
        <w:t>3.6</w:t>
      </w:r>
      <w:r w:rsidRPr="00F113AF">
        <w:rPr>
          <w:spacing w:val="-3"/>
        </w:rPr>
        <w:t>.</w:t>
      </w:r>
    </w:p>
    <w:p w14:paraId="7B1B94E2" w14:textId="77777777" w:rsidR="00015B17" w:rsidRPr="00F113AF" w:rsidRDefault="00015B17" w:rsidP="00015B17">
      <w:pPr>
        <w:tabs>
          <w:tab w:val="left" w:pos="-720"/>
        </w:tabs>
        <w:suppressAutoHyphens/>
        <w:spacing w:line="360" w:lineRule="auto"/>
        <w:rPr>
          <w:spacing w:val="-3"/>
        </w:rPr>
      </w:pPr>
    </w:p>
    <w:p w14:paraId="6C2B8AC6" w14:textId="77777777" w:rsidR="006E6FC2" w:rsidRDefault="00015B17" w:rsidP="00015B17">
      <w:pPr>
        <w:tabs>
          <w:tab w:val="left" w:pos="-720"/>
        </w:tabs>
        <w:suppressAutoHyphens/>
        <w:spacing w:line="360" w:lineRule="auto"/>
        <w:rPr>
          <w:spacing w:val="-3"/>
        </w:rPr>
      </w:pPr>
      <w:r>
        <w:rPr>
          <w:spacing w:val="-3"/>
        </w:rPr>
        <w:tab/>
      </w:r>
      <w:r w:rsidRPr="00F113AF">
        <w:rPr>
          <w:spacing w:val="-3"/>
        </w:rPr>
        <w:t xml:space="preserve">The alloy free energy density </w:t>
      </w:r>
      <w:r w:rsidRPr="00F113AF">
        <w:rPr>
          <w:i/>
          <w:spacing w:val="-3"/>
        </w:rPr>
        <w:t>f(</w:t>
      </w:r>
      <w:r w:rsidRPr="00F113AF">
        <w:rPr>
          <w:i/>
          <w:spacing w:val="-3"/>
        </w:rPr>
        <w:sym w:font="Symbol" w:char="F066"/>
      </w:r>
      <w:r w:rsidRPr="00F113AF">
        <w:rPr>
          <w:i/>
          <w:spacing w:val="-3"/>
        </w:rPr>
        <w:t>,</w:t>
      </w:r>
      <w:r>
        <w:rPr>
          <w:i/>
          <w:spacing w:val="-3"/>
        </w:rPr>
        <w:t xml:space="preserve"> </w:t>
      </w:r>
      <w:r w:rsidRPr="00F113AF">
        <w:rPr>
          <w:i/>
          <w:spacing w:val="-3"/>
        </w:rPr>
        <w:t>c</w:t>
      </w:r>
      <w:r>
        <w:rPr>
          <w:i/>
          <w:spacing w:val="-3"/>
        </w:rPr>
        <w:t xml:space="preserve"> </w:t>
      </w:r>
      <w:r w:rsidRPr="00F113AF">
        <w:rPr>
          <w:i/>
          <w:spacing w:val="-3"/>
        </w:rPr>
        <w:t>T)</w:t>
      </w:r>
      <w:r w:rsidRPr="00F113AF">
        <w:rPr>
          <w:spacing w:val="-3"/>
        </w:rPr>
        <w:t xml:space="preserve"> can be constructed in several ways.  One method can be broken into three steps:</w:t>
      </w:r>
    </w:p>
    <w:p w14:paraId="5D77C4B1" w14:textId="77777777" w:rsidR="00015B17" w:rsidRPr="00F113AF" w:rsidRDefault="00015B17" w:rsidP="00015B17">
      <w:pPr>
        <w:tabs>
          <w:tab w:val="left" w:pos="-720"/>
        </w:tabs>
        <w:suppressAutoHyphens/>
        <w:spacing w:line="360" w:lineRule="auto"/>
        <w:rPr>
          <w:spacing w:val="-3"/>
        </w:rPr>
      </w:pPr>
      <w:r w:rsidRPr="00F113AF">
        <w:rPr>
          <w:spacing w:val="-3"/>
        </w:rPr>
        <w:t xml:space="preserve"> </w:t>
      </w:r>
    </w:p>
    <w:p w14:paraId="56C19064" w14:textId="77777777" w:rsidR="00015B17" w:rsidRDefault="00015B17" w:rsidP="00015B17">
      <w:pPr>
        <w:tabs>
          <w:tab w:val="left" w:pos="-720"/>
        </w:tabs>
        <w:suppressAutoHyphens/>
        <w:spacing w:line="360" w:lineRule="auto"/>
        <w:ind w:left="720"/>
        <w:rPr>
          <w:spacing w:val="-3"/>
        </w:rPr>
      </w:pPr>
      <w:r w:rsidRPr="00F113AF">
        <w:rPr>
          <w:spacing w:val="-3"/>
        </w:rPr>
        <w:t>1) Start with the ordinary free energy of the pure components as liquid and solid phases,</w:t>
      </w:r>
      <w:r>
        <w:rPr>
          <w:spacing w:val="-3"/>
        </w:rPr>
        <w:t xml:space="preserve"> </w:t>
      </w:r>
      <w:r w:rsidRPr="009B1AB0">
        <w:rPr>
          <w:spacing w:val="-3"/>
          <w:position w:val="-12"/>
        </w:rPr>
        <w:object w:dxaOrig="3100" w:dyaOrig="380" w14:anchorId="0CF08560">
          <v:shape id="_x0000_i1235" type="#_x0000_t75" style="width:154.3pt;height:18.7pt" o:ole="" fillcolor="window">
            <v:imagedata r:id="rId406" o:title=""/>
          </v:shape>
          <o:OLEObject Type="Embed" ProgID="Equation.DSMT4" ShapeID="_x0000_i1235" DrawAspect="Content" ObjectID="_1840626801" r:id="rId407"/>
        </w:object>
      </w:r>
      <w:r w:rsidRPr="00F113AF">
        <w:rPr>
          <w:spacing w:val="-3"/>
        </w:rPr>
        <w:t>. They are functions of temperature only.</w:t>
      </w:r>
    </w:p>
    <w:p w14:paraId="5ACD4137" w14:textId="77777777" w:rsidR="00015B17" w:rsidRPr="00F113AF" w:rsidRDefault="00015B17" w:rsidP="00015B17">
      <w:pPr>
        <w:tabs>
          <w:tab w:val="left" w:pos="-720"/>
        </w:tabs>
        <w:suppressAutoHyphens/>
        <w:spacing w:line="360" w:lineRule="auto"/>
        <w:ind w:left="720"/>
        <w:rPr>
          <w:spacing w:val="-3"/>
        </w:rPr>
      </w:pPr>
    </w:p>
    <w:p w14:paraId="0F4BC29C" w14:textId="5AE3E9B2" w:rsidR="00015B17" w:rsidRDefault="00015B17" w:rsidP="00015B17">
      <w:pPr>
        <w:tabs>
          <w:tab w:val="left" w:pos="-720"/>
        </w:tabs>
        <w:suppressAutoHyphens/>
        <w:spacing w:line="360" w:lineRule="auto"/>
        <w:ind w:left="720"/>
        <w:rPr>
          <w:spacing w:val="-3"/>
        </w:rPr>
      </w:pPr>
      <w:r w:rsidRPr="00F113AF">
        <w:rPr>
          <w:spacing w:val="-3"/>
        </w:rPr>
        <w:t>2) Form a function,</w:t>
      </w:r>
      <w:r w:rsidRPr="00A97F16">
        <w:rPr>
          <w:spacing w:val="-3"/>
          <w:position w:val="-12"/>
        </w:rPr>
        <w:object w:dxaOrig="900" w:dyaOrig="360" w14:anchorId="02396C73">
          <v:shape id="_x0000_i1236" type="#_x0000_t75" style="width:44.9pt;height:17.75pt" o:ole="" fillcolor="window">
            <v:imagedata r:id="rId408" o:title=""/>
          </v:shape>
          <o:OLEObject Type="Embed" ProgID="Equation.DSMT4" ShapeID="_x0000_i1236" DrawAspect="Content" ObjectID="_1840626802" r:id="rId409"/>
        </w:object>
      </w:r>
      <w:r w:rsidRPr="00F113AF">
        <w:rPr>
          <w:spacing w:val="-3"/>
        </w:rPr>
        <w:t xml:space="preserve">that represents both liquid and solid for pure A as </w:t>
      </w:r>
    </w:p>
    <w:p w14:paraId="6875962A" w14:textId="77777777" w:rsidR="00015B17" w:rsidRPr="00F113AF" w:rsidRDefault="00015B17" w:rsidP="00015B17">
      <w:pPr>
        <w:tabs>
          <w:tab w:val="left" w:pos="-720"/>
        </w:tabs>
        <w:suppressAutoHyphens/>
        <w:spacing w:line="360" w:lineRule="auto"/>
        <w:ind w:left="720"/>
        <w:rPr>
          <w:spacing w:val="-3"/>
        </w:rPr>
      </w:pPr>
    </w:p>
    <w:p w14:paraId="020EABA5" w14:textId="77777777" w:rsidR="00015B17" w:rsidRDefault="00015B17" w:rsidP="006E6FC2">
      <w:pPr>
        <w:tabs>
          <w:tab w:val="left" w:pos="-720"/>
        </w:tabs>
        <w:suppressAutoHyphens/>
        <w:spacing w:line="360" w:lineRule="auto"/>
        <w:ind w:left="720"/>
        <w:jc w:val="center"/>
        <w:rPr>
          <w:spacing w:val="-3"/>
        </w:rPr>
      </w:pPr>
      <w:r w:rsidRPr="009B1AB0">
        <w:rPr>
          <w:spacing w:val="-3"/>
          <w:position w:val="-36"/>
        </w:rPr>
        <w:object w:dxaOrig="5200" w:dyaOrig="840" w14:anchorId="70023092">
          <v:shape id="_x0000_i1237" type="#_x0000_t75" style="width:256.2pt;height:42.1pt" o:ole="" fillcolor="window">
            <v:imagedata r:id="rId410" o:title=""/>
          </v:shape>
          <o:OLEObject Type="Embed" ProgID="Equation.DSMT4" ShapeID="_x0000_i1237" DrawAspect="Content" ObjectID="_1840626803" r:id="rId411"/>
        </w:object>
      </w:r>
      <w:r w:rsidRPr="00F113AF">
        <w:rPr>
          <w:spacing w:val="-3"/>
        </w:rPr>
        <w:tab/>
      </w:r>
      <w:r>
        <w:rPr>
          <w:spacing w:val="-3"/>
        </w:rPr>
        <w:t>(3.17)</w:t>
      </w:r>
    </w:p>
    <w:p w14:paraId="07DB7904" w14:textId="77777777" w:rsidR="00015B17" w:rsidRPr="00F113AF" w:rsidRDefault="00015B17" w:rsidP="00015B17">
      <w:pPr>
        <w:tabs>
          <w:tab w:val="left" w:pos="-720"/>
        </w:tabs>
        <w:suppressAutoHyphens/>
        <w:spacing w:line="360" w:lineRule="auto"/>
        <w:ind w:left="720"/>
        <w:rPr>
          <w:spacing w:val="-3"/>
        </w:rPr>
      </w:pPr>
    </w:p>
    <w:p w14:paraId="09BE380B" w14:textId="77777777" w:rsidR="00015B17" w:rsidRDefault="00015B17" w:rsidP="00015B17">
      <w:pPr>
        <w:tabs>
          <w:tab w:val="left" w:pos="-720"/>
        </w:tabs>
        <w:suppressAutoHyphens/>
        <w:spacing w:line="360" w:lineRule="auto"/>
        <w:ind w:left="720"/>
        <w:rPr>
          <w:spacing w:val="-3"/>
        </w:rPr>
      </w:pPr>
      <w:r w:rsidRPr="00F113AF">
        <w:rPr>
          <w:spacing w:val="-3"/>
        </w:rPr>
        <w:t xml:space="preserve">This function combines the free energies of the liquid and solid with the interpolating function </w:t>
      </w:r>
      <w:r w:rsidRPr="00F113AF">
        <w:rPr>
          <w:i/>
          <w:spacing w:val="-3"/>
        </w:rPr>
        <w:t>p(</w:t>
      </w:r>
      <w:r w:rsidRPr="00F113AF">
        <w:rPr>
          <w:i/>
          <w:spacing w:val="-3"/>
        </w:rPr>
        <w:sym w:font="Symbol" w:char="F066"/>
      </w:r>
      <w:r w:rsidRPr="00F113AF">
        <w:rPr>
          <w:i/>
          <w:spacing w:val="-3"/>
        </w:rPr>
        <w:t>)</w:t>
      </w:r>
      <w:r w:rsidRPr="00F113AF">
        <w:rPr>
          <w:spacing w:val="-3"/>
        </w:rPr>
        <w:t xml:space="preserve"> and adds an energy hump, </w:t>
      </w:r>
      <w:r w:rsidRPr="00F113AF">
        <w:rPr>
          <w:i/>
          <w:spacing w:val="-3"/>
        </w:rPr>
        <w:t>W</w:t>
      </w:r>
      <w:r w:rsidRPr="00727E8A">
        <w:rPr>
          <w:i/>
          <w:spacing w:val="-3"/>
          <w:sz w:val="26"/>
          <w:vertAlign w:val="subscript"/>
        </w:rPr>
        <w:t>A</w:t>
      </w:r>
      <w:r w:rsidRPr="00F113AF">
        <w:rPr>
          <w:spacing w:val="-3"/>
        </w:rPr>
        <w:t xml:space="preserve"> between them. A similar expression can be obtained for component B.</w:t>
      </w:r>
    </w:p>
    <w:p w14:paraId="6178C132" w14:textId="77777777" w:rsidR="00015B17" w:rsidRPr="00F113AF" w:rsidRDefault="00015B17" w:rsidP="00015B17">
      <w:pPr>
        <w:tabs>
          <w:tab w:val="left" w:pos="-720"/>
        </w:tabs>
        <w:suppressAutoHyphens/>
        <w:spacing w:line="360" w:lineRule="auto"/>
        <w:ind w:left="720"/>
        <w:rPr>
          <w:spacing w:val="-3"/>
        </w:rPr>
      </w:pPr>
    </w:p>
    <w:p w14:paraId="7098897C" w14:textId="77777777" w:rsidR="00015B17" w:rsidRDefault="00015B17" w:rsidP="00015B17">
      <w:pPr>
        <w:tabs>
          <w:tab w:val="left" w:pos="-720"/>
        </w:tabs>
        <w:suppressAutoHyphens/>
        <w:spacing w:line="360" w:lineRule="auto"/>
        <w:ind w:left="720"/>
        <w:rPr>
          <w:spacing w:val="-3"/>
        </w:rPr>
      </w:pPr>
      <w:r w:rsidRPr="00F113AF">
        <w:rPr>
          <w:spacing w:val="-3"/>
        </w:rPr>
        <w:t xml:space="preserve">3) Form the function, </w:t>
      </w:r>
      <w:r w:rsidRPr="009B1AB0">
        <w:rPr>
          <w:spacing w:val="-3"/>
          <w:position w:val="-10"/>
        </w:rPr>
        <w:object w:dxaOrig="960" w:dyaOrig="320" w14:anchorId="1F0E451C">
          <v:shape id="_x0000_i1238" type="#_x0000_t75" style="width:47.7pt;height:15.9pt" o:ole="" fillcolor="window">
            <v:imagedata r:id="rId412" o:title=""/>
          </v:shape>
          <o:OLEObject Type="Embed" ProgID="Equation.DSMT4" ShapeID="_x0000_i1238" DrawAspect="Content" ObjectID="_1840626804" r:id="rId413"/>
        </w:object>
      </w:r>
      <w:r w:rsidRPr="00F113AF">
        <w:rPr>
          <w:spacing w:val="-3"/>
        </w:rPr>
        <w:t>that represents (for example) a regular solution of A and B,</w:t>
      </w:r>
    </w:p>
    <w:p w14:paraId="26DF49B1" w14:textId="77777777" w:rsidR="00015B17" w:rsidRPr="00F113AF" w:rsidRDefault="00015B17" w:rsidP="00015B17">
      <w:pPr>
        <w:tabs>
          <w:tab w:val="left" w:pos="-720"/>
        </w:tabs>
        <w:suppressAutoHyphens/>
        <w:spacing w:line="360" w:lineRule="auto"/>
        <w:ind w:left="720"/>
        <w:rPr>
          <w:spacing w:val="-3"/>
        </w:rPr>
      </w:pPr>
    </w:p>
    <w:p w14:paraId="5F1AD7A7" w14:textId="77777777" w:rsidR="00015B17" w:rsidRDefault="00015B17" w:rsidP="006E6FC2">
      <w:pPr>
        <w:tabs>
          <w:tab w:val="left" w:pos="-720"/>
        </w:tabs>
        <w:suppressAutoHyphens/>
        <w:spacing w:line="360" w:lineRule="auto"/>
        <w:ind w:left="720"/>
        <w:jc w:val="center"/>
        <w:rPr>
          <w:spacing w:val="-3"/>
        </w:rPr>
      </w:pPr>
      <w:r w:rsidRPr="009B1AB0">
        <w:rPr>
          <w:spacing w:val="-3"/>
          <w:position w:val="-54"/>
        </w:rPr>
        <w:object w:dxaOrig="4860" w:dyaOrig="1160" w14:anchorId="017DF527">
          <v:shape id="_x0000_i1239" type="#_x0000_t75" style="width:243.1pt;height:57.95pt" o:ole="" fillcolor="window">
            <v:imagedata r:id="rId414" o:title=""/>
          </v:shape>
          <o:OLEObject Type="Embed" ProgID="Equation.DSMT4" ShapeID="_x0000_i1239" DrawAspect="Content" ObjectID="_1840626805" r:id="rId415"/>
        </w:object>
      </w:r>
      <w:r>
        <w:rPr>
          <w:spacing w:val="-3"/>
        </w:rPr>
        <w:t>(3.18)</w:t>
      </w:r>
    </w:p>
    <w:p w14:paraId="23CFFF08" w14:textId="77777777" w:rsidR="00015B17" w:rsidRPr="00F113AF" w:rsidRDefault="00015B17" w:rsidP="00015B17">
      <w:pPr>
        <w:tabs>
          <w:tab w:val="left" w:pos="-720"/>
        </w:tabs>
        <w:suppressAutoHyphens/>
        <w:spacing w:line="360" w:lineRule="auto"/>
        <w:ind w:left="720"/>
        <w:rPr>
          <w:spacing w:val="-3"/>
        </w:rPr>
      </w:pPr>
    </w:p>
    <w:p w14:paraId="7D7795D1" w14:textId="507BA153" w:rsidR="00015B17" w:rsidRPr="00F113AF" w:rsidRDefault="00727C3E" w:rsidP="00015B17">
      <w:pPr>
        <w:tabs>
          <w:tab w:val="left" w:pos="-720"/>
        </w:tabs>
        <w:suppressAutoHyphens/>
        <w:spacing w:line="360" w:lineRule="auto"/>
        <w:ind w:left="720"/>
        <w:rPr>
          <w:spacing w:val="-3"/>
        </w:rPr>
      </w:pPr>
      <w:r>
        <w:rPr>
          <w:spacing w:val="-3"/>
        </w:rPr>
        <w:t>w</w:t>
      </w:r>
      <w:r w:rsidRPr="00F113AF">
        <w:rPr>
          <w:spacing w:val="-3"/>
        </w:rPr>
        <w:t xml:space="preserve">here </w:t>
      </w:r>
      <w:r w:rsidR="00015B17" w:rsidRPr="00F113AF">
        <w:rPr>
          <w:i/>
          <w:spacing w:val="-3"/>
        </w:rPr>
        <w:sym w:font="Symbol" w:char="F057"/>
      </w:r>
      <w:r w:rsidR="00015B17" w:rsidRPr="00727E8A">
        <w:rPr>
          <w:i/>
          <w:spacing w:val="-3"/>
          <w:sz w:val="26"/>
          <w:vertAlign w:val="subscript"/>
        </w:rPr>
        <w:t>L</w:t>
      </w:r>
      <w:r w:rsidR="00015B17" w:rsidRPr="00F113AF">
        <w:rPr>
          <w:spacing w:val="-3"/>
        </w:rPr>
        <w:t xml:space="preserve"> and </w:t>
      </w:r>
      <w:r w:rsidR="00015B17" w:rsidRPr="00F113AF">
        <w:rPr>
          <w:i/>
          <w:spacing w:val="-3"/>
        </w:rPr>
        <w:sym w:font="Symbol" w:char="F057"/>
      </w:r>
      <w:r w:rsidR="00015B17" w:rsidRPr="00727E8A">
        <w:rPr>
          <w:i/>
          <w:spacing w:val="-3"/>
          <w:sz w:val="26"/>
          <w:vertAlign w:val="subscript"/>
        </w:rPr>
        <w:t>S</w:t>
      </w:r>
      <w:r w:rsidR="00015B17" w:rsidRPr="00F113AF">
        <w:rPr>
          <w:spacing w:val="-3"/>
        </w:rPr>
        <w:t xml:space="preserve"> are the regular solution parameters of the liquid and solid that again are combined with the interpolating function </w:t>
      </w:r>
      <w:r w:rsidR="00015B17" w:rsidRPr="00F113AF">
        <w:rPr>
          <w:i/>
          <w:spacing w:val="-3"/>
        </w:rPr>
        <w:t>p(</w:t>
      </w:r>
      <w:r w:rsidR="00015B17" w:rsidRPr="00F113AF">
        <w:rPr>
          <w:i/>
          <w:spacing w:val="-3"/>
        </w:rPr>
        <w:sym w:font="Symbol" w:char="F066"/>
      </w:r>
      <w:r w:rsidR="00015B17" w:rsidRPr="00F113AF">
        <w:rPr>
          <w:i/>
          <w:spacing w:val="-3"/>
        </w:rPr>
        <w:t xml:space="preserve">). </w:t>
      </w:r>
      <w:r w:rsidR="00015B17" w:rsidRPr="00F113AF">
        <w:rPr>
          <w:spacing w:val="-3"/>
        </w:rPr>
        <w:t>The gas constant</w:t>
      </w:r>
      <w:r w:rsidR="00015B17">
        <w:rPr>
          <w:spacing w:val="-3"/>
        </w:rPr>
        <w:t xml:space="preserve"> </w:t>
      </w:r>
      <w:r w:rsidR="00015B17" w:rsidRPr="00F113AF">
        <w:rPr>
          <w:i/>
          <w:spacing w:val="-3"/>
        </w:rPr>
        <w:t>R’</w:t>
      </w:r>
      <w:r w:rsidR="00015B17" w:rsidRPr="00F113AF">
        <w:rPr>
          <w:spacing w:val="-3"/>
        </w:rPr>
        <w:t xml:space="preserve"> and the regular solution parameters are described on a unit volume basis.</w:t>
      </w:r>
    </w:p>
    <w:p w14:paraId="6FBB70CD" w14:textId="77777777" w:rsidR="00015B17" w:rsidRPr="00F113AF" w:rsidRDefault="00015B17" w:rsidP="00015B17">
      <w:pPr>
        <w:tabs>
          <w:tab w:val="left" w:pos="-720"/>
        </w:tabs>
        <w:suppressAutoHyphens/>
        <w:spacing w:line="360" w:lineRule="auto"/>
        <w:jc w:val="both"/>
        <w:rPr>
          <w:spacing w:val="-3"/>
        </w:rPr>
      </w:pPr>
    </w:p>
    <w:p w14:paraId="04E36EAC" w14:textId="77777777" w:rsidR="00015B17" w:rsidRDefault="00015B17" w:rsidP="00015B17">
      <w:pPr>
        <w:tabs>
          <w:tab w:val="left" w:pos="-720"/>
        </w:tabs>
        <w:suppressAutoHyphens/>
        <w:spacing w:line="360" w:lineRule="auto"/>
        <w:rPr>
          <w:spacing w:val="-3"/>
        </w:rPr>
      </w:pPr>
      <w:r>
        <w:rPr>
          <w:spacing w:val="-3"/>
        </w:rPr>
        <w:lastRenderedPageBreak/>
        <w:tab/>
      </w:r>
      <w:r w:rsidRPr="00F113AF">
        <w:rPr>
          <w:spacing w:val="-3"/>
        </w:rPr>
        <w:t xml:space="preserve">A second method to form </w:t>
      </w:r>
      <w:r w:rsidRPr="009B1AB0">
        <w:rPr>
          <w:spacing w:val="-3"/>
          <w:position w:val="-10"/>
        </w:rPr>
        <w:object w:dxaOrig="960" w:dyaOrig="320" w14:anchorId="58329290">
          <v:shape id="_x0000_i1240" type="#_x0000_t75" style="width:47.7pt;height:16.85pt" o:ole="" fillcolor="window">
            <v:imagedata r:id="rId416" o:title=""/>
          </v:shape>
          <o:OLEObject Type="Embed" ProgID="Equation.DSMT4" ShapeID="_x0000_i1240" DrawAspect="Content" ObjectID="_1840626806" r:id="rId417"/>
        </w:object>
      </w:r>
      <w:r w:rsidRPr="00F113AF">
        <w:rPr>
          <w:spacing w:val="-3"/>
        </w:rPr>
        <w:t xml:space="preserve"> is convenient if the free energies of the solid phase and liquid phase, </w:t>
      </w:r>
      <w:r w:rsidRPr="009B1AB0">
        <w:rPr>
          <w:spacing w:val="-3"/>
          <w:position w:val="-10"/>
        </w:rPr>
        <w:object w:dxaOrig="2100" w:dyaOrig="360" w14:anchorId="272D7D66">
          <v:shape id="_x0000_i1241" type="#_x0000_t75" style="width:104.75pt;height:17.75pt" o:ole="" fillcolor="window">
            <v:imagedata r:id="rId418" o:title=""/>
          </v:shape>
          <o:OLEObject Type="Embed" ProgID="Equation.DSMT4" ShapeID="_x0000_i1241" DrawAspect="Content" ObjectID="_1840626807" r:id="rId419"/>
        </w:object>
      </w:r>
      <w:r w:rsidRPr="00F113AF">
        <w:rPr>
          <w:spacing w:val="-3"/>
        </w:rPr>
        <w:t xml:space="preserve"> are already available; e.g., from a C</w:t>
      </w:r>
      <w:r>
        <w:rPr>
          <w:spacing w:val="-3"/>
        </w:rPr>
        <w:t>ALPHAD</w:t>
      </w:r>
      <w:r w:rsidRPr="00F113AF">
        <w:rPr>
          <w:spacing w:val="-3"/>
        </w:rPr>
        <w:t xml:space="preserve"> thermodynamic modeling of the phase diagram. The free energy density is</w:t>
      </w:r>
    </w:p>
    <w:p w14:paraId="24197C40" w14:textId="77777777" w:rsidR="00015B17" w:rsidRPr="00F113AF" w:rsidRDefault="00015B17" w:rsidP="00015B17">
      <w:pPr>
        <w:tabs>
          <w:tab w:val="left" w:pos="-720"/>
        </w:tabs>
        <w:suppressAutoHyphens/>
        <w:spacing w:line="360" w:lineRule="auto"/>
        <w:rPr>
          <w:spacing w:val="-3"/>
        </w:rPr>
      </w:pPr>
    </w:p>
    <w:p w14:paraId="00C06CD5" w14:textId="77777777" w:rsidR="00015B17" w:rsidRDefault="00015B17" w:rsidP="00015B17">
      <w:pPr>
        <w:tabs>
          <w:tab w:val="left" w:pos="-720"/>
        </w:tabs>
        <w:suppressAutoHyphens/>
        <w:spacing w:line="360" w:lineRule="auto"/>
        <w:jc w:val="center"/>
        <w:rPr>
          <w:spacing w:val="-3"/>
        </w:rPr>
      </w:pPr>
      <w:r w:rsidRPr="009B1AB0">
        <w:rPr>
          <w:spacing w:val="-3"/>
          <w:position w:val="-32"/>
        </w:rPr>
        <w:object w:dxaOrig="5060" w:dyaOrig="760" w14:anchorId="17308441">
          <v:shape id="_x0000_i1242" type="#_x0000_t75" style="width:247.8pt;height:38.35pt" o:ole="" fillcolor="window">
            <v:imagedata r:id="rId420" o:title=""/>
          </v:shape>
          <o:OLEObject Type="Embed" ProgID="Equation.DSMT4" ShapeID="_x0000_i1242" DrawAspect="Content" ObjectID="_1840626808" r:id="rId421"/>
        </w:object>
      </w:r>
      <w:r w:rsidRPr="00F113AF">
        <w:rPr>
          <w:spacing w:val="-3"/>
        </w:rPr>
        <w:tab/>
      </w:r>
      <w:r w:rsidRPr="00F113AF">
        <w:rPr>
          <w:spacing w:val="-3"/>
        </w:rPr>
        <w:tab/>
      </w:r>
      <w:r>
        <w:rPr>
          <w:spacing w:val="-3"/>
        </w:rPr>
        <w:t>(3.19)</w:t>
      </w:r>
    </w:p>
    <w:p w14:paraId="711BE917" w14:textId="77777777" w:rsidR="00015B17" w:rsidRPr="00F113AF" w:rsidRDefault="00015B17" w:rsidP="00015B17">
      <w:pPr>
        <w:tabs>
          <w:tab w:val="left" w:pos="-720"/>
        </w:tabs>
        <w:suppressAutoHyphens/>
        <w:spacing w:line="360" w:lineRule="auto"/>
        <w:jc w:val="center"/>
        <w:rPr>
          <w:spacing w:val="-3"/>
        </w:rPr>
      </w:pPr>
    </w:p>
    <w:p w14:paraId="56C9FCA9" w14:textId="77777777" w:rsidR="00015B17" w:rsidRPr="00F113AF" w:rsidRDefault="00015B17" w:rsidP="00015B17">
      <w:pPr>
        <w:tabs>
          <w:tab w:val="left" w:pos="-720"/>
        </w:tabs>
        <w:suppressAutoHyphens/>
        <w:spacing w:line="360" w:lineRule="auto"/>
        <w:rPr>
          <w:spacing w:val="-3"/>
        </w:rPr>
      </w:pPr>
      <w:r w:rsidRPr="00F113AF">
        <w:rPr>
          <w:spacing w:val="-3"/>
        </w:rPr>
        <w:t xml:space="preserve">Such a construction will lead to the same form as Eqn. </w:t>
      </w:r>
      <w:r>
        <w:rPr>
          <w:spacing w:val="-3"/>
        </w:rPr>
        <w:t xml:space="preserve">(3.18) </w:t>
      </w:r>
      <w:r w:rsidRPr="00F113AF">
        <w:rPr>
          <w:spacing w:val="-3"/>
        </w:rPr>
        <w:t>if regular solution models are used for the liquid and solid phases.</w:t>
      </w:r>
    </w:p>
    <w:p w14:paraId="1DEEB497" w14:textId="77777777" w:rsidR="00015B17" w:rsidRPr="00F113AF" w:rsidRDefault="00015B17" w:rsidP="00015B17">
      <w:pPr>
        <w:tabs>
          <w:tab w:val="left" w:pos="-720"/>
        </w:tabs>
        <w:suppressAutoHyphens/>
        <w:spacing w:line="360" w:lineRule="auto"/>
        <w:rPr>
          <w:spacing w:val="-3"/>
        </w:rPr>
      </w:pPr>
    </w:p>
    <w:p w14:paraId="6992CC7C" w14:textId="77777777" w:rsidR="00015B17" w:rsidRPr="00F113AF" w:rsidRDefault="006E6FC2" w:rsidP="00015B17">
      <w:pPr>
        <w:tabs>
          <w:tab w:val="left" w:pos="-720"/>
        </w:tabs>
        <w:suppressAutoHyphens/>
        <w:spacing w:line="360" w:lineRule="auto"/>
        <w:rPr>
          <w:spacing w:val="-3"/>
        </w:rPr>
      </w:pPr>
      <w:r>
        <w:rPr>
          <w:spacing w:val="-3"/>
        </w:rPr>
        <w:tab/>
      </w:r>
      <w:r w:rsidR="00015B17" w:rsidRPr="00F113AF">
        <w:rPr>
          <w:spacing w:val="-3"/>
        </w:rPr>
        <w:t>A simplification is often made for the pure elements; viz.,</w:t>
      </w:r>
    </w:p>
    <w:p w14:paraId="3FBBA3C3" w14:textId="77777777" w:rsidR="00015B17" w:rsidRPr="00F113AF" w:rsidRDefault="00015B17" w:rsidP="00015B17">
      <w:pPr>
        <w:tabs>
          <w:tab w:val="left" w:pos="-720"/>
        </w:tabs>
        <w:suppressAutoHyphens/>
        <w:spacing w:line="360" w:lineRule="auto"/>
        <w:jc w:val="center"/>
        <w:rPr>
          <w:spacing w:val="-3"/>
        </w:rPr>
      </w:pPr>
      <w:r w:rsidRPr="009B1AB0">
        <w:rPr>
          <w:spacing w:val="-3"/>
          <w:position w:val="-52"/>
        </w:rPr>
        <w:object w:dxaOrig="3000" w:dyaOrig="1160" w14:anchorId="3B4E6F0E">
          <v:shape id="_x0000_i1243" type="#_x0000_t75" style="width:149.6pt;height:57.95pt" o:ole="" fillcolor="window">
            <v:imagedata r:id="rId422" o:title=""/>
          </v:shape>
          <o:OLEObject Type="Embed" ProgID="Equation.DSMT4" ShapeID="_x0000_i1243" DrawAspect="Content" ObjectID="_1840626809" r:id="rId423"/>
        </w:object>
      </w:r>
      <w:r w:rsidRPr="00F113AF">
        <w:rPr>
          <w:spacing w:val="-3"/>
        </w:rPr>
        <w:tab/>
      </w:r>
      <w:r w:rsidRPr="00F113AF">
        <w:rPr>
          <w:spacing w:val="-3"/>
        </w:rPr>
        <w:tab/>
      </w:r>
      <w:r>
        <w:rPr>
          <w:spacing w:val="-3"/>
        </w:rPr>
        <w:t>(3.20)</w:t>
      </w:r>
    </w:p>
    <w:p w14:paraId="1C864D34" w14:textId="77777777" w:rsidR="00015B17" w:rsidRPr="00F113AF" w:rsidRDefault="00015B17" w:rsidP="00015B17">
      <w:pPr>
        <w:tabs>
          <w:tab w:val="left" w:pos="-720"/>
        </w:tabs>
        <w:suppressAutoHyphens/>
        <w:spacing w:line="360" w:lineRule="auto"/>
        <w:rPr>
          <w:spacing w:val="-3"/>
        </w:rPr>
      </w:pPr>
      <w:r w:rsidRPr="00F113AF">
        <w:rPr>
          <w:spacing w:val="-3"/>
        </w:rPr>
        <w:t xml:space="preserve">This takes the solid as the standard state and expands the difference between liquid and solid free energies around the melting point. The pure component melting points are </w:t>
      </w:r>
      <w:r w:rsidRPr="000210E3">
        <w:rPr>
          <w:spacing w:val="-3"/>
          <w:position w:val="-12"/>
        </w:rPr>
        <w:object w:dxaOrig="320" w:dyaOrig="380" w14:anchorId="4B0743D4">
          <v:shape id="_x0000_i1244" type="#_x0000_t75" style="width:16.85pt;height:18.7pt" o:ole="">
            <v:imagedata r:id="rId424" o:title=""/>
          </v:shape>
          <o:OLEObject Type="Embed" ProgID="Equation.DSMT4" ShapeID="_x0000_i1244" DrawAspect="Content" ObjectID="_1840626810" r:id="rId425"/>
        </w:object>
      </w:r>
      <w:r w:rsidRPr="00F113AF">
        <w:rPr>
          <w:spacing w:val="-3"/>
        </w:rPr>
        <w:t xml:space="preserve"> and </w:t>
      </w:r>
      <w:r w:rsidRPr="000210E3">
        <w:rPr>
          <w:spacing w:val="-3"/>
          <w:position w:val="-12"/>
        </w:rPr>
        <w:object w:dxaOrig="320" w:dyaOrig="380" w14:anchorId="70C1EA63">
          <v:shape id="_x0000_i1245" type="#_x0000_t75" style="width:16.85pt;height:18.7pt" o:ole="">
            <v:imagedata r:id="rId426" o:title=""/>
          </v:shape>
          <o:OLEObject Type="Embed" ProgID="Equation.DSMT4" ShapeID="_x0000_i1245" DrawAspect="Content" ObjectID="_1840626811" r:id="rId427"/>
        </w:object>
      </w:r>
      <w:r w:rsidRPr="00F113AF">
        <w:rPr>
          <w:spacing w:val="-3"/>
        </w:rPr>
        <w:t xml:space="preserve">, and the latent heats are </w:t>
      </w:r>
      <w:r w:rsidRPr="007D7A83">
        <w:rPr>
          <w:position w:val="-12"/>
        </w:rPr>
        <w:object w:dxaOrig="300" w:dyaOrig="380" w14:anchorId="5A49D804">
          <v:shape id="_x0000_i1246" type="#_x0000_t75" style="width:14.95pt;height:18.7pt" o:ole="">
            <v:imagedata r:id="rId428" o:title=""/>
          </v:shape>
          <o:OLEObject Type="Embed" ProgID="Equation.DSMT4" ShapeID="_x0000_i1246" DrawAspect="Content" ObjectID="_1840626812" r:id="rId429"/>
        </w:object>
      </w:r>
      <w:r w:rsidRPr="00F113AF">
        <w:rPr>
          <w:spacing w:val="-3"/>
        </w:rPr>
        <w:t xml:space="preserve"> and </w:t>
      </w:r>
      <w:r w:rsidRPr="007D7A83">
        <w:rPr>
          <w:position w:val="-12"/>
        </w:rPr>
        <w:object w:dxaOrig="300" w:dyaOrig="380" w14:anchorId="5DF0FBA0">
          <v:shape id="_x0000_i1247" type="#_x0000_t75" style="width:14.95pt;height:18.7pt" o:ole="">
            <v:imagedata r:id="rId430" o:title=""/>
          </v:shape>
          <o:OLEObject Type="Embed" ProgID="Equation.DSMT4" ShapeID="_x0000_i1247" DrawAspect="Content" ObjectID="_1840626813" r:id="rId431"/>
        </w:object>
      </w:r>
      <w:r w:rsidR="00C84401">
        <w:t>.</w:t>
      </w:r>
      <w:r w:rsidRPr="00F113AF">
        <w:rPr>
          <w:spacing w:val="-3"/>
        </w:rPr>
        <w:t xml:space="preserve"> Then the pure element free energy can be given by </w:t>
      </w:r>
    </w:p>
    <w:p w14:paraId="674C83CD" w14:textId="77777777" w:rsidR="00015B17" w:rsidRPr="00F113AF" w:rsidRDefault="00015B17" w:rsidP="00015B17">
      <w:pPr>
        <w:tabs>
          <w:tab w:val="left" w:pos="-720"/>
        </w:tabs>
        <w:suppressAutoHyphens/>
        <w:spacing w:line="360" w:lineRule="auto"/>
        <w:jc w:val="center"/>
        <w:rPr>
          <w:spacing w:val="-3"/>
        </w:rPr>
      </w:pPr>
      <w:r w:rsidRPr="009B1AB0">
        <w:rPr>
          <w:spacing w:val="-3"/>
          <w:position w:val="-30"/>
        </w:rPr>
        <w:object w:dxaOrig="3720" w:dyaOrig="720" w14:anchorId="00F211BB">
          <v:shape id="_x0000_i1248" type="#_x0000_t75" style="width:186.1pt;height:35.55pt" o:ole="" fillcolor="window">
            <v:imagedata r:id="rId432" o:title=""/>
          </v:shape>
          <o:OLEObject Type="Embed" ProgID="Equation.DSMT4" ShapeID="_x0000_i1248" DrawAspect="Content" ObjectID="_1840626814" r:id="rId433"/>
        </w:object>
      </w:r>
      <w:r w:rsidRPr="00F113AF">
        <w:rPr>
          <w:spacing w:val="-3"/>
        </w:rPr>
        <w:tab/>
      </w:r>
      <w:r w:rsidRPr="00F113AF">
        <w:rPr>
          <w:spacing w:val="-3"/>
        </w:rPr>
        <w:tab/>
      </w:r>
      <w:r>
        <w:rPr>
          <w:spacing w:val="-3"/>
        </w:rPr>
        <w:t>(3.21)</w:t>
      </w:r>
    </w:p>
    <w:p w14:paraId="7D694D59" w14:textId="77777777" w:rsidR="00015B17" w:rsidRPr="00F113AF" w:rsidRDefault="00015B17" w:rsidP="00015B17">
      <w:pPr>
        <w:tabs>
          <w:tab w:val="left" w:pos="-720"/>
        </w:tabs>
        <w:suppressAutoHyphens/>
        <w:spacing w:line="360" w:lineRule="auto"/>
        <w:rPr>
          <w:spacing w:val="-3"/>
        </w:rPr>
      </w:pPr>
      <w:r w:rsidRPr="00F113AF">
        <w:rPr>
          <w:spacing w:val="-3"/>
        </w:rPr>
        <w:t xml:space="preserve">The effect of the second term is to raise or lower the minimum in the free energy at </w:t>
      </w:r>
      <w:r w:rsidRPr="00F113AF">
        <w:rPr>
          <w:i/>
          <w:spacing w:val="-3"/>
        </w:rPr>
        <w:sym w:font="Symbol" w:char="F066"/>
      </w:r>
      <w:r w:rsidRPr="00F113AF">
        <w:rPr>
          <w:i/>
          <w:spacing w:val="-3"/>
        </w:rPr>
        <w:t xml:space="preserve"> </w:t>
      </w:r>
      <w:r w:rsidRPr="00F113AF">
        <w:rPr>
          <w:spacing w:val="-3"/>
        </w:rPr>
        <w:t xml:space="preserve">= 1 (liquid) depending on the whether the temperature is above or below the melting point with the free energy at </w:t>
      </w:r>
      <w:r w:rsidRPr="00F113AF">
        <w:rPr>
          <w:i/>
          <w:spacing w:val="-3"/>
        </w:rPr>
        <w:sym w:font="Symbol" w:char="F066"/>
      </w:r>
      <w:r w:rsidRPr="00F113AF">
        <w:rPr>
          <w:i/>
          <w:spacing w:val="-3"/>
        </w:rPr>
        <w:t xml:space="preserve"> </w:t>
      </w:r>
      <w:r w:rsidRPr="00F113AF">
        <w:rPr>
          <w:spacing w:val="-3"/>
        </w:rPr>
        <w:t>= 0 (solid) being fixed at zero.</w:t>
      </w:r>
    </w:p>
    <w:p w14:paraId="4BC95587" w14:textId="77777777" w:rsidR="00015B17" w:rsidRPr="00F113AF" w:rsidRDefault="00015B17" w:rsidP="00015B17">
      <w:pPr>
        <w:tabs>
          <w:tab w:val="left" w:pos="-720"/>
        </w:tabs>
        <w:suppressAutoHyphens/>
        <w:spacing w:line="360" w:lineRule="auto"/>
        <w:jc w:val="both"/>
        <w:rPr>
          <w:spacing w:val="-3"/>
        </w:rPr>
      </w:pPr>
    </w:p>
    <w:p w14:paraId="05E3022D" w14:textId="77777777" w:rsidR="00015B17" w:rsidRPr="00F113AF" w:rsidRDefault="006E6FC2" w:rsidP="00015B17">
      <w:pPr>
        <w:tabs>
          <w:tab w:val="left" w:pos="-720"/>
        </w:tabs>
        <w:suppressAutoHyphens/>
        <w:spacing w:line="360" w:lineRule="auto"/>
        <w:rPr>
          <w:spacing w:val="-3"/>
        </w:rPr>
      </w:pPr>
      <w:r>
        <w:rPr>
          <w:spacing w:val="-3"/>
        </w:rPr>
        <w:tab/>
      </w:r>
      <w:r w:rsidR="00015B17" w:rsidRPr="00F113AF">
        <w:rPr>
          <w:spacing w:val="-3"/>
        </w:rPr>
        <w:t xml:space="preserve">The choice for the form of the functions </w:t>
      </w:r>
      <w:r w:rsidR="00015B17" w:rsidRPr="00F113AF">
        <w:rPr>
          <w:i/>
          <w:spacing w:val="-3"/>
        </w:rPr>
        <w:t>g(</w:t>
      </w:r>
      <w:r w:rsidR="00015B17" w:rsidRPr="00F113AF">
        <w:rPr>
          <w:i/>
          <w:spacing w:val="-3"/>
        </w:rPr>
        <w:sym w:font="Symbol" w:char="F066"/>
      </w:r>
      <w:r w:rsidR="00015B17" w:rsidRPr="00F113AF">
        <w:rPr>
          <w:i/>
          <w:spacing w:val="-3"/>
        </w:rPr>
        <w:t>)</w:t>
      </w:r>
      <w:r w:rsidR="00015B17" w:rsidRPr="00F113AF">
        <w:rPr>
          <w:spacing w:val="-3"/>
        </w:rPr>
        <w:t xml:space="preserve"> and </w:t>
      </w:r>
      <w:r w:rsidR="00015B17" w:rsidRPr="00F113AF">
        <w:rPr>
          <w:i/>
          <w:spacing w:val="-3"/>
        </w:rPr>
        <w:t>p(</w:t>
      </w:r>
      <w:r w:rsidR="00015B17" w:rsidRPr="00F113AF">
        <w:rPr>
          <w:i/>
          <w:spacing w:val="-3"/>
        </w:rPr>
        <w:sym w:font="Symbol" w:char="F066"/>
      </w:r>
      <w:r w:rsidR="00015B17" w:rsidRPr="00F113AF">
        <w:rPr>
          <w:i/>
          <w:spacing w:val="-3"/>
        </w:rPr>
        <w:t>)</w:t>
      </w:r>
      <w:r w:rsidR="00015B17" w:rsidRPr="00F113AF">
        <w:rPr>
          <w:spacing w:val="-3"/>
        </w:rPr>
        <w:t xml:space="preserve"> is quite arbitrary and others are used in various publications. In the limit in which the interface thickness is small, the choice does not matter. </w:t>
      </w:r>
    </w:p>
    <w:p w14:paraId="70D71B90" w14:textId="77777777" w:rsidR="00015B17" w:rsidRPr="00F113AF" w:rsidRDefault="00015B17" w:rsidP="00015B17">
      <w:pPr>
        <w:tabs>
          <w:tab w:val="left" w:pos="-720"/>
        </w:tabs>
        <w:suppressAutoHyphens/>
        <w:spacing w:line="360" w:lineRule="auto"/>
        <w:jc w:val="both"/>
        <w:rPr>
          <w:spacing w:val="-3"/>
          <w:u w:val="single"/>
        </w:rPr>
      </w:pPr>
    </w:p>
    <w:p w14:paraId="07494B64" w14:textId="77777777" w:rsidR="00015B17" w:rsidRDefault="00015B17" w:rsidP="00015B17">
      <w:pPr>
        <w:tabs>
          <w:tab w:val="left" w:pos="-720"/>
        </w:tabs>
        <w:suppressAutoHyphens/>
        <w:spacing w:line="360" w:lineRule="auto"/>
        <w:jc w:val="both"/>
        <w:outlineLvl w:val="0"/>
        <w:rPr>
          <w:b/>
          <w:spacing w:val="-3"/>
        </w:rPr>
      </w:pPr>
      <w:r w:rsidRPr="00FD7E0E">
        <w:rPr>
          <w:b/>
          <w:spacing w:val="-3"/>
        </w:rPr>
        <w:t>3.4.</w:t>
      </w:r>
      <w:r>
        <w:rPr>
          <w:b/>
          <w:spacing w:val="-3"/>
        </w:rPr>
        <w:t>4</w:t>
      </w:r>
      <w:r w:rsidRPr="00FD7E0E">
        <w:rPr>
          <w:b/>
          <w:spacing w:val="-3"/>
        </w:rPr>
        <w:t xml:space="preserve"> Pure Material</w:t>
      </w:r>
    </w:p>
    <w:p w14:paraId="21DDFA58" w14:textId="77777777" w:rsidR="00015B17" w:rsidRDefault="00015B17" w:rsidP="00015B17">
      <w:pPr>
        <w:tabs>
          <w:tab w:val="left" w:pos="-720"/>
        </w:tabs>
        <w:suppressAutoHyphens/>
        <w:spacing w:line="360" w:lineRule="auto"/>
        <w:jc w:val="both"/>
        <w:rPr>
          <w:b/>
          <w:spacing w:val="-3"/>
        </w:rPr>
      </w:pPr>
    </w:p>
    <w:p w14:paraId="5BD9D297" w14:textId="77777777" w:rsidR="00015B17" w:rsidRDefault="00015B17" w:rsidP="00015B17">
      <w:pPr>
        <w:tabs>
          <w:tab w:val="left" w:pos="-720"/>
        </w:tabs>
        <w:suppressAutoHyphens/>
        <w:spacing w:line="360" w:lineRule="auto"/>
        <w:outlineLvl w:val="0"/>
        <w:rPr>
          <w:spacing w:val="-3"/>
        </w:rPr>
      </w:pPr>
      <w:r>
        <w:rPr>
          <w:spacing w:val="-3"/>
        </w:rPr>
        <w:lastRenderedPageBreak/>
        <w:tab/>
      </w:r>
      <w:r w:rsidRPr="00F113AF">
        <w:rPr>
          <w:spacing w:val="-3"/>
        </w:rPr>
        <w:t xml:space="preserve">Consider the case where </w:t>
      </w:r>
      <w:r w:rsidRPr="00F113AF">
        <w:rPr>
          <w:i/>
          <w:spacing w:val="-3"/>
        </w:rPr>
        <w:t>c=0</w:t>
      </w:r>
      <w:r w:rsidRPr="00F113AF">
        <w:rPr>
          <w:spacing w:val="-3"/>
        </w:rPr>
        <w:t xml:space="preserve">; i.e., pure component A. </w:t>
      </w:r>
      <w:r>
        <w:rPr>
          <w:spacing w:val="-3"/>
        </w:rPr>
        <w:t>Combining</w:t>
      </w:r>
      <w:r w:rsidRPr="00F113AF">
        <w:rPr>
          <w:spacing w:val="-3"/>
        </w:rPr>
        <w:t xml:space="preserve"> Eqns. </w:t>
      </w:r>
      <w:r>
        <w:rPr>
          <w:spacing w:val="-3"/>
        </w:rPr>
        <w:t>(3.15) &amp; (3.21)</w:t>
      </w:r>
      <w:r w:rsidRPr="00F113AF">
        <w:rPr>
          <w:spacing w:val="-3"/>
        </w:rPr>
        <w:t xml:space="preserve">, </w:t>
      </w:r>
    </w:p>
    <w:p w14:paraId="4E70D5C7" w14:textId="77777777" w:rsidR="00015B17" w:rsidRPr="00F113AF" w:rsidRDefault="00015B17" w:rsidP="00015B17">
      <w:pPr>
        <w:tabs>
          <w:tab w:val="left" w:pos="-720"/>
        </w:tabs>
        <w:suppressAutoHyphens/>
        <w:spacing w:line="360" w:lineRule="auto"/>
        <w:jc w:val="both"/>
        <w:rPr>
          <w:spacing w:val="-3"/>
        </w:rPr>
      </w:pPr>
    </w:p>
    <w:p w14:paraId="59C614D9" w14:textId="77777777" w:rsidR="00015B17" w:rsidRDefault="00015B17" w:rsidP="00015B17">
      <w:pPr>
        <w:tabs>
          <w:tab w:val="left" w:pos="-720"/>
        </w:tabs>
        <w:suppressAutoHyphens/>
        <w:spacing w:line="360" w:lineRule="auto"/>
        <w:jc w:val="center"/>
        <w:rPr>
          <w:spacing w:val="-3"/>
        </w:rPr>
      </w:pPr>
      <w:r w:rsidRPr="009B1AB0">
        <w:rPr>
          <w:spacing w:val="-3"/>
          <w:position w:val="-74"/>
        </w:rPr>
        <w:object w:dxaOrig="3940" w:dyaOrig="1579" w14:anchorId="619ED5EC">
          <v:shape id="_x0000_i1249" type="#_x0000_t75" style="width:197.3pt;height:77.6pt" o:ole="" fillcolor="window">
            <v:imagedata r:id="rId434" o:title=""/>
          </v:shape>
          <o:OLEObject Type="Embed" ProgID="Equation.DSMT4" ShapeID="_x0000_i1249" DrawAspect="Content" ObjectID="_1840626815" r:id="rId435"/>
        </w:object>
      </w:r>
      <w:r w:rsidR="006E6FC2">
        <w:rPr>
          <w:spacing w:val="-3"/>
        </w:rPr>
        <w:t>.</w:t>
      </w:r>
      <w:r w:rsidRPr="00F113AF">
        <w:rPr>
          <w:spacing w:val="-3"/>
        </w:rPr>
        <w:tab/>
      </w:r>
      <w:r>
        <w:rPr>
          <w:spacing w:val="-3"/>
        </w:rPr>
        <w:t>(3.22)</w:t>
      </w:r>
    </w:p>
    <w:p w14:paraId="1F1AB5B5" w14:textId="77777777" w:rsidR="00015B17" w:rsidRPr="00F113AF" w:rsidRDefault="00015B17" w:rsidP="00015B17">
      <w:pPr>
        <w:tabs>
          <w:tab w:val="left" w:pos="-720"/>
        </w:tabs>
        <w:suppressAutoHyphens/>
        <w:spacing w:line="360" w:lineRule="auto"/>
        <w:jc w:val="center"/>
        <w:rPr>
          <w:spacing w:val="-3"/>
        </w:rPr>
      </w:pPr>
    </w:p>
    <w:p w14:paraId="5EB9914E" w14:textId="77777777" w:rsidR="00015B17" w:rsidRPr="00F113AF" w:rsidRDefault="006E6FC2" w:rsidP="00015B17">
      <w:pPr>
        <w:tabs>
          <w:tab w:val="left" w:pos="-720"/>
        </w:tabs>
        <w:suppressAutoHyphens/>
        <w:spacing w:line="360" w:lineRule="auto"/>
        <w:rPr>
          <w:spacing w:val="-3"/>
        </w:rPr>
      </w:pPr>
      <w:r>
        <w:rPr>
          <w:spacing w:val="-3"/>
        </w:rPr>
        <w:tab/>
      </w:r>
      <w:r w:rsidR="00015B17" w:rsidRPr="00F113AF">
        <w:rPr>
          <w:spacing w:val="-3"/>
        </w:rPr>
        <w:t>Equilibrium solutions,</w:t>
      </w:r>
      <w:r w:rsidR="00015B17" w:rsidRPr="009B1AB0">
        <w:rPr>
          <w:spacing w:val="-3"/>
          <w:position w:val="-10"/>
        </w:rPr>
        <w:object w:dxaOrig="1160" w:dyaOrig="340" w14:anchorId="2581B845">
          <v:shape id="_x0000_i1250" type="#_x0000_t75" style="width:57.95pt;height:16.85pt" o:ole="" fillcolor="window">
            <v:imagedata r:id="rId436" o:title=""/>
          </v:shape>
          <o:OLEObject Type="Embed" ProgID="Equation.DSMT4" ShapeID="_x0000_i1250" DrawAspect="Content" ObjectID="_1840626816" r:id="rId437"/>
        </w:object>
      </w:r>
      <w:r w:rsidR="00015B17" w:rsidRPr="00F113AF">
        <w:rPr>
          <w:spacing w:val="-3"/>
        </w:rPr>
        <w:t xml:space="preserve">, are obtained if </w:t>
      </w:r>
      <w:r w:rsidR="00015B17" w:rsidRPr="00F113AF">
        <w:rPr>
          <w:i/>
          <w:spacing w:val="-3"/>
        </w:rPr>
        <w:sym w:font="Symbol" w:char="F066"/>
      </w:r>
      <w:r w:rsidR="00015B17" w:rsidRPr="00F113AF">
        <w:rPr>
          <w:spacing w:val="-3"/>
        </w:rPr>
        <w:t xml:space="preserve"> is constant with values equal to zero or one. These situations correspond to a single phase solid or a single phase liquid, respectively. The equilibrium equation, Eqn. </w:t>
      </w:r>
      <w:r w:rsidR="00015B17">
        <w:rPr>
          <w:spacing w:val="-3"/>
        </w:rPr>
        <w:t>(3.13)</w:t>
      </w:r>
      <w:r w:rsidR="00015B17" w:rsidRPr="00F113AF">
        <w:rPr>
          <w:spacing w:val="-3"/>
        </w:rPr>
        <w:t xml:space="preserve"> permits these states to exist at any temperature including those for a metastable supercooled liquid or a superheated solid.</w:t>
      </w:r>
    </w:p>
    <w:p w14:paraId="10085227" w14:textId="77777777" w:rsidR="00015B17" w:rsidRPr="00F113AF" w:rsidRDefault="00015B17" w:rsidP="00015B17">
      <w:pPr>
        <w:tabs>
          <w:tab w:val="left" w:pos="-720"/>
        </w:tabs>
        <w:suppressAutoHyphens/>
        <w:spacing w:line="360" w:lineRule="auto"/>
        <w:rPr>
          <w:spacing w:val="-3"/>
        </w:rPr>
      </w:pPr>
    </w:p>
    <w:p w14:paraId="2A445C77" w14:textId="77777777" w:rsidR="00015B17" w:rsidRPr="00F113AF" w:rsidRDefault="00015B17" w:rsidP="00015B17">
      <w:pPr>
        <w:tabs>
          <w:tab w:val="left" w:pos="-720"/>
        </w:tabs>
        <w:suppressAutoHyphens/>
        <w:spacing w:line="360" w:lineRule="auto"/>
        <w:rPr>
          <w:spacing w:val="-3"/>
        </w:rPr>
      </w:pPr>
      <w:r>
        <w:rPr>
          <w:spacing w:val="-3"/>
        </w:rPr>
        <w:tab/>
      </w:r>
      <w:r w:rsidRPr="00F113AF">
        <w:rPr>
          <w:spacing w:val="-3"/>
        </w:rPr>
        <w:t xml:space="preserve">An equilibrium </w:t>
      </w:r>
      <w:r>
        <w:rPr>
          <w:spacing w:val="-3"/>
        </w:rPr>
        <w:t>1-D</w:t>
      </w:r>
      <w:r w:rsidRPr="00F113AF">
        <w:rPr>
          <w:spacing w:val="-3"/>
        </w:rPr>
        <w:t xml:space="preserve"> solution</w:t>
      </w:r>
      <w:r>
        <w:rPr>
          <w:spacing w:val="-3"/>
        </w:rPr>
        <w:t xml:space="preserve"> </w:t>
      </w:r>
      <w:r w:rsidRPr="009B1AB0">
        <w:rPr>
          <w:spacing w:val="-3"/>
          <w:position w:val="-10"/>
        </w:rPr>
        <w:object w:dxaOrig="1160" w:dyaOrig="340" w14:anchorId="7C8705D4">
          <v:shape id="_x0000_i1251" type="#_x0000_t75" style="width:57.95pt;height:16.85pt" o:ole="" fillcolor="window">
            <v:imagedata r:id="rId436" o:title=""/>
          </v:shape>
          <o:OLEObject Type="Embed" ProgID="Equation.DSMT4" ShapeID="_x0000_i1251" DrawAspect="Content" ObjectID="_1840626817" r:id="rId438"/>
        </w:object>
      </w:r>
      <w:r w:rsidRPr="00F113AF">
        <w:rPr>
          <w:spacing w:val="-3"/>
        </w:rPr>
        <w:t xml:space="preserve"> </w:t>
      </w:r>
      <w:r>
        <w:rPr>
          <w:spacing w:val="-3"/>
        </w:rPr>
        <w:t xml:space="preserve">to Eqn. (3.22) </w:t>
      </w:r>
      <w:r w:rsidRPr="00F113AF">
        <w:rPr>
          <w:spacing w:val="-3"/>
        </w:rPr>
        <w:t xml:space="preserve">also exists </w:t>
      </w:r>
      <w:r>
        <w:rPr>
          <w:spacing w:val="-3"/>
        </w:rPr>
        <w:t xml:space="preserve">only at </w:t>
      </w:r>
      <w:r w:rsidRPr="00B8265D">
        <w:rPr>
          <w:i/>
          <w:spacing w:val="-3"/>
          <w:position w:val="-12"/>
        </w:rPr>
        <w:object w:dxaOrig="820" w:dyaOrig="380" w14:anchorId="62F7A341">
          <v:shape id="_x0000_i1252" type="#_x0000_t75" style="width:40.2pt;height:18.7pt" o:ole="">
            <v:imagedata r:id="rId439" o:title=""/>
          </v:shape>
          <o:OLEObject Type="Embed" ProgID="Equation.DSMT4" ShapeID="_x0000_i1252" DrawAspect="Content" ObjectID="_1840626818" r:id="rId440"/>
        </w:object>
      </w:r>
      <w:r w:rsidRPr="00F113AF">
        <w:rPr>
          <w:spacing w:val="-3"/>
        </w:rPr>
        <w:t xml:space="preserve"> </w:t>
      </w:r>
      <w:r>
        <w:rPr>
          <w:spacing w:val="-3"/>
        </w:rPr>
        <w:t xml:space="preserve">for a </w:t>
      </w:r>
      <w:r w:rsidRPr="00F113AF">
        <w:rPr>
          <w:spacing w:val="-3"/>
        </w:rPr>
        <w:t>planar transition zone between liquid (</w:t>
      </w:r>
      <w:r w:rsidRPr="00F113AF">
        <w:rPr>
          <w:i/>
          <w:spacing w:val="-3"/>
        </w:rPr>
        <w:sym w:font="Symbol" w:char="F066"/>
      </w:r>
      <w:r>
        <w:rPr>
          <w:i/>
          <w:spacing w:val="-3"/>
        </w:rPr>
        <w:t xml:space="preserve"> </w:t>
      </w:r>
      <w:r w:rsidRPr="00F113AF">
        <w:rPr>
          <w:spacing w:val="-3"/>
        </w:rPr>
        <w:t>=1) and solid (</w:t>
      </w:r>
      <w:r w:rsidRPr="00F113AF">
        <w:rPr>
          <w:i/>
          <w:spacing w:val="-3"/>
        </w:rPr>
        <w:sym w:font="Symbol" w:char="F066"/>
      </w:r>
      <w:r>
        <w:rPr>
          <w:i/>
          <w:spacing w:val="-3"/>
        </w:rPr>
        <w:t xml:space="preserve"> </w:t>
      </w:r>
      <w:r w:rsidRPr="00F113AF">
        <w:rPr>
          <w:spacing w:val="-3"/>
        </w:rPr>
        <w:t>=</w:t>
      </w:r>
      <w:r>
        <w:rPr>
          <w:spacing w:val="-3"/>
        </w:rPr>
        <w:t xml:space="preserve"> </w:t>
      </w:r>
      <w:r w:rsidRPr="00F113AF">
        <w:rPr>
          <w:spacing w:val="-3"/>
        </w:rPr>
        <w:t xml:space="preserve">0) where </w:t>
      </w:r>
      <w:r w:rsidRPr="00F113AF">
        <w:rPr>
          <w:i/>
          <w:spacing w:val="-3"/>
        </w:rPr>
        <w:sym w:font="Symbol" w:char="F066"/>
      </w:r>
      <w:r w:rsidRPr="00F113AF">
        <w:rPr>
          <w:spacing w:val="-3"/>
        </w:rPr>
        <w:t xml:space="preserve"> varies </w:t>
      </w:r>
      <w:r>
        <w:rPr>
          <w:spacing w:val="-3"/>
        </w:rPr>
        <w:t xml:space="preserve">only </w:t>
      </w:r>
      <w:r w:rsidRPr="00F113AF">
        <w:rPr>
          <w:spacing w:val="-3"/>
        </w:rPr>
        <w:t xml:space="preserve">in the </w:t>
      </w:r>
      <w:r w:rsidRPr="00C43322">
        <w:rPr>
          <w:i/>
          <w:spacing w:val="-3"/>
        </w:rPr>
        <w:t>x</w:t>
      </w:r>
      <w:r w:rsidRPr="00F113AF">
        <w:rPr>
          <w:spacing w:val="-3"/>
        </w:rPr>
        <w:t xml:space="preserve"> direction normal to the interface</w:t>
      </w:r>
      <w:r>
        <w:rPr>
          <w:spacing w:val="-3"/>
        </w:rPr>
        <w:t xml:space="preserve">. </w:t>
      </w:r>
      <w:r w:rsidRPr="00F113AF">
        <w:rPr>
          <w:spacing w:val="-3"/>
        </w:rPr>
        <w:t xml:space="preserve"> </w:t>
      </w:r>
      <w:r>
        <w:rPr>
          <w:spacing w:val="-3"/>
        </w:rPr>
        <w:t>The solution is</w:t>
      </w:r>
    </w:p>
    <w:p w14:paraId="1B9C00D9" w14:textId="77777777" w:rsidR="00015B17" w:rsidRPr="00F113AF" w:rsidRDefault="00015B17" w:rsidP="00015B17">
      <w:pPr>
        <w:tabs>
          <w:tab w:val="left" w:pos="-720"/>
        </w:tabs>
        <w:suppressAutoHyphens/>
        <w:spacing w:line="360" w:lineRule="auto"/>
        <w:jc w:val="center"/>
        <w:rPr>
          <w:spacing w:val="-3"/>
        </w:rPr>
      </w:pPr>
      <w:r w:rsidRPr="009B1AB0">
        <w:rPr>
          <w:spacing w:val="-3"/>
          <w:position w:val="-34"/>
        </w:rPr>
        <w:object w:dxaOrig="2780" w:dyaOrig="800" w14:anchorId="513EDD96">
          <v:shape id="_x0000_i1253" type="#_x0000_t75" style="width:139.3pt;height:40.2pt" o:ole="" fillcolor="window">
            <v:imagedata r:id="rId441" o:title=""/>
          </v:shape>
          <o:OLEObject Type="Embed" ProgID="Equation.DSMT4" ShapeID="_x0000_i1253" DrawAspect="Content" ObjectID="_1840626819" r:id="rId442"/>
        </w:object>
      </w:r>
      <w:r w:rsidRPr="00F113AF">
        <w:rPr>
          <w:spacing w:val="-3"/>
        </w:rPr>
        <w:tab/>
      </w:r>
      <w:r w:rsidRPr="00F113AF">
        <w:rPr>
          <w:spacing w:val="-3"/>
        </w:rPr>
        <w:tab/>
      </w:r>
      <w:r>
        <w:rPr>
          <w:spacing w:val="-3"/>
        </w:rPr>
        <w:t>(3.23)</w:t>
      </w:r>
    </w:p>
    <w:p w14:paraId="4AD9407A" w14:textId="77777777" w:rsidR="00015B17" w:rsidRPr="00F113AF" w:rsidRDefault="00015B17" w:rsidP="00015B17">
      <w:pPr>
        <w:tabs>
          <w:tab w:val="left" w:pos="-720"/>
        </w:tabs>
        <w:suppressAutoHyphens/>
        <w:spacing w:line="360" w:lineRule="auto"/>
        <w:rPr>
          <w:spacing w:val="-3"/>
        </w:rPr>
      </w:pPr>
      <w:r w:rsidRPr="00F113AF">
        <w:rPr>
          <w:spacing w:val="-3"/>
        </w:rPr>
        <w:t xml:space="preserve">where </w:t>
      </w:r>
      <w:r w:rsidRPr="00F113AF">
        <w:rPr>
          <w:i/>
          <w:spacing w:val="-3"/>
        </w:rPr>
        <w:sym w:font="Symbol" w:char="F064"/>
      </w:r>
      <w:r w:rsidRPr="00727E8A">
        <w:rPr>
          <w:i/>
          <w:spacing w:val="-3"/>
          <w:sz w:val="26"/>
          <w:vertAlign w:val="subscript"/>
        </w:rPr>
        <w:t>A</w:t>
      </w:r>
      <w:r w:rsidRPr="00F113AF">
        <w:rPr>
          <w:spacing w:val="-3"/>
        </w:rPr>
        <w:t xml:space="preserve"> is measure of the </w:t>
      </w:r>
      <w:r>
        <w:rPr>
          <w:spacing w:val="-3"/>
        </w:rPr>
        <w:t xml:space="preserve">liquid solid </w:t>
      </w:r>
      <w:r w:rsidRPr="00F113AF">
        <w:rPr>
          <w:spacing w:val="-3"/>
        </w:rPr>
        <w:t xml:space="preserve">interface thickness </w:t>
      </w:r>
      <w:r>
        <w:rPr>
          <w:spacing w:val="-3"/>
        </w:rPr>
        <w:t xml:space="preserve">of pure A </w:t>
      </w:r>
      <w:r w:rsidRPr="00F113AF">
        <w:rPr>
          <w:spacing w:val="-3"/>
        </w:rPr>
        <w:t>given by</w:t>
      </w:r>
    </w:p>
    <w:p w14:paraId="0B8B5247" w14:textId="77777777" w:rsidR="00015B17" w:rsidRPr="00F113AF" w:rsidRDefault="00015B17" w:rsidP="00015B17">
      <w:pPr>
        <w:tabs>
          <w:tab w:val="left" w:pos="-720"/>
        </w:tabs>
        <w:suppressAutoHyphens/>
        <w:spacing w:line="360" w:lineRule="auto"/>
        <w:jc w:val="center"/>
        <w:rPr>
          <w:spacing w:val="-3"/>
        </w:rPr>
      </w:pPr>
      <w:r w:rsidRPr="009B1AB0">
        <w:rPr>
          <w:spacing w:val="-3"/>
          <w:position w:val="-34"/>
        </w:rPr>
        <w:object w:dxaOrig="1760" w:dyaOrig="760" w14:anchorId="73C7AFB0">
          <v:shape id="_x0000_i1254" type="#_x0000_t75" style="width:87.9pt;height:38.35pt" o:ole="" fillcolor="window">
            <v:imagedata r:id="rId443" o:title=""/>
          </v:shape>
          <o:OLEObject Type="Embed" ProgID="Equation.DSMT4" ShapeID="_x0000_i1254" DrawAspect="Content" ObjectID="_1840626820" r:id="rId444"/>
        </w:object>
      </w:r>
      <w:r w:rsidRPr="00F113AF">
        <w:rPr>
          <w:spacing w:val="-3"/>
        </w:rPr>
        <w:tab/>
      </w:r>
      <w:r w:rsidRPr="00F113AF">
        <w:rPr>
          <w:spacing w:val="-3"/>
        </w:rPr>
        <w:tab/>
      </w:r>
      <w:r w:rsidRPr="00F113AF">
        <w:rPr>
          <w:spacing w:val="-3"/>
        </w:rPr>
        <w:tab/>
      </w:r>
      <w:r>
        <w:rPr>
          <w:spacing w:val="-3"/>
        </w:rPr>
        <w:t>(3.24)</w:t>
      </w:r>
    </w:p>
    <w:p w14:paraId="7AE02BFB" w14:textId="77777777" w:rsidR="00015B17" w:rsidRPr="00F113AF" w:rsidRDefault="00015B17" w:rsidP="00015B17">
      <w:pPr>
        <w:tabs>
          <w:tab w:val="left" w:pos="-720"/>
        </w:tabs>
        <w:suppressAutoHyphens/>
        <w:spacing w:line="360" w:lineRule="auto"/>
        <w:rPr>
          <w:spacing w:val="-3"/>
        </w:rPr>
      </w:pPr>
      <w:r w:rsidRPr="00F113AF">
        <w:rPr>
          <w:spacing w:val="-3"/>
        </w:rPr>
        <w:t xml:space="preserve">The value of the interface thickness is a balance between two opposing effects. The interface tends to be sharp in order to minimize the volume of material where </w:t>
      </w:r>
      <w:r w:rsidRPr="00F113AF">
        <w:rPr>
          <w:i/>
          <w:spacing w:val="-3"/>
        </w:rPr>
        <w:sym w:font="Symbol" w:char="F066"/>
      </w:r>
      <w:r w:rsidRPr="00F113AF">
        <w:rPr>
          <w:spacing w:val="-3"/>
        </w:rPr>
        <w:t xml:space="preserve"> is between 0 and 1 and </w:t>
      </w:r>
      <w:r w:rsidRPr="00F113AF">
        <w:rPr>
          <w:i/>
          <w:spacing w:val="-3"/>
        </w:rPr>
        <w:t>f(</w:t>
      </w:r>
      <w:r w:rsidRPr="00F113AF">
        <w:rPr>
          <w:i/>
          <w:spacing w:val="-3"/>
        </w:rPr>
        <w:sym w:font="Symbol" w:char="F066"/>
      </w:r>
      <w:r w:rsidRPr="00F113AF">
        <w:rPr>
          <w:i/>
          <w:spacing w:val="-3"/>
        </w:rPr>
        <w:t>,T)</w:t>
      </w:r>
      <w:r w:rsidRPr="00F113AF">
        <w:rPr>
          <w:spacing w:val="-3"/>
        </w:rPr>
        <w:t xml:space="preserve"> is large (as described by </w:t>
      </w:r>
      <w:r w:rsidRPr="00F113AF">
        <w:rPr>
          <w:i/>
          <w:spacing w:val="-3"/>
        </w:rPr>
        <w:t>W</w:t>
      </w:r>
      <w:r w:rsidRPr="00727E8A">
        <w:rPr>
          <w:i/>
          <w:spacing w:val="-3"/>
          <w:sz w:val="26"/>
          <w:vertAlign w:val="subscript"/>
        </w:rPr>
        <w:t>A</w:t>
      </w:r>
      <w:r w:rsidRPr="00F113AF">
        <w:rPr>
          <w:spacing w:val="-3"/>
        </w:rPr>
        <w:t>). The interface tends to be</w:t>
      </w:r>
      <w:r>
        <w:rPr>
          <w:spacing w:val="-3"/>
        </w:rPr>
        <w:t xml:space="preserve"> </w:t>
      </w:r>
      <w:r w:rsidRPr="00F113AF">
        <w:rPr>
          <w:spacing w:val="-3"/>
        </w:rPr>
        <w:t xml:space="preserve">diffuse to reduce the energy associated with the gradient of </w:t>
      </w:r>
      <w:r w:rsidRPr="00F113AF">
        <w:rPr>
          <w:i/>
          <w:spacing w:val="-3"/>
        </w:rPr>
        <w:sym w:font="Symbol" w:char="F066"/>
      </w:r>
      <w:r w:rsidRPr="00F113AF">
        <w:rPr>
          <w:spacing w:val="-3"/>
        </w:rPr>
        <w:t xml:space="preserve"> (as described by </w:t>
      </w:r>
      <w:r w:rsidRPr="00F113AF">
        <w:rPr>
          <w:i/>
          <w:spacing w:val="-3"/>
        </w:rPr>
        <w:sym w:font="Symbol" w:char="F065"/>
      </w:r>
      <w:r w:rsidRPr="00727E8A">
        <w:rPr>
          <w:i/>
          <w:spacing w:val="-3"/>
          <w:sz w:val="26"/>
          <w:vertAlign w:val="subscript"/>
        </w:rPr>
        <w:sym w:font="Symbol" w:char="F066"/>
      </w:r>
      <w:r w:rsidR="00934299">
        <w:rPr>
          <w:spacing w:val="-3"/>
        </w:rPr>
        <w:t>)</w:t>
      </w:r>
      <w:r w:rsidRPr="00F113AF">
        <w:rPr>
          <w:spacing w:val="-3"/>
        </w:rPr>
        <w:t xml:space="preserve">. </w:t>
      </w:r>
    </w:p>
    <w:p w14:paraId="05043340" w14:textId="77777777" w:rsidR="00015B17" w:rsidRPr="00F113AF" w:rsidRDefault="00015B17" w:rsidP="00015B17">
      <w:pPr>
        <w:tabs>
          <w:tab w:val="left" w:pos="-720"/>
        </w:tabs>
        <w:suppressAutoHyphens/>
        <w:spacing w:line="360" w:lineRule="auto"/>
        <w:rPr>
          <w:spacing w:val="-3"/>
        </w:rPr>
      </w:pPr>
    </w:p>
    <w:p w14:paraId="0D2EC37E" w14:textId="49A855A3" w:rsidR="00015B17" w:rsidRPr="00F113AF" w:rsidRDefault="00015B17" w:rsidP="00015B17">
      <w:pPr>
        <w:tabs>
          <w:tab w:val="left" w:pos="-720"/>
        </w:tabs>
        <w:suppressAutoHyphens/>
        <w:spacing w:line="360" w:lineRule="auto"/>
        <w:rPr>
          <w:spacing w:val="-3"/>
        </w:rPr>
      </w:pPr>
      <w:r>
        <w:rPr>
          <w:spacing w:val="-3"/>
        </w:rPr>
        <w:tab/>
      </w:r>
      <w:r w:rsidRPr="00F113AF">
        <w:rPr>
          <w:spacing w:val="-3"/>
        </w:rPr>
        <w:t>Fig. 3</w:t>
      </w:r>
      <w:r>
        <w:rPr>
          <w:spacing w:val="-3"/>
        </w:rPr>
        <w:t>.7</w:t>
      </w:r>
      <w:r w:rsidRPr="00F113AF">
        <w:rPr>
          <w:spacing w:val="-3"/>
        </w:rPr>
        <w:t xml:space="preserve"> shows the variation of </w:t>
      </w:r>
      <w:r w:rsidRPr="00F113AF">
        <w:rPr>
          <w:i/>
          <w:spacing w:val="-3"/>
        </w:rPr>
        <w:sym w:font="Symbol" w:char="F066"/>
      </w:r>
      <w:r w:rsidRPr="00F113AF">
        <w:rPr>
          <w:spacing w:val="-3"/>
        </w:rPr>
        <w:t xml:space="preserve"> and the integrand of Eqn. </w:t>
      </w:r>
      <w:r>
        <w:rPr>
          <w:spacing w:val="-3"/>
        </w:rPr>
        <w:t>(3.12)</w:t>
      </w:r>
      <w:r w:rsidRPr="00F113AF">
        <w:rPr>
          <w:spacing w:val="-3"/>
        </w:rPr>
        <w:t>,</w:t>
      </w:r>
      <w:r w:rsidRPr="009B1AB0">
        <w:rPr>
          <w:spacing w:val="-3"/>
          <w:position w:val="-14"/>
        </w:rPr>
        <w:object w:dxaOrig="2120" w:dyaOrig="440" w14:anchorId="4EABD7DE">
          <v:shape id="_x0000_i1255" type="#_x0000_t75" style="width:105.65pt;height:21.5pt" o:ole="" fillcolor="window">
            <v:imagedata r:id="rId445" o:title=""/>
          </v:shape>
          <o:OLEObject Type="Embed" ProgID="Equation.DSMT4" ShapeID="_x0000_i1255" DrawAspect="Content" ObjectID="_1840626821" r:id="rId446"/>
        </w:object>
      </w:r>
      <w:r w:rsidRPr="00F113AF">
        <w:rPr>
          <w:spacing w:val="-3"/>
        </w:rPr>
        <w:t xml:space="preserve">, with distance across an interfacial region for the equilibrium </w:t>
      </w:r>
      <w:r w:rsidRPr="00F113AF">
        <w:rPr>
          <w:spacing w:val="-3"/>
        </w:rPr>
        <w:lastRenderedPageBreak/>
        <w:t xml:space="preserve">solution, Eqn. </w:t>
      </w:r>
      <w:r>
        <w:rPr>
          <w:spacing w:val="-3"/>
        </w:rPr>
        <w:t>(3.23)</w:t>
      </w:r>
      <w:r w:rsidRPr="00F113AF">
        <w:rPr>
          <w:spacing w:val="-3"/>
        </w:rPr>
        <w:t xml:space="preserve">. The </w:t>
      </w:r>
      <w:r>
        <w:rPr>
          <w:spacing w:val="-3"/>
        </w:rPr>
        <w:t xml:space="preserve">area of the </w:t>
      </w:r>
      <w:r w:rsidRPr="00F113AF">
        <w:rPr>
          <w:spacing w:val="-3"/>
        </w:rPr>
        <w:t xml:space="preserve">hatched region corresponds to the </w:t>
      </w:r>
      <w:r w:rsidR="00C84401">
        <w:rPr>
          <w:spacing w:val="-3"/>
        </w:rPr>
        <w:t>inter</w:t>
      </w:r>
      <w:r w:rsidRPr="00F113AF">
        <w:rPr>
          <w:spacing w:val="-3"/>
        </w:rPr>
        <w:t xml:space="preserve">face free energy and is given by direct integration </w:t>
      </w:r>
      <w:r w:rsidR="00727C3E">
        <w:rPr>
          <w:spacing w:val="-3"/>
        </w:rPr>
        <w:t>of</w:t>
      </w:r>
      <w:r w:rsidR="00727C3E" w:rsidRPr="00F113AF">
        <w:rPr>
          <w:spacing w:val="-3"/>
        </w:rPr>
        <w:t xml:space="preserve"> </w:t>
      </w:r>
      <w:r w:rsidRPr="00F113AF">
        <w:rPr>
          <w:spacing w:val="-3"/>
        </w:rPr>
        <w:t>the solution, Eqn.</w:t>
      </w:r>
      <w:r>
        <w:rPr>
          <w:spacing w:val="-3"/>
        </w:rPr>
        <w:t xml:space="preserve"> (3.23) </w:t>
      </w:r>
      <w:r w:rsidRPr="00F113AF">
        <w:rPr>
          <w:spacing w:val="-3"/>
        </w:rPr>
        <w:t>as</w:t>
      </w:r>
    </w:p>
    <w:p w14:paraId="560E76D0" w14:textId="77777777" w:rsidR="00015B17" w:rsidRPr="00F113AF" w:rsidRDefault="00015B17" w:rsidP="00015B17">
      <w:pPr>
        <w:tabs>
          <w:tab w:val="left" w:pos="-720"/>
        </w:tabs>
        <w:suppressAutoHyphens/>
        <w:spacing w:line="360" w:lineRule="auto"/>
        <w:jc w:val="center"/>
        <w:rPr>
          <w:spacing w:val="-3"/>
        </w:rPr>
      </w:pPr>
      <w:r w:rsidRPr="009B1AB0">
        <w:rPr>
          <w:spacing w:val="-3"/>
          <w:position w:val="-28"/>
        </w:rPr>
        <w:object w:dxaOrig="1780" w:dyaOrig="740" w14:anchorId="31852CE7">
          <v:shape id="_x0000_i1256" type="#_x0000_t75" style="width:88.85pt;height:36.45pt" o:ole="" fillcolor="window">
            <v:imagedata r:id="rId447" o:title=""/>
          </v:shape>
          <o:OLEObject Type="Embed" ProgID="Equation.DSMT4" ShapeID="_x0000_i1256" DrawAspect="Content" ObjectID="_1840626822" r:id="rId448"/>
        </w:object>
      </w:r>
      <w:r w:rsidRPr="00F113AF">
        <w:rPr>
          <w:spacing w:val="-3"/>
        </w:rPr>
        <w:tab/>
      </w:r>
      <w:r w:rsidRPr="00F113AF">
        <w:rPr>
          <w:spacing w:val="-3"/>
        </w:rPr>
        <w:tab/>
      </w:r>
      <w:r w:rsidRPr="00F113AF">
        <w:rPr>
          <w:spacing w:val="-3"/>
        </w:rPr>
        <w:tab/>
      </w:r>
      <w:r>
        <w:rPr>
          <w:spacing w:val="-3"/>
        </w:rPr>
        <w:t>(3.25)</w:t>
      </w:r>
    </w:p>
    <w:p w14:paraId="03F0F2B1" w14:textId="77777777" w:rsidR="00015B17" w:rsidRPr="00F113AF" w:rsidRDefault="00015B17" w:rsidP="00015B17">
      <w:pPr>
        <w:tabs>
          <w:tab w:val="left" w:pos="-720"/>
        </w:tabs>
        <w:suppressAutoHyphens/>
        <w:spacing w:line="360" w:lineRule="auto"/>
        <w:rPr>
          <w:spacing w:val="-3"/>
        </w:rPr>
      </w:pPr>
      <w:r w:rsidRPr="00F113AF">
        <w:rPr>
          <w:spacing w:val="-3"/>
        </w:rPr>
        <w:t xml:space="preserve">Note that it is possible to take the limit, </w:t>
      </w:r>
      <w:r w:rsidRPr="009B1AB0">
        <w:rPr>
          <w:spacing w:val="-3"/>
          <w:position w:val="-6"/>
        </w:rPr>
        <w:object w:dxaOrig="660" w:dyaOrig="279" w14:anchorId="5D1857CF">
          <v:shape id="_x0000_i1257" type="#_x0000_t75" style="width:31.8pt;height:14.05pt" o:ole="" fillcolor="window">
            <v:imagedata r:id="rId449" o:title=""/>
          </v:shape>
          <o:OLEObject Type="Embed" ProgID="Equation.DSMT4" ShapeID="_x0000_i1257" DrawAspect="Content" ObjectID="_1840626823" r:id="rId450"/>
        </w:object>
      </w:r>
      <w:r w:rsidRPr="00F113AF">
        <w:rPr>
          <w:spacing w:val="-3"/>
        </w:rPr>
        <w:t xml:space="preserve">, while keeping </w:t>
      </w:r>
      <w:r w:rsidRPr="00B8265D">
        <w:rPr>
          <w:spacing w:val="-3"/>
          <w:position w:val="-12"/>
        </w:rPr>
        <w:object w:dxaOrig="360" w:dyaOrig="380" w14:anchorId="09ED7B64">
          <v:shape id="_x0000_i1258" type="#_x0000_t75" style="width:17.75pt;height:18.7pt" o:ole="">
            <v:imagedata r:id="rId451" o:title=""/>
          </v:shape>
          <o:OLEObject Type="Embed" ProgID="Equation.DSMT4" ShapeID="_x0000_i1258" DrawAspect="Content" ObjectID="_1840626824" r:id="rId452"/>
        </w:object>
      </w:r>
      <w:r w:rsidRPr="00F113AF">
        <w:rPr>
          <w:spacing w:val="-3"/>
        </w:rPr>
        <w:t xml:space="preserve"> fixed. Eqns. </w:t>
      </w:r>
      <w:r>
        <w:rPr>
          <w:spacing w:val="-3"/>
        </w:rPr>
        <w:t xml:space="preserve">3.25 and 3.26 </w:t>
      </w:r>
      <w:r w:rsidRPr="00F113AF">
        <w:rPr>
          <w:spacing w:val="-3"/>
        </w:rPr>
        <w:t xml:space="preserve">can be used to calculate the values of the parameters </w:t>
      </w:r>
      <w:r w:rsidRPr="00F113AF">
        <w:rPr>
          <w:i/>
          <w:spacing w:val="-3"/>
        </w:rPr>
        <w:sym w:font="Symbol" w:char="F065"/>
      </w:r>
      <w:r w:rsidRPr="00727E8A">
        <w:rPr>
          <w:i/>
          <w:spacing w:val="-3"/>
          <w:sz w:val="26"/>
          <w:vertAlign w:val="subscript"/>
        </w:rPr>
        <w:sym w:font="Symbol" w:char="F066"/>
      </w:r>
      <w:r w:rsidRPr="00F113AF">
        <w:rPr>
          <w:spacing w:val="-3"/>
        </w:rPr>
        <w:t xml:space="preserve"> and </w:t>
      </w:r>
      <w:r w:rsidRPr="00F113AF">
        <w:rPr>
          <w:i/>
          <w:spacing w:val="-3"/>
        </w:rPr>
        <w:t>W</w:t>
      </w:r>
      <w:r w:rsidRPr="00727E8A">
        <w:rPr>
          <w:i/>
          <w:spacing w:val="-3"/>
          <w:sz w:val="26"/>
          <w:vertAlign w:val="subscript"/>
        </w:rPr>
        <w:t>A</w:t>
      </w:r>
      <w:r w:rsidRPr="00F113AF">
        <w:rPr>
          <w:spacing w:val="-3"/>
        </w:rPr>
        <w:t xml:space="preserve"> to match with selected values for </w:t>
      </w:r>
      <w:r w:rsidRPr="00B8265D">
        <w:rPr>
          <w:spacing w:val="-3"/>
          <w:position w:val="-12"/>
        </w:rPr>
        <w:object w:dxaOrig="360" w:dyaOrig="380" w14:anchorId="76A360F9">
          <v:shape id="_x0000_i1259" type="#_x0000_t75" style="width:17.75pt;height:18.7pt" o:ole="">
            <v:imagedata r:id="rId451" o:title=""/>
          </v:shape>
          <o:OLEObject Type="Embed" ProgID="Equation.DSMT4" ShapeID="_x0000_i1259" DrawAspect="Content" ObjectID="_1840626825" r:id="rId453"/>
        </w:object>
      </w:r>
      <w:r w:rsidRPr="00F113AF">
        <w:rPr>
          <w:spacing w:val="-3"/>
        </w:rPr>
        <w:t xml:space="preserve"> and </w:t>
      </w:r>
      <w:r w:rsidRPr="00B8265D">
        <w:rPr>
          <w:i/>
          <w:spacing w:val="-3"/>
          <w:position w:val="-12"/>
        </w:rPr>
        <w:object w:dxaOrig="300" w:dyaOrig="360" w14:anchorId="74CC32C1">
          <v:shape id="_x0000_i1260" type="#_x0000_t75" style="width:14.95pt;height:17.75pt" o:ole="">
            <v:imagedata r:id="rId454" o:title=""/>
          </v:shape>
          <o:OLEObject Type="Embed" ProgID="Equation.DSMT4" ShapeID="_x0000_i1260" DrawAspect="Content" ObjectID="_1840626826" r:id="rId455"/>
        </w:object>
      </w:r>
      <w:r w:rsidRPr="00F113AF">
        <w:rPr>
          <w:spacing w:val="-3"/>
        </w:rPr>
        <w:t>; viz.,</w:t>
      </w:r>
    </w:p>
    <w:p w14:paraId="4D9B1DB5" w14:textId="77777777" w:rsidR="00015B17" w:rsidRPr="00F113AF" w:rsidRDefault="00015B17" w:rsidP="00015B17">
      <w:pPr>
        <w:tabs>
          <w:tab w:val="left" w:pos="-720"/>
        </w:tabs>
        <w:suppressAutoHyphens/>
        <w:spacing w:line="360" w:lineRule="auto"/>
        <w:jc w:val="center"/>
        <w:rPr>
          <w:spacing w:val="-3"/>
        </w:rPr>
      </w:pPr>
      <w:r w:rsidRPr="005639C3">
        <w:rPr>
          <w:spacing w:val="-3"/>
          <w:position w:val="-54"/>
        </w:rPr>
        <w:object w:dxaOrig="1420" w:dyaOrig="1200" w14:anchorId="58C41185">
          <v:shape id="_x0000_i1261" type="#_x0000_t75" style="width:71.05pt;height:59.85pt" o:ole="" fillcolor="window">
            <v:imagedata r:id="rId456" o:title=""/>
          </v:shape>
          <o:OLEObject Type="Embed" ProgID="Equation.DSMT4" ShapeID="_x0000_i1261" DrawAspect="Content" ObjectID="_1840626827" r:id="rId457"/>
        </w:object>
      </w:r>
      <w:r w:rsidRPr="00F113AF">
        <w:rPr>
          <w:spacing w:val="-3"/>
        </w:rPr>
        <w:tab/>
      </w:r>
      <w:r w:rsidR="006E6FC2">
        <w:rPr>
          <w:spacing w:val="-3"/>
        </w:rPr>
        <w:t>.</w:t>
      </w:r>
      <w:r w:rsidRPr="00F113AF">
        <w:rPr>
          <w:spacing w:val="-3"/>
        </w:rPr>
        <w:tab/>
      </w:r>
      <w:r>
        <w:rPr>
          <w:spacing w:val="-3"/>
        </w:rPr>
        <w:t>(3.26)</w:t>
      </w:r>
    </w:p>
    <w:p w14:paraId="52CF8570" w14:textId="2EB2BDC4" w:rsidR="00015B17" w:rsidRPr="00F113AF" w:rsidRDefault="00015B17" w:rsidP="00015B17">
      <w:pPr>
        <w:tabs>
          <w:tab w:val="left" w:pos="-720"/>
        </w:tabs>
        <w:suppressAutoHyphens/>
        <w:spacing w:line="360" w:lineRule="auto"/>
        <w:rPr>
          <w:spacing w:val="-3"/>
        </w:rPr>
      </w:pPr>
      <w:r w:rsidRPr="00F113AF">
        <w:rPr>
          <w:spacing w:val="-3"/>
        </w:rPr>
        <w:t xml:space="preserve">In the planar solution above, the Laplacian, </w:t>
      </w:r>
      <w:r w:rsidRPr="009B1AB0">
        <w:rPr>
          <w:spacing w:val="-3"/>
          <w:position w:val="-10"/>
        </w:rPr>
        <w:object w:dxaOrig="460" w:dyaOrig="360" w14:anchorId="74E0FB72">
          <v:shape id="_x0000_i1262" type="#_x0000_t75" style="width:23.4pt;height:17.75pt" o:ole="" fillcolor="window">
            <v:imagedata r:id="rId458" o:title=""/>
          </v:shape>
          <o:OLEObject Type="Embed" ProgID="Equation.DSMT4" ShapeID="_x0000_i1262" DrawAspect="Content" ObjectID="_1840626828" r:id="rId459"/>
        </w:object>
      </w:r>
      <w:r>
        <w:rPr>
          <w:spacing w:val="-3"/>
        </w:rPr>
        <w:t xml:space="preserve"> in Eqn. (3.15)</w:t>
      </w:r>
      <w:r w:rsidRPr="00F113AF">
        <w:rPr>
          <w:spacing w:val="-3"/>
        </w:rPr>
        <w:t xml:space="preserve">, is simply the second derivative of </w:t>
      </w:r>
      <w:r w:rsidRPr="00F113AF">
        <w:rPr>
          <w:i/>
          <w:spacing w:val="-3"/>
        </w:rPr>
        <w:sym w:font="Symbol" w:char="F066"/>
      </w:r>
      <w:r w:rsidRPr="00F113AF">
        <w:rPr>
          <w:spacing w:val="-3"/>
        </w:rPr>
        <w:t xml:space="preserve"> </w:t>
      </w:r>
      <w:r w:rsidR="00727C3E">
        <w:rPr>
          <w:spacing w:val="-3"/>
        </w:rPr>
        <w:t xml:space="preserve"> with respect to</w:t>
      </w:r>
      <w:r w:rsidRPr="00F113AF">
        <w:rPr>
          <w:spacing w:val="-3"/>
        </w:rPr>
        <w:t xml:space="preserve"> </w:t>
      </w:r>
      <w:r w:rsidRPr="00F113AF">
        <w:rPr>
          <w:i/>
          <w:spacing w:val="-3"/>
        </w:rPr>
        <w:t xml:space="preserve">x. </w:t>
      </w:r>
      <w:r w:rsidRPr="00F113AF">
        <w:rPr>
          <w:spacing w:val="-3"/>
        </w:rPr>
        <w:t>To examine a curved equilibrium interface</w:t>
      </w:r>
      <w:r w:rsidRPr="00F113AF">
        <w:rPr>
          <w:i/>
          <w:spacing w:val="-3"/>
        </w:rPr>
        <w:t xml:space="preserve"> </w:t>
      </w:r>
      <w:r w:rsidRPr="00F113AF">
        <w:rPr>
          <w:spacing w:val="-3"/>
        </w:rPr>
        <w:t xml:space="preserve">(Eqn. </w:t>
      </w:r>
      <w:r>
        <w:rPr>
          <w:spacing w:val="-3"/>
        </w:rPr>
        <w:t xml:space="preserve">(3.22) </w:t>
      </w:r>
      <w:r w:rsidR="006E6FC2" w:rsidRPr="00F113AF">
        <w:rPr>
          <w:spacing w:val="-3"/>
        </w:rPr>
        <w:t>with</w:t>
      </w:r>
      <w:r w:rsidRPr="009B1AB0">
        <w:rPr>
          <w:spacing w:val="-3"/>
          <w:position w:val="-10"/>
        </w:rPr>
        <w:object w:dxaOrig="980" w:dyaOrig="340" w14:anchorId="761B4656">
          <v:shape id="_x0000_i1263" type="#_x0000_t75" style="width:48.6pt;height:16.85pt" o:ole="" fillcolor="window">
            <v:imagedata r:id="rId460" o:title=""/>
          </v:shape>
          <o:OLEObject Type="Embed" ProgID="Equation.DSMT4" ShapeID="_x0000_i1263" DrawAspect="Content" ObjectID="_1840626829" r:id="rId461"/>
        </w:object>
      </w:r>
      <w:r w:rsidRPr="00F113AF">
        <w:rPr>
          <w:spacing w:val="-3"/>
        </w:rPr>
        <w:t xml:space="preserve">), the simplest mathematics is to transform to spherical coordinates with no angular dependence. Then the Laplacian includes an extra term, in addition to the second derivative </w:t>
      </w:r>
      <w:r w:rsidR="00727C3E">
        <w:rPr>
          <w:spacing w:val="-3"/>
        </w:rPr>
        <w:t xml:space="preserve">with respect </w:t>
      </w:r>
      <w:r w:rsidR="00061F4B">
        <w:rPr>
          <w:spacing w:val="-3"/>
        </w:rPr>
        <w:t xml:space="preserve">to </w:t>
      </w:r>
      <w:r w:rsidR="003B1B72" w:rsidRPr="00F113AF">
        <w:rPr>
          <w:spacing w:val="-3"/>
        </w:rPr>
        <w:t>r;</w:t>
      </w:r>
      <w:r w:rsidRPr="00F113AF">
        <w:rPr>
          <w:spacing w:val="-3"/>
        </w:rPr>
        <w:t xml:space="preserve"> </w:t>
      </w:r>
      <w:r w:rsidR="00727C3E">
        <w:rPr>
          <w:spacing w:val="-3"/>
        </w:rPr>
        <w:t>viz</w:t>
      </w:r>
      <w:r w:rsidRPr="00F113AF">
        <w:rPr>
          <w:spacing w:val="-3"/>
        </w:rPr>
        <w:t>.,</w:t>
      </w:r>
      <w:r w:rsidRPr="009B1AB0">
        <w:rPr>
          <w:spacing w:val="-3"/>
          <w:position w:val="-14"/>
        </w:rPr>
        <w:object w:dxaOrig="1380" w:dyaOrig="400" w14:anchorId="0F665040">
          <v:shape id="_x0000_i1264" type="#_x0000_t75" style="width:69.2pt;height:19.65pt" o:ole="" fillcolor="window">
            <v:imagedata r:id="rId462" o:title=""/>
          </v:shape>
          <o:OLEObject Type="Embed" ProgID="Equation.DSMT4" ShapeID="_x0000_i1264" DrawAspect="Content" ObjectID="_1840626830" r:id="rId463"/>
        </w:object>
      </w:r>
      <w:r w:rsidRPr="00F113AF">
        <w:rPr>
          <w:spacing w:val="-3"/>
        </w:rPr>
        <w:t>. With this extra term</w:t>
      </w:r>
      <w:r>
        <w:rPr>
          <w:spacing w:val="-3"/>
        </w:rPr>
        <w:t>,</w:t>
      </w:r>
      <w:r w:rsidRPr="00F113AF">
        <w:rPr>
          <w:spacing w:val="-3"/>
        </w:rPr>
        <w:t xml:space="preserve"> no solution exists when</w:t>
      </w:r>
      <w:r w:rsidRPr="00B8265D">
        <w:rPr>
          <w:spacing w:val="-3"/>
          <w:position w:val="-12"/>
        </w:rPr>
        <w:object w:dxaOrig="720" w:dyaOrig="380" w14:anchorId="6321563A">
          <v:shape id="_x0000_i1265" type="#_x0000_t75" style="width:36.45pt;height:18.7pt" o:ole="">
            <v:imagedata r:id="rId464" o:title=""/>
          </v:shape>
          <o:OLEObject Type="Embed" ProgID="Equation.DSMT4" ShapeID="_x0000_i1265" DrawAspect="Content" ObjectID="_1840626831" r:id="rId465"/>
        </w:object>
      </w:r>
      <w:r w:rsidRPr="003E0F31">
        <w:rPr>
          <w:spacing w:val="-3"/>
        </w:rPr>
        <w:t xml:space="preserve">. </w:t>
      </w:r>
      <w:r w:rsidRPr="00F113AF">
        <w:rPr>
          <w:spacing w:val="-3"/>
        </w:rPr>
        <w:t xml:space="preserve"> However for an interface with a specified radius, </w:t>
      </w:r>
      <w:r w:rsidRPr="00F113AF">
        <w:rPr>
          <w:i/>
          <w:spacing w:val="-3"/>
        </w:rPr>
        <w:t xml:space="preserve">R, </w:t>
      </w:r>
      <w:r w:rsidRPr="00F113AF">
        <w:rPr>
          <w:spacing w:val="-3"/>
        </w:rPr>
        <w:t xml:space="preserve">a solution does exist at a temperature below </w:t>
      </w:r>
      <w:r w:rsidRPr="007D7A83">
        <w:rPr>
          <w:position w:val="-12"/>
        </w:rPr>
        <w:object w:dxaOrig="320" w:dyaOrig="380" w14:anchorId="10F5EB01">
          <v:shape id="_x0000_i1266" type="#_x0000_t75" style="width:16.85pt;height:18.7pt" o:ole="">
            <v:imagedata r:id="rId466" o:title=""/>
          </v:shape>
          <o:OLEObject Type="Embed" ProgID="Equation.DSMT4" ShapeID="_x0000_i1266" DrawAspect="Content" ObjectID="_1840626832" r:id="rId467"/>
        </w:object>
      </w:r>
      <w:r w:rsidRPr="00F113AF">
        <w:rPr>
          <w:spacing w:val="-3"/>
        </w:rPr>
        <w:t xml:space="preserve">; viz., </w:t>
      </w:r>
      <w:r w:rsidRPr="00B8265D">
        <w:rPr>
          <w:spacing w:val="-3"/>
          <w:position w:val="-12"/>
        </w:rPr>
        <w:object w:dxaOrig="1400" w:dyaOrig="380" w14:anchorId="45454979">
          <v:shape id="_x0000_i1267" type="#_x0000_t75" style="width:70.15pt;height:18.7pt" o:ole="">
            <v:imagedata r:id="rId468" o:title=""/>
          </v:shape>
          <o:OLEObject Type="Embed" ProgID="Equation.DSMT4" ShapeID="_x0000_i1267" DrawAspect="Content" ObjectID="_1840626833" r:id="rId469"/>
        </w:object>
      </w:r>
      <w:r w:rsidRPr="00F113AF">
        <w:rPr>
          <w:spacing w:val="-3"/>
        </w:rPr>
        <w:t xml:space="preserve">, where </w:t>
      </w:r>
      <w:r w:rsidRPr="00E45672">
        <w:rPr>
          <w:spacing w:val="-3"/>
          <w:position w:val="-12"/>
        </w:rPr>
        <w:object w:dxaOrig="1400" w:dyaOrig="380" w14:anchorId="0E208512">
          <v:shape id="_x0000_i1268" type="#_x0000_t75" style="width:70.15pt;height:18.7pt" o:ole="">
            <v:imagedata r:id="rId470" o:title=""/>
          </v:shape>
          <o:OLEObject Type="Embed" ProgID="Equation.DSMT4" ShapeID="_x0000_i1268" DrawAspect="Content" ObjectID="_1840626834" r:id="rId471"/>
        </w:object>
      </w:r>
      <w:r w:rsidR="00C84401">
        <w:rPr>
          <w:spacing w:val="-3"/>
        </w:rPr>
        <w:t>.</w:t>
      </w:r>
      <w:r w:rsidRPr="00F113AF">
        <w:rPr>
          <w:spacing w:val="-3"/>
        </w:rPr>
        <w:t xml:space="preserve"> This selection of one interface radius for each (interface) temperature is consistent with the Gibbs-Thomson effect for a sharp interface model</w:t>
      </w:r>
      <w:r>
        <w:rPr>
          <w:spacing w:val="-3"/>
        </w:rPr>
        <w:t xml:space="preserve"> as described in section 3.1</w:t>
      </w:r>
      <w:r w:rsidRPr="00F113AF">
        <w:rPr>
          <w:spacing w:val="-3"/>
        </w:rPr>
        <w:t>.</w:t>
      </w:r>
    </w:p>
    <w:p w14:paraId="7E3F0DF9" w14:textId="77777777" w:rsidR="00015B17" w:rsidRPr="00F113AF" w:rsidRDefault="00015B17" w:rsidP="00015B17">
      <w:pPr>
        <w:tabs>
          <w:tab w:val="left" w:pos="-720"/>
        </w:tabs>
        <w:suppressAutoHyphens/>
        <w:spacing w:line="360" w:lineRule="auto"/>
        <w:rPr>
          <w:i/>
          <w:spacing w:val="-3"/>
        </w:rPr>
      </w:pPr>
    </w:p>
    <w:p w14:paraId="54080610" w14:textId="4FA1D041" w:rsidR="00015B17" w:rsidRDefault="00015B17" w:rsidP="00015B17">
      <w:pPr>
        <w:tabs>
          <w:tab w:val="left" w:pos="-720"/>
        </w:tabs>
        <w:suppressAutoHyphens/>
        <w:spacing w:line="360" w:lineRule="auto"/>
        <w:rPr>
          <w:spacing w:val="-3"/>
        </w:rPr>
      </w:pPr>
      <w:r>
        <w:rPr>
          <w:spacing w:val="-3"/>
        </w:rPr>
        <w:tab/>
      </w:r>
      <w:r w:rsidRPr="00F113AF">
        <w:rPr>
          <w:spacing w:val="-3"/>
        </w:rPr>
        <w:t>To examine a moving flat steady-state interface, the simple</w:t>
      </w:r>
      <w:r>
        <w:rPr>
          <w:spacing w:val="-3"/>
        </w:rPr>
        <w:t xml:space="preserve">st mathematics is to transform </w:t>
      </w:r>
      <w:r w:rsidRPr="00F113AF">
        <w:rPr>
          <w:spacing w:val="-3"/>
        </w:rPr>
        <w:t xml:space="preserve">Eqn. </w:t>
      </w:r>
      <w:r>
        <w:rPr>
          <w:spacing w:val="-3"/>
        </w:rPr>
        <w:t>(3.15)</w:t>
      </w:r>
      <w:r w:rsidRPr="00F113AF">
        <w:rPr>
          <w:spacing w:val="-3"/>
        </w:rPr>
        <w:t xml:space="preserve"> in 1-D to a coordinate frame moving at constant velocity </w:t>
      </w:r>
      <w:r w:rsidRPr="00F113AF">
        <w:rPr>
          <w:i/>
          <w:spacing w:val="-3"/>
        </w:rPr>
        <w:t>V</w:t>
      </w:r>
      <w:r w:rsidRPr="00F113AF">
        <w:rPr>
          <w:spacing w:val="-3"/>
        </w:rPr>
        <w:t xml:space="preserve">. Then </w:t>
      </w:r>
      <w:r w:rsidRPr="007257F6">
        <w:rPr>
          <w:spacing w:val="-3"/>
          <w:position w:val="-10"/>
        </w:rPr>
        <w:object w:dxaOrig="639" w:dyaOrig="340" w14:anchorId="109DBC6A">
          <v:shape id="_x0000_i1269" type="#_x0000_t75" style="width:31.8pt;height:16.85pt" o:ole="" fillcolor="window">
            <v:imagedata r:id="rId472" o:title=""/>
          </v:shape>
          <o:OLEObject Type="Embed" ProgID="Equation.DSMT4" ShapeID="_x0000_i1269" DrawAspect="Content" ObjectID="_1840626835" r:id="rId473"/>
        </w:object>
      </w:r>
      <w:r w:rsidRPr="00F113AF">
        <w:rPr>
          <w:spacing w:val="-3"/>
        </w:rPr>
        <w:t xml:space="preserve">changes to </w:t>
      </w:r>
      <w:r w:rsidRPr="007257F6">
        <w:rPr>
          <w:spacing w:val="-3"/>
          <w:position w:val="-14"/>
        </w:rPr>
        <w:object w:dxaOrig="1180" w:dyaOrig="400" w14:anchorId="0E51DCD1">
          <v:shape id="_x0000_i1270" type="#_x0000_t75" style="width:58.9pt;height:19.65pt" o:ole="" fillcolor="window">
            <v:imagedata r:id="rId474" o:title=""/>
          </v:shape>
          <o:OLEObject Type="Embed" ProgID="Equation.DSMT4" ShapeID="_x0000_i1270" DrawAspect="Content" ObjectID="_1840626836" r:id="rId475"/>
        </w:object>
      </w:r>
      <w:r w:rsidRPr="00F113AF">
        <w:rPr>
          <w:spacing w:val="-3"/>
        </w:rPr>
        <w:t xml:space="preserve">. With this change, no solution exists if </w:t>
      </w:r>
      <w:r w:rsidRPr="00F113AF">
        <w:rPr>
          <w:i/>
          <w:spacing w:val="-3"/>
        </w:rPr>
        <w:t>T=T</w:t>
      </w:r>
      <w:r w:rsidRPr="00727E8A">
        <w:rPr>
          <w:i/>
          <w:spacing w:val="-3"/>
          <w:sz w:val="26"/>
          <w:vertAlign w:val="subscript"/>
        </w:rPr>
        <w:t>M</w:t>
      </w:r>
      <w:r w:rsidRPr="00883A53">
        <w:rPr>
          <w:i/>
          <w:spacing w:val="-3"/>
          <w:sz w:val="26"/>
          <w:vertAlign w:val="superscript"/>
        </w:rPr>
        <w:t>A</w:t>
      </w:r>
      <w:r w:rsidRPr="003E0F31">
        <w:rPr>
          <w:spacing w:val="-3"/>
        </w:rPr>
        <w:t xml:space="preserve">. </w:t>
      </w:r>
      <w:r w:rsidRPr="00F113AF">
        <w:rPr>
          <w:spacing w:val="-3"/>
        </w:rPr>
        <w:t xml:space="preserve"> However, a solution does exist for small </w:t>
      </w:r>
      <w:r w:rsidRPr="00B8265D">
        <w:rPr>
          <w:spacing w:val="-3"/>
          <w:position w:val="-12"/>
        </w:rPr>
        <w:object w:dxaOrig="300" w:dyaOrig="360" w14:anchorId="7590FB24">
          <v:shape id="_x0000_i1271" type="#_x0000_t75" style="width:14.95pt;height:17.75pt" o:ole="">
            <v:imagedata r:id="rId476" o:title=""/>
          </v:shape>
          <o:OLEObject Type="Embed" ProgID="Equation.DSMT4" ShapeID="_x0000_i1271" DrawAspect="Content" ObjectID="_1840626837" r:id="rId477"/>
        </w:object>
      </w:r>
      <w:r w:rsidRPr="00F113AF">
        <w:rPr>
          <w:i/>
          <w:spacing w:val="-3"/>
        </w:rPr>
        <w:t xml:space="preserve"> </w:t>
      </w:r>
      <w:r w:rsidRPr="00F113AF">
        <w:rPr>
          <w:spacing w:val="-3"/>
        </w:rPr>
        <w:t>if the temperature is given by</w:t>
      </w:r>
    </w:p>
    <w:p w14:paraId="52DD7059" w14:textId="77777777" w:rsidR="00015B17" w:rsidRDefault="00015B17" w:rsidP="00015B17">
      <w:pPr>
        <w:tabs>
          <w:tab w:val="left" w:pos="-720"/>
        </w:tabs>
        <w:suppressAutoHyphens/>
        <w:spacing w:line="360" w:lineRule="auto"/>
        <w:jc w:val="both"/>
        <w:rPr>
          <w:spacing w:val="-3"/>
        </w:rPr>
      </w:pPr>
    </w:p>
    <w:p w14:paraId="142BECB0" w14:textId="77777777" w:rsidR="00015B17" w:rsidRPr="00F113AF" w:rsidRDefault="00015B17" w:rsidP="00015B17">
      <w:pPr>
        <w:tabs>
          <w:tab w:val="left" w:pos="-720"/>
        </w:tabs>
        <w:suppressAutoHyphens/>
        <w:spacing w:line="360" w:lineRule="auto"/>
        <w:jc w:val="center"/>
        <w:rPr>
          <w:spacing w:val="-3"/>
        </w:rPr>
      </w:pPr>
      <w:r w:rsidRPr="00A97F16">
        <w:rPr>
          <w:color w:val="000000"/>
          <w:position w:val="-30"/>
          <w:sz w:val="18"/>
        </w:rPr>
        <w:object w:dxaOrig="1219" w:dyaOrig="680" w14:anchorId="55FF7D47">
          <v:shape id="_x0000_i1272" type="#_x0000_t75" style="width:61.7pt;height:32.75pt" o:ole="" fillcolor="window">
            <v:imagedata r:id="rId478" o:title=""/>
          </v:shape>
          <o:OLEObject Type="Embed" ProgID="Equation.DSMT4" ShapeID="_x0000_i1272" DrawAspect="Content" ObjectID="_1840626838" r:id="rId479"/>
        </w:object>
      </w:r>
      <w:r>
        <w:rPr>
          <w:spacing w:val="-3"/>
        </w:rPr>
        <w:tab/>
      </w:r>
      <w:r w:rsidR="000154A4">
        <w:rPr>
          <w:spacing w:val="-3"/>
        </w:rPr>
        <w:t>,</w:t>
      </w:r>
      <w:r>
        <w:rPr>
          <w:spacing w:val="-3"/>
        </w:rPr>
        <w:tab/>
      </w:r>
      <w:r>
        <w:rPr>
          <w:spacing w:val="-3"/>
        </w:rPr>
        <w:tab/>
      </w:r>
      <w:r>
        <w:rPr>
          <w:spacing w:val="-3"/>
        </w:rPr>
        <w:tab/>
        <w:t>(3.27)</w:t>
      </w:r>
    </w:p>
    <w:p w14:paraId="7423D40E" w14:textId="77777777" w:rsidR="00015B17" w:rsidRPr="00F113AF" w:rsidRDefault="00015B17" w:rsidP="00015B17">
      <w:pPr>
        <w:tabs>
          <w:tab w:val="left" w:pos="-720"/>
        </w:tabs>
        <w:suppressAutoHyphens/>
        <w:spacing w:line="360" w:lineRule="auto"/>
        <w:jc w:val="both"/>
        <w:rPr>
          <w:spacing w:val="-3"/>
        </w:rPr>
      </w:pPr>
      <w:r w:rsidRPr="00F113AF">
        <w:rPr>
          <w:spacing w:val="-3"/>
        </w:rPr>
        <w:t>where</w:t>
      </w:r>
    </w:p>
    <w:p w14:paraId="1D8B1F2A" w14:textId="77777777" w:rsidR="00015B17" w:rsidRDefault="00015B17" w:rsidP="00015B17">
      <w:pPr>
        <w:tabs>
          <w:tab w:val="left" w:pos="-720"/>
        </w:tabs>
        <w:suppressAutoHyphens/>
        <w:spacing w:line="360" w:lineRule="auto"/>
        <w:jc w:val="center"/>
        <w:rPr>
          <w:spacing w:val="-3"/>
        </w:rPr>
      </w:pPr>
      <w:r w:rsidRPr="00B56DD4">
        <w:rPr>
          <w:spacing w:val="-3"/>
          <w:position w:val="-34"/>
        </w:rPr>
        <w:object w:dxaOrig="1660" w:dyaOrig="780" w14:anchorId="4575E788">
          <v:shape id="_x0000_i1273" type="#_x0000_t75" style="width:82.3pt;height:40.2pt" o:ole="" fillcolor="window">
            <v:imagedata r:id="rId480" o:title=""/>
          </v:shape>
          <o:OLEObject Type="Embed" ProgID="Equation.DSMT4" ShapeID="_x0000_i1273" DrawAspect="Content" ObjectID="_1840626839" r:id="rId481"/>
        </w:object>
      </w:r>
      <w:r w:rsidRPr="00F113AF">
        <w:rPr>
          <w:spacing w:val="-3"/>
        </w:rPr>
        <w:t>.</w:t>
      </w:r>
      <w:r w:rsidRPr="00F113AF">
        <w:rPr>
          <w:spacing w:val="-3"/>
        </w:rPr>
        <w:tab/>
      </w:r>
      <w:r w:rsidRPr="00F113AF">
        <w:rPr>
          <w:spacing w:val="-3"/>
        </w:rPr>
        <w:tab/>
      </w:r>
      <w:r w:rsidRPr="00F113AF">
        <w:rPr>
          <w:spacing w:val="-3"/>
        </w:rPr>
        <w:tab/>
      </w:r>
      <w:r>
        <w:rPr>
          <w:spacing w:val="-3"/>
        </w:rPr>
        <w:t>(3.28)</w:t>
      </w:r>
    </w:p>
    <w:p w14:paraId="7D374E51" w14:textId="77777777" w:rsidR="00015B17" w:rsidRPr="00F113AF" w:rsidRDefault="00015B17" w:rsidP="00015B17">
      <w:pPr>
        <w:tabs>
          <w:tab w:val="left" w:pos="-720"/>
        </w:tabs>
        <w:suppressAutoHyphens/>
        <w:spacing w:line="360" w:lineRule="auto"/>
        <w:jc w:val="center"/>
        <w:rPr>
          <w:spacing w:val="-3"/>
        </w:rPr>
      </w:pPr>
    </w:p>
    <w:p w14:paraId="4DC4853E" w14:textId="77777777" w:rsidR="00015B17" w:rsidRPr="00F113AF" w:rsidRDefault="00015B17" w:rsidP="00015B17">
      <w:pPr>
        <w:tabs>
          <w:tab w:val="left" w:pos="-720"/>
        </w:tabs>
        <w:suppressAutoHyphens/>
        <w:spacing w:line="360" w:lineRule="auto"/>
        <w:rPr>
          <w:spacing w:val="-3"/>
        </w:rPr>
      </w:pPr>
      <w:r w:rsidRPr="00F113AF">
        <w:rPr>
          <w:spacing w:val="-3"/>
        </w:rPr>
        <w:t>This selection of one interface velocity for each (interface) temperature is consistent with the classical approach to linear interface attachment kinetics</w:t>
      </w:r>
      <w:r>
        <w:rPr>
          <w:spacing w:val="-3"/>
        </w:rPr>
        <w:t xml:space="preserve"> (See section 5; viz., Eqn. (5.5))</w:t>
      </w:r>
      <w:r w:rsidRPr="00F113AF">
        <w:rPr>
          <w:spacing w:val="-3"/>
        </w:rPr>
        <w:t xml:space="preserve">. Eqn. </w:t>
      </w:r>
      <w:r>
        <w:rPr>
          <w:spacing w:val="-3"/>
        </w:rPr>
        <w:t>(3.28)</w:t>
      </w:r>
      <w:r w:rsidRPr="00F113AF">
        <w:rPr>
          <w:spacing w:val="-3"/>
        </w:rPr>
        <w:t xml:space="preserve"> can be used to determine a value of </w:t>
      </w:r>
      <w:r w:rsidRPr="00F113AF">
        <w:rPr>
          <w:i/>
          <w:spacing w:val="-3"/>
        </w:rPr>
        <w:t>M</w:t>
      </w:r>
      <w:r w:rsidRPr="00727E8A">
        <w:rPr>
          <w:i/>
          <w:spacing w:val="-3"/>
          <w:sz w:val="26"/>
          <w:vertAlign w:val="subscript"/>
        </w:rPr>
        <w:sym w:font="Symbol" w:char="F066"/>
      </w:r>
      <w:r w:rsidRPr="00883A53">
        <w:rPr>
          <w:i/>
          <w:spacing w:val="-3"/>
          <w:sz w:val="26"/>
          <w:vertAlign w:val="superscript"/>
        </w:rPr>
        <w:t>A</w:t>
      </w:r>
      <w:r w:rsidRPr="00F113AF">
        <w:rPr>
          <w:spacing w:val="-3"/>
        </w:rPr>
        <w:t xml:space="preserve"> from a knowledge (or estimate) of </w:t>
      </w:r>
      <w:r w:rsidRPr="00F113AF">
        <w:rPr>
          <w:i/>
          <w:spacing w:val="-3"/>
        </w:rPr>
        <w:sym w:font="Symbol" w:char="F06D"/>
      </w:r>
      <w:r w:rsidRPr="00727E8A">
        <w:rPr>
          <w:i/>
          <w:spacing w:val="-3"/>
          <w:sz w:val="26"/>
          <w:vertAlign w:val="subscript"/>
        </w:rPr>
        <w:t>A</w:t>
      </w:r>
      <w:r w:rsidRPr="00F113AF">
        <w:rPr>
          <w:spacing w:val="-3"/>
        </w:rPr>
        <w:t>; viz.,</w:t>
      </w:r>
    </w:p>
    <w:p w14:paraId="07387345" w14:textId="77777777" w:rsidR="00015B17" w:rsidRDefault="00015B17" w:rsidP="00015B17">
      <w:pPr>
        <w:tabs>
          <w:tab w:val="left" w:pos="-720"/>
        </w:tabs>
        <w:suppressAutoHyphens/>
        <w:spacing w:line="360" w:lineRule="auto"/>
        <w:jc w:val="center"/>
        <w:rPr>
          <w:spacing w:val="-3"/>
        </w:rPr>
      </w:pPr>
      <w:r w:rsidRPr="00B56DD4">
        <w:rPr>
          <w:spacing w:val="-3"/>
          <w:position w:val="-30"/>
        </w:rPr>
        <w:object w:dxaOrig="1300" w:dyaOrig="720" w14:anchorId="574024F8">
          <v:shape id="_x0000_i1274" type="#_x0000_t75" style="width:66.4pt;height:36.45pt" o:ole="" fillcolor="window">
            <v:imagedata r:id="rId482" o:title=""/>
          </v:shape>
          <o:OLEObject Type="Embed" ProgID="Equation.DSMT4" ShapeID="_x0000_i1274" DrawAspect="Content" ObjectID="_1840626840" r:id="rId483"/>
        </w:object>
      </w:r>
      <w:r w:rsidRPr="00F113AF">
        <w:rPr>
          <w:spacing w:val="-3"/>
        </w:rPr>
        <w:tab/>
      </w:r>
      <w:r w:rsidR="006E6FC2">
        <w:rPr>
          <w:spacing w:val="-3"/>
        </w:rPr>
        <w:t>.</w:t>
      </w:r>
      <w:r w:rsidRPr="00F113AF">
        <w:rPr>
          <w:spacing w:val="-3"/>
        </w:rPr>
        <w:tab/>
      </w:r>
      <w:r>
        <w:rPr>
          <w:spacing w:val="-3"/>
        </w:rPr>
        <w:t>(3.29)</w:t>
      </w:r>
    </w:p>
    <w:p w14:paraId="1BAAC615" w14:textId="77777777" w:rsidR="00015B17" w:rsidRPr="00F113AF" w:rsidRDefault="00015B17" w:rsidP="00015B17">
      <w:pPr>
        <w:tabs>
          <w:tab w:val="left" w:pos="-720"/>
        </w:tabs>
        <w:suppressAutoHyphens/>
        <w:spacing w:line="360" w:lineRule="auto"/>
        <w:jc w:val="center"/>
        <w:rPr>
          <w:spacing w:val="-3"/>
        </w:rPr>
      </w:pPr>
    </w:p>
    <w:p w14:paraId="017DC6F5" w14:textId="1A26CAD1" w:rsidR="00015B17" w:rsidRDefault="006E6FC2" w:rsidP="00015B17">
      <w:pPr>
        <w:tabs>
          <w:tab w:val="left" w:pos="-720"/>
        </w:tabs>
        <w:suppressAutoHyphens/>
        <w:spacing w:line="360" w:lineRule="auto"/>
        <w:rPr>
          <w:spacing w:val="-3"/>
        </w:rPr>
      </w:pPr>
      <w:r>
        <w:rPr>
          <w:spacing w:val="-3"/>
        </w:rPr>
        <w:tab/>
      </w:r>
      <w:r w:rsidR="00015B17" w:rsidRPr="00F113AF">
        <w:rPr>
          <w:spacing w:val="-3"/>
        </w:rPr>
        <w:t>In numerical solutions</w:t>
      </w:r>
      <w:r w:rsidR="000154A4">
        <w:rPr>
          <w:spacing w:val="-3"/>
        </w:rPr>
        <w:t>,</w:t>
      </w:r>
      <w:r w:rsidR="00015B17" w:rsidRPr="00F113AF">
        <w:rPr>
          <w:spacing w:val="-3"/>
        </w:rPr>
        <w:t xml:space="preserve"> the minimum mesh spacing must scale with the chosen value of </w:t>
      </w:r>
      <w:r w:rsidR="00015B17" w:rsidRPr="001B525D">
        <w:rPr>
          <w:spacing w:val="-3"/>
          <w:position w:val="-12"/>
        </w:rPr>
        <w:object w:dxaOrig="300" w:dyaOrig="360" w14:anchorId="52D732C2">
          <v:shape id="_x0000_i1275" type="#_x0000_t75" style="width:14.95pt;height:17.75pt" o:ole="">
            <v:imagedata r:id="rId484" o:title=""/>
          </v:shape>
          <o:OLEObject Type="Embed" ProgID="Equation.DSMT4" ShapeID="_x0000_i1275" DrawAspect="Content" ObjectID="_1840626841" r:id="rId485"/>
        </w:object>
      </w:r>
      <w:r w:rsidR="00015B17" w:rsidRPr="00F113AF">
        <w:rPr>
          <w:spacing w:val="-3"/>
        </w:rPr>
        <w:t xml:space="preserve"> so that the interface structure can be resolved</w:t>
      </w:r>
      <w:r w:rsidR="00727C3E">
        <w:rPr>
          <w:spacing w:val="-3"/>
        </w:rPr>
        <w:t xml:space="preserve"> mathematically</w:t>
      </w:r>
      <w:r w:rsidR="00015B17" w:rsidRPr="00F113AF">
        <w:rPr>
          <w:spacing w:val="-3"/>
        </w:rPr>
        <w:t xml:space="preserve">.  Physically for metallic systems, the interface thickness is of the order of a few atomic dimensions. Such fine mesh spacing is only practical in 1-D at the current time.  </w:t>
      </w:r>
      <w:r w:rsidR="003B1B72" w:rsidRPr="00F113AF">
        <w:rPr>
          <w:spacing w:val="-3"/>
        </w:rPr>
        <w:t>Thus,</w:t>
      </w:r>
      <w:r w:rsidR="00015B17" w:rsidRPr="00F113AF">
        <w:rPr>
          <w:spacing w:val="-3"/>
        </w:rPr>
        <w:t xml:space="preserve"> one would prefer to use a larger value of </w:t>
      </w:r>
      <w:r w:rsidR="00015B17" w:rsidRPr="001B525D">
        <w:rPr>
          <w:spacing w:val="-3"/>
          <w:position w:val="-12"/>
        </w:rPr>
        <w:object w:dxaOrig="300" w:dyaOrig="360" w14:anchorId="24C30F33">
          <v:shape id="_x0000_i1276" type="#_x0000_t75" style="width:14.95pt;height:17.75pt" o:ole="">
            <v:imagedata r:id="rId484" o:title=""/>
          </v:shape>
          <o:OLEObject Type="Embed" ProgID="Equation.DSMT4" ShapeID="_x0000_i1276" DrawAspect="Content" ObjectID="_1840626842" r:id="rId486"/>
        </w:object>
      </w:r>
      <w:r w:rsidR="00015B17" w:rsidRPr="00F113AF">
        <w:rPr>
          <w:spacing w:val="-3"/>
        </w:rPr>
        <w:t xml:space="preserve"> and retain the accuracy of Eqn. </w:t>
      </w:r>
      <w:r w:rsidR="00015B17">
        <w:rPr>
          <w:spacing w:val="-3"/>
        </w:rPr>
        <w:t>(3.27)</w:t>
      </w:r>
      <w:r w:rsidR="00015B17" w:rsidRPr="00F113AF">
        <w:rPr>
          <w:spacing w:val="-3"/>
        </w:rPr>
        <w:t>. By treatment of the temperature variation that must exist across a diffuse interface, Karma and Rappel [</w:t>
      </w:r>
      <w:r w:rsidR="00015B17">
        <w:rPr>
          <w:spacing w:val="-3"/>
        </w:rPr>
        <w:t>1996</w:t>
      </w:r>
      <w:r w:rsidR="00015B17" w:rsidRPr="00F113AF">
        <w:rPr>
          <w:spacing w:val="-3"/>
        </w:rPr>
        <w:t xml:space="preserve">] have calculated the relation between </w:t>
      </w:r>
      <w:r w:rsidR="00015B17" w:rsidRPr="00F113AF">
        <w:rPr>
          <w:i/>
          <w:spacing w:val="-3"/>
        </w:rPr>
        <w:sym w:font="Symbol" w:char="F06D"/>
      </w:r>
      <w:r w:rsidR="00015B17" w:rsidRPr="00727E8A">
        <w:rPr>
          <w:i/>
          <w:spacing w:val="-3"/>
          <w:sz w:val="26"/>
          <w:vertAlign w:val="subscript"/>
        </w:rPr>
        <w:t>A</w:t>
      </w:r>
      <w:r w:rsidR="00015B17" w:rsidRPr="00F113AF">
        <w:rPr>
          <w:spacing w:val="-3"/>
        </w:rPr>
        <w:t xml:space="preserve"> and </w:t>
      </w:r>
      <w:r w:rsidR="00015B17" w:rsidRPr="001B525D">
        <w:rPr>
          <w:spacing w:val="-3"/>
          <w:position w:val="-14"/>
        </w:rPr>
        <w:object w:dxaOrig="420" w:dyaOrig="400" w14:anchorId="6A2ADF62">
          <v:shape id="_x0000_i1277" type="#_x0000_t75" style="width:20.55pt;height:19.65pt" o:ole="">
            <v:imagedata r:id="rId487" o:title=""/>
          </v:shape>
          <o:OLEObject Type="Embed" ProgID="Equation.DSMT4" ShapeID="_x0000_i1277" DrawAspect="Content" ObjectID="_1840626843" r:id="rId488"/>
        </w:object>
      </w:r>
      <w:r w:rsidR="00015B17">
        <w:rPr>
          <w:spacing w:val="-3"/>
        </w:rPr>
        <w:t xml:space="preserve"> </w:t>
      </w:r>
      <w:r w:rsidR="00015B17" w:rsidRPr="00F113AF">
        <w:rPr>
          <w:spacing w:val="-3"/>
        </w:rPr>
        <w:t xml:space="preserve">that is correct to second order in </w:t>
      </w:r>
      <w:r w:rsidR="00015B17" w:rsidRPr="001B525D">
        <w:rPr>
          <w:spacing w:val="-3"/>
          <w:position w:val="-12"/>
        </w:rPr>
        <w:object w:dxaOrig="300" w:dyaOrig="360" w14:anchorId="09C893DD">
          <v:shape id="_x0000_i1278" type="#_x0000_t75" style="width:14.95pt;height:17.75pt" o:ole="">
            <v:imagedata r:id="rId484" o:title=""/>
          </v:shape>
          <o:OLEObject Type="Embed" ProgID="Equation.DSMT4" ShapeID="_x0000_i1278" DrawAspect="Content" ObjectID="_1840626844" r:id="rId489"/>
        </w:object>
      </w:r>
      <w:r w:rsidR="00015B17" w:rsidRPr="00F113AF">
        <w:rPr>
          <w:spacing w:val="-3"/>
        </w:rPr>
        <w:t xml:space="preserve"> (if the thermal conductivity </w:t>
      </w:r>
      <w:r w:rsidR="00015B17" w:rsidRPr="001B525D">
        <w:rPr>
          <w:i/>
          <w:spacing w:val="-3"/>
        </w:rPr>
        <w:t>k</w:t>
      </w:r>
      <w:r w:rsidR="00015B17">
        <w:rPr>
          <w:spacing w:val="-3"/>
        </w:rPr>
        <w:t xml:space="preserve"> </w:t>
      </w:r>
      <w:r w:rsidR="00015B17" w:rsidRPr="00F113AF">
        <w:rPr>
          <w:spacing w:val="-3"/>
        </w:rPr>
        <w:t>of the liquid and solid are equal). In this approach they determined that if the interface width is still small compared to the macroscale of the microstructural scale of interest</w:t>
      </w:r>
      <w:r w:rsidR="00727C3E">
        <w:rPr>
          <w:spacing w:val="-3"/>
        </w:rPr>
        <w:t xml:space="preserve"> (e.g. dendrite tip radius) </w:t>
      </w:r>
      <w:r w:rsidR="00015B17" w:rsidRPr="00F113AF">
        <w:rPr>
          <w:spacing w:val="-3"/>
        </w:rPr>
        <w:t>, then (using our own notation)</w:t>
      </w:r>
    </w:p>
    <w:p w14:paraId="514668BD" w14:textId="77777777" w:rsidR="00015B17" w:rsidRPr="00F113AF" w:rsidRDefault="00015B17" w:rsidP="00015B17">
      <w:pPr>
        <w:tabs>
          <w:tab w:val="left" w:pos="-720"/>
        </w:tabs>
        <w:suppressAutoHyphens/>
        <w:spacing w:line="360" w:lineRule="auto"/>
        <w:rPr>
          <w:spacing w:val="-3"/>
        </w:rPr>
      </w:pPr>
    </w:p>
    <w:p w14:paraId="152CFC4C" w14:textId="77777777" w:rsidR="00015B17" w:rsidRDefault="00015B17" w:rsidP="00015B17">
      <w:pPr>
        <w:tabs>
          <w:tab w:val="left" w:pos="-720"/>
        </w:tabs>
        <w:suppressAutoHyphens/>
        <w:spacing w:line="360" w:lineRule="auto"/>
        <w:jc w:val="center"/>
        <w:rPr>
          <w:spacing w:val="-3"/>
        </w:rPr>
      </w:pPr>
      <w:r w:rsidRPr="00B56DD4">
        <w:rPr>
          <w:spacing w:val="-3"/>
          <w:position w:val="-32"/>
        </w:rPr>
        <w:object w:dxaOrig="3019" w:dyaOrig="760" w14:anchorId="6EDD2FEB">
          <v:shape id="_x0000_i1279" type="#_x0000_t75" style="width:149.6pt;height:38.35pt" o:ole="" fillcolor="window">
            <v:imagedata r:id="rId490" o:title=""/>
          </v:shape>
          <o:OLEObject Type="Embed" ProgID="Equation.DSMT4" ShapeID="_x0000_i1279" DrawAspect="Content" ObjectID="_1840626845" r:id="rId491"/>
        </w:object>
      </w:r>
      <w:r w:rsidR="006E6FC2">
        <w:rPr>
          <w:spacing w:val="-3"/>
        </w:rPr>
        <w:t>,</w:t>
      </w:r>
      <w:r w:rsidRPr="00F113AF">
        <w:rPr>
          <w:spacing w:val="-3"/>
        </w:rPr>
        <w:tab/>
      </w:r>
      <w:r w:rsidRPr="00F113AF">
        <w:rPr>
          <w:spacing w:val="-3"/>
        </w:rPr>
        <w:tab/>
      </w:r>
      <w:r>
        <w:rPr>
          <w:spacing w:val="-3"/>
        </w:rPr>
        <w:t>(3.30)</w:t>
      </w:r>
    </w:p>
    <w:p w14:paraId="79D7A22F" w14:textId="77777777" w:rsidR="00015B17" w:rsidRPr="00F113AF" w:rsidRDefault="00015B17" w:rsidP="00015B17">
      <w:pPr>
        <w:tabs>
          <w:tab w:val="left" w:pos="-720"/>
        </w:tabs>
        <w:suppressAutoHyphens/>
        <w:spacing w:line="360" w:lineRule="auto"/>
        <w:jc w:val="center"/>
        <w:rPr>
          <w:spacing w:val="-3"/>
        </w:rPr>
      </w:pPr>
    </w:p>
    <w:p w14:paraId="6075D637" w14:textId="77777777" w:rsidR="00015B17" w:rsidRPr="00F113AF" w:rsidRDefault="00015B17" w:rsidP="00015B17">
      <w:pPr>
        <w:tabs>
          <w:tab w:val="left" w:pos="-720"/>
        </w:tabs>
        <w:suppressAutoHyphens/>
        <w:spacing w:line="360" w:lineRule="auto"/>
        <w:rPr>
          <w:spacing w:val="-3"/>
        </w:rPr>
      </w:pPr>
      <w:r w:rsidRPr="00F113AF">
        <w:rPr>
          <w:spacing w:val="-3"/>
        </w:rPr>
        <w:t xml:space="preserve">where </w:t>
      </w:r>
      <w:r w:rsidRPr="006D30BD">
        <w:rPr>
          <w:spacing w:val="-3"/>
          <w:position w:val="-6"/>
        </w:rPr>
        <w:object w:dxaOrig="820" w:dyaOrig="279" w14:anchorId="368431C6">
          <v:shape id="_x0000_i1280" type="#_x0000_t75" style="width:41.15pt;height:14.05pt" o:ole="" fillcolor="window">
            <v:imagedata r:id="rId492" o:title=""/>
          </v:shape>
          <o:OLEObject Type="Embed" ProgID="Equation.DSMT4" ShapeID="_x0000_i1280" DrawAspect="Content" ObjectID="_1840626846" r:id="rId493"/>
        </w:object>
      </w:r>
      <w:r w:rsidRPr="00F113AF">
        <w:rPr>
          <w:spacing w:val="-3"/>
        </w:rPr>
        <w:t xml:space="preserve">. If </w:t>
      </w:r>
      <w:r w:rsidRPr="001B525D">
        <w:rPr>
          <w:spacing w:val="-3"/>
          <w:position w:val="-12"/>
        </w:rPr>
        <w:object w:dxaOrig="760" w:dyaOrig="360" w14:anchorId="087645E2">
          <v:shape id="_x0000_i1281" type="#_x0000_t75" style="width:38.35pt;height:17.75pt" o:ole="" fillcolor="window">
            <v:imagedata r:id="rId494" o:title=""/>
          </v:shape>
          <o:OLEObject Type="Embed" ProgID="Equation.DSMT4" ShapeID="_x0000_i1281" DrawAspect="Content" ObjectID="_1840626847" r:id="rId495"/>
        </w:object>
      </w:r>
      <w:r>
        <w:rPr>
          <w:spacing w:val="-3"/>
        </w:rPr>
        <w:t xml:space="preserve">, Eqn (3.30) </w:t>
      </w:r>
      <w:r w:rsidRPr="00F113AF">
        <w:rPr>
          <w:spacing w:val="-3"/>
        </w:rPr>
        <w:t xml:space="preserve">recovers Eqn. </w:t>
      </w:r>
      <w:r>
        <w:rPr>
          <w:spacing w:val="-3"/>
        </w:rPr>
        <w:t>(3.29)</w:t>
      </w:r>
      <w:r w:rsidRPr="00F113AF">
        <w:rPr>
          <w:spacing w:val="-3"/>
        </w:rPr>
        <w:t>.</w:t>
      </w:r>
    </w:p>
    <w:p w14:paraId="23A7E09C" w14:textId="77777777" w:rsidR="00015B17" w:rsidRPr="00F113AF" w:rsidRDefault="00015B17" w:rsidP="00015B17">
      <w:pPr>
        <w:tabs>
          <w:tab w:val="left" w:pos="-720"/>
        </w:tabs>
        <w:suppressAutoHyphens/>
        <w:spacing w:line="360" w:lineRule="auto"/>
        <w:jc w:val="both"/>
        <w:rPr>
          <w:spacing w:val="-3"/>
        </w:rPr>
      </w:pPr>
    </w:p>
    <w:p w14:paraId="7A609856" w14:textId="691AB30E" w:rsidR="00015B17" w:rsidRDefault="006E6FC2" w:rsidP="00015B17">
      <w:pPr>
        <w:tabs>
          <w:tab w:val="left" w:pos="-720"/>
        </w:tabs>
        <w:suppressAutoHyphens/>
        <w:spacing w:line="360" w:lineRule="auto"/>
        <w:rPr>
          <w:spacing w:val="-3"/>
        </w:rPr>
      </w:pPr>
      <w:r>
        <w:rPr>
          <w:spacing w:val="-3"/>
        </w:rPr>
        <w:tab/>
      </w:r>
      <w:r w:rsidR="00015B17" w:rsidRPr="00F113AF">
        <w:rPr>
          <w:spacing w:val="-3"/>
        </w:rPr>
        <w:t xml:space="preserve">As pointed out by Karma and Rappel, if one wants to treat the case of local interface equilibrium where </w:t>
      </w:r>
      <w:r w:rsidR="00015B17" w:rsidRPr="00F113AF">
        <w:rPr>
          <w:i/>
          <w:spacing w:val="-3"/>
        </w:rPr>
        <w:sym w:font="Symbol" w:char="F06D"/>
      </w:r>
      <w:r w:rsidR="00015B17" w:rsidRPr="00727E8A">
        <w:rPr>
          <w:i/>
          <w:spacing w:val="-3"/>
          <w:sz w:val="26"/>
          <w:vertAlign w:val="subscript"/>
        </w:rPr>
        <w:t>A</w:t>
      </w:r>
      <w:r w:rsidR="00061F4B">
        <w:rPr>
          <w:i/>
          <w:spacing w:val="-3"/>
          <w:sz w:val="26"/>
          <w:vertAlign w:val="subscript"/>
        </w:rPr>
        <w:t xml:space="preserve"> </w:t>
      </w:r>
      <w:r w:rsidR="00015B17" w:rsidRPr="00F113AF">
        <w:rPr>
          <w:spacing w:val="-3"/>
        </w:rPr>
        <w:t>=</w:t>
      </w:r>
      <w:r w:rsidR="00061F4B">
        <w:rPr>
          <w:spacing w:val="-3"/>
        </w:rPr>
        <w:t xml:space="preserve"> </w:t>
      </w:r>
      <w:r w:rsidR="00015B17" w:rsidRPr="00F113AF">
        <w:rPr>
          <w:spacing w:val="-3"/>
        </w:rPr>
        <w:sym w:font="Symbol" w:char="F0A5"/>
      </w:r>
      <w:r w:rsidR="00015B17" w:rsidRPr="00F113AF">
        <w:rPr>
          <w:spacing w:val="-3"/>
        </w:rPr>
        <w:t xml:space="preserve">, then for a given value of </w:t>
      </w:r>
      <w:r w:rsidR="00015B17" w:rsidRPr="003E0F31">
        <w:rPr>
          <w:i/>
          <w:spacing w:val="-3"/>
          <w:sz w:val="26"/>
          <w:szCs w:val="26"/>
        </w:rPr>
        <w:sym w:font="Symbol" w:char="F064"/>
      </w:r>
      <w:r w:rsidR="00015B17" w:rsidRPr="00F113AF">
        <w:rPr>
          <w:spacing w:val="-3"/>
        </w:rPr>
        <w:t>, Eqn</w:t>
      </w:r>
      <w:r w:rsidR="00015B17">
        <w:rPr>
          <w:spacing w:val="-3"/>
        </w:rPr>
        <w:t>.</w:t>
      </w:r>
      <w:r w:rsidR="00015B17" w:rsidRPr="00F113AF">
        <w:rPr>
          <w:spacing w:val="-3"/>
        </w:rPr>
        <w:t xml:space="preserve"> </w:t>
      </w:r>
      <w:r w:rsidR="00015B17">
        <w:rPr>
          <w:spacing w:val="-3"/>
        </w:rPr>
        <w:t>(3.</w:t>
      </w:r>
      <w:r w:rsidR="000154A4">
        <w:rPr>
          <w:spacing w:val="-3"/>
        </w:rPr>
        <w:t>3</w:t>
      </w:r>
      <w:r w:rsidR="00015B17">
        <w:rPr>
          <w:spacing w:val="-3"/>
        </w:rPr>
        <w:t>0)</w:t>
      </w:r>
      <w:r w:rsidR="00015B17" w:rsidRPr="00F113AF">
        <w:rPr>
          <w:spacing w:val="-3"/>
        </w:rPr>
        <w:t xml:space="preserve"> gives the appropriate value of </w:t>
      </w:r>
      <w:r w:rsidR="00015B17" w:rsidRPr="006F2F91">
        <w:rPr>
          <w:spacing w:val="-3"/>
          <w:position w:val="-14"/>
        </w:rPr>
        <w:object w:dxaOrig="420" w:dyaOrig="400" w14:anchorId="3C63B77C">
          <v:shape id="_x0000_i1282" type="#_x0000_t75" style="width:20.55pt;height:19.65pt" o:ole="" fillcolor="window">
            <v:imagedata r:id="rId496" o:title=""/>
          </v:shape>
          <o:OLEObject Type="Embed" ProgID="Equation.DSMT4" ShapeID="_x0000_i1282" DrawAspect="Content" ObjectID="_1840626848" r:id="rId497"/>
        </w:object>
      </w:r>
      <w:r w:rsidR="00015B17" w:rsidRPr="00F113AF">
        <w:rPr>
          <w:spacing w:val="-3"/>
        </w:rPr>
        <w:t xml:space="preserve">. This is useful because many researchers are interested in comparing the </w:t>
      </w:r>
      <w:r w:rsidR="00015B17" w:rsidRPr="00F113AF">
        <w:rPr>
          <w:spacing w:val="-3"/>
        </w:rPr>
        <w:lastRenderedPageBreak/>
        <w:t>predictions of the phase field method to mathematical solutions of the sharp interface formulation that assume loc</w:t>
      </w:r>
      <w:r w:rsidR="00015B17">
        <w:rPr>
          <w:spacing w:val="-3"/>
        </w:rPr>
        <w:t xml:space="preserve">al equilibrium (i.e., ignoring </w:t>
      </w:r>
      <w:r w:rsidR="00015B17" w:rsidRPr="00F113AF">
        <w:rPr>
          <w:spacing w:val="-3"/>
        </w:rPr>
        <w:t xml:space="preserve">interface kinetics).  </w:t>
      </w:r>
      <w:r w:rsidR="00015B17">
        <w:rPr>
          <w:spacing w:val="-3"/>
        </w:rPr>
        <w:t>S</w:t>
      </w:r>
      <w:r w:rsidR="00015B17" w:rsidRPr="00F113AF">
        <w:rPr>
          <w:spacing w:val="-3"/>
        </w:rPr>
        <w:t xml:space="preserve">uch </w:t>
      </w:r>
      <w:r w:rsidR="00727C3E">
        <w:rPr>
          <w:spacing w:val="-3"/>
        </w:rPr>
        <w:t xml:space="preserve">modifications </w:t>
      </w:r>
      <w:r w:rsidR="00727C3E" w:rsidRPr="00F113AF">
        <w:rPr>
          <w:spacing w:val="-3"/>
        </w:rPr>
        <w:t>have</w:t>
      </w:r>
      <w:r w:rsidR="00015B17" w:rsidRPr="00F113AF">
        <w:rPr>
          <w:spacing w:val="-3"/>
        </w:rPr>
        <w:t xml:space="preserve"> been </w:t>
      </w:r>
      <w:r w:rsidR="00015B17">
        <w:rPr>
          <w:spacing w:val="-3"/>
        </w:rPr>
        <w:t>also performed</w:t>
      </w:r>
      <w:r w:rsidR="00015B17" w:rsidRPr="00F113AF">
        <w:rPr>
          <w:spacing w:val="-3"/>
        </w:rPr>
        <w:t xml:space="preserve"> for alloys</w:t>
      </w:r>
      <w:r w:rsidR="00015B17">
        <w:rPr>
          <w:spacing w:val="-3"/>
        </w:rPr>
        <w:t xml:space="preserve"> by Karma [2001]. </w:t>
      </w:r>
      <w:r w:rsidR="00015B17" w:rsidRPr="00F113AF">
        <w:rPr>
          <w:spacing w:val="-3"/>
        </w:rPr>
        <w:t>On the other hand, some researchers are interested in high solidification speed where interface kinetics play</w:t>
      </w:r>
      <w:r w:rsidR="00727C3E">
        <w:rPr>
          <w:spacing w:val="-3"/>
        </w:rPr>
        <w:t>s</w:t>
      </w:r>
      <w:r w:rsidR="00015B17" w:rsidRPr="00F113AF">
        <w:rPr>
          <w:spacing w:val="-3"/>
        </w:rPr>
        <w:t xml:space="preserve"> a very important role. </w:t>
      </w:r>
      <w:r w:rsidR="00015B17">
        <w:rPr>
          <w:spacing w:val="-3"/>
        </w:rPr>
        <w:t xml:space="preserve">In </w:t>
      </w:r>
      <w:r w:rsidR="00727C3E">
        <w:rPr>
          <w:spacing w:val="-3"/>
        </w:rPr>
        <w:t>§</w:t>
      </w:r>
      <w:r w:rsidR="00015B17">
        <w:rPr>
          <w:spacing w:val="-3"/>
        </w:rPr>
        <w:t xml:space="preserve">4 it will be shown </w:t>
      </w:r>
      <w:r w:rsidR="00015B17" w:rsidRPr="00F113AF">
        <w:rPr>
          <w:spacing w:val="-3"/>
        </w:rPr>
        <w:t xml:space="preserve">how the phase field method </w:t>
      </w:r>
      <w:r w:rsidR="00015B17">
        <w:rPr>
          <w:spacing w:val="-3"/>
        </w:rPr>
        <w:t>includes</w:t>
      </w:r>
      <w:r w:rsidR="00015B17" w:rsidRPr="00F113AF">
        <w:rPr>
          <w:spacing w:val="-3"/>
        </w:rPr>
        <w:t xml:space="preserve"> the phenomenon of solute trapping for alloy solidification at high velocity.  </w:t>
      </w:r>
    </w:p>
    <w:p w14:paraId="66C10903" w14:textId="77777777" w:rsidR="00015B17" w:rsidRDefault="00015B17" w:rsidP="00015B17">
      <w:pPr>
        <w:tabs>
          <w:tab w:val="left" w:pos="-720"/>
        </w:tabs>
        <w:suppressAutoHyphens/>
        <w:spacing w:line="360" w:lineRule="auto"/>
        <w:jc w:val="both"/>
        <w:rPr>
          <w:spacing w:val="-3"/>
          <w:u w:val="single"/>
        </w:rPr>
      </w:pPr>
    </w:p>
    <w:p w14:paraId="168395FA" w14:textId="77777777" w:rsidR="00015B17" w:rsidRDefault="00015B17" w:rsidP="00015B17">
      <w:pPr>
        <w:tabs>
          <w:tab w:val="left" w:pos="-720"/>
        </w:tabs>
        <w:suppressAutoHyphens/>
        <w:spacing w:line="360" w:lineRule="auto"/>
        <w:jc w:val="both"/>
        <w:rPr>
          <w:spacing w:val="-3"/>
          <w:u w:val="single"/>
        </w:rPr>
      </w:pPr>
    </w:p>
    <w:p w14:paraId="511D6226" w14:textId="77777777" w:rsidR="00015B17" w:rsidRDefault="00015B17" w:rsidP="00015B17">
      <w:pPr>
        <w:tabs>
          <w:tab w:val="left" w:pos="-720"/>
        </w:tabs>
        <w:suppressAutoHyphens/>
        <w:spacing w:line="360" w:lineRule="auto"/>
        <w:jc w:val="both"/>
        <w:outlineLvl w:val="0"/>
        <w:rPr>
          <w:spacing w:val="-3"/>
          <w:u w:val="single"/>
        </w:rPr>
      </w:pPr>
      <w:r w:rsidRPr="00FD7E0E">
        <w:rPr>
          <w:b/>
          <w:spacing w:val="-3"/>
        </w:rPr>
        <w:t>3.4.</w:t>
      </w:r>
      <w:r>
        <w:rPr>
          <w:b/>
          <w:spacing w:val="-3"/>
        </w:rPr>
        <w:t>5</w:t>
      </w:r>
      <w:r w:rsidRPr="00FD7E0E">
        <w:rPr>
          <w:b/>
          <w:spacing w:val="-3"/>
        </w:rPr>
        <w:t xml:space="preserve"> Alloy</w:t>
      </w:r>
      <w:r>
        <w:rPr>
          <w:b/>
          <w:spacing w:val="-3"/>
        </w:rPr>
        <w:t xml:space="preserve">s </w:t>
      </w:r>
    </w:p>
    <w:p w14:paraId="6F4B2CD6" w14:textId="77777777" w:rsidR="00015B17" w:rsidRDefault="00015B17" w:rsidP="00015B17">
      <w:pPr>
        <w:tabs>
          <w:tab w:val="left" w:pos="-720"/>
        </w:tabs>
        <w:suppressAutoHyphens/>
        <w:spacing w:line="360" w:lineRule="auto"/>
        <w:jc w:val="both"/>
        <w:rPr>
          <w:spacing w:val="-3"/>
          <w:u w:val="single"/>
        </w:rPr>
      </w:pPr>
    </w:p>
    <w:p w14:paraId="3203F033" w14:textId="77777777" w:rsidR="00015B17" w:rsidRPr="00DA77FD" w:rsidRDefault="006E6FC2" w:rsidP="00015B17">
      <w:pPr>
        <w:tabs>
          <w:tab w:val="left" w:pos="-720"/>
        </w:tabs>
        <w:suppressAutoHyphens/>
        <w:spacing w:line="360" w:lineRule="auto"/>
        <w:rPr>
          <w:spacing w:val="-3"/>
        </w:rPr>
      </w:pPr>
      <w:r>
        <w:rPr>
          <w:spacing w:val="-3"/>
        </w:rPr>
        <w:tab/>
      </w:r>
      <w:r w:rsidR="00015B17" w:rsidRPr="00DA77FD">
        <w:rPr>
          <w:spacing w:val="-3"/>
        </w:rPr>
        <w:t xml:space="preserve">We recall the general form of the free energy, </w:t>
      </w:r>
      <w:r w:rsidR="00015B17" w:rsidRPr="00DA77FD">
        <w:rPr>
          <w:i/>
          <w:spacing w:val="-3"/>
        </w:rPr>
        <w:t>f</w:t>
      </w:r>
      <w:r w:rsidR="00015B17" w:rsidRPr="00DA77FD">
        <w:rPr>
          <w:spacing w:val="-3"/>
        </w:rPr>
        <w:t>(</w:t>
      </w:r>
      <w:r w:rsidR="00015B17" w:rsidRPr="00DA77FD">
        <w:rPr>
          <w:i/>
          <w:spacing w:val="-3"/>
        </w:rPr>
        <w:sym w:font="Symbol" w:char="F066"/>
      </w:r>
      <w:r w:rsidR="00015B17" w:rsidRPr="00DA77FD">
        <w:rPr>
          <w:i/>
          <w:spacing w:val="-3"/>
        </w:rPr>
        <w:t>,c,T</w:t>
      </w:r>
      <w:r w:rsidR="00015B17" w:rsidRPr="00DA77FD">
        <w:rPr>
          <w:spacing w:val="-3"/>
        </w:rPr>
        <w:t>), Eqn. (3.18) for the case of an alloy. The general shape is shown in Fig. 3.</w:t>
      </w:r>
      <w:r w:rsidR="00015B17">
        <w:rPr>
          <w:spacing w:val="-3"/>
        </w:rPr>
        <w:t>8</w:t>
      </w:r>
      <w:r w:rsidR="00015B17" w:rsidRPr="00DA77FD">
        <w:rPr>
          <w:spacing w:val="-3"/>
        </w:rPr>
        <w:t xml:space="preserve">a for </w:t>
      </w:r>
      <w:r w:rsidR="00015B17" w:rsidRPr="00DA77FD">
        <w:rPr>
          <w:i/>
          <w:spacing w:val="-3"/>
        </w:rPr>
        <w:sym w:font="Symbol" w:char="F057"/>
      </w:r>
      <w:r w:rsidR="00015B17" w:rsidRPr="00DA77FD">
        <w:rPr>
          <w:i/>
          <w:spacing w:val="-3"/>
        </w:rPr>
        <w:t xml:space="preserve"> </w:t>
      </w:r>
      <w:r w:rsidR="00015B17" w:rsidRPr="00DA77FD">
        <w:rPr>
          <w:i/>
          <w:spacing w:val="-3"/>
        </w:rPr>
        <w:sym w:font="Symbol" w:char="F0A3"/>
      </w:r>
      <w:r w:rsidR="00015B17" w:rsidRPr="00DA77FD">
        <w:rPr>
          <w:i/>
          <w:spacing w:val="-3"/>
        </w:rPr>
        <w:t xml:space="preserve"> 0</w:t>
      </w:r>
      <w:r w:rsidR="00015B17" w:rsidRPr="00DA77FD">
        <w:rPr>
          <w:spacing w:val="-3"/>
        </w:rPr>
        <w:t xml:space="preserve"> and at a fixed temperature between the pure component melting points.  For fixed temperature, simultaneous solution of Eqns. (3.13) and (3.14) in one dimension show that </w:t>
      </w:r>
      <w:r w:rsidR="00015B17" w:rsidRPr="00DA77FD">
        <w:rPr>
          <w:i/>
          <w:spacing w:val="-3"/>
        </w:rPr>
        <w:sym w:font="Symbol" w:char="F066"/>
      </w:r>
      <w:r w:rsidR="00015B17" w:rsidRPr="00DA77FD">
        <w:rPr>
          <w:spacing w:val="-3"/>
        </w:rPr>
        <w:t xml:space="preserve"> </w:t>
      </w:r>
      <w:r w:rsidR="00727C3E">
        <w:rPr>
          <w:spacing w:val="-3"/>
        </w:rPr>
        <w:t xml:space="preserve"> </w:t>
      </w:r>
      <w:r w:rsidR="00015B17" w:rsidRPr="00DA77FD">
        <w:rPr>
          <w:spacing w:val="-3"/>
        </w:rPr>
        <w:t xml:space="preserve">will vary from </w:t>
      </w:r>
      <w:r w:rsidR="00015B17" w:rsidRPr="00DA77FD">
        <w:rPr>
          <w:i/>
          <w:spacing w:val="-3"/>
        </w:rPr>
        <w:t>1</w:t>
      </w:r>
      <w:r w:rsidR="00015B17" w:rsidRPr="00DA77FD">
        <w:rPr>
          <w:spacing w:val="-3"/>
        </w:rPr>
        <w:t xml:space="preserve"> to </w:t>
      </w:r>
      <w:r w:rsidR="00015B17" w:rsidRPr="00DA77FD">
        <w:rPr>
          <w:i/>
          <w:spacing w:val="-3"/>
        </w:rPr>
        <w:t>0</w:t>
      </w:r>
      <w:r w:rsidR="00015B17" w:rsidRPr="00DA77FD">
        <w:rPr>
          <w:spacing w:val="-3"/>
        </w:rPr>
        <w:t xml:space="preserve"> across a stationary interface between liquid and solid as </w:t>
      </w:r>
      <w:r w:rsidR="00015B17" w:rsidRPr="00DA77FD">
        <w:rPr>
          <w:i/>
          <w:spacing w:val="-3"/>
        </w:rPr>
        <w:t>C</w:t>
      </w:r>
      <w:r w:rsidR="00015B17" w:rsidRPr="00DA77FD">
        <w:rPr>
          <w:spacing w:val="-3"/>
        </w:rPr>
        <w:t xml:space="preserve"> varies between two specific compositions </w:t>
      </w:r>
      <w:r w:rsidR="00015B17" w:rsidRPr="00DA77FD">
        <w:rPr>
          <w:i/>
          <w:spacing w:val="-3"/>
        </w:rPr>
        <w:t>C</w:t>
      </w:r>
      <w:r w:rsidR="00015B17" w:rsidRPr="00727E8A">
        <w:rPr>
          <w:i/>
          <w:spacing w:val="-3"/>
          <w:sz w:val="26"/>
          <w:vertAlign w:val="subscript"/>
        </w:rPr>
        <w:t>L</w:t>
      </w:r>
      <w:r w:rsidR="00015B17" w:rsidRPr="00DA77FD">
        <w:rPr>
          <w:spacing w:val="-3"/>
        </w:rPr>
        <w:t xml:space="preserve"> and </w:t>
      </w:r>
      <w:r w:rsidR="00015B17" w:rsidRPr="00DA77FD">
        <w:rPr>
          <w:i/>
          <w:spacing w:val="-3"/>
        </w:rPr>
        <w:t>C</w:t>
      </w:r>
      <w:r w:rsidR="00015B17" w:rsidRPr="00727E8A">
        <w:rPr>
          <w:i/>
          <w:spacing w:val="-3"/>
          <w:sz w:val="26"/>
          <w:vertAlign w:val="subscript"/>
        </w:rPr>
        <w:t>S</w:t>
      </w:r>
      <w:r w:rsidR="00015B17" w:rsidRPr="00DA77FD">
        <w:rPr>
          <w:spacing w:val="-3"/>
        </w:rPr>
        <w:t xml:space="preserve"> as shown by the dotted line on the (</w:t>
      </w:r>
      <w:r w:rsidR="00015B17" w:rsidRPr="00DA77FD">
        <w:rPr>
          <w:i/>
          <w:spacing w:val="-3"/>
        </w:rPr>
        <w:sym w:font="Symbol" w:char="F066"/>
      </w:r>
      <w:r w:rsidR="00015B17" w:rsidRPr="00DA77FD">
        <w:rPr>
          <w:spacing w:val="-3"/>
        </w:rPr>
        <w:t>, c) base of the plot. The values far from the interface are given by a plane tangent at two points to the free energy surface. The tangent plane has the properties that</w:t>
      </w:r>
    </w:p>
    <w:p w14:paraId="5C22A214" w14:textId="77777777" w:rsidR="00015B17" w:rsidRPr="00F113AF" w:rsidRDefault="00015B17" w:rsidP="00015B17">
      <w:pPr>
        <w:tabs>
          <w:tab w:val="left" w:pos="-720"/>
        </w:tabs>
        <w:suppressAutoHyphens/>
        <w:spacing w:line="360" w:lineRule="auto"/>
        <w:jc w:val="both"/>
        <w:rPr>
          <w:spacing w:val="-3"/>
        </w:rPr>
      </w:pPr>
    </w:p>
    <w:p w14:paraId="37B0B308" w14:textId="77777777" w:rsidR="00015B17" w:rsidRDefault="00015B17" w:rsidP="00015B17">
      <w:pPr>
        <w:tabs>
          <w:tab w:val="left" w:pos="-720"/>
        </w:tabs>
        <w:suppressAutoHyphens/>
        <w:spacing w:line="360" w:lineRule="auto"/>
        <w:jc w:val="center"/>
        <w:rPr>
          <w:spacing w:val="-3"/>
        </w:rPr>
      </w:pPr>
      <w:r w:rsidRPr="006D30BD">
        <w:rPr>
          <w:spacing w:val="-3"/>
          <w:position w:val="-28"/>
        </w:rPr>
        <w:object w:dxaOrig="2640" w:dyaOrig="660" w14:anchorId="5882D55B">
          <v:shape id="_x0000_i1283" type="#_x0000_t75" style="width:131.85pt;height:31.8pt" o:ole="" fillcolor="window">
            <v:imagedata r:id="rId498" o:title=""/>
          </v:shape>
          <o:OLEObject Type="Embed" ProgID="Equation.DSMT4" ShapeID="_x0000_i1283" DrawAspect="Content" ObjectID="_1840626849" r:id="rId499"/>
        </w:object>
      </w:r>
      <w:r w:rsidRPr="00F113AF">
        <w:rPr>
          <w:spacing w:val="-3"/>
        </w:rPr>
        <w:tab/>
      </w:r>
      <w:r w:rsidRPr="00F113AF">
        <w:rPr>
          <w:spacing w:val="-3"/>
        </w:rPr>
        <w:tab/>
      </w:r>
      <w:r>
        <w:rPr>
          <w:spacing w:val="-3"/>
        </w:rPr>
        <w:t>(3.31)</w:t>
      </w:r>
    </w:p>
    <w:p w14:paraId="10D1049D" w14:textId="77777777" w:rsidR="00015B17" w:rsidRPr="00F113AF" w:rsidRDefault="00015B17" w:rsidP="00015B17">
      <w:pPr>
        <w:tabs>
          <w:tab w:val="left" w:pos="-720"/>
        </w:tabs>
        <w:suppressAutoHyphens/>
        <w:spacing w:line="360" w:lineRule="auto"/>
        <w:jc w:val="center"/>
        <w:rPr>
          <w:spacing w:val="-3"/>
        </w:rPr>
      </w:pPr>
    </w:p>
    <w:p w14:paraId="3DAAB22F" w14:textId="77777777" w:rsidR="00015B17" w:rsidRPr="00F113AF" w:rsidRDefault="00015B17" w:rsidP="00015B17">
      <w:pPr>
        <w:tabs>
          <w:tab w:val="left" w:pos="-720"/>
        </w:tabs>
        <w:suppressAutoHyphens/>
        <w:spacing w:line="360" w:lineRule="auto"/>
        <w:rPr>
          <w:spacing w:val="-3"/>
        </w:rPr>
      </w:pPr>
      <w:r w:rsidRPr="00F113AF">
        <w:rPr>
          <w:spacing w:val="-3"/>
        </w:rPr>
        <w:t>as required by Eqns</w:t>
      </w:r>
      <w:r>
        <w:rPr>
          <w:spacing w:val="-3"/>
        </w:rPr>
        <w:t>.</w:t>
      </w:r>
      <w:r w:rsidRPr="00F113AF">
        <w:rPr>
          <w:spacing w:val="-3"/>
        </w:rPr>
        <w:t xml:space="preserve"> </w:t>
      </w:r>
      <w:r>
        <w:rPr>
          <w:spacing w:val="-3"/>
        </w:rPr>
        <w:t>(3.13) and (3.15)</w:t>
      </w:r>
      <w:r w:rsidRPr="00F113AF">
        <w:rPr>
          <w:spacing w:val="-3"/>
        </w:rPr>
        <w:t xml:space="preserve"> whenever </w:t>
      </w:r>
      <w:r w:rsidRPr="00F113AF">
        <w:rPr>
          <w:i/>
          <w:spacing w:val="-3"/>
        </w:rPr>
        <w:sym w:font="Symbol" w:char="F066"/>
      </w:r>
      <w:r w:rsidRPr="00F113AF">
        <w:rPr>
          <w:spacing w:val="-3"/>
        </w:rPr>
        <w:t xml:space="preserve"> and c have no spatial variation; i.e., far from the interface. This construction is the same as that obtained by classical thermodynamic methods applied to equilibrium between bulk phases; viz., the common tangent construction to the liquid and solid free energies at the selected temperature.  The common tangent line to </w:t>
      </w:r>
      <w:r w:rsidRPr="00F113AF">
        <w:rPr>
          <w:i/>
          <w:spacing w:val="-3"/>
        </w:rPr>
        <w:t>f(0,c,T</w:t>
      </w:r>
      <w:r w:rsidRPr="00F113AF">
        <w:rPr>
          <w:spacing w:val="-3"/>
        </w:rPr>
        <w:t xml:space="preserve">) and </w:t>
      </w:r>
      <w:r w:rsidRPr="00F113AF">
        <w:rPr>
          <w:i/>
          <w:spacing w:val="-3"/>
        </w:rPr>
        <w:t>f(1,c,T)</w:t>
      </w:r>
      <w:r w:rsidRPr="00F113AF">
        <w:rPr>
          <w:spacing w:val="-3"/>
        </w:rPr>
        <w:t xml:space="preserve"> at fixed T is the projection of the tangent plane to the surface </w:t>
      </w:r>
      <w:r w:rsidRPr="00F113AF">
        <w:rPr>
          <w:i/>
          <w:spacing w:val="-3"/>
        </w:rPr>
        <w:t>f(</w:t>
      </w:r>
      <w:r w:rsidRPr="00F113AF">
        <w:rPr>
          <w:i/>
          <w:spacing w:val="-3"/>
        </w:rPr>
        <w:sym w:font="Symbol" w:char="F066"/>
      </w:r>
      <w:r w:rsidRPr="00F113AF">
        <w:rPr>
          <w:i/>
          <w:spacing w:val="-3"/>
        </w:rPr>
        <w:t>, c,</w:t>
      </w:r>
      <w:r>
        <w:rPr>
          <w:i/>
          <w:spacing w:val="-3"/>
        </w:rPr>
        <w:t xml:space="preserve"> </w:t>
      </w:r>
      <w:r w:rsidRPr="00F113AF">
        <w:rPr>
          <w:i/>
          <w:spacing w:val="-3"/>
        </w:rPr>
        <w:t>T)</w:t>
      </w:r>
      <w:r w:rsidRPr="00F113AF">
        <w:rPr>
          <w:spacing w:val="-3"/>
        </w:rPr>
        <w:t xml:space="preserve"> as shown in Fig. </w:t>
      </w:r>
      <w:r>
        <w:rPr>
          <w:spacing w:val="-3"/>
        </w:rPr>
        <w:t>3.8</w:t>
      </w:r>
      <w:r w:rsidRPr="00F113AF">
        <w:rPr>
          <w:spacing w:val="-3"/>
        </w:rPr>
        <w:t>b.</w:t>
      </w:r>
    </w:p>
    <w:p w14:paraId="588282EC" w14:textId="77777777" w:rsidR="00015B17" w:rsidRPr="00F113AF" w:rsidRDefault="00015B17" w:rsidP="00015B17">
      <w:pPr>
        <w:tabs>
          <w:tab w:val="left" w:pos="-720"/>
        </w:tabs>
        <w:suppressAutoHyphens/>
        <w:spacing w:line="360" w:lineRule="auto"/>
        <w:rPr>
          <w:spacing w:val="-3"/>
        </w:rPr>
      </w:pPr>
    </w:p>
    <w:p w14:paraId="21E58D60" w14:textId="77777777" w:rsidR="00015B17" w:rsidRDefault="00015B17" w:rsidP="00015B17">
      <w:pPr>
        <w:tabs>
          <w:tab w:val="left" w:pos="-720"/>
        </w:tabs>
        <w:suppressAutoHyphens/>
        <w:spacing w:line="360" w:lineRule="auto"/>
        <w:outlineLvl w:val="0"/>
        <w:rPr>
          <w:spacing w:val="-3"/>
        </w:rPr>
      </w:pPr>
      <w:r>
        <w:rPr>
          <w:spacing w:val="-3"/>
        </w:rPr>
        <w:tab/>
      </w:r>
      <w:r w:rsidRPr="00F113AF">
        <w:rPr>
          <w:spacing w:val="-3"/>
        </w:rPr>
        <w:t xml:space="preserve">The phase field mobility and the diffusion mobility </w:t>
      </w:r>
      <w:r>
        <w:rPr>
          <w:spacing w:val="-3"/>
        </w:rPr>
        <w:t xml:space="preserve">can be taken as </w:t>
      </w:r>
    </w:p>
    <w:p w14:paraId="7E6D5617" w14:textId="77777777" w:rsidR="00015B17" w:rsidRDefault="00015B17" w:rsidP="00015B17">
      <w:pPr>
        <w:tabs>
          <w:tab w:val="left" w:pos="-720"/>
        </w:tabs>
        <w:suppressAutoHyphens/>
        <w:spacing w:line="360" w:lineRule="auto"/>
        <w:jc w:val="both"/>
        <w:rPr>
          <w:spacing w:val="-3"/>
        </w:rPr>
      </w:pPr>
    </w:p>
    <w:p w14:paraId="438CB5BA" w14:textId="77777777" w:rsidR="00015B17" w:rsidRDefault="00015B17" w:rsidP="00015B17">
      <w:pPr>
        <w:tabs>
          <w:tab w:val="left" w:pos="-720"/>
        </w:tabs>
        <w:suppressAutoHyphens/>
        <w:spacing w:line="360" w:lineRule="auto"/>
        <w:jc w:val="center"/>
        <w:rPr>
          <w:spacing w:val="-3"/>
        </w:rPr>
      </w:pPr>
      <w:r w:rsidRPr="006D30BD">
        <w:rPr>
          <w:spacing w:val="-3"/>
          <w:position w:val="-46"/>
        </w:rPr>
        <w:object w:dxaOrig="2940" w:dyaOrig="1040" w14:anchorId="2E3FDE93">
          <v:shape id="_x0000_i1284" type="#_x0000_t75" style="width:147.75pt;height:51.45pt" o:ole="" fillcolor="window">
            <v:imagedata r:id="rId500" o:title=""/>
          </v:shape>
          <o:OLEObject Type="Embed" ProgID="Equation.DSMT4" ShapeID="_x0000_i1284" DrawAspect="Content" ObjectID="_1840626850" r:id="rId501"/>
        </w:object>
      </w:r>
      <w:r w:rsidRPr="00F113AF">
        <w:rPr>
          <w:spacing w:val="-3"/>
        </w:rPr>
        <w:tab/>
      </w:r>
      <w:r w:rsidRPr="00F113AF">
        <w:rPr>
          <w:spacing w:val="-3"/>
        </w:rPr>
        <w:tab/>
      </w:r>
      <w:r w:rsidRPr="00F113AF">
        <w:rPr>
          <w:spacing w:val="-3"/>
        </w:rPr>
        <w:tab/>
      </w:r>
      <w:r>
        <w:rPr>
          <w:spacing w:val="-3"/>
        </w:rPr>
        <w:t>(3.32)</w:t>
      </w:r>
    </w:p>
    <w:p w14:paraId="082486B4" w14:textId="77777777" w:rsidR="00015B17" w:rsidRPr="00F113AF" w:rsidRDefault="00015B17" w:rsidP="00015B17">
      <w:pPr>
        <w:tabs>
          <w:tab w:val="left" w:pos="-720"/>
        </w:tabs>
        <w:suppressAutoHyphens/>
        <w:spacing w:line="360" w:lineRule="auto"/>
        <w:jc w:val="center"/>
        <w:rPr>
          <w:spacing w:val="-3"/>
        </w:rPr>
      </w:pPr>
    </w:p>
    <w:p w14:paraId="7C504A9B" w14:textId="77777777" w:rsidR="00015B17" w:rsidRDefault="00015B17" w:rsidP="00015B17">
      <w:pPr>
        <w:tabs>
          <w:tab w:val="left" w:pos="-720"/>
        </w:tabs>
        <w:suppressAutoHyphens/>
        <w:spacing w:line="360" w:lineRule="auto"/>
        <w:rPr>
          <w:spacing w:val="-3"/>
        </w:rPr>
      </w:pPr>
      <w:r w:rsidRPr="00F113AF">
        <w:rPr>
          <w:spacing w:val="-3"/>
        </w:rPr>
        <w:t xml:space="preserve">where </w:t>
      </w:r>
      <w:r w:rsidRPr="00F113AF">
        <w:rPr>
          <w:i/>
          <w:spacing w:val="-3"/>
        </w:rPr>
        <w:t>D</w:t>
      </w:r>
      <w:r w:rsidRPr="00727E8A">
        <w:rPr>
          <w:i/>
          <w:spacing w:val="-3"/>
          <w:sz w:val="26"/>
          <w:vertAlign w:val="subscript"/>
        </w:rPr>
        <w:t>L</w:t>
      </w:r>
      <w:r w:rsidRPr="00F113AF">
        <w:rPr>
          <w:i/>
          <w:spacing w:val="-3"/>
        </w:rPr>
        <w:t xml:space="preserve"> </w:t>
      </w:r>
      <w:r w:rsidRPr="00F113AF">
        <w:rPr>
          <w:spacing w:val="-3"/>
        </w:rPr>
        <w:t xml:space="preserve">and </w:t>
      </w:r>
      <w:r w:rsidRPr="00F113AF">
        <w:rPr>
          <w:i/>
          <w:spacing w:val="-3"/>
        </w:rPr>
        <w:t>D</w:t>
      </w:r>
      <w:r w:rsidRPr="00727E8A">
        <w:rPr>
          <w:i/>
          <w:spacing w:val="-3"/>
          <w:sz w:val="26"/>
          <w:vertAlign w:val="subscript"/>
        </w:rPr>
        <w:t>S</w:t>
      </w:r>
      <w:r w:rsidRPr="00F113AF">
        <w:rPr>
          <w:spacing w:val="-3"/>
        </w:rPr>
        <w:t xml:space="preserve"> are the diffusion coefficients in the bulk liquid and solid phases. Also we note that the interpolating function </w:t>
      </w:r>
      <w:r w:rsidRPr="00F113AF">
        <w:rPr>
          <w:i/>
          <w:spacing w:val="-3"/>
        </w:rPr>
        <w:t>p(</w:t>
      </w:r>
      <w:r w:rsidRPr="006D30BD">
        <w:rPr>
          <w:rFonts w:ascii="Symbol" w:hAnsi="Symbol"/>
          <w:i/>
          <w:spacing w:val="-3"/>
        </w:rPr>
        <w:t></w:t>
      </w:r>
      <w:r w:rsidRPr="00F113AF">
        <w:rPr>
          <w:i/>
          <w:spacing w:val="-3"/>
        </w:rPr>
        <w:t>)</w:t>
      </w:r>
      <w:r w:rsidRPr="00F113AF">
        <w:rPr>
          <w:spacing w:val="-3"/>
        </w:rPr>
        <w:t xml:space="preserve"> need not be the same as the interpolating function introduced in Eqn. </w:t>
      </w:r>
      <w:r>
        <w:rPr>
          <w:spacing w:val="-3"/>
        </w:rPr>
        <w:t>(3.17)</w:t>
      </w:r>
      <w:r w:rsidRPr="00F113AF">
        <w:rPr>
          <w:spacing w:val="-3"/>
        </w:rPr>
        <w:t>.</w:t>
      </w:r>
      <w:r>
        <w:rPr>
          <w:spacing w:val="-3"/>
        </w:rPr>
        <w:t xml:space="preserve"> </w:t>
      </w:r>
    </w:p>
    <w:p w14:paraId="2F4B0463" w14:textId="77777777" w:rsidR="00015B17" w:rsidRDefault="00015B17" w:rsidP="00015B17">
      <w:pPr>
        <w:tabs>
          <w:tab w:val="left" w:pos="-720"/>
        </w:tabs>
        <w:suppressAutoHyphens/>
        <w:spacing w:line="360" w:lineRule="auto"/>
        <w:jc w:val="both"/>
        <w:rPr>
          <w:spacing w:val="-3"/>
        </w:rPr>
      </w:pPr>
    </w:p>
    <w:p w14:paraId="6BF408FA" w14:textId="77777777" w:rsidR="00015B17" w:rsidRDefault="00015B17" w:rsidP="00015B17">
      <w:pPr>
        <w:tabs>
          <w:tab w:val="left" w:pos="-720"/>
        </w:tabs>
        <w:suppressAutoHyphens/>
        <w:spacing w:line="360" w:lineRule="auto"/>
        <w:jc w:val="both"/>
        <w:outlineLvl w:val="0"/>
        <w:rPr>
          <w:b/>
          <w:spacing w:val="-3"/>
        </w:rPr>
      </w:pPr>
      <w:r w:rsidRPr="00FD7E0E">
        <w:rPr>
          <w:b/>
          <w:spacing w:val="-3"/>
        </w:rPr>
        <w:t>3.4.</w:t>
      </w:r>
      <w:r>
        <w:rPr>
          <w:b/>
          <w:spacing w:val="-3"/>
        </w:rPr>
        <w:t>6</w:t>
      </w:r>
      <w:r w:rsidRPr="00FD7E0E">
        <w:rPr>
          <w:b/>
          <w:spacing w:val="-3"/>
        </w:rPr>
        <w:t xml:space="preserve"> Anisotropy, noise and numerical considerations for simulation of dendritic growth</w:t>
      </w:r>
    </w:p>
    <w:p w14:paraId="0C0955CF" w14:textId="77777777" w:rsidR="00015B17" w:rsidRDefault="00015B17" w:rsidP="00015B17">
      <w:pPr>
        <w:tabs>
          <w:tab w:val="left" w:pos="-720"/>
        </w:tabs>
        <w:suppressAutoHyphens/>
        <w:spacing w:line="360" w:lineRule="auto"/>
        <w:jc w:val="both"/>
        <w:rPr>
          <w:b/>
          <w:spacing w:val="-3"/>
        </w:rPr>
      </w:pPr>
    </w:p>
    <w:p w14:paraId="5D2DAAC2" w14:textId="77777777" w:rsidR="00015B17" w:rsidRDefault="00015B17" w:rsidP="00015B17">
      <w:pPr>
        <w:tabs>
          <w:tab w:val="left" w:pos="-720"/>
        </w:tabs>
        <w:suppressAutoHyphens/>
        <w:spacing w:line="360" w:lineRule="auto"/>
        <w:rPr>
          <w:spacing w:val="-3"/>
        </w:rPr>
      </w:pPr>
      <w:r>
        <w:rPr>
          <w:spacing w:val="-3"/>
        </w:rPr>
        <w:tab/>
        <w:t>A major triumph of the phase field method has been its application to dendritic growth as will be described in § 7.  However t</w:t>
      </w:r>
      <w:r w:rsidRPr="00F113AF">
        <w:rPr>
          <w:spacing w:val="-3"/>
        </w:rPr>
        <w:t xml:space="preserve">o obtain "realistic" simulations of dendrites </w:t>
      </w:r>
      <w:r>
        <w:rPr>
          <w:spacing w:val="-3"/>
        </w:rPr>
        <w:t xml:space="preserve">from the above </w:t>
      </w:r>
      <w:r w:rsidRPr="00F113AF">
        <w:rPr>
          <w:spacing w:val="-3"/>
        </w:rPr>
        <w:t xml:space="preserve">equations; three other issues must be addressed: anisotropy, noise and computation times. The most widely used method to include anisotropy for two dimensional calculations is to assume that </w:t>
      </w:r>
      <w:r w:rsidRPr="00F113AF">
        <w:rPr>
          <w:i/>
          <w:spacing w:val="-3"/>
        </w:rPr>
        <w:t>ε</w:t>
      </w:r>
      <w:r w:rsidRPr="00727E8A">
        <w:rPr>
          <w:i/>
          <w:spacing w:val="-3"/>
          <w:sz w:val="26"/>
          <w:vertAlign w:val="subscript"/>
        </w:rPr>
        <w:sym w:font="Symbol" w:char="F066"/>
      </w:r>
      <w:r w:rsidRPr="00F113AF">
        <w:rPr>
          <w:spacing w:val="-3"/>
        </w:rPr>
        <w:t xml:space="preserve"> in Eqn. </w:t>
      </w:r>
      <w:r>
        <w:rPr>
          <w:spacing w:val="-3"/>
        </w:rPr>
        <w:t>(3.15)</w:t>
      </w:r>
      <w:r w:rsidRPr="00F113AF">
        <w:rPr>
          <w:spacing w:val="-3"/>
        </w:rPr>
        <w:t xml:space="preserve"> depends on an angle </w:t>
      </w:r>
      <w:r w:rsidRPr="00F113AF">
        <w:rPr>
          <w:i/>
          <w:spacing w:val="-3"/>
        </w:rPr>
        <w:t>θ</w:t>
      </w:r>
      <w:r w:rsidRPr="00F113AF">
        <w:rPr>
          <w:spacing w:val="-3"/>
        </w:rPr>
        <w:t xml:space="preserve"> </w:t>
      </w:r>
      <w:r>
        <w:rPr>
          <w:spacing w:val="-3"/>
        </w:rPr>
        <w:t xml:space="preserve">(Kobayashi </w:t>
      </w:r>
      <w:r w:rsidRPr="00F113AF">
        <w:rPr>
          <w:spacing w:val="-3"/>
        </w:rPr>
        <w:t>[19</w:t>
      </w:r>
      <w:r>
        <w:rPr>
          <w:spacing w:val="-3"/>
        </w:rPr>
        <w:t>94</w:t>
      </w:r>
      <w:r w:rsidRPr="00F113AF">
        <w:rPr>
          <w:spacing w:val="-3"/>
        </w:rPr>
        <w:t>]</w:t>
      </w:r>
      <w:r>
        <w:rPr>
          <w:spacing w:val="-3"/>
        </w:rPr>
        <w:t>)</w:t>
      </w:r>
      <w:r w:rsidRPr="00F113AF">
        <w:rPr>
          <w:spacing w:val="-3"/>
        </w:rPr>
        <w:t xml:space="preserve">. Here </w:t>
      </w:r>
      <w:r w:rsidRPr="00F113AF">
        <w:rPr>
          <w:i/>
          <w:spacing w:val="-3"/>
        </w:rPr>
        <w:t>θ</w:t>
      </w:r>
      <w:r w:rsidRPr="00F113AF">
        <w:rPr>
          <w:spacing w:val="-3"/>
        </w:rPr>
        <w:t xml:space="preserve"> is the orientation of the interface with respect to the frame of reference given by</w:t>
      </w:r>
      <w:r w:rsidRPr="006D30BD">
        <w:rPr>
          <w:spacing w:val="-3"/>
          <w:position w:val="-10"/>
        </w:rPr>
        <w:object w:dxaOrig="2400" w:dyaOrig="340" w14:anchorId="634A7110">
          <v:shape id="_x0000_i1285" type="#_x0000_t75" style="width:119.7pt;height:16.85pt" o:ole="" fillcolor="window">
            <v:imagedata r:id="rId502" o:title=""/>
          </v:shape>
          <o:OLEObject Type="Embed" ProgID="Equation.DSMT4" ShapeID="_x0000_i1285" DrawAspect="Content" ObjectID="_1840626851" r:id="rId503"/>
        </w:object>
      </w:r>
      <w:r w:rsidRPr="00F113AF">
        <w:rPr>
          <w:spacing w:val="-3"/>
        </w:rPr>
        <w:t xml:space="preserve">. This change requires a recomputation of the variational derivative in Eqn. </w:t>
      </w:r>
      <w:r>
        <w:rPr>
          <w:spacing w:val="-3"/>
        </w:rPr>
        <w:t>(3.13)</w:t>
      </w:r>
      <w:r w:rsidRPr="00F113AF">
        <w:rPr>
          <w:spacing w:val="-3"/>
        </w:rPr>
        <w:t xml:space="preserve"> resulting in a more complex field equation for</w:t>
      </w:r>
      <w:r>
        <w:rPr>
          <w:spacing w:val="-3"/>
        </w:rPr>
        <w:t xml:space="preserve"> </w:t>
      </w:r>
      <w:r w:rsidRPr="00F113AF">
        <w:rPr>
          <w:i/>
          <w:spacing w:val="-3"/>
        </w:rPr>
        <w:sym w:font="Symbol" w:char="F066"/>
      </w:r>
      <w:r w:rsidRPr="00F113AF">
        <w:rPr>
          <w:spacing w:val="-3"/>
        </w:rPr>
        <w:t xml:space="preserve">.  Using this method of including anisotropy, formal asymptotics, as the interface thickness is taken to zero, yields the same form of the anisotropic Gibbs-Thompson equation that is employed for sharp interface theories </w:t>
      </w:r>
      <w:r>
        <w:rPr>
          <w:spacing w:val="-3"/>
        </w:rPr>
        <w:t>(McFadden et al. [1993])</w:t>
      </w:r>
      <w:r w:rsidRPr="00F113AF">
        <w:rPr>
          <w:spacing w:val="-3"/>
        </w:rPr>
        <w:t xml:space="preserve">. Methods for including anisotropy in 3-D have also been developed.  </w:t>
      </w:r>
    </w:p>
    <w:p w14:paraId="3BFCB609" w14:textId="77777777" w:rsidR="00015B17" w:rsidRPr="00F113AF" w:rsidRDefault="00015B17" w:rsidP="00015B17">
      <w:pPr>
        <w:tabs>
          <w:tab w:val="left" w:pos="-720"/>
        </w:tabs>
        <w:suppressAutoHyphens/>
        <w:spacing w:line="360" w:lineRule="auto"/>
        <w:rPr>
          <w:spacing w:val="-3"/>
        </w:rPr>
      </w:pPr>
    </w:p>
    <w:p w14:paraId="68E03DC6" w14:textId="77777777" w:rsidR="00015B17" w:rsidRPr="00F113AF" w:rsidRDefault="00015B17" w:rsidP="00015B17">
      <w:pPr>
        <w:tabs>
          <w:tab w:val="left" w:pos="-720"/>
        </w:tabs>
        <w:suppressAutoHyphens/>
        <w:spacing w:line="360" w:lineRule="auto"/>
        <w:rPr>
          <w:spacing w:val="-3"/>
        </w:rPr>
      </w:pPr>
      <w:r>
        <w:rPr>
          <w:spacing w:val="-3"/>
        </w:rPr>
        <w:tab/>
      </w:r>
      <w:r w:rsidRPr="00F113AF">
        <w:rPr>
          <w:spacing w:val="-3"/>
        </w:rPr>
        <w:t xml:space="preserve">Calculations performed using a coarse finite difference mesh will usually exhibit side-branching </w:t>
      </w:r>
      <w:r w:rsidR="000154A4">
        <w:rPr>
          <w:spacing w:val="-3"/>
        </w:rPr>
        <w:t>as an artifact</w:t>
      </w:r>
      <w:r w:rsidRPr="00F113AF">
        <w:rPr>
          <w:spacing w:val="-3"/>
        </w:rPr>
        <w:t xml:space="preserve"> because discretization errors introduce </w:t>
      </w:r>
      <w:r w:rsidR="00727C3E">
        <w:rPr>
          <w:spacing w:val="-3"/>
        </w:rPr>
        <w:t xml:space="preserve">numerical </w:t>
      </w:r>
      <w:r w:rsidRPr="00F113AF">
        <w:rPr>
          <w:spacing w:val="-3"/>
        </w:rPr>
        <w:t xml:space="preserve">noise into the calculation. (A coarse square mesh can also induce a synthetic four-fold anisotropy). As the computational mesh is refined however, side-branches disappear. Therefore, to study realistic structures, noise is introduced at controlled levels, which induces side branching. This is typically implemented using random fluctuations of a source term added to the phase-field equation </w:t>
      </w:r>
      <w:r>
        <w:rPr>
          <w:spacing w:val="-3"/>
        </w:rPr>
        <w:t xml:space="preserve">(Kobayashi [1994], Elder et al. </w:t>
      </w:r>
      <w:r w:rsidRPr="00F113AF">
        <w:rPr>
          <w:spacing w:val="-3"/>
        </w:rPr>
        <w:t>[19</w:t>
      </w:r>
      <w:r>
        <w:rPr>
          <w:spacing w:val="-3"/>
        </w:rPr>
        <w:t>94])</w:t>
      </w:r>
      <w:r w:rsidRPr="00F113AF">
        <w:rPr>
          <w:spacing w:val="-3"/>
        </w:rPr>
        <w:t xml:space="preserve">. </w:t>
      </w:r>
    </w:p>
    <w:p w14:paraId="7DAED235" w14:textId="77777777" w:rsidR="00015B17" w:rsidRPr="00F113AF" w:rsidRDefault="00015B17" w:rsidP="00015B17">
      <w:pPr>
        <w:tabs>
          <w:tab w:val="left" w:pos="-720"/>
        </w:tabs>
        <w:suppressAutoHyphens/>
        <w:spacing w:line="360" w:lineRule="auto"/>
        <w:rPr>
          <w:spacing w:val="-3"/>
        </w:rPr>
      </w:pPr>
    </w:p>
    <w:p w14:paraId="36C33011" w14:textId="45FCB6E5" w:rsidR="00D83B91" w:rsidRDefault="00015B17" w:rsidP="00015B17">
      <w:pPr>
        <w:tabs>
          <w:tab w:val="left" w:pos="-720"/>
        </w:tabs>
        <w:suppressAutoHyphens/>
        <w:spacing w:line="360" w:lineRule="auto"/>
        <w:rPr>
          <w:spacing w:val="-3"/>
        </w:rPr>
      </w:pPr>
      <w:r>
        <w:rPr>
          <w:spacing w:val="-3"/>
        </w:rPr>
        <w:lastRenderedPageBreak/>
        <w:tab/>
      </w:r>
      <w:r w:rsidRPr="00F113AF">
        <w:rPr>
          <w:spacing w:val="-3"/>
        </w:rPr>
        <w:t xml:space="preserve">Computational issues associated with solving the phase field equations are quite challenging, being primarily focused on the value of the interface thickness and the finite difference mesh spacing. The central difficulty is having sufficient numerical resolution of the diffuse interface and at the same time </w:t>
      </w:r>
      <w:r w:rsidR="00727C3E">
        <w:rPr>
          <w:spacing w:val="-3"/>
        </w:rPr>
        <w:t>having sufficient</w:t>
      </w:r>
      <w:r w:rsidRPr="00F113AF">
        <w:rPr>
          <w:spacing w:val="-3"/>
        </w:rPr>
        <w:t xml:space="preserve"> nodes/elements to model</w:t>
      </w:r>
      <w:r>
        <w:rPr>
          <w:spacing w:val="-3"/>
        </w:rPr>
        <w:t xml:space="preserve"> the entire dendritic structure. </w:t>
      </w:r>
      <w:r w:rsidRPr="00F113AF">
        <w:rPr>
          <w:spacing w:val="-3"/>
        </w:rPr>
        <w:t xml:space="preserve"> </w:t>
      </w:r>
      <w:r>
        <w:rPr>
          <w:spacing w:val="-3"/>
        </w:rPr>
        <w:t xml:space="preserve">This </w:t>
      </w:r>
      <w:r w:rsidRPr="00F113AF">
        <w:rPr>
          <w:spacing w:val="-3"/>
        </w:rPr>
        <w:t>often limit</w:t>
      </w:r>
      <w:r>
        <w:rPr>
          <w:spacing w:val="-3"/>
        </w:rPr>
        <w:t>s simple solution methods</w:t>
      </w:r>
      <w:r w:rsidRPr="00F113AF">
        <w:rPr>
          <w:spacing w:val="-3"/>
        </w:rPr>
        <w:t xml:space="preserve"> to high supercooling</w:t>
      </w:r>
      <w:r w:rsidR="00727C3E">
        <w:rPr>
          <w:spacing w:val="-3"/>
        </w:rPr>
        <w:t xml:space="preserve"> where the dendrite is small</w:t>
      </w:r>
      <w:r w:rsidRPr="00F113AF">
        <w:rPr>
          <w:spacing w:val="-3"/>
        </w:rPr>
        <w:t>. This is an active area of research. In particular</w:t>
      </w:r>
      <w:r w:rsidR="00727C3E">
        <w:rPr>
          <w:spacing w:val="-3"/>
        </w:rPr>
        <w:t>,</w:t>
      </w:r>
      <w:r w:rsidRPr="00F113AF">
        <w:rPr>
          <w:spacing w:val="-3"/>
        </w:rPr>
        <w:t xml:space="preserve"> techniques using adaptive finite element calculations have been useful to enable more detailed simulations </w:t>
      </w:r>
      <w:r>
        <w:rPr>
          <w:spacing w:val="-3"/>
        </w:rPr>
        <w:t>(Provatas et al. [1998])</w:t>
      </w:r>
      <w:r w:rsidRPr="00F113AF">
        <w:rPr>
          <w:spacing w:val="-3"/>
        </w:rPr>
        <w:t xml:space="preserve">. Hybrid methods are also being developed that solve the thermal diffusion equation using random walkers rather than a numerical solution to the differential equation </w:t>
      </w:r>
      <w:r>
        <w:rPr>
          <w:spacing w:val="-3"/>
        </w:rPr>
        <w:t xml:space="preserve">(Karma et al. </w:t>
      </w:r>
      <w:r w:rsidRPr="00F113AF">
        <w:rPr>
          <w:spacing w:val="-3"/>
        </w:rPr>
        <w:t>[</w:t>
      </w:r>
      <w:r>
        <w:rPr>
          <w:spacing w:val="-3"/>
        </w:rPr>
        <w:t>2000</w:t>
      </w:r>
      <w:r w:rsidRPr="00F113AF">
        <w:rPr>
          <w:spacing w:val="-3"/>
        </w:rPr>
        <w:t>]</w:t>
      </w:r>
      <w:r>
        <w:rPr>
          <w:spacing w:val="-3"/>
        </w:rPr>
        <w:t>)</w:t>
      </w:r>
      <w:r w:rsidRPr="00F113AF">
        <w:rPr>
          <w:spacing w:val="-3"/>
        </w:rPr>
        <w:t>.</w:t>
      </w:r>
      <w:r>
        <w:rPr>
          <w:spacing w:val="-3"/>
        </w:rPr>
        <w:t xml:space="preserve"> </w:t>
      </w:r>
    </w:p>
    <w:p w14:paraId="7917DCE8" w14:textId="77777777" w:rsidR="00727C3E" w:rsidRDefault="00727C3E" w:rsidP="00015B17">
      <w:pPr>
        <w:tabs>
          <w:tab w:val="left" w:pos="-720"/>
        </w:tabs>
        <w:suppressAutoHyphens/>
        <w:spacing w:line="360" w:lineRule="auto"/>
        <w:rPr>
          <w:spacing w:val="-3"/>
        </w:rPr>
      </w:pPr>
    </w:p>
    <w:p w14:paraId="23829D3B" w14:textId="77777777" w:rsidR="00727C3E" w:rsidRDefault="00727C3E" w:rsidP="00015B17">
      <w:pPr>
        <w:tabs>
          <w:tab w:val="left" w:pos="-720"/>
        </w:tabs>
        <w:suppressAutoHyphens/>
        <w:spacing w:line="360" w:lineRule="auto"/>
        <w:rPr>
          <w:spacing w:val="-3"/>
        </w:rPr>
      </w:pPr>
      <w:r>
        <w:rPr>
          <w:spacing w:val="-3"/>
        </w:rPr>
        <w:t xml:space="preserve">Examples of microstructural predictions using phase field methods will be interspersed throughout the following sections on dendrites, eutectics, peritectics, etc. </w:t>
      </w:r>
    </w:p>
    <w:p w14:paraId="64D6981A" w14:textId="77777777" w:rsidR="00015B17" w:rsidRDefault="00D83B91" w:rsidP="00015B17">
      <w:pPr>
        <w:tabs>
          <w:tab w:val="left" w:pos="-720"/>
        </w:tabs>
        <w:suppressAutoHyphens/>
        <w:spacing w:line="360" w:lineRule="auto"/>
        <w:rPr>
          <w:spacing w:val="-3"/>
        </w:rPr>
      </w:pPr>
      <w:r>
        <w:rPr>
          <w:spacing w:val="-3"/>
        </w:rPr>
        <w:br w:type="page"/>
      </w:r>
    </w:p>
    <w:p w14:paraId="17961C14" w14:textId="77777777" w:rsidR="00015B17" w:rsidRDefault="00015B17" w:rsidP="00015B17">
      <w:pPr>
        <w:suppressAutoHyphens/>
        <w:spacing w:line="360" w:lineRule="auto"/>
        <w:jc w:val="center"/>
        <w:rPr>
          <w:b/>
          <w:bCs/>
          <w:i/>
          <w:iCs/>
          <w:sz w:val="28"/>
          <w:szCs w:val="28"/>
        </w:rPr>
      </w:pPr>
      <w:r w:rsidRPr="000E61A0">
        <w:rPr>
          <w:b/>
          <w:bCs/>
          <w:i/>
          <w:iCs/>
          <w:position w:val="-4"/>
          <w:sz w:val="28"/>
          <w:szCs w:val="28"/>
        </w:rPr>
        <w:object w:dxaOrig="180" w:dyaOrig="279" w14:anchorId="39E04D7A">
          <v:shape id="_x0000_i1286" type="#_x0000_t75" style="width:9.35pt;height:14.05pt" o:ole="">
            <v:imagedata r:id="rId10" o:title=""/>
          </v:shape>
          <o:OLEObject Type="Embed" ProgID="Equation.DSMT4" ShapeID="_x0000_i1286" DrawAspect="Content" ObjectID="_1840626852" r:id="rId504"/>
        </w:object>
      </w:r>
      <w:r w:rsidRPr="003C1C6A">
        <w:rPr>
          <w:b/>
          <w:bCs/>
          <w:i/>
          <w:iCs/>
          <w:sz w:val="28"/>
          <w:szCs w:val="28"/>
        </w:rPr>
        <w:t>4. Nucleation</w:t>
      </w:r>
    </w:p>
    <w:p w14:paraId="74BFDDB1" w14:textId="77777777" w:rsidR="00015B17" w:rsidRDefault="00015B17" w:rsidP="00015B17">
      <w:pPr>
        <w:suppressAutoHyphens/>
        <w:spacing w:line="360" w:lineRule="auto"/>
        <w:jc w:val="center"/>
        <w:rPr>
          <w:b/>
          <w:bCs/>
          <w:i/>
          <w:iCs/>
          <w:sz w:val="28"/>
          <w:szCs w:val="28"/>
        </w:rPr>
      </w:pPr>
    </w:p>
    <w:p w14:paraId="7FA8B281" w14:textId="4D49F355" w:rsidR="00015B17" w:rsidRPr="00474935" w:rsidRDefault="00015B17" w:rsidP="00015B17">
      <w:pPr>
        <w:suppressAutoHyphens/>
        <w:spacing w:line="360" w:lineRule="auto"/>
        <w:rPr>
          <w:bCs/>
        </w:rPr>
      </w:pPr>
      <w:r>
        <w:rPr>
          <w:bCs/>
        </w:rPr>
        <w:tab/>
        <w:t>The classical picture of nucleation from pure liquids and alloys and the important effects of catalytic particles</w:t>
      </w:r>
      <w:r w:rsidRPr="00291B4F">
        <w:rPr>
          <w:bCs/>
        </w:rPr>
        <w:t xml:space="preserve"> </w:t>
      </w:r>
      <w:r>
        <w:rPr>
          <w:bCs/>
        </w:rPr>
        <w:t>are described. The important topic of dendrite fragmentation as a source of growth centers is deferred to §9.  Kelton and Greer [2010] provide a</w:t>
      </w:r>
      <w:r w:rsidRPr="00474935">
        <w:rPr>
          <w:bCs/>
        </w:rPr>
        <w:t xml:space="preserve"> comprehensive treatise on nucleation</w:t>
      </w:r>
      <w:r>
        <w:rPr>
          <w:bCs/>
        </w:rPr>
        <w:t xml:space="preserve">. </w:t>
      </w:r>
    </w:p>
    <w:p w14:paraId="05D4EB97" w14:textId="77777777" w:rsidR="00015B17" w:rsidRPr="003C1C6A" w:rsidRDefault="00015B17" w:rsidP="00015B17">
      <w:pPr>
        <w:suppressAutoHyphens/>
        <w:spacing w:line="360" w:lineRule="auto"/>
        <w:rPr>
          <w:b/>
          <w:bCs/>
          <w:spacing w:val="-3"/>
          <w:sz w:val="28"/>
          <w:szCs w:val="28"/>
        </w:rPr>
      </w:pPr>
    </w:p>
    <w:p w14:paraId="545EA28C" w14:textId="5CA2FE6E" w:rsidR="00015B17" w:rsidRPr="003C1C6A" w:rsidRDefault="00015B17" w:rsidP="00015B17">
      <w:pPr>
        <w:suppressAutoHyphens/>
        <w:spacing w:line="360" w:lineRule="auto"/>
        <w:rPr>
          <w:spacing w:val="-3"/>
        </w:rPr>
      </w:pPr>
      <w:r w:rsidRPr="003C1C6A">
        <w:rPr>
          <w:b/>
          <w:bCs/>
          <w:spacing w:val="-3"/>
        </w:rPr>
        <w:t>4.1. Nucleation in Pure Liquids</w:t>
      </w:r>
    </w:p>
    <w:p w14:paraId="4D8EB285" w14:textId="77777777" w:rsidR="00015B17" w:rsidRPr="003C1C6A" w:rsidRDefault="00015B17" w:rsidP="00015B17">
      <w:pPr>
        <w:suppressAutoHyphens/>
        <w:spacing w:line="360" w:lineRule="auto"/>
        <w:rPr>
          <w:spacing w:val="-3"/>
        </w:rPr>
      </w:pPr>
    </w:p>
    <w:p w14:paraId="7663741A" w14:textId="77777777" w:rsidR="00015B17" w:rsidRDefault="00015B17" w:rsidP="00015B17">
      <w:pPr>
        <w:suppressAutoHyphens/>
        <w:spacing w:line="360" w:lineRule="auto"/>
        <w:rPr>
          <w:spacing w:val="-3"/>
        </w:rPr>
      </w:pPr>
      <w:r w:rsidRPr="003C1C6A">
        <w:rPr>
          <w:spacing w:val="-3"/>
        </w:rPr>
        <w:tab/>
        <w:t xml:space="preserve">Nucleation during solidification </w:t>
      </w:r>
      <w:r>
        <w:rPr>
          <w:spacing w:val="-3"/>
        </w:rPr>
        <w:t>is</w:t>
      </w:r>
      <w:r w:rsidRPr="003C1C6A">
        <w:rPr>
          <w:spacing w:val="-3"/>
        </w:rPr>
        <w:t xml:space="preserve"> defined as the formation of a small crystal from the melt that is capable of continued growth. </w:t>
      </w:r>
      <w:r>
        <w:rPr>
          <w:spacing w:val="-3"/>
        </w:rPr>
        <w:t>B</w:t>
      </w:r>
      <w:r w:rsidRPr="003C1C6A">
        <w:rPr>
          <w:spacing w:val="-3"/>
        </w:rPr>
        <w:t>elow</w:t>
      </w:r>
      <w:r w:rsidRPr="00A21E49">
        <w:rPr>
          <w:i/>
          <w:iCs/>
          <w:spacing w:val="-3"/>
          <w:position w:val="-12"/>
        </w:rPr>
        <w:object w:dxaOrig="279" w:dyaOrig="360" w14:anchorId="6D0912EA">
          <v:shape id="_x0000_i1287" type="#_x0000_t75" style="width:14.05pt;height:17.75pt" o:ole="">
            <v:imagedata r:id="rId505" o:title=""/>
          </v:shape>
          <o:OLEObject Type="Embed" ProgID="Equation.DSMT4" ShapeID="_x0000_i1287" DrawAspect="Content" ObjectID="_1840626853" r:id="rId506"/>
        </w:object>
      </w:r>
      <w:r w:rsidRPr="003C1C6A">
        <w:rPr>
          <w:spacing w:val="-3"/>
        </w:rPr>
        <w:t xml:space="preserve"> the solid phase has a lower free energy than the liquid phase, </w:t>
      </w:r>
      <w:r>
        <w:rPr>
          <w:spacing w:val="-3"/>
        </w:rPr>
        <w:t xml:space="preserve">but </w:t>
      </w:r>
      <w:r w:rsidRPr="003C1C6A">
        <w:rPr>
          <w:spacing w:val="-3"/>
        </w:rPr>
        <w:t>a small sol</w:t>
      </w:r>
      <w:r>
        <w:rPr>
          <w:spacing w:val="-3"/>
        </w:rPr>
        <w:t xml:space="preserve">id particle is not necessarily </w:t>
      </w:r>
      <w:r w:rsidRPr="003C1C6A">
        <w:rPr>
          <w:spacing w:val="-3"/>
        </w:rPr>
        <w:t xml:space="preserve">stable because of the free energy associated with the </w:t>
      </w:r>
      <w:r w:rsidR="004201E7">
        <w:rPr>
          <w:spacing w:val="-3"/>
        </w:rPr>
        <w:t>L-S</w:t>
      </w:r>
      <w:r w:rsidRPr="003C1C6A">
        <w:rPr>
          <w:spacing w:val="-3"/>
        </w:rPr>
        <w:t xml:space="preserve"> interface. The change in free energy corresponding to the liquid-solid transition must therefore include not only the change in free energy between the two phases but also the free energy of the </w:t>
      </w:r>
      <w:r w:rsidR="004201E7">
        <w:rPr>
          <w:spacing w:val="-3"/>
        </w:rPr>
        <w:t>L-S</w:t>
      </w:r>
      <w:r w:rsidRPr="003C1C6A">
        <w:rPr>
          <w:spacing w:val="-3"/>
        </w:rPr>
        <w:t xml:space="preserve"> interface.  </w:t>
      </w:r>
    </w:p>
    <w:p w14:paraId="6069F6D7" w14:textId="77777777" w:rsidR="00015B17" w:rsidRDefault="00015B17" w:rsidP="00015B17">
      <w:pPr>
        <w:suppressAutoHyphens/>
        <w:spacing w:line="360" w:lineRule="auto"/>
        <w:rPr>
          <w:spacing w:val="-3"/>
        </w:rPr>
      </w:pPr>
    </w:p>
    <w:p w14:paraId="5C2F7770" w14:textId="77777777" w:rsidR="00015B17" w:rsidRPr="003C1C6A" w:rsidRDefault="00015B17" w:rsidP="00015B17">
      <w:pPr>
        <w:suppressAutoHyphens/>
        <w:spacing w:line="360" w:lineRule="auto"/>
        <w:rPr>
          <w:spacing w:val="-3"/>
        </w:rPr>
      </w:pPr>
      <w:r>
        <w:rPr>
          <w:spacing w:val="-3"/>
        </w:rPr>
        <w:tab/>
        <w:t>To arrive at a description of nucleation it is also important to realize that</w:t>
      </w:r>
      <w:r w:rsidRPr="003C1C6A">
        <w:rPr>
          <w:spacing w:val="-3"/>
        </w:rPr>
        <w:t>, at any supercooling, there exists within the melt a statistical distributi</w:t>
      </w:r>
      <w:r>
        <w:rPr>
          <w:spacing w:val="-3"/>
        </w:rPr>
        <w:t xml:space="preserve">on of atom clusters or embryos </w:t>
      </w:r>
      <w:r w:rsidRPr="003C1C6A">
        <w:rPr>
          <w:spacing w:val="-3"/>
        </w:rPr>
        <w:t xml:space="preserve">of different sizes having the character of the solid phase. The probability of finding an </w:t>
      </w:r>
      <w:r w:rsidRPr="003C1C6A">
        <w:rPr>
          <w:i/>
          <w:iCs/>
          <w:spacing w:val="-3"/>
        </w:rPr>
        <w:t xml:space="preserve">embryo </w:t>
      </w:r>
      <w:r w:rsidRPr="003C1C6A">
        <w:rPr>
          <w:spacing w:val="-3"/>
        </w:rPr>
        <w:t xml:space="preserve">of a given size increases as the temperature decreases. </w:t>
      </w:r>
      <w:r w:rsidRPr="003C1C6A">
        <w:rPr>
          <w:i/>
          <w:iCs/>
          <w:spacing w:val="-3"/>
        </w:rPr>
        <w:t>Nucleation</w:t>
      </w:r>
      <w:r w:rsidRPr="003C1C6A">
        <w:rPr>
          <w:spacing w:val="-3"/>
        </w:rPr>
        <w:t xml:space="preserve"> occurs when the supercooling is such that there are sufficient embryos with a radius larger than </w:t>
      </w:r>
      <w:r>
        <w:rPr>
          <w:spacing w:val="-3"/>
        </w:rPr>
        <w:t>a</w:t>
      </w:r>
      <w:r w:rsidRPr="003C1C6A">
        <w:rPr>
          <w:spacing w:val="-3"/>
        </w:rPr>
        <w:t xml:space="preserve"> </w:t>
      </w:r>
      <w:r w:rsidRPr="003C1C6A">
        <w:rPr>
          <w:i/>
          <w:iCs/>
          <w:spacing w:val="-3"/>
        </w:rPr>
        <w:t>critical radius</w:t>
      </w:r>
      <w:r w:rsidRPr="003C1C6A">
        <w:rPr>
          <w:spacing w:val="-3"/>
        </w:rPr>
        <w:t xml:space="preserve"> (</w:t>
      </w:r>
      <w:r w:rsidR="00A33EFE" w:rsidRPr="003C1C6A">
        <w:rPr>
          <w:spacing w:val="-3"/>
        </w:rPr>
        <w:t>Hollomon</w:t>
      </w:r>
      <w:r w:rsidRPr="003C1C6A">
        <w:rPr>
          <w:spacing w:val="-3"/>
        </w:rPr>
        <w:t xml:space="preserve"> and </w:t>
      </w:r>
      <w:r w:rsidR="00A33EFE" w:rsidRPr="003C1C6A">
        <w:rPr>
          <w:spacing w:val="-3"/>
        </w:rPr>
        <w:t>Turnbull</w:t>
      </w:r>
      <w:r w:rsidRPr="003C1C6A">
        <w:rPr>
          <w:spacing w:val="-3"/>
        </w:rPr>
        <w:t xml:space="preserve"> [1953]).</w:t>
      </w:r>
    </w:p>
    <w:p w14:paraId="2405DBA8" w14:textId="77777777" w:rsidR="00015B17" w:rsidRPr="003C1C6A" w:rsidRDefault="00015B17" w:rsidP="00015B17">
      <w:pPr>
        <w:suppressAutoHyphens/>
        <w:spacing w:line="360" w:lineRule="auto"/>
        <w:rPr>
          <w:spacing w:val="-3"/>
        </w:rPr>
      </w:pPr>
    </w:p>
    <w:p w14:paraId="0FC878F4" w14:textId="77777777" w:rsidR="00015B17" w:rsidRPr="003C1C6A" w:rsidRDefault="00015B17" w:rsidP="00015B17">
      <w:pPr>
        <w:suppressAutoHyphens/>
        <w:spacing w:line="360" w:lineRule="auto"/>
        <w:rPr>
          <w:b/>
          <w:bCs/>
          <w:spacing w:val="-3"/>
        </w:rPr>
      </w:pPr>
      <w:r w:rsidRPr="003C1C6A">
        <w:rPr>
          <w:b/>
          <w:bCs/>
          <w:spacing w:val="-3"/>
        </w:rPr>
        <w:tab/>
      </w:r>
    </w:p>
    <w:p w14:paraId="18D4CF9B" w14:textId="740798CD" w:rsidR="00015B17" w:rsidRPr="003C1C6A" w:rsidRDefault="00015B17" w:rsidP="00015B17">
      <w:pPr>
        <w:suppressAutoHyphens/>
        <w:spacing w:line="360" w:lineRule="auto"/>
        <w:rPr>
          <w:spacing w:val="-3"/>
        </w:rPr>
      </w:pPr>
      <w:r w:rsidRPr="003C1C6A">
        <w:rPr>
          <w:b/>
          <w:bCs/>
          <w:spacing w:val="-3"/>
        </w:rPr>
        <w:t>4.1.1. Calculation of the Critical Radius and Energy Barrier</w:t>
      </w:r>
    </w:p>
    <w:p w14:paraId="372D322B" w14:textId="77777777" w:rsidR="00015B17" w:rsidRPr="003C1C6A" w:rsidRDefault="00015B17" w:rsidP="00015B17">
      <w:pPr>
        <w:suppressAutoHyphens/>
        <w:spacing w:line="360" w:lineRule="auto"/>
        <w:rPr>
          <w:spacing w:val="-3"/>
        </w:rPr>
      </w:pPr>
    </w:p>
    <w:p w14:paraId="5BEA72B0" w14:textId="77777777" w:rsidR="00015B17" w:rsidRPr="003C1C6A" w:rsidRDefault="00015B17" w:rsidP="00015B17">
      <w:pPr>
        <w:suppressAutoHyphens/>
        <w:spacing w:line="360" w:lineRule="auto"/>
        <w:rPr>
          <w:spacing w:val="-3"/>
        </w:rPr>
      </w:pPr>
      <w:r w:rsidRPr="003C1C6A">
        <w:rPr>
          <w:spacing w:val="-3"/>
        </w:rPr>
        <w:tab/>
        <w:t>The change in the free energy per unit volume,</w:t>
      </w:r>
      <w:r w:rsidRPr="00A21E49">
        <w:rPr>
          <w:spacing w:val="-3"/>
          <w:position w:val="-6"/>
        </w:rPr>
        <w:object w:dxaOrig="460" w:dyaOrig="279" w14:anchorId="102793CC">
          <v:shape id="_x0000_i1288" type="#_x0000_t75" style="width:23.4pt;height:14.05pt" o:ole="">
            <v:imagedata r:id="rId507" o:title=""/>
          </v:shape>
          <o:OLEObject Type="Embed" ProgID="Equation.DSMT4" ShapeID="_x0000_i1288" DrawAspect="Content" ObjectID="_1840626854" r:id="rId508"/>
        </w:object>
      </w:r>
      <w:r>
        <w:rPr>
          <w:spacing w:val="-3"/>
        </w:rPr>
        <w:t>(solid minus liquid)</w:t>
      </w:r>
      <w:r w:rsidRPr="003C1C6A">
        <w:rPr>
          <w:spacing w:val="-3"/>
        </w:rPr>
        <w:t xml:space="preserve">, to form a solid embryo of spherical shape of radius, </w:t>
      </w:r>
      <w:r w:rsidRPr="00924B21">
        <w:rPr>
          <w:i/>
          <w:spacing w:val="-3"/>
        </w:rPr>
        <w:t>r</w:t>
      </w:r>
      <w:r w:rsidRPr="003C1C6A">
        <w:rPr>
          <w:spacing w:val="-3"/>
        </w:rPr>
        <w:t xml:space="preserve">, from liquid of a pure material involves </w:t>
      </w:r>
      <w:r>
        <w:rPr>
          <w:spacing w:val="-3"/>
        </w:rPr>
        <w:t xml:space="preserve">a sum </w:t>
      </w:r>
      <w:r w:rsidRPr="003C1C6A">
        <w:rPr>
          <w:spacing w:val="-3"/>
        </w:rPr>
        <w:t xml:space="preserve">of the volume free energy </w:t>
      </w:r>
      <w:r>
        <w:rPr>
          <w:spacing w:val="-3"/>
        </w:rPr>
        <w:t xml:space="preserve">change </w:t>
      </w:r>
      <w:r w:rsidRPr="003C1C6A">
        <w:rPr>
          <w:spacing w:val="-3"/>
        </w:rPr>
        <w:t xml:space="preserve">and the surface free energy associated with the </w:t>
      </w:r>
      <w:r w:rsidR="004201E7">
        <w:rPr>
          <w:spacing w:val="-3"/>
        </w:rPr>
        <w:t>L-S</w:t>
      </w:r>
      <w:r w:rsidRPr="003C1C6A">
        <w:rPr>
          <w:spacing w:val="-3"/>
        </w:rPr>
        <w:t xml:space="preserve"> interface given by</w:t>
      </w:r>
    </w:p>
    <w:p w14:paraId="4C3EA653" w14:textId="77777777" w:rsidR="00015B17" w:rsidRPr="003C1C6A" w:rsidRDefault="00015B17" w:rsidP="00015B17">
      <w:pPr>
        <w:suppressAutoHyphens/>
        <w:spacing w:line="360" w:lineRule="auto"/>
        <w:jc w:val="both"/>
        <w:rPr>
          <w:spacing w:val="-3"/>
        </w:rPr>
      </w:pPr>
    </w:p>
    <w:p w14:paraId="1A7F9692" w14:textId="77777777" w:rsidR="00015B17" w:rsidRPr="003C1C6A" w:rsidRDefault="00015B17" w:rsidP="00015B17">
      <w:pPr>
        <w:suppressAutoHyphens/>
        <w:spacing w:line="360" w:lineRule="auto"/>
        <w:jc w:val="center"/>
        <w:rPr>
          <w:spacing w:val="-3"/>
        </w:rPr>
      </w:pPr>
      <w:r w:rsidRPr="003C1C6A">
        <w:rPr>
          <w:spacing w:val="-3"/>
          <w:position w:val="-30"/>
        </w:rPr>
        <w:object w:dxaOrig="4220" w:dyaOrig="720" w14:anchorId="595DA517">
          <v:shape id="_x0000_i1289" type="#_x0000_t75" style="width:210.4pt;height:36.45pt" o:ole="">
            <v:imagedata r:id="rId509" o:title=""/>
          </v:shape>
          <o:OLEObject Type="Embed" ProgID="Equation.DSMT4" ShapeID="_x0000_i1289" DrawAspect="Content" ObjectID="_1840626855" r:id="rId510"/>
        </w:object>
      </w:r>
      <w:r>
        <w:rPr>
          <w:spacing w:val="-3"/>
        </w:rPr>
        <w:tab/>
      </w:r>
      <w:r>
        <w:rPr>
          <w:spacing w:val="-3"/>
        </w:rPr>
        <w:tab/>
        <w:t>(4.1)</w:t>
      </w:r>
    </w:p>
    <w:p w14:paraId="2BC01F67" w14:textId="77777777" w:rsidR="00015B17" w:rsidRDefault="00015B17" w:rsidP="00015B17">
      <w:pPr>
        <w:suppressAutoHyphens/>
        <w:spacing w:line="360" w:lineRule="auto"/>
        <w:rPr>
          <w:spacing w:val="-3"/>
        </w:rPr>
      </w:pPr>
      <w:r w:rsidRPr="003C1C6A">
        <w:rPr>
          <w:spacing w:val="-3"/>
        </w:rPr>
        <w:t xml:space="preserve">where </w:t>
      </w:r>
      <w:r w:rsidRPr="003C1C6A">
        <w:rPr>
          <w:i/>
          <w:iCs/>
          <w:spacing w:val="-3"/>
        </w:rPr>
        <w:t>ΔG</w:t>
      </w:r>
      <w:r w:rsidRPr="00727E8A">
        <w:rPr>
          <w:spacing w:val="-3"/>
          <w:sz w:val="26"/>
          <w:vertAlign w:val="subscript"/>
        </w:rPr>
        <w:t>v</w:t>
      </w:r>
      <w:r w:rsidRPr="003C1C6A">
        <w:rPr>
          <w:spacing w:val="-3"/>
        </w:rPr>
        <w:t xml:space="preserve"> is the change in free energy </w:t>
      </w:r>
      <w:r>
        <w:rPr>
          <w:spacing w:val="-3"/>
        </w:rPr>
        <w:t xml:space="preserve">(Eqn. 3.8) </w:t>
      </w:r>
      <w:r w:rsidRPr="003C1C6A">
        <w:rPr>
          <w:spacing w:val="-3"/>
        </w:rPr>
        <w:t xml:space="preserve">on solidification associated with the volume and </w:t>
      </w:r>
      <w:r w:rsidRPr="003C1C6A">
        <w:rPr>
          <w:i/>
          <w:iCs/>
          <w:spacing w:val="-3"/>
        </w:rPr>
        <w:t>ΔG</w:t>
      </w:r>
      <w:r w:rsidRPr="00727E8A">
        <w:rPr>
          <w:spacing w:val="-3"/>
          <w:sz w:val="26"/>
          <w:vertAlign w:val="subscript"/>
        </w:rPr>
        <w:t>i</w:t>
      </w:r>
      <w:r w:rsidRPr="003C1C6A">
        <w:rPr>
          <w:spacing w:val="-3"/>
        </w:rPr>
        <w:t xml:space="preserve"> is the free energy associated with the interface, </w:t>
      </w:r>
      <w:r w:rsidRPr="00A21E49">
        <w:rPr>
          <w:spacing w:val="-3"/>
          <w:position w:val="-12"/>
        </w:rPr>
        <w:object w:dxaOrig="360" w:dyaOrig="360" w14:anchorId="78935518">
          <v:shape id="_x0000_i1290" type="#_x0000_t75" style="width:17.75pt;height:17.75pt" o:ole="">
            <v:imagedata r:id="rId511" o:title=""/>
          </v:shape>
          <o:OLEObject Type="Embed" ProgID="Equation.DSMT4" ShapeID="_x0000_i1290" DrawAspect="Content" ObjectID="_1840626856" r:id="rId512"/>
        </w:object>
      </w:r>
      <w:r w:rsidRPr="003C1C6A">
        <w:rPr>
          <w:spacing w:val="-3"/>
        </w:rPr>
        <w:t xml:space="preserve">is the </w:t>
      </w:r>
      <w:r w:rsidR="004201E7">
        <w:rPr>
          <w:spacing w:val="-3"/>
        </w:rPr>
        <w:t>L-S</w:t>
      </w:r>
      <w:r w:rsidRPr="003C1C6A">
        <w:rPr>
          <w:spacing w:val="-3"/>
        </w:rPr>
        <w:t xml:space="preserve"> interfacial free energy, </w:t>
      </w:r>
      <w:r w:rsidR="007C5C9A" w:rsidRPr="000E1FFE">
        <w:rPr>
          <w:position w:val="-4"/>
        </w:rPr>
        <w:object w:dxaOrig="300" w:dyaOrig="300" w14:anchorId="47346F95">
          <v:shape id="_x0000_i1291" type="#_x0000_t75" style="width:14.95pt;height:14.95pt" o:ole="">
            <v:imagedata r:id="rId513" o:title=""/>
          </v:shape>
          <o:OLEObject Type="Embed" ProgID="Equation.DSMT4" ShapeID="_x0000_i1291" DrawAspect="Content" ObjectID="_1840626857" r:id="rId514"/>
        </w:object>
      </w:r>
      <w:r w:rsidRPr="003C1C6A">
        <w:rPr>
          <w:spacing w:val="-3"/>
        </w:rPr>
        <w:t xml:space="preserve"> is the latent heat per unit volume and </w:t>
      </w:r>
      <w:r w:rsidRPr="003C1C6A">
        <w:rPr>
          <w:i/>
          <w:iCs/>
          <w:spacing w:val="-3"/>
        </w:rPr>
        <w:t>ΔT</w:t>
      </w:r>
      <w:r w:rsidRPr="003C1C6A">
        <w:rPr>
          <w:spacing w:val="-3"/>
        </w:rPr>
        <w:t xml:space="preserve"> is the supercooling</w:t>
      </w:r>
      <w:r w:rsidR="004E48B1">
        <w:rPr>
          <w:spacing w:val="-3"/>
        </w:rPr>
        <w:t xml:space="preserve"> with respect to the bulk melting temperature</w:t>
      </w:r>
      <w:r w:rsidRPr="003C1C6A">
        <w:rPr>
          <w:spacing w:val="-3"/>
        </w:rPr>
        <w:t>. The critical radius,</w:t>
      </w:r>
      <w:r w:rsidRPr="003C1C6A">
        <w:rPr>
          <w:i/>
          <w:iCs/>
          <w:spacing w:val="-3"/>
        </w:rPr>
        <w:t xml:space="preserve"> r</w:t>
      </w:r>
      <w:r w:rsidRPr="00883A53">
        <w:rPr>
          <w:spacing w:val="-3"/>
          <w:sz w:val="26"/>
          <w:vertAlign w:val="superscript"/>
        </w:rPr>
        <w:t>*</w:t>
      </w:r>
      <w:r w:rsidRPr="003C1C6A">
        <w:rPr>
          <w:spacing w:val="-3"/>
        </w:rPr>
        <w:t xml:space="preserve">, occurs when </w:t>
      </w:r>
      <w:r w:rsidRPr="003C1C6A">
        <w:rPr>
          <w:i/>
          <w:iCs/>
          <w:spacing w:val="-3"/>
        </w:rPr>
        <w:t>ΔG</w:t>
      </w:r>
      <w:r w:rsidRPr="003C1C6A">
        <w:rPr>
          <w:spacing w:val="-3"/>
        </w:rPr>
        <w:t xml:space="preserve"> has a maximum given by the condition, </w:t>
      </w:r>
      <w:r w:rsidRPr="00A21E49">
        <w:rPr>
          <w:spacing w:val="-3"/>
          <w:position w:val="-10"/>
        </w:rPr>
        <w:object w:dxaOrig="1440" w:dyaOrig="320" w14:anchorId="41A97654">
          <v:shape id="_x0000_i1292" type="#_x0000_t75" style="width:1in;height:16.85pt" o:ole="">
            <v:imagedata r:id="rId515" o:title=""/>
          </v:shape>
          <o:OLEObject Type="Embed" ProgID="Equation.DSMT4" ShapeID="_x0000_i1292" DrawAspect="Content" ObjectID="_1840626858" r:id="rId516"/>
        </w:object>
      </w:r>
      <w:r w:rsidRPr="003C1C6A">
        <w:rPr>
          <w:spacing w:val="-3"/>
        </w:rPr>
        <w:t>, as</w:t>
      </w:r>
    </w:p>
    <w:p w14:paraId="04818D63" w14:textId="77777777" w:rsidR="00015B17" w:rsidRDefault="00015B17" w:rsidP="00015B17">
      <w:pPr>
        <w:suppressAutoHyphens/>
        <w:spacing w:line="360" w:lineRule="auto"/>
        <w:jc w:val="center"/>
        <w:rPr>
          <w:spacing w:val="-3"/>
        </w:rPr>
      </w:pPr>
    </w:p>
    <w:p w14:paraId="7919AFB5" w14:textId="77777777" w:rsidR="00015B17" w:rsidRDefault="00015B17" w:rsidP="00015B17">
      <w:pPr>
        <w:suppressAutoHyphens/>
        <w:spacing w:line="360" w:lineRule="auto"/>
        <w:jc w:val="center"/>
        <w:rPr>
          <w:spacing w:val="-3"/>
        </w:rPr>
      </w:pPr>
      <w:r w:rsidRPr="003C1C6A">
        <w:rPr>
          <w:spacing w:val="-3"/>
          <w:position w:val="-12"/>
        </w:rPr>
        <w:object w:dxaOrig="2260" w:dyaOrig="380" w14:anchorId="1D2D4E22">
          <v:shape id="_x0000_i1293" type="#_x0000_t75" style="width:112.2pt;height:18.7pt" o:ole="">
            <v:imagedata r:id="rId517" o:title=""/>
          </v:shape>
          <o:OLEObject Type="Embed" ProgID="Equation.DSMT4" ShapeID="_x0000_i1293" DrawAspect="Content" ObjectID="_1840626859" r:id="rId518"/>
        </w:object>
      </w:r>
      <w:r>
        <w:rPr>
          <w:spacing w:val="-3"/>
        </w:rPr>
        <w:tab/>
      </w:r>
      <w:r w:rsidR="006E6FC2">
        <w:rPr>
          <w:spacing w:val="-3"/>
        </w:rPr>
        <w:t>.</w:t>
      </w:r>
      <w:r>
        <w:rPr>
          <w:spacing w:val="-3"/>
        </w:rPr>
        <w:tab/>
        <w:t>(4.2)</w:t>
      </w:r>
    </w:p>
    <w:p w14:paraId="69769B0D" w14:textId="77777777" w:rsidR="00015B17" w:rsidRDefault="00015B17" w:rsidP="00015B17">
      <w:pPr>
        <w:suppressAutoHyphens/>
        <w:spacing w:line="360" w:lineRule="auto"/>
        <w:jc w:val="center"/>
        <w:rPr>
          <w:spacing w:val="-3"/>
        </w:rPr>
      </w:pPr>
    </w:p>
    <w:p w14:paraId="06273BEF" w14:textId="77777777" w:rsidR="00015B17" w:rsidRPr="003C1C6A" w:rsidRDefault="00015B17" w:rsidP="00015B17">
      <w:pPr>
        <w:suppressAutoHyphens/>
        <w:spacing w:line="360" w:lineRule="auto"/>
        <w:rPr>
          <w:spacing w:val="-3"/>
        </w:rPr>
      </w:pPr>
      <w:r>
        <w:rPr>
          <w:spacing w:val="-3"/>
        </w:rPr>
        <w:t>The critical radius for a given temperature is identical to what would be predicted using the Gibbs-Thomson Effect described in Section 3 for the manner in which the liquid-solid interface curvature changes the equilibrium liquid solid interface temperature.</w:t>
      </w:r>
    </w:p>
    <w:p w14:paraId="2A32FD1E" w14:textId="77777777" w:rsidR="00015B17" w:rsidRPr="003C1C6A" w:rsidRDefault="00015B17" w:rsidP="00015B17">
      <w:pPr>
        <w:suppressAutoHyphens/>
        <w:spacing w:line="360" w:lineRule="auto"/>
        <w:rPr>
          <w:spacing w:val="-3"/>
        </w:rPr>
      </w:pPr>
    </w:p>
    <w:p w14:paraId="012531B5" w14:textId="2908F15A" w:rsidR="00015B17" w:rsidRDefault="00015B17" w:rsidP="00015B17">
      <w:pPr>
        <w:suppressAutoHyphens/>
        <w:spacing w:line="360" w:lineRule="auto"/>
        <w:rPr>
          <w:spacing w:val="-3"/>
        </w:rPr>
      </w:pPr>
      <w:r w:rsidRPr="003C1C6A">
        <w:rPr>
          <w:spacing w:val="-3"/>
        </w:rPr>
        <w:tab/>
        <w:t xml:space="preserve">Fig. </w:t>
      </w:r>
      <w:r>
        <w:rPr>
          <w:spacing w:val="-3"/>
        </w:rPr>
        <w:t>4.1</w:t>
      </w:r>
      <w:r w:rsidRPr="003C1C6A">
        <w:rPr>
          <w:spacing w:val="-3"/>
        </w:rPr>
        <w:t xml:space="preserve">, due to KURZ AND FISHER [1989], gives a comprehensive picture of the variation of the free energy of an embryo as a function of its radius and </w:t>
      </w:r>
      <w:r w:rsidRPr="003C1C6A">
        <w:rPr>
          <w:i/>
          <w:iCs/>
          <w:spacing w:val="-3"/>
        </w:rPr>
        <w:t>ΔT</w:t>
      </w:r>
      <w:r w:rsidRPr="003C1C6A">
        <w:rPr>
          <w:spacing w:val="-3"/>
        </w:rPr>
        <w:t xml:space="preserve">: (a) At temperatures </w:t>
      </w:r>
      <w:r w:rsidRPr="003C1C6A">
        <w:rPr>
          <w:i/>
          <w:iCs/>
          <w:spacing w:val="-3"/>
        </w:rPr>
        <w:t>T</w:t>
      </w:r>
      <w:r w:rsidRPr="003C1C6A">
        <w:rPr>
          <w:spacing w:val="-3"/>
        </w:rPr>
        <w:t xml:space="preserve"> greater than </w:t>
      </w:r>
      <w:r w:rsidRPr="003C1C6A">
        <w:rPr>
          <w:i/>
          <w:iCs/>
          <w:spacing w:val="-3"/>
        </w:rPr>
        <w:t>T</w:t>
      </w:r>
      <w:r w:rsidRPr="00727E8A">
        <w:rPr>
          <w:spacing w:val="-3"/>
          <w:sz w:val="26"/>
          <w:vertAlign w:val="subscript"/>
        </w:rPr>
        <w:t>m</w:t>
      </w:r>
      <w:r w:rsidRPr="003C1C6A">
        <w:rPr>
          <w:spacing w:val="-3"/>
        </w:rPr>
        <w:t xml:space="preserve"> both </w:t>
      </w:r>
      <w:r w:rsidRPr="003C1C6A">
        <w:rPr>
          <w:i/>
          <w:iCs/>
          <w:spacing w:val="-3"/>
        </w:rPr>
        <w:t>ΔG</w:t>
      </w:r>
      <w:r w:rsidRPr="00727E8A">
        <w:rPr>
          <w:spacing w:val="-3"/>
          <w:sz w:val="26"/>
          <w:vertAlign w:val="subscript"/>
        </w:rPr>
        <w:t>v</w:t>
      </w:r>
      <w:r w:rsidRPr="003C1C6A">
        <w:rPr>
          <w:spacing w:val="-3"/>
        </w:rPr>
        <w:t xml:space="preserve"> and </w:t>
      </w:r>
      <w:r w:rsidRPr="003C1C6A">
        <w:rPr>
          <w:i/>
          <w:iCs/>
          <w:spacing w:val="-3"/>
        </w:rPr>
        <w:t>ΔG</w:t>
      </w:r>
      <w:r w:rsidRPr="00727E8A">
        <w:rPr>
          <w:spacing w:val="-3"/>
          <w:sz w:val="26"/>
          <w:vertAlign w:val="subscript"/>
        </w:rPr>
        <w:t>i</w:t>
      </w:r>
      <w:r w:rsidRPr="003C1C6A">
        <w:rPr>
          <w:spacing w:val="-3"/>
        </w:rPr>
        <w:t xml:space="preserve"> increase with </w:t>
      </w:r>
      <w:r w:rsidRPr="003C1C6A">
        <w:rPr>
          <w:i/>
          <w:iCs/>
          <w:spacing w:val="-3"/>
        </w:rPr>
        <w:t>r</w:t>
      </w:r>
      <w:r w:rsidRPr="003C1C6A">
        <w:rPr>
          <w:spacing w:val="-3"/>
        </w:rPr>
        <w:t xml:space="preserve">. Therefore the sum </w:t>
      </w:r>
      <w:r w:rsidRPr="003C1C6A">
        <w:rPr>
          <w:i/>
          <w:iCs/>
          <w:spacing w:val="-3"/>
        </w:rPr>
        <w:t>ΔG</w:t>
      </w:r>
      <w:r w:rsidRPr="003C1C6A">
        <w:rPr>
          <w:spacing w:val="-3"/>
        </w:rPr>
        <w:t xml:space="preserve">, increases monotonically with </w:t>
      </w:r>
      <w:r w:rsidRPr="003C1C6A">
        <w:rPr>
          <w:i/>
          <w:iCs/>
          <w:spacing w:val="-3"/>
        </w:rPr>
        <w:t>r</w:t>
      </w:r>
      <w:r w:rsidRPr="003C1C6A">
        <w:rPr>
          <w:spacing w:val="-3"/>
        </w:rPr>
        <w:t>. (b) At the melting point,</w:t>
      </w:r>
      <w:r w:rsidRPr="003C1C6A">
        <w:rPr>
          <w:i/>
          <w:iCs/>
          <w:spacing w:val="-3"/>
        </w:rPr>
        <w:t xml:space="preserve"> ΔG</w:t>
      </w:r>
      <w:r w:rsidRPr="00727E8A">
        <w:rPr>
          <w:spacing w:val="-3"/>
          <w:sz w:val="26"/>
          <w:vertAlign w:val="subscript"/>
        </w:rPr>
        <w:t>v</w:t>
      </w:r>
      <w:r w:rsidRPr="003C1C6A">
        <w:rPr>
          <w:spacing w:val="-3"/>
        </w:rPr>
        <w:t xml:space="preserve"> = 0 but </w:t>
      </w:r>
      <w:r w:rsidRPr="003C1C6A">
        <w:rPr>
          <w:i/>
          <w:iCs/>
          <w:spacing w:val="-3"/>
        </w:rPr>
        <w:t>ΔG</w:t>
      </w:r>
      <w:r w:rsidRPr="00727E8A">
        <w:rPr>
          <w:spacing w:val="-3"/>
          <w:sz w:val="26"/>
          <w:vertAlign w:val="subscript"/>
        </w:rPr>
        <w:t>i</w:t>
      </w:r>
      <w:r w:rsidRPr="003C1C6A">
        <w:rPr>
          <w:spacing w:val="-3"/>
        </w:rPr>
        <w:t xml:space="preserve"> still increases monotonically.  (c) Below the equilibrium temperature the sign of </w:t>
      </w:r>
      <w:r w:rsidRPr="003C1C6A">
        <w:rPr>
          <w:i/>
          <w:iCs/>
          <w:spacing w:val="-3"/>
        </w:rPr>
        <w:t>ΔG</w:t>
      </w:r>
      <w:r w:rsidRPr="00727E8A">
        <w:rPr>
          <w:spacing w:val="-3"/>
          <w:sz w:val="26"/>
          <w:vertAlign w:val="subscript"/>
        </w:rPr>
        <w:t>v</w:t>
      </w:r>
      <w:r w:rsidRPr="003C1C6A">
        <w:rPr>
          <w:spacing w:val="-3"/>
        </w:rPr>
        <w:t xml:space="preserve"> is negative because the liquid is </w:t>
      </w:r>
      <w:r w:rsidR="00A33EFE">
        <w:rPr>
          <w:spacing w:val="-3"/>
        </w:rPr>
        <w:t>less stable than the solid</w:t>
      </w:r>
      <w:r w:rsidR="00A33EFE" w:rsidRPr="003C1C6A">
        <w:rPr>
          <w:spacing w:val="-3"/>
        </w:rPr>
        <w:t xml:space="preserve"> </w:t>
      </w:r>
      <w:r w:rsidRPr="003C1C6A">
        <w:rPr>
          <w:spacing w:val="-3"/>
        </w:rPr>
        <w:t xml:space="preserve">while the behavior of </w:t>
      </w:r>
      <w:r w:rsidRPr="003C1C6A">
        <w:rPr>
          <w:i/>
          <w:iCs/>
          <w:spacing w:val="-3"/>
        </w:rPr>
        <w:t>ΔG</w:t>
      </w:r>
      <w:r w:rsidRPr="00727E8A">
        <w:rPr>
          <w:spacing w:val="-3"/>
          <w:sz w:val="26"/>
          <w:vertAlign w:val="subscript"/>
        </w:rPr>
        <w:t>i</w:t>
      </w:r>
      <w:r w:rsidRPr="003C1C6A">
        <w:rPr>
          <w:spacing w:val="-3"/>
        </w:rPr>
        <w:t xml:space="preserve"> is the same as in (a) and (b). At large values of</w:t>
      </w:r>
      <w:r w:rsidRPr="003C1C6A">
        <w:rPr>
          <w:i/>
          <w:iCs/>
          <w:spacing w:val="-3"/>
        </w:rPr>
        <w:t xml:space="preserve"> r</w:t>
      </w:r>
      <w:r w:rsidRPr="003C1C6A">
        <w:rPr>
          <w:spacing w:val="-3"/>
        </w:rPr>
        <w:t xml:space="preserve">, the cubic dependence of </w:t>
      </w:r>
      <w:r w:rsidRPr="003C1C6A">
        <w:rPr>
          <w:i/>
          <w:iCs/>
          <w:spacing w:val="-3"/>
        </w:rPr>
        <w:t>ΔG</w:t>
      </w:r>
      <w:r w:rsidRPr="00727E8A">
        <w:rPr>
          <w:spacing w:val="-3"/>
          <w:sz w:val="26"/>
          <w:vertAlign w:val="subscript"/>
        </w:rPr>
        <w:t>v</w:t>
      </w:r>
      <w:r w:rsidRPr="003C1C6A">
        <w:rPr>
          <w:spacing w:val="-3"/>
        </w:rPr>
        <w:t xml:space="preserve"> dominates over </w:t>
      </w:r>
      <w:r>
        <w:rPr>
          <w:spacing w:val="-3"/>
        </w:rPr>
        <w:t xml:space="preserve">the quadratic dependence of </w:t>
      </w:r>
      <w:r w:rsidRPr="003C1C6A">
        <w:rPr>
          <w:i/>
          <w:iCs/>
          <w:spacing w:val="-3"/>
        </w:rPr>
        <w:t>ΔG</w:t>
      </w:r>
      <w:r w:rsidRPr="00727E8A">
        <w:rPr>
          <w:spacing w:val="-3"/>
          <w:sz w:val="26"/>
          <w:vertAlign w:val="subscript"/>
        </w:rPr>
        <w:t>i</w:t>
      </w:r>
      <w:r w:rsidRPr="003C1C6A">
        <w:rPr>
          <w:spacing w:val="-3"/>
        </w:rPr>
        <w:t xml:space="preserve"> and </w:t>
      </w:r>
      <w:r w:rsidRPr="003C1C6A">
        <w:rPr>
          <w:i/>
          <w:iCs/>
          <w:spacing w:val="-3"/>
        </w:rPr>
        <w:t>ΔG</w:t>
      </w:r>
      <w:r w:rsidRPr="003C1C6A">
        <w:rPr>
          <w:spacing w:val="-3"/>
        </w:rPr>
        <w:t xml:space="preserve"> passes through a maximum at the critical radius,</w:t>
      </w:r>
      <w:r w:rsidRPr="003C1C6A">
        <w:rPr>
          <w:i/>
          <w:iCs/>
          <w:spacing w:val="-3"/>
        </w:rPr>
        <w:t xml:space="preserve"> r</w:t>
      </w:r>
      <w:r w:rsidRPr="00883A53">
        <w:rPr>
          <w:spacing w:val="-3"/>
          <w:sz w:val="26"/>
          <w:vertAlign w:val="superscript"/>
        </w:rPr>
        <w:t>*</w:t>
      </w:r>
      <w:r w:rsidRPr="003C1C6A">
        <w:rPr>
          <w:spacing w:val="-3"/>
        </w:rPr>
        <w:t xml:space="preserve">. When a thermal fluctuation causes an embryo to become larger than </w:t>
      </w:r>
      <w:r w:rsidRPr="003C1C6A">
        <w:rPr>
          <w:i/>
          <w:iCs/>
          <w:spacing w:val="-3"/>
        </w:rPr>
        <w:t>r</w:t>
      </w:r>
      <w:r w:rsidRPr="00883A53">
        <w:rPr>
          <w:spacing w:val="-3"/>
          <w:sz w:val="26"/>
          <w:vertAlign w:val="superscript"/>
        </w:rPr>
        <w:t>*</w:t>
      </w:r>
      <w:r w:rsidRPr="003C1C6A">
        <w:rPr>
          <w:spacing w:val="-3"/>
        </w:rPr>
        <w:t>, growth will occur as a result of the decrease in the total free energy. Nucleation in a homogeneous melt is called</w:t>
      </w:r>
      <w:r w:rsidRPr="003C1C6A">
        <w:rPr>
          <w:i/>
          <w:iCs/>
          <w:spacing w:val="-3"/>
        </w:rPr>
        <w:t xml:space="preserve"> homogeneous nucleation</w:t>
      </w:r>
      <w:r w:rsidRPr="003C1C6A">
        <w:rPr>
          <w:spacing w:val="-3"/>
        </w:rPr>
        <w:t xml:space="preserve"> and from </w:t>
      </w:r>
      <w:r>
        <w:rPr>
          <w:spacing w:val="-3"/>
        </w:rPr>
        <w:t>E</w:t>
      </w:r>
      <w:r w:rsidRPr="003C1C6A">
        <w:rPr>
          <w:spacing w:val="-3"/>
        </w:rPr>
        <w:t>q</w:t>
      </w:r>
      <w:r>
        <w:rPr>
          <w:spacing w:val="-3"/>
        </w:rPr>
        <w:t>n</w:t>
      </w:r>
      <w:r w:rsidRPr="003C1C6A">
        <w:rPr>
          <w:spacing w:val="-3"/>
        </w:rPr>
        <w:t xml:space="preserve">. </w:t>
      </w:r>
      <w:r>
        <w:rPr>
          <w:spacing w:val="-3"/>
        </w:rPr>
        <w:t>(4.1)</w:t>
      </w:r>
      <w:r w:rsidRPr="003C1C6A">
        <w:rPr>
          <w:spacing w:val="-3"/>
        </w:rPr>
        <w:t xml:space="preserve"> the </w:t>
      </w:r>
      <w:r w:rsidRPr="003C1C6A">
        <w:rPr>
          <w:i/>
          <w:iCs/>
          <w:spacing w:val="-3"/>
        </w:rPr>
        <w:t>critical energy of activation</w:t>
      </w:r>
      <w:r w:rsidRPr="003C1C6A">
        <w:rPr>
          <w:spacing w:val="-3"/>
        </w:rPr>
        <w:t xml:space="preserve"> for an embryo of radius</w:t>
      </w:r>
      <w:r w:rsidRPr="003C1C6A">
        <w:rPr>
          <w:i/>
          <w:iCs/>
          <w:spacing w:val="-3"/>
        </w:rPr>
        <w:t xml:space="preserve"> r</w:t>
      </w:r>
      <w:r w:rsidRPr="00883A53">
        <w:rPr>
          <w:spacing w:val="-3"/>
          <w:sz w:val="26"/>
          <w:vertAlign w:val="superscript"/>
        </w:rPr>
        <w:t xml:space="preserve">* </w:t>
      </w:r>
      <w:r w:rsidRPr="003C1C6A">
        <w:rPr>
          <w:spacing w:val="-3"/>
        </w:rPr>
        <w:t>is given by</w:t>
      </w:r>
    </w:p>
    <w:p w14:paraId="0AF09D03" w14:textId="77777777" w:rsidR="00015B17" w:rsidRPr="003C1C6A" w:rsidRDefault="00015B17" w:rsidP="00015B17">
      <w:pPr>
        <w:suppressAutoHyphens/>
        <w:spacing w:line="360" w:lineRule="auto"/>
        <w:jc w:val="both"/>
        <w:rPr>
          <w:spacing w:val="-3"/>
        </w:rPr>
      </w:pPr>
    </w:p>
    <w:p w14:paraId="4BC42EAB" w14:textId="77777777" w:rsidR="00015B17" w:rsidRDefault="00015B17" w:rsidP="00015B17">
      <w:pPr>
        <w:suppressAutoHyphens/>
        <w:spacing w:line="360" w:lineRule="auto"/>
        <w:jc w:val="center"/>
        <w:rPr>
          <w:spacing w:val="-3"/>
        </w:rPr>
      </w:pPr>
      <w:r w:rsidRPr="00291B4F">
        <w:rPr>
          <w:spacing w:val="-3"/>
          <w:position w:val="-42"/>
        </w:rPr>
        <w:object w:dxaOrig="2400" w:dyaOrig="840" w14:anchorId="6E1B2B1E">
          <v:shape id="_x0000_i1294" type="#_x0000_t75" style="width:119.7pt;height:42.1pt" o:ole="">
            <v:imagedata r:id="rId519" o:title=""/>
          </v:shape>
          <o:OLEObject Type="Embed" ProgID="Equation.DSMT4" ShapeID="_x0000_i1294" DrawAspect="Content" ObjectID="_1840626860" r:id="rId520"/>
        </w:object>
      </w:r>
      <w:r w:rsidRPr="003C1C6A">
        <w:rPr>
          <w:spacing w:val="-3"/>
        </w:rPr>
        <w:t>.</w:t>
      </w:r>
      <w:r>
        <w:rPr>
          <w:spacing w:val="-3"/>
        </w:rPr>
        <w:tab/>
      </w:r>
      <w:r>
        <w:rPr>
          <w:spacing w:val="-3"/>
        </w:rPr>
        <w:tab/>
        <w:t>(4.3)</w:t>
      </w:r>
    </w:p>
    <w:p w14:paraId="403F2C67" w14:textId="77777777" w:rsidR="00015B17" w:rsidRPr="003C1C6A" w:rsidRDefault="00015B17" w:rsidP="00015B17">
      <w:pPr>
        <w:suppressAutoHyphens/>
        <w:spacing w:line="360" w:lineRule="auto"/>
        <w:jc w:val="center"/>
        <w:rPr>
          <w:spacing w:val="-3"/>
        </w:rPr>
      </w:pPr>
    </w:p>
    <w:p w14:paraId="52973825" w14:textId="77777777" w:rsidR="00015B17" w:rsidRDefault="00015B17" w:rsidP="00015B17">
      <w:pPr>
        <w:suppressAutoHyphens/>
        <w:spacing w:line="360" w:lineRule="auto"/>
        <w:rPr>
          <w:spacing w:val="-3"/>
        </w:rPr>
      </w:pPr>
      <w:r w:rsidRPr="003C1C6A">
        <w:rPr>
          <w:spacing w:val="-3"/>
        </w:rPr>
        <w:tab/>
        <w:t xml:space="preserve">The unlikelihood that statistical fluctuations in the melt can create crystals with a large radius is the reason why nucleation is so difficult at small values of the supercooling. However small contamination particles in the melt, oxides on the melt surface or contact with the walls of a mold may catalyze nucleation at a much smaller supercooling and with fewer atoms required to form the critical nucleus. This is known as </w:t>
      </w:r>
      <w:r w:rsidRPr="003C1C6A">
        <w:rPr>
          <w:i/>
          <w:iCs/>
          <w:spacing w:val="-3"/>
        </w:rPr>
        <w:t>heterogeneous nucleation</w:t>
      </w:r>
      <w:r w:rsidRPr="003C1C6A">
        <w:rPr>
          <w:spacing w:val="-3"/>
        </w:rPr>
        <w:t>.</w:t>
      </w:r>
    </w:p>
    <w:p w14:paraId="0E51BD49" w14:textId="77777777" w:rsidR="00015B17" w:rsidRPr="003C1C6A" w:rsidRDefault="00015B17" w:rsidP="00015B17">
      <w:pPr>
        <w:suppressAutoHyphens/>
        <w:spacing w:line="360" w:lineRule="auto"/>
        <w:rPr>
          <w:spacing w:val="-3"/>
        </w:rPr>
      </w:pPr>
    </w:p>
    <w:p w14:paraId="70D744D3" w14:textId="77777777" w:rsidR="00015B17" w:rsidRDefault="00015B17" w:rsidP="00015B17">
      <w:pPr>
        <w:suppressAutoHyphens/>
        <w:spacing w:line="360" w:lineRule="auto"/>
        <w:rPr>
          <w:spacing w:val="-3"/>
        </w:rPr>
      </w:pPr>
      <w:r w:rsidRPr="003C1C6A">
        <w:rPr>
          <w:spacing w:val="-3"/>
        </w:rPr>
        <w:tab/>
        <w:t>In Fig.</w:t>
      </w:r>
      <w:r>
        <w:rPr>
          <w:spacing w:val="-3"/>
        </w:rPr>
        <w:t xml:space="preserve"> 4.2</w:t>
      </w:r>
      <w:r w:rsidRPr="003C1C6A">
        <w:rPr>
          <w:spacing w:val="-3"/>
        </w:rPr>
        <w:t xml:space="preserve">, homogeneous </w:t>
      </w:r>
      <w:r>
        <w:rPr>
          <w:spacing w:val="-3"/>
        </w:rPr>
        <w:t xml:space="preserve">nucleation </w:t>
      </w:r>
      <w:r w:rsidRPr="003C1C6A">
        <w:rPr>
          <w:spacing w:val="-3"/>
        </w:rPr>
        <w:t xml:space="preserve">and heterogeneous nucleation are compared for a flat catalytic surface and isotropic </w:t>
      </w:r>
      <w:r>
        <w:rPr>
          <w:spacing w:val="-3"/>
        </w:rPr>
        <w:t>interface</w:t>
      </w:r>
      <w:r w:rsidRPr="003C1C6A">
        <w:rPr>
          <w:spacing w:val="-3"/>
        </w:rPr>
        <w:t xml:space="preserve"> energies. For this simple case, the embryo is a spherical cap that makes an angle </w:t>
      </w:r>
      <w:r w:rsidRPr="003C1C6A">
        <w:rPr>
          <w:i/>
          <w:iCs/>
          <w:spacing w:val="-3"/>
        </w:rPr>
        <w:t>θ</w:t>
      </w:r>
      <w:r w:rsidRPr="003C1C6A">
        <w:rPr>
          <w:spacing w:val="-3"/>
        </w:rPr>
        <w:t xml:space="preserve"> with the substrate given by</w:t>
      </w:r>
    </w:p>
    <w:p w14:paraId="0D785269" w14:textId="77777777" w:rsidR="00015B17" w:rsidRPr="003C1C6A" w:rsidRDefault="00015B17" w:rsidP="00015B17">
      <w:pPr>
        <w:suppressAutoHyphens/>
        <w:spacing w:line="360" w:lineRule="auto"/>
        <w:jc w:val="both"/>
        <w:rPr>
          <w:spacing w:val="-3"/>
        </w:rPr>
      </w:pPr>
    </w:p>
    <w:p w14:paraId="5BFE2E14" w14:textId="77777777" w:rsidR="00015B17" w:rsidRDefault="00015B17" w:rsidP="00015B17">
      <w:pPr>
        <w:suppressAutoHyphens/>
        <w:spacing w:line="360" w:lineRule="auto"/>
        <w:jc w:val="center"/>
      </w:pPr>
      <w:r w:rsidRPr="003C1C6A">
        <w:rPr>
          <w:spacing w:val="-3"/>
          <w:position w:val="-12"/>
        </w:rPr>
        <w:object w:dxaOrig="1820" w:dyaOrig="360" w14:anchorId="235203A7">
          <v:shape id="_x0000_i1295" type="#_x0000_t75" style="width:89.75pt;height:17.75pt" o:ole="">
            <v:imagedata r:id="rId521" o:title=""/>
          </v:shape>
          <o:OLEObject Type="Embed" ProgID="Equation.DSMT4" ShapeID="_x0000_i1295" DrawAspect="Content" ObjectID="_1840626861" r:id="rId522"/>
        </w:object>
      </w:r>
      <w:r>
        <w:rPr>
          <w:spacing w:val="-3"/>
        </w:rPr>
        <w:tab/>
      </w:r>
      <w:r>
        <w:rPr>
          <w:spacing w:val="-3"/>
        </w:rPr>
        <w:tab/>
      </w:r>
      <w:r w:rsidRPr="00D12F49">
        <w:rPr>
          <w:position w:val="-10"/>
        </w:rPr>
        <w:object w:dxaOrig="1280" w:dyaOrig="320" w14:anchorId="1C62EAEC">
          <v:shape id="_x0000_i1296" type="#_x0000_t75" style="width:63.6pt;height:16.85pt" o:ole="">
            <v:imagedata r:id="rId523" o:title=""/>
          </v:shape>
          <o:OLEObject Type="Embed" ProgID="Equation.DSMT4" ShapeID="_x0000_i1296" DrawAspect="Content" ObjectID="_1840626862" r:id="rId524"/>
        </w:object>
      </w:r>
    </w:p>
    <w:p w14:paraId="413AAE5A" w14:textId="77777777" w:rsidR="00015B17" w:rsidRPr="003C1C6A" w:rsidRDefault="00015B17" w:rsidP="00015B17">
      <w:pPr>
        <w:suppressAutoHyphens/>
        <w:spacing w:line="360" w:lineRule="auto"/>
        <w:jc w:val="center"/>
        <w:rPr>
          <w:spacing w:val="-3"/>
        </w:rPr>
      </w:pPr>
    </w:p>
    <w:p w14:paraId="033F7A8E" w14:textId="5D3F79C2" w:rsidR="00015B17" w:rsidRDefault="00015B17" w:rsidP="00015B17">
      <w:pPr>
        <w:suppressAutoHyphens/>
        <w:spacing w:line="360" w:lineRule="auto"/>
        <w:rPr>
          <w:spacing w:val="-3"/>
        </w:rPr>
      </w:pPr>
      <w:r w:rsidRPr="003C1C6A">
        <w:rPr>
          <w:spacing w:val="-3"/>
        </w:rPr>
        <w:t xml:space="preserve">where  </w:t>
      </w:r>
      <w:r w:rsidRPr="00377B68">
        <w:rPr>
          <w:spacing w:val="-3"/>
          <w:position w:val="-12"/>
        </w:rPr>
        <w:object w:dxaOrig="340" w:dyaOrig="360" w14:anchorId="19DB1DA1">
          <v:shape id="_x0000_i1297" type="#_x0000_t75" style="width:16.85pt;height:17.75pt" o:ole="">
            <v:imagedata r:id="rId525" o:title=""/>
          </v:shape>
          <o:OLEObject Type="Embed" ProgID="Equation.DSMT4" ShapeID="_x0000_i1297" DrawAspect="Content" ObjectID="_1840626863" r:id="rId526"/>
        </w:object>
      </w:r>
      <w:r w:rsidRPr="003C1C6A">
        <w:rPr>
          <w:spacing w:val="-3"/>
        </w:rPr>
        <w:t xml:space="preserve"> is the catalyst-liquid interfacial free energy and </w:t>
      </w:r>
      <w:r w:rsidRPr="00377B68">
        <w:rPr>
          <w:spacing w:val="-3"/>
          <w:position w:val="-12"/>
        </w:rPr>
        <w:object w:dxaOrig="340" w:dyaOrig="360" w14:anchorId="060C5E51">
          <v:shape id="_x0000_i1298" type="#_x0000_t75" style="width:16.85pt;height:17.75pt" o:ole="">
            <v:imagedata r:id="rId527" o:title=""/>
          </v:shape>
          <o:OLEObject Type="Embed" ProgID="Equation.DSMT4" ShapeID="_x0000_i1298" DrawAspect="Content" ObjectID="_1840626864" r:id="rId528"/>
        </w:object>
      </w:r>
      <w:r w:rsidRPr="003C1C6A">
        <w:rPr>
          <w:spacing w:val="-3"/>
        </w:rPr>
        <w:t xml:space="preserve"> the catalyst</w:t>
      </w:r>
      <w:r w:rsidRPr="003C1C6A">
        <w:rPr>
          <w:spacing w:val="-3"/>
        </w:rPr>
        <w:noBreakHyphen/>
        <w:t xml:space="preserve">solid interfacial free energy. At a supercooling, </w:t>
      </w:r>
      <w:r w:rsidRPr="003C1C6A">
        <w:rPr>
          <w:i/>
          <w:iCs/>
          <w:spacing w:val="-3"/>
        </w:rPr>
        <w:t>ΔT</w:t>
      </w:r>
      <w:r w:rsidRPr="003C1C6A">
        <w:rPr>
          <w:spacing w:val="-3"/>
        </w:rPr>
        <w:t xml:space="preserve">, the critical radius of the spherical cap is again given by </w:t>
      </w:r>
      <w:r>
        <w:rPr>
          <w:spacing w:val="-3"/>
        </w:rPr>
        <w:t>Eqn</w:t>
      </w:r>
      <w:r w:rsidRPr="003C1C6A">
        <w:rPr>
          <w:spacing w:val="-3"/>
        </w:rPr>
        <w:t>. (</w:t>
      </w:r>
      <w:r>
        <w:rPr>
          <w:spacing w:val="-3"/>
        </w:rPr>
        <w:t>4.2</w:t>
      </w:r>
      <w:r w:rsidRPr="003C1C6A">
        <w:rPr>
          <w:spacing w:val="-3"/>
        </w:rPr>
        <w:t xml:space="preserve">), but the number of atoms in the critical nucleus </w:t>
      </w:r>
      <w:r w:rsidR="004A45A7">
        <w:rPr>
          <w:spacing w:val="-3"/>
        </w:rPr>
        <w:t xml:space="preserve">cap </w:t>
      </w:r>
      <w:r w:rsidRPr="003C1C6A">
        <w:rPr>
          <w:spacing w:val="-3"/>
        </w:rPr>
        <w:t xml:space="preserve">is smaller than that for homogeneous nucleation as a consequence of the catalytic substrate. </w:t>
      </w:r>
      <w:r w:rsidR="003B1B72" w:rsidRPr="003C1C6A">
        <w:rPr>
          <w:spacing w:val="-3"/>
        </w:rPr>
        <w:t>Indeed,</w:t>
      </w:r>
      <w:r w:rsidRPr="003C1C6A">
        <w:rPr>
          <w:spacing w:val="-3"/>
        </w:rPr>
        <w:t xml:space="preserve"> the thermodynamic barrier to nucleation </w:t>
      </w:r>
      <w:r w:rsidRPr="003C1C6A">
        <w:rPr>
          <w:i/>
          <w:iCs/>
          <w:spacing w:val="-3"/>
        </w:rPr>
        <w:t>ΔG</w:t>
      </w:r>
      <w:r w:rsidRPr="00883A53">
        <w:rPr>
          <w:spacing w:val="-3"/>
          <w:sz w:val="26"/>
          <w:vertAlign w:val="superscript"/>
        </w:rPr>
        <w:t>*</w:t>
      </w:r>
      <w:r w:rsidRPr="003C1C6A">
        <w:rPr>
          <w:spacing w:val="-3"/>
        </w:rPr>
        <w:t xml:space="preserve"> is reduced by a factor </w:t>
      </w:r>
      <w:r w:rsidRPr="004B725B">
        <w:rPr>
          <w:spacing w:val="-3"/>
          <w:position w:val="-14"/>
        </w:rPr>
        <w:object w:dxaOrig="600" w:dyaOrig="400" w14:anchorId="238AFF14">
          <v:shape id="_x0000_i1299" type="#_x0000_t75" style="width:29.9pt;height:19.65pt" o:ole="">
            <v:imagedata r:id="rId529" o:title=""/>
          </v:shape>
          <o:OLEObject Type="Embed" ProgID="Equation.DSMT4" ShapeID="_x0000_i1299" DrawAspect="Content" ObjectID="_1840626865" r:id="rId530"/>
        </w:object>
      </w:r>
      <w:r w:rsidRPr="003C1C6A">
        <w:rPr>
          <w:spacing w:val="-3"/>
        </w:rPr>
        <w:t xml:space="preserve"> to</w:t>
      </w:r>
    </w:p>
    <w:p w14:paraId="354D547B" w14:textId="77777777" w:rsidR="00015B17" w:rsidRDefault="00015B17" w:rsidP="00015B17">
      <w:pPr>
        <w:suppressAutoHyphens/>
        <w:spacing w:line="360" w:lineRule="auto"/>
        <w:rPr>
          <w:spacing w:val="-3"/>
        </w:rPr>
      </w:pPr>
    </w:p>
    <w:p w14:paraId="72AEC3AE" w14:textId="77777777" w:rsidR="00015B17" w:rsidRDefault="00015B17" w:rsidP="00015B17">
      <w:pPr>
        <w:suppressAutoHyphens/>
        <w:spacing w:line="360" w:lineRule="auto"/>
        <w:jc w:val="center"/>
        <w:rPr>
          <w:spacing w:val="-3"/>
        </w:rPr>
      </w:pPr>
      <w:r w:rsidRPr="00291B4F">
        <w:rPr>
          <w:spacing w:val="-3"/>
          <w:position w:val="-42"/>
        </w:rPr>
        <w:object w:dxaOrig="2960" w:dyaOrig="840" w14:anchorId="266857D7">
          <v:shape id="_x0000_i1300" type="#_x0000_t75" style="width:148.7pt;height:42.1pt" o:ole="">
            <v:imagedata r:id="rId531" o:title=""/>
          </v:shape>
          <o:OLEObject Type="Embed" ProgID="Equation.DSMT4" ShapeID="_x0000_i1300" DrawAspect="Content" ObjectID="_1840626866" r:id="rId532"/>
        </w:object>
      </w:r>
      <w:r w:rsidR="006E6FC2">
        <w:rPr>
          <w:spacing w:val="-3"/>
        </w:rPr>
        <w:t>,</w:t>
      </w:r>
      <w:r>
        <w:rPr>
          <w:spacing w:val="-3"/>
        </w:rPr>
        <w:tab/>
      </w:r>
      <w:r>
        <w:rPr>
          <w:spacing w:val="-3"/>
        </w:rPr>
        <w:tab/>
        <w:t>(4.5)</w:t>
      </w:r>
    </w:p>
    <w:p w14:paraId="3595E89E" w14:textId="77777777" w:rsidR="00015B17" w:rsidRPr="003C1C6A" w:rsidRDefault="00015B17" w:rsidP="00015B17">
      <w:pPr>
        <w:suppressAutoHyphens/>
        <w:spacing w:line="360" w:lineRule="auto"/>
        <w:jc w:val="both"/>
        <w:rPr>
          <w:spacing w:val="-3"/>
        </w:rPr>
      </w:pPr>
    </w:p>
    <w:p w14:paraId="5309B95C" w14:textId="77777777" w:rsidR="00015B17" w:rsidRDefault="00015B17" w:rsidP="00015B17">
      <w:pPr>
        <w:suppressAutoHyphens/>
        <w:spacing w:line="360" w:lineRule="auto"/>
        <w:jc w:val="both"/>
        <w:rPr>
          <w:spacing w:val="-3"/>
        </w:rPr>
      </w:pPr>
      <w:r w:rsidRPr="003C1C6A">
        <w:rPr>
          <w:spacing w:val="-3"/>
        </w:rPr>
        <w:t>where</w:t>
      </w:r>
    </w:p>
    <w:p w14:paraId="3718CE99" w14:textId="77777777" w:rsidR="00015B17" w:rsidRDefault="00015B17" w:rsidP="00015B17">
      <w:pPr>
        <w:suppressAutoHyphens/>
        <w:spacing w:line="360" w:lineRule="auto"/>
        <w:jc w:val="both"/>
        <w:rPr>
          <w:spacing w:val="-3"/>
        </w:rPr>
      </w:pPr>
    </w:p>
    <w:p w14:paraId="4DBA84B2" w14:textId="77777777" w:rsidR="00015B17" w:rsidRPr="003C1C6A" w:rsidRDefault="00015B17" w:rsidP="00015B17">
      <w:pPr>
        <w:suppressAutoHyphens/>
        <w:spacing w:line="360" w:lineRule="auto"/>
        <w:jc w:val="center"/>
        <w:rPr>
          <w:spacing w:val="-3"/>
        </w:rPr>
      </w:pPr>
      <w:r w:rsidRPr="003C1C6A">
        <w:rPr>
          <w:spacing w:val="-3"/>
          <w:position w:val="-24"/>
        </w:rPr>
        <w:object w:dxaOrig="3159" w:dyaOrig="680" w14:anchorId="0BFEA814">
          <v:shape id="_x0000_i1301" type="#_x0000_t75" style="width:158.05pt;height:33.65pt" o:ole="">
            <v:imagedata r:id="rId533" o:title=""/>
          </v:shape>
          <o:OLEObject Type="Embed" ProgID="Equation.DSMT4" ShapeID="_x0000_i1301" DrawAspect="Content" ObjectID="_1840626867" r:id="rId534"/>
        </w:object>
      </w:r>
      <w:r>
        <w:rPr>
          <w:spacing w:val="-3"/>
        </w:rPr>
        <w:tab/>
      </w:r>
      <w:r>
        <w:rPr>
          <w:spacing w:val="-3"/>
        </w:rPr>
        <w:tab/>
        <w:t>(4.6)</w:t>
      </w:r>
    </w:p>
    <w:p w14:paraId="07817496" w14:textId="77777777" w:rsidR="00015B17" w:rsidRPr="003C1C6A" w:rsidRDefault="00015B17" w:rsidP="00015B17">
      <w:pPr>
        <w:suppressAutoHyphens/>
        <w:spacing w:line="360" w:lineRule="auto"/>
        <w:jc w:val="both"/>
        <w:rPr>
          <w:spacing w:val="-3"/>
        </w:rPr>
      </w:pPr>
    </w:p>
    <w:p w14:paraId="0C6262C1" w14:textId="571FCBA2" w:rsidR="00015B17" w:rsidRPr="00C707D2" w:rsidRDefault="00015B17" w:rsidP="00015B17">
      <w:pPr>
        <w:suppressAutoHyphens/>
        <w:spacing w:line="360" w:lineRule="auto"/>
        <w:rPr>
          <w:spacing w:val="-3"/>
        </w:rPr>
      </w:pPr>
      <w:r>
        <w:rPr>
          <w:spacing w:val="-3"/>
        </w:rPr>
        <w:lastRenderedPageBreak/>
        <w:tab/>
      </w:r>
      <w:r w:rsidRPr="003C1C6A">
        <w:rPr>
          <w:spacing w:val="-3"/>
        </w:rPr>
        <w:t xml:space="preserve">If nucleation occurs in a scratch or a cavity of the catalytic substrate, the number of atoms in a critical nucleus and the value of </w:t>
      </w:r>
      <w:r w:rsidRPr="003C1C6A">
        <w:rPr>
          <w:i/>
          <w:iCs/>
          <w:spacing w:val="-3"/>
        </w:rPr>
        <w:t>ΔG</w:t>
      </w:r>
      <w:r w:rsidRPr="00883A53">
        <w:rPr>
          <w:spacing w:val="-3"/>
          <w:sz w:val="26"/>
          <w:vertAlign w:val="superscript"/>
        </w:rPr>
        <w:t>*</w:t>
      </w:r>
      <w:r w:rsidRPr="003C1C6A">
        <w:rPr>
          <w:spacing w:val="-3"/>
        </w:rPr>
        <w:t xml:space="preserve"> can be reduced </w:t>
      </w:r>
      <w:r w:rsidR="004A45A7">
        <w:rPr>
          <w:spacing w:val="-3"/>
        </w:rPr>
        <w:t>further</w:t>
      </w:r>
      <w:r>
        <w:rPr>
          <w:spacing w:val="-3"/>
        </w:rPr>
        <w:t xml:space="preserve"> [Turnbull 1950]</w:t>
      </w:r>
      <w:r w:rsidRPr="003C1C6A">
        <w:rPr>
          <w:spacing w:val="-3"/>
        </w:rPr>
        <w:t xml:space="preserve">. For a planar catalytic surface, the reduction in the free energy barrier compared to that for homogeneous nucleation depends on the contact angle. Any value of </w:t>
      </w:r>
      <w:r w:rsidRPr="003C1C6A">
        <w:rPr>
          <w:i/>
          <w:iCs/>
          <w:spacing w:val="-3"/>
        </w:rPr>
        <w:t>θ</w:t>
      </w:r>
      <w:r w:rsidRPr="003C1C6A">
        <w:rPr>
          <w:spacing w:val="-3"/>
        </w:rPr>
        <w:t xml:space="preserve"> between 0</w:t>
      </w:r>
      <w:r w:rsidRPr="003C1C6A">
        <w:rPr>
          <w:spacing w:val="-3"/>
        </w:rPr>
        <w:sym w:font="Symbol" w:char="F0B0"/>
      </w:r>
      <w:r w:rsidRPr="003C1C6A">
        <w:rPr>
          <w:spacing w:val="-3"/>
        </w:rPr>
        <w:t xml:space="preserve"> and 180</w:t>
      </w:r>
      <w:r w:rsidRPr="003C1C6A">
        <w:rPr>
          <w:spacing w:val="-3"/>
        </w:rPr>
        <w:sym w:font="Symbol" w:char="F0B0"/>
      </w:r>
      <w:r w:rsidRPr="003C1C6A">
        <w:rPr>
          <w:spacing w:val="-3"/>
        </w:rPr>
        <w:t xml:space="preserve"> corresponds to a stable angle. When </w:t>
      </w:r>
      <w:r w:rsidRPr="003C1C6A">
        <w:rPr>
          <w:i/>
          <w:iCs/>
          <w:spacing w:val="-3"/>
        </w:rPr>
        <w:t xml:space="preserve">θ </w:t>
      </w:r>
      <w:r w:rsidRPr="003C1C6A">
        <w:rPr>
          <w:spacing w:val="-3"/>
        </w:rPr>
        <w:t>= 180</w:t>
      </w:r>
      <w:r w:rsidRPr="003C1C6A">
        <w:rPr>
          <w:spacing w:val="-3"/>
        </w:rPr>
        <w:sym w:font="Symbol" w:char="F0B0"/>
      </w:r>
      <w:r w:rsidRPr="003C1C6A">
        <w:rPr>
          <w:spacing w:val="-3"/>
        </w:rPr>
        <w:t xml:space="preserve">, the solid does not interact with the substrate, </w:t>
      </w:r>
      <w:r w:rsidRPr="00901BA9">
        <w:rPr>
          <w:spacing w:val="-3"/>
          <w:position w:val="-10"/>
        </w:rPr>
        <w:object w:dxaOrig="859" w:dyaOrig="320" w14:anchorId="4382B9FE">
          <v:shape id="_x0000_i1302" type="#_x0000_t75" style="width:43pt;height:16.85pt" o:ole="">
            <v:imagedata r:id="rId535" o:title=""/>
          </v:shape>
          <o:OLEObject Type="Embed" ProgID="Equation.DSMT4" ShapeID="_x0000_i1302" DrawAspect="Content" ObjectID="_1840626868" r:id="rId536"/>
        </w:object>
      </w:r>
      <w:r w:rsidRPr="003C1C6A">
        <w:rPr>
          <w:spacing w:val="-3"/>
        </w:rPr>
        <w:t>and the homogeneous nucleation result is obtained. When</w:t>
      </w:r>
      <w:r w:rsidRPr="003C1C6A">
        <w:rPr>
          <w:i/>
          <w:iCs/>
          <w:spacing w:val="-3"/>
        </w:rPr>
        <w:t xml:space="preserve"> θ</w:t>
      </w:r>
      <w:r w:rsidRPr="003C1C6A">
        <w:rPr>
          <w:spacing w:val="-3"/>
        </w:rPr>
        <w:t xml:space="preserve"> = 0</w:t>
      </w:r>
      <w:r w:rsidRPr="003C1C6A">
        <w:rPr>
          <w:spacing w:val="-3"/>
        </w:rPr>
        <w:sym w:font="Symbol" w:char="F0B0"/>
      </w:r>
      <w:r w:rsidRPr="003C1C6A">
        <w:rPr>
          <w:spacing w:val="-3"/>
        </w:rPr>
        <w:t>, the solid "wets" the substrate,</w:t>
      </w:r>
      <w:r w:rsidRPr="00901BA9">
        <w:rPr>
          <w:spacing w:val="-3"/>
          <w:position w:val="-10"/>
        </w:rPr>
        <w:object w:dxaOrig="900" w:dyaOrig="320" w14:anchorId="09261DFE">
          <v:shape id="_x0000_i1303" type="#_x0000_t75" style="width:44.9pt;height:16.85pt" o:ole="">
            <v:imagedata r:id="rId537" o:title=""/>
          </v:shape>
          <o:OLEObject Type="Embed" ProgID="Equation.DSMT4" ShapeID="_x0000_i1303" DrawAspect="Content" ObjectID="_1840626869" r:id="rId538"/>
        </w:object>
      </w:r>
      <w:r w:rsidRPr="003C1C6A">
        <w:rPr>
          <w:spacing w:val="-3"/>
        </w:rPr>
        <w:t xml:space="preserve">, and </w:t>
      </w:r>
      <w:r w:rsidRPr="003C1C6A">
        <w:rPr>
          <w:i/>
          <w:iCs/>
          <w:spacing w:val="-3"/>
        </w:rPr>
        <w:t>ΔG</w:t>
      </w:r>
      <w:r w:rsidRPr="00883A53">
        <w:rPr>
          <w:spacing w:val="-3"/>
          <w:sz w:val="26"/>
          <w:vertAlign w:val="superscript"/>
        </w:rPr>
        <w:t>*</w:t>
      </w:r>
      <w:r w:rsidRPr="003C1C6A">
        <w:rPr>
          <w:spacing w:val="-3"/>
        </w:rPr>
        <w:t xml:space="preserve"> = 0. As a result, solidification can begin immediately when the liquid cools to the freezing point. From the classical heterogeneous nucleation point of view, a good nucleant corresponds to a small contact angle between the nucleating particle and the growing solid. According to </w:t>
      </w:r>
      <w:r>
        <w:rPr>
          <w:spacing w:val="-3"/>
        </w:rPr>
        <w:t xml:space="preserve">Eqn. </w:t>
      </w:r>
      <w:r w:rsidR="006E6FC2">
        <w:rPr>
          <w:spacing w:val="-3"/>
        </w:rPr>
        <w:t>4.4,</w:t>
      </w:r>
      <w:r w:rsidR="006E6FC2" w:rsidRPr="003C1C6A">
        <w:rPr>
          <w:spacing w:val="-3"/>
        </w:rPr>
        <w:t xml:space="preserve"> this</w:t>
      </w:r>
      <w:r w:rsidRPr="003C1C6A">
        <w:rPr>
          <w:spacing w:val="-3"/>
        </w:rPr>
        <w:t xml:space="preserve"> implies that </w:t>
      </w:r>
      <w:r w:rsidRPr="00377B68">
        <w:rPr>
          <w:spacing w:val="-3"/>
          <w:position w:val="-12"/>
        </w:rPr>
        <w:object w:dxaOrig="340" w:dyaOrig="360" w14:anchorId="16594F26">
          <v:shape id="_x0000_i1304" type="#_x0000_t75" style="width:16.85pt;height:17.75pt" o:ole="">
            <v:imagedata r:id="rId539" o:title=""/>
          </v:shape>
          <o:OLEObject Type="Embed" ProgID="Equation.DSMT4" ShapeID="_x0000_i1304" DrawAspect="Content" ObjectID="_1840626870" r:id="rId540"/>
        </w:object>
      </w:r>
      <w:r w:rsidRPr="003C1C6A">
        <w:rPr>
          <w:spacing w:val="-3"/>
        </w:rPr>
        <w:t xml:space="preserve"> mus</w:t>
      </w:r>
      <w:r>
        <w:rPr>
          <w:spacing w:val="-3"/>
        </w:rPr>
        <w:t xml:space="preserve">t be much </w:t>
      </w:r>
      <w:r w:rsidRPr="003C1C6A">
        <w:rPr>
          <w:spacing w:val="-3"/>
        </w:rPr>
        <w:t>lower than</w:t>
      </w:r>
      <w:r w:rsidRPr="00901BA9">
        <w:rPr>
          <w:spacing w:val="-3"/>
          <w:position w:val="-12"/>
        </w:rPr>
        <w:object w:dxaOrig="340" w:dyaOrig="360" w14:anchorId="7B3E2F48">
          <v:shape id="_x0000_i1305" type="#_x0000_t75" style="width:16.85pt;height:17.75pt" o:ole="">
            <v:imagedata r:id="rId541" o:title=""/>
          </v:shape>
          <o:OLEObject Type="Embed" ProgID="Equation.DSMT4" ShapeID="_x0000_i1305" DrawAspect="Content" ObjectID="_1840626871" r:id="rId542"/>
        </w:object>
      </w:r>
      <w:r w:rsidRPr="003C1C6A">
        <w:rPr>
          <w:spacing w:val="-3"/>
        </w:rPr>
        <w:t xml:space="preserve">. However, in general, the values of </w:t>
      </w:r>
      <w:r w:rsidRPr="00901BA9">
        <w:rPr>
          <w:spacing w:val="-3"/>
          <w:position w:val="-12"/>
        </w:rPr>
        <w:object w:dxaOrig="440" w:dyaOrig="360" w14:anchorId="1BA8CC21">
          <v:shape id="_x0000_i1306" type="#_x0000_t75" style="width:21.5pt;height:17.75pt" o:ole="">
            <v:imagedata r:id="rId543" o:title=""/>
          </v:shape>
          <o:OLEObject Type="Embed" ProgID="Equation.DSMT4" ShapeID="_x0000_i1306" DrawAspect="Content" ObjectID="_1840626872" r:id="rId544"/>
        </w:object>
      </w:r>
      <w:r w:rsidRPr="003C1C6A">
        <w:rPr>
          <w:spacing w:val="-3"/>
        </w:rPr>
        <w:t xml:space="preserve">and </w:t>
      </w:r>
      <w:r w:rsidRPr="00901BA9">
        <w:rPr>
          <w:spacing w:val="-3"/>
          <w:position w:val="-12"/>
        </w:rPr>
        <w:object w:dxaOrig="340" w:dyaOrig="360" w14:anchorId="35ABC1EA">
          <v:shape id="_x0000_i1307" type="#_x0000_t75" style="width:16.85pt;height:17.75pt" o:ole="">
            <v:imagedata r:id="rId541" o:title=""/>
          </v:shape>
          <o:OLEObject Type="Embed" ProgID="Equation.DSMT4" ShapeID="_x0000_i1307" DrawAspect="Content" ObjectID="_1840626873" r:id="rId545"/>
        </w:object>
      </w:r>
      <w:r w:rsidRPr="003C1C6A">
        <w:rPr>
          <w:spacing w:val="-3"/>
        </w:rPr>
        <w:t xml:space="preserve">are not known and, therefore it is rather difficult to predict the potential catalytic effectiveness of a nucleant. </w:t>
      </w:r>
      <w:r w:rsidRPr="00C707D2">
        <w:rPr>
          <w:spacing w:val="-3"/>
        </w:rPr>
        <w:t xml:space="preserve">Factors that determine </w:t>
      </w:r>
      <w:r w:rsidRPr="00C707D2">
        <w:rPr>
          <w:i/>
          <w:iCs/>
          <w:spacing w:val="-3"/>
        </w:rPr>
        <w:t>θ</w:t>
      </w:r>
      <w:r w:rsidRPr="00C707D2">
        <w:rPr>
          <w:spacing w:val="-3"/>
        </w:rPr>
        <w:t xml:space="preserve"> are largely unknown but likely involve lattice disregistry between </w:t>
      </w:r>
      <w:r>
        <w:rPr>
          <w:spacing w:val="-3"/>
        </w:rPr>
        <w:t xml:space="preserve">the </w:t>
      </w:r>
      <w:r w:rsidRPr="00C707D2">
        <w:rPr>
          <w:spacing w:val="-3"/>
        </w:rPr>
        <w:t xml:space="preserve">substrate and the stable phase, </w:t>
      </w:r>
      <w:r>
        <w:rPr>
          <w:spacing w:val="-3"/>
        </w:rPr>
        <w:t>the</w:t>
      </w:r>
      <w:r w:rsidRPr="00C707D2">
        <w:rPr>
          <w:spacing w:val="-3"/>
        </w:rPr>
        <w:t xml:space="preserve"> topography of the catalytic substrate surface, the chemical nature of the catalytic surface </w:t>
      </w:r>
      <w:r>
        <w:rPr>
          <w:spacing w:val="-3"/>
        </w:rPr>
        <w:t xml:space="preserve">and </w:t>
      </w:r>
      <w:r w:rsidRPr="00C707D2">
        <w:rPr>
          <w:spacing w:val="-3"/>
        </w:rPr>
        <w:t>absorbed films on the catalytic substrate surface.</w:t>
      </w:r>
    </w:p>
    <w:p w14:paraId="35734BCC" w14:textId="77777777" w:rsidR="00015B17" w:rsidRPr="00C707D2" w:rsidRDefault="00015B17" w:rsidP="00015B17">
      <w:pPr>
        <w:suppressAutoHyphens/>
        <w:spacing w:line="360" w:lineRule="auto"/>
        <w:rPr>
          <w:spacing w:val="-3"/>
        </w:rPr>
      </w:pPr>
    </w:p>
    <w:p w14:paraId="232FA81A" w14:textId="627DDE51" w:rsidR="00015B17" w:rsidRPr="003C1C6A" w:rsidRDefault="00015B17" w:rsidP="00015B17">
      <w:pPr>
        <w:suppressAutoHyphens/>
        <w:spacing w:line="360" w:lineRule="auto"/>
        <w:rPr>
          <w:spacing w:val="-3"/>
        </w:rPr>
      </w:pPr>
      <w:r w:rsidRPr="003C1C6A">
        <w:rPr>
          <w:b/>
          <w:bCs/>
          <w:spacing w:val="-3"/>
        </w:rPr>
        <w:t>4.1.2. Nucleation Rate</w:t>
      </w:r>
    </w:p>
    <w:p w14:paraId="7650C2DC" w14:textId="77777777" w:rsidR="00015B17" w:rsidRPr="003C1C6A" w:rsidRDefault="00015B17" w:rsidP="00015B17">
      <w:pPr>
        <w:suppressAutoHyphens/>
        <w:spacing w:line="360" w:lineRule="auto"/>
        <w:rPr>
          <w:spacing w:val="-3"/>
        </w:rPr>
      </w:pPr>
    </w:p>
    <w:p w14:paraId="135074D3" w14:textId="77777777" w:rsidR="00015B17" w:rsidRDefault="00015B17" w:rsidP="00015B17">
      <w:pPr>
        <w:suppressAutoHyphens/>
        <w:spacing w:line="360" w:lineRule="auto"/>
        <w:rPr>
          <w:spacing w:val="-3"/>
        </w:rPr>
      </w:pPr>
      <w:r w:rsidRPr="003C1C6A">
        <w:rPr>
          <w:spacing w:val="-3"/>
        </w:rPr>
        <w:tab/>
        <w:t>The rate of homogeneous nucleation,</w:t>
      </w:r>
      <w:r w:rsidRPr="003C1C6A">
        <w:rPr>
          <w:i/>
          <w:iCs/>
          <w:spacing w:val="-3"/>
        </w:rPr>
        <w:t xml:space="preserve"> I</w:t>
      </w:r>
      <w:r w:rsidRPr="003C1C6A">
        <w:rPr>
          <w:spacing w:val="-3"/>
        </w:rPr>
        <w:t>, is the number of embryos formed with a size that just exceeds the critical value per unit time per unit volume of liquid. Similarly, the heterogeneous nucleation rate is considered per unit area of active catalytic site. To determine the rate of nucleation, it is necessary to find expressions for the number of embryos that have critical size and the rate at which atoms or molecules attach to the critical nucleus.</w:t>
      </w:r>
    </w:p>
    <w:p w14:paraId="109E82B8" w14:textId="77777777" w:rsidR="00015B17" w:rsidRPr="003C1C6A" w:rsidRDefault="00015B17" w:rsidP="00015B17">
      <w:pPr>
        <w:suppressAutoHyphens/>
        <w:spacing w:line="360" w:lineRule="auto"/>
        <w:rPr>
          <w:spacing w:val="-3"/>
        </w:rPr>
      </w:pPr>
    </w:p>
    <w:p w14:paraId="2C098BEF" w14:textId="77777777" w:rsidR="00015B17" w:rsidRDefault="00015B17" w:rsidP="00015B17">
      <w:pPr>
        <w:suppressAutoHyphens/>
        <w:spacing w:line="360" w:lineRule="auto"/>
        <w:rPr>
          <w:spacing w:val="-3"/>
        </w:rPr>
      </w:pPr>
      <w:r w:rsidRPr="003C1C6A">
        <w:rPr>
          <w:spacing w:val="-3"/>
        </w:rPr>
        <w:tab/>
        <w:t>By considering the entropy of mixing between a small number,</w:t>
      </w:r>
      <w:r w:rsidRPr="003C1C6A">
        <w:rPr>
          <w:i/>
          <w:iCs/>
          <w:spacing w:val="-3"/>
        </w:rPr>
        <w:t xml:space="preserve"> N</w:t>
      </w:r>
      <w:r w:rsidRPr="00727E8A">
        <w:rPr>
          <w:spacing w:val="-3"/>
          <w:sz w:val="26"/>
          <w:vertAlign w:val="subscript"/>
        </w:rPr>
        <w:t>n</w:t>
      </w:r>
      <w:r w:rsidRPr="003C1C6A">
        <w:rPr>
          <w:spacing w:val="-3"/>
        </w:rPr>
        <w:t xml:space="preserve">, of crystalline clusters, each of which contains </w:t>
      </w:r>
      <w:r w:rsidRPr="00927ED9">
        <w:rPr>
          <w:i/>
          <w:spacing w:val="-3"/>
        </w:rPr>
        <w:t>n</w:t>
      </w:r>
      <w:r w:rsidRPr="003C1C6A">
        <w:rPr>
          <w:spacing w:val="-3"/>
        </w:rPr>
        <w:t xml:space="preserve"> atoms, and</w:t>
      </w:r>
      <w:r w:rsidRPr="003C1C6A">
        <w:rPr>
          <w:i/>
          <w:iCs/>
          <w:spacing w:val="-3"/>
        </w:rPr>
        <w:t xml:space="preserve"> N</w:t>
      </w:r>
      <w:r w:rsidRPr="00727E8A">
        <w:rPr>
          <w:spacing w:val="-3"/>
          <w:sz w:val="26"/>
          <w:vertAlign w:val="subscript"/>
        </w:rPr>
        <w:t>L</w:t>
      </w:r>
      <w:r w:rsidRPr="003C1C6A">
        <w:rPr>
          <w:spacing w:val="-3"/>
        </w:rPr>
        <w:t xml:space="preserve"> atoms of the liquid, an expression for the equilibrium number of clusters with </w:t>
      </w:r>
      <w:r w:rsidRPr="00927ED9">
        <w:rPr>
          <w:i/>
          <w:spacing w:val="-3"/>
        </w:rPr>
        <w:t>n</w:t>
      </w:r>
      <w:r w:rsidRPr="003C1C6A">
        <w:rPr>
          <w:spacing w:val="-3"/>
        </w:rPr>
        <w:t xml:space="preserve"> atoms can be obtained as,</w:t>
      </w:r>
    </w:p>
    <w:p w14:paraId="054A276B" w14:textId="77777777" w:rsidR="00015B17" w:rsidRPr="003C1C6A" w:rsidRDefault="00015B17" w:rsidP="00015B17">
      <w:pPr>
        <w:suppressAutoHyphens/>
        <w:spacing w:line="360" w:lineRule="auto"/>
        <w:jc w:val="both"/>
        <w:rPr>
          <w:spacing w:val="-3"/>
        </w:rPr>
      </w:pPr>
    </w:p>
    <w:p w14:paraId="08D6F450" w14:textId="77777777" w:rsidR="00015B17" w:rsidRDefault="00015B17" w:rsidP="00015B17">
      <w:pPr>
        <w:suppressAutoHyphens/>
        <w:spacing w:line="360" w:lineRule="auto"/>
        <w:jc w:val="center"/>
        <w:rPr>
          <w:spacing w:val="-3"/>
        </w:rPr>
      </w:pPr>
      <w:r w:rsidRPr="00EE6823">
        <w:rPr>
          <w:spacing w:val="-3"/>
          <w:position w:val="-32"/>
        </w:rPr>
        <w:object w:dxaOrig="2720" w:dyaOrig="760" w14:anchorId="193B0321">
          <v:shape id="_x0000_i1308" type="#_x0000_t75" style="width:135.6pt;height:38.35pt" o:ole="">
            <v:imagedata r:id="rId546" o:title=""/>
          </v:shape>
          <o:OLEObject Type="Embed" ProgID="Equation.DSMT4" ShapeID="_x0000_i1308" DrawAspect="Content" ObjectID="_1840626874" r:id="rId547"/>
        </w:object>
      </w:r>
    </w:p>
    <w:p w14:paraId="39675CA2" w14:textId="77777777" w:rsidR="00015B17" w:rsidRPr="003C1C6A" w:rsidRDefault="00015B17" w:rsidP="00015B17">
      <w:pPr>
        <w:suppressAutoHyphens/>
        <w:spacing w:line="360" w:lineRule="auto"/>
        <w:jc w:val="center"/>
        <w:rPr>
          <w:spacing w:val="-3"/>
        </w:rPr>
      </w:pPr>
    </w:p>
    <w:p w14:paraId="4D5975D6" w14:textId="79D3D9B1" w:rsidR="00015B17" w:rsidRPr="003C1C6A" w:rsidRDefault="00015B17" w:rsidP="00015B17">
      <w:pPr>
        <w:suppressAutoHyphens/>
        <w:spacing w:line="360" w:lineRule="auto"/>
        <w:rPr>
          <w:spacing w:val="-3"/>
        </w:rPr>
      </w:pPr>
      <w:r w:rsidRPr="003C1C6A">
        <w:rPr>
          <w:spacing w:val="-3"/>
        </w:rPr>
        <w:t>where</w:t>
      </w:r>
      <w:r w:rsidRPr="003C1C6A">
        <w:rPr>
          <w:i/>
          <w:iCs/>
          <w:spacing w:val="-3"/>
        </w:rPr>
        <w:t xml:space="preserve"> k</w:t>
      </w:r>
      <w:r w:rsidRPr="00727E8A">
        <w:rPr>
          <w:spacing w:val="-3"/>
          <w:sz w:val="26"/>
          <w:vertAlign w:val="subscript"/>
        </w:rPr>
        <w:t>B</w:t>
      </w:r>
      <w:r w:rsidRPr="003C1C6A">
        <w:rPr>
          <w:spacing w:val="-3"/>
        </w:rPr>
        <w:t xml:space="preserve"> is Boltzmann's constant, </w:t>
      </w:r>
      <w:r w:rsidRPr="003C1C6A">
        <w:rPr>
          <w:i/>
          <w:iCs/>
          <w:spacing w:val="-3"/>
        </w:rPr>
        <w:t>ΔG</w:t>
      </w:r>
      <w:r w:rsidRPr="00727E8A">
        <w:rPr>
          <w:spacing w:val="-3"/>
          <w:sz w:val="26"/>
          <w:vertAlign w:val="subscript"/>
        </w:rPr>
        <w:t>n</w:t>
      </w:r>
      <w:r w:rsidRPr="003C1C6A">
        <w:rPr>
          <w:spacing w:val="-3"/>
        </w:rPr>
        <w:t xml:space="preserve"> is the value of </w:t>
      </w:r>
      <w:r w:rsidRPr="003C1C6A">
        <w:rPr>
          <w:i/>
          <w:iCs/>
          <w:spacing w:val="-3"/>
        </w:rPr>
        <w:t>ΔG</w:t>
      </w:r>
      <w:r w:rsidRPr="003C1C6A">
        <w:rPr>
          <w:spacing w:val="-3"/>
        </w:rPr>
        <w:t xml:space="preserve">, obtained from  </w:t>
      </w:r>
      <w:r>
        <w:rPr>
          <w:spacing w:val="-3"/>
        </w:rPr>
        <w:t>Eqn.</w:t>
      </w:r>
      <w:r w:rsidRPr="003C1C6A">
        <w:rPr>
          <w:spacing w:val="-3"/>
        </w:rPr>
        <w:t xml:space="preserve"> (</w:t>
      </w:r>
      <w:r>
        <w:rPr>
          <w:spacing w:val="-3"/>
        </w:rPr>
        <w:t>4.1</w:t>
      </w:r>
      <w:r w:rsidRPr="003C1C6A">
        <w:rPr>
          <w:spacing w:val="-3"/>
        </w:rPr>
        <w:t xml:space="preserve">) for a cluster of radius, </w:t>
      </w:r>
      <w:r w:rsidRPr="003C1C6A">
        <w:rPr>
          <w:i/>
          <w:iCs/>
          <w:spacing w:val="-3"/>
        </w:rPr>
        <w:t>r</w:t>
      </w:r>
      <w:r w:rsidRPr="003C1C6A">
        <w:rPr>
          <w:spacing w:val="-3"/>
        </w:rPr>
        <w:t xml:space="preserve">, containing </w:t>
      </w:r>
      <w:r w:rsidRPr="00927ED9">
        <w:rPr>
          <w:i/>
          <w:spacing w:val="-3"/>
        </w:rPr>
        <w:t>n</w:t>
      </w:r>
      <w:r w:rsidRPr="003C1C6A">
        <w:rPr>
          <w:spacing w:val="-3"/>
        </w:rPr>
        <w:t xml:space="preserve"> atoms. </w:t>
      </w:r>
      <w:r>
        <w:rPr>
          <w:spacing w:val="-3"/>
        </w:rPr>
        <w:t>Using Eqn. (4.5), t</w:t>
      </w:r>
      <w:r w:rsidRPr="003C1C6A">
        <w:rPr>
          <w:spacing w:val="-3"/>
        </w:rPr>
        <w:t>he number,</w:t>
      </w:r>
      <w:r w:rsidRPr="003C1C6A">
        <w:rPr>
          <w:i/>
          <w:iCs/>
          <w:spacing w:val="-3"/>
        </w:rPr>
        <w:t xml:space="preserve"> N</w:t>
      </w:r>
      <w:r w:rsidRPr="00727E8A">
        <w:rPr>
          <w:spacing w:val="-3"/>
          <w:sz w:val="26"/>
          <w:vertAlign w:val="subscript"/>
        </w:rPr>
        <w:t>n</w:t>
      </w:r>
      <w:r w:rsidRPr="00883A53">
        <w:rPr>
          <w:spacing w:val="-3"/>
          <w:sz w:val="26"/>
          <w:vertAlign w:val="superscript"/>
        </w:rPr>
        <w:t>*</w:t>
      </w:r>
      <w:r w:rsidRPr="003C1C6A">
        <w:rPr>
          <w:spacing w:val="-3"/>
        </w:rPr>
        <w:t xml:space="preserve">, of clusters of critical radius, </w:t>
      </w:r>
      <w:r w:rsidRPr="003C1C6A">
        <w:rPr>
          <w:i/>
          <w:iCs/>
          <w:spacing w:val="-3"/>
        </w:rPr>
        <w:t>r</w:t>
      </w:r>
      <w:r w:rsidRPr="00883A53">
        <w:rPr>
          <w:spacing w:val="-3"/>
          <w:sz w:val="26"/>
          <w:vertAlign w:val="superscript"/>
        </w:rPr>
        <w:t>*</w:t>
      </w:r>
      <w:r>
        <w:rPr>
          <w:spacing w:val="-3"/>
        </w:rPr>
        <w:t xml:space="preserve">, </w:t>
      </w:r>
      <w:r w:rsidRPr="003C1C6A">
        <w:rPr>
          <w:spacing w:val="-3"/>
        </w:rPr>
        <w:t>is given by</w:t>
      </w:r>
    </w:p>
    <w:p w14:paraId="7C0A7B6A" w14:textId="77777777" w:rsidR="00015B17" w:rsidRDefault="00A33EFE" w:rsidP="00015B17">
      <w:pPr>
        <w:suppressAutoHyphens/>
        <w:spacing w:line="360" w:lineRule="auto"/>
        <w:jc w:val="center"/>
        <w:rPr>
          <w:spacing w:val="-3"/>
        </w:rPr>
      </w:pPr>
      <w:r w:rsidRPr="00964F4E">
        <w:rPr>
          <w:spacing w:val="-3"/>
          <w:position w:val="-44"/>
        </w:rPr>
        <w:object w:dxaOrig="6320" w:dyaOrig="999" w14:anchorId="07F3C9A8">
          <v:shape id="_x0000_i1309" type="#_x0000_t75" style="width:316.05pt;height:50.5pt" o:ole="">
            <v:imagedata r:id="rId548" o:title=""/>
          </v:shape>
          <o:OLEObject Type="Embed" ProgID="Equation.DSMT4" ShapeID="_x0000_i1309" DrawAspect="Content" ObjectID="_1840626875" r:id="rId549"/>
        </w:object>
      </w:r>
    </w:p>
    <w:p w14:paraId="392D8832" w14:textId="77777777" w:rsidR="00015B17" w:rsidRPr="003C1C6A" w:rsidRDefault="00015B17" w:rsidP="00015B17">
      <w:pPr>
        <w:suppressAutoHyphens/>
        <w:spacing w:line="360" w:lineRule="auto"/>
        <w:jc w:val="center"/>
        <w:rPr>
          <w:spacing w:val="-3"/>
        </w:rPr>
      </w:pPr>
    </w:p>
    <w:p w14:paraId="22CEB537" w14:textId="77777777" w:rsidR="00015B17" w:rsidRDefault="004E48B1" w:rsidP="00015B17">
      <w:pPr>
        <w:suppressAutoHyphens/>
        <w:spacing w:line="360" w:lineRule="auto"/>
        <w:rPr>
          <w:spacing w:val="-3"/>
        </w:rPr>
      </w:pPr>
      <w:r>
        <w:rPr>
          <w:spacing w:val="-3"/>
        </w:rPr>
        <w:t>w</w:t>
      </w:r>
      <w:r w:rsidR="00015B17" w:rsidRPr="003C1C6A">
        <w:rPr>
          <w:spacing w:val="-3"/>
        </w:rPr>
        <w:t xml:space="preserve">here </w:t>
      </w:r>
      <w:r w:rsidR="00015B17" w:rsidRPr="003C1C6A">
        <w:rPr>
          <w:i/>
          <w:iCs/>
          <w:spacing w:val="-3"/>
        </w:rPr>
        <w:t>ΔG</w:t>
      </w:r>
      <w:r w:rsidR="00015B17" w:rsidRPr="00727E8A">
        <w:rPr>
          <w:i/>
          <w:iCs/>
          <w:spacing w:val="-3"/>
          <w:sz w:val="26"/>
          <w:vertAlign w:val="subscript"/>
        </w:rPr>
        <w:t>n</w:t>
      </w:r>
      <w:r w:rsidR="00015B17" w:rsidRPr="00883A53">
        <w:rPr>
          <w:i/>
          <w:iCs/>
          <w:spacing w:val="-3"/>
          <w:sz w:val="26"/>
          <w:vertAlign w:val="superscript"/>
        </w:rPr>
        <w:t>*</w:t>
      </w:r>
      <w:r w:rsidR="00015B17" w:rsidRPr="003C1C6A">
        <w:rPr>
          <w:i/>
          <w:iCs/>
          <w:spacing w:val="-3"/>
        </w:rPr>
        <w:t xml:space="preserve"> </w:t>
      </w:r>
      <w:r w:rsidR="00015B17" w:rsidRPr="003C1C6A">
        <w:rPr>
          <w:spacing w:val="-3"/>
        </w:rPr>
        <w:t>corresponds to the critical size cluster.</w:t>
      </w:r>
    </w:p>
    <w:p w14:paraId="6F0ACAA8" w14:textId="77777777" w:rsidR="00015B17" w:rsidRPr="003C1C6A" w:rsidRDefault="00015B17" w:rsidP="00015B17">
      <w:pPr>
        <w:suppressAutoHyphens/>
        <w:spacing w:line="360" w:lineRule="auto"/>
        <w:rPr>
          <w:spacing w:val="-3"/>
        </w:rPr>
      </w:pPr>
    </w:p>
    <w:p w14:paraId="0C0D7A68" w14:textId="77777777" w:rsidR="00015B17" w:rsidRPr="003C1C6A" w:rsidRDefault="00015B17" w:rsidP="00015B17">
      <w:pPr>
        <w:suppressAutoHyphens/>
        <w:spacing w:line="360" w:lineRule="auto"/>
        <w:rPr>
          <w:spacing w:val="-3"/>
        </w:rPr>
      </w:pPr>
      <w:r w:rsidRPr="003C1C6A">
        <w:rPr>
          <w:spacing w:val="-3"/>
        </w:rPr>
        <w:tab/>
        <w:t>If one can assume that an equilibrium number of critical nuclei can be maintained in the melt during the nucleation process, the homogeneous nucleation rate (#nuclei/time/volume</w:t>
      </w:r>
      <w:r>
        <w:rPr>
          <w:spacing w:val="-3"/>
        </w:rPr>
        <w:t xml:space="preserve"> of liquid</w:t>
      </w:r>
      <w:r w:rsidRPr="003C1C6A">
        <w:rPr>
          <w:spacing w:val="-3"/>
        </w:rPr>
        <w:t>) is then given by</w:t>
      </w:r>
    </w:p>
    <w:p w14:paraId="7C1DA67E" w14:textId="77777777" w:rsidR="00015B17" w:rsidRPr="003C1C6A" w:rsidRDefault="00015B17" w:rsidP="00015B17">
      <w:pPr>
        <w:suppressAutoHyphens/>
        <w:spacing w:line="360" w:lineRule="auto"/>
        <w:jc w:val="center"/>
        <w:rPr>
          <w:spacing w:val="-3"/>
        </w:rPr>
      </w:pPr>
      <w:r w:rsidRPr="00CA094E">
        <w:rPr>
          <w:spacing w:val="-3"/>
          <w:position w:val="-30"/>
        </w:rPr>
        <w:object w:dxaOrig="1219" w:dyaOrig="720" w14:anchorId="2E8BDC24">
          <v:shape id="_x0000_i1310" type="#_x0000_t75" style="width:61.7pt;height:36.45pt" o:ole="">
            <v:imagedata r:id="rId550" o:title=""/>
          </v:shape>
          <o:OLEObject Type="Embed" ProgID="Equation.DSMT4" ShapeID="_x0000_i1310" DrawAspect="Content" ObjectID="_1840626876" r:id="rId551"/>
        </w:object>
      </w:r>
      <w:r>
        <w:rPr>
          <w:spacing w:val="-3"/>
        </w:rPr>
        <w:tab/>
      </w:r>
      <w:r>
        <w:rPr>
          <w:spacing w:val="-3"/>
        </w:rPr>
        <w:tab/>
      </w:r>
      <w:r>
        <w:rPr>
          <w:spacing w:val="-3"/>
        </w:rPr>
        <w:tab/>
        <w:t>(4.9)</w:t>
      </w:r>
    </w:p>
    <w:p w14:paraId="18893141" w14:textId="4F536551" w:rsidR="00015B17" w:rsidRDefault="00015B17" w:rsidP="00015B17">
      <w:pPr>
        <w:suppressAutoHyphens/>
        <w:spacing w:line="360" w:lineRule="auto"/>
        <w:rPr>
          <w:spacing w:val="-3"/>
        </w:rPr>
      </w:pPr>
      <w:r w:rsidRPr="003C1C6A">
        <w:rPr>
          <w:spacing w:val="-3"/>
        </w:rPr>
        <w:t xml:space="preserve">where </w:t>
      </w:r>
      <w:r w:rsidRPr="003C1C6A">
        <w:rPr>
          <w:i/>
          <w:iCs/>
          <w:spacing w:val="-3"/>
        </w:rPr>
        <w:t>K</w:t>
      </w:r>
      <w:r w:rsidRPr="00727E8A">
        <w:rPr>
          <w:spacing w:val="-3"/>
          <w:sz w:val="26"/>
          <w:vertAlign w:val="subscript"/>
        </w:rPr>
        <w:t>1</w:t>
      </w:r>
      <w:r w:rsidRPr="003C1C6A">
        <w:rPr>
          <w:spacing w:val="-3"/>
        </w:rPr>
        <w:t xml:space="preserve"> is the </w:t>
      </w:r>
      <w:r w:rsidRPr="00901BA9">
        <w:rPr>
          <w:spacing w:val="-3"/>
        </w:rPr>
        <w:t xml:space="preserve">number of atoms per unit volume of liquid </w:t>
      </w:r>
      <w:r w:rsidRPr="00901BA9">
        <w:rPr>
          <w:spacing w:val="-3"/>
          <w:position w:val="-16"/>
        </w:rPr>
        <w:object w:dxaOrig="1180" w:dyaOrig="440" w14:anchorId="46892E10">
          <v:shape id="_x0000_i1311" type="#_x0000_t75" style="width:58.9pt;height:21.5pt" o:ole="">
            <v:imagedata r:id="rId552" o:title=""/>
          </v:shape>
          <o:OLEObject Type="Embed" ProgID="Equation.DSMT4" ShapeID="_x0000_i1311" DrawAspect="Content" ObjectID="_1840626877" r:id="rId553"/>
        </w:object>
      </w:r>
      <w:r w:rsidRPr="003C1C6A">
        <w:rPr>
          <w:spacing w:val="-3"/>
        </w:rPr>
        <w:t xml:space="preserve"> and </w:t>
      </w:r>
      <w:r w:rsidRPr="00927ED9">
        <w:rPr>
          <w:rFonts w:ascii="Symbol" w:hAnsi="Symbol"/>
          <w:spacing w:val="-3"/>
        </w:rPr>
        <w:t></w:t>
      </w:r>
      <w:r w:rsidRPr="003C1C6A">
        <w:rPr>
          <w:spacing w:val="-3"/>
        </w:rPr>
        <w:t xml:space="preserve"> is the </w:t>
      </w:r>
      <w:r>
        <w:rPr>
          <w:spacing w:val="-3"/>
        </w:rPr>
        <w:t>frequency</w:t>
      </w:r>
      <w:r w:rsidRPr="003C1C6A">
        <w:rPr>
          <w:spacing w:val="-3"/>
        </w:rPr>
        <w:t xml:space="preserve"> at which atoms attach to the critical embryos. This is called the steady state nucleation rate. The value </w:t>
      </w:r>
      <w:r>
        <w:rPr>
          <w:spacing w:val="-3"/>
        </w:rPr>
        <w:t xml:space="preserve">of </w:t>
      </w:r>
      <w:r w:rsidRPr="00964F4E">
        <w:rPr>
          <w:spacing w:val="-3"/>
          <w:position w:val="-6"/>
        </w:rPr>
        <w:object w:dxaOrig="200" w:dyaOrig="220" w14:anchorId="17B9059D">
          <v:shape id="_x0000_i1312" type="#_x0000_t75" style="width:10.3pt;height:10.3pt" o:ole="">
            <v:imagedata r:id="rId554" o:title=""/>
          </v:shape>
          <o:OLEObject Type="Embed" ProgID="Equation.DSMT4" ShapeID="_x0000_i1312" DrawAspect="Content" ObjectID="_1840626878" r:id="rId555"/>
        </w:object>
      </w:r>
      <w:r w:rsidRPr="003C1C6A">
        <w:rPr>
          <w:spacing w:val="-3"/>
        </w:rPr>
        <w:t>for</w:t>
      </w:r>
      <w:r>
        <w:rPr>
          <w:spacing w:val="-3"/>
        </w:rPr>
        <w:t xml:space="preserve"> metallic (</w:t>
      </w:r>
      <w:r w:rsidR="00A53CF1">
        <w:rPr>
          <w:spacing w:val="-3"/>
        </w:rPr>
        <w:t>monoatomic</w:t>
      </w:r>
      <w:r>
        <w:rPr>
          <w:spacing w:val="-3"/>
        </w:rPr>
        <w:t xml:space="preserve">) melts scales with the atomic </w:t>
      </w:r>
      <w:r w:rsidRPr="003B1B72">
        <w:rPr>
          <w:spacing w:val="-3"/>
        </w:rPr>
        <w:t>vibration frequency</w:t>
      </w:r>
      <w:r w:rsidRPr="00094468">
        <w:rPr>
          <w:spacing w:val="-3"/>
          <w:position w:val="-16"/>
        </w:rPr>
        <w:object w:dxaOrig="1100" w:dyaOrig="440" w14:anchorId="30191DCB">
          <v:shape id="_x0000_i1313" type="#_x0000_t75" style="width:55.15pt;height:21.5pt" o:ole="">
            <v:imagedata r:id="rId556" o:title=""/>
          </v:shape>
          <o:OLEObject Type="Embed" ProgID="Equation.DSMT4" ShapeID="_x0000_i1313" DrawAspect="Content" ObjectID="_1840626879" r:id="rId557"/>
        </w:object>
      </w:r>
      <w:r w:rsidRPr="003B1B72">
        <w:rPr>
          <w:spacing w:val="-3"/>
        </w:rPr>
        <w:t>.</w:t>
      </w:r>
      <w:r>
        <w:rPr>
          <w:spacing w:val="-3"/>
        </w:rPr>
        <w:t xml:space="preserve"> For melts with (molecular) structural units, </w:t>
      </w:r>
      <w:r w:rsidRPr="00927ED9">
        <w:rPr>
          <w:rFonts w:ascii="Symbol" w:hAnsi="Symbol"/>
          <w:spacing w:val="-3"/>
        </w:rPr>
        <w:t></w:t>
      </w:r>
      <w:r w:rsidRPr="003C1C6A">
        <w:rPr>
          <w:spacing w:val="-3"/>
        </w:rPr>
        <w:t xml:space="preserve"> scale</w:t>
      </w:r>
      <w:r>
        <w:rPr>
          <w:spacing w:val="-3"/>
        </w:rPr>
        <w:t>s</w:t>
      </w:r>
      <w:r w:rsidRPr="003C1C6A">
        <w:rPr>
          <w:spacing w:val="-3"/>
        </w:rPr>
        <w:t xml:space="preserve"> with </w:t>
      </w:r>
      <w:r w:rsidRPr="003C1C6A">
        <w:rPr>
          <w:i/>
          <w:iCs/>
          <w:spacing w:val="-3"/>
        </w:rPr>
        <w:t>D</w:t>
      </w:r>
      <w:r w:rsidRPr="00727E8A">
        <w:rPr>
          <w:spacing w:val="-3"/>
          <w:sz w:val="26"/>
          <w:vertAlign w:val="subscript"/>
        </w:rPr>
        <w:t>L</w:t>
      </w:r>
      <w:r w:rsidRPr="003C1C6A">
        <w:rPr>
          <w:spacing w:val="-3"/>
        </w:rPr>
        <w:t>/</w:t>
      </w:r>
      <w:r w:rsidRPr="003C1C6A">
        <w:rPr>
          <w:i/>
          <w:iCs/>
          <w:spacing w:val="-3"/>
        </w:rPr>
        <w:t>a</w:t>
      </w:r>
      <w:r w:rsidRPr="00727E8A">
        <w:rPr>
          <w:spacing w:val="-3"/>
          <w:sz w:val="26"/>
          <w:vertAlign w:val="subscript"/>
        </w:rPr>
        <w:t>0</w:t>
      </w:r>
      <w:r w:rsidRPr="00883A53">
        <w:rPr>
          <w:spacing w:val="-3"/>
          <w:sz w:val="26"/>
          <w:vertAlign w:val="superscript"/>
        </w:rPr>
        <w:t>2</w:t>
      </w:r>
      <w:r w:rsidRPr="003C1C6A">
        <w:rPr>
          <w:spacing w:val="-3"/>
        </w:rPr>
        <w:t xml:space="preserve">, where </w:t>
      </w:r>
      <w:r w:rsidRPr="003C1C6A">
        <w:rPr>
          <w:i/>
          <w:iCs/>
          <w:spacing w:val="-3"/>
        </w:rPr>
        <w:t>D</w:t>
      </w:r>
      <w:r w:rsidRPr="00727E8A">
        <w:rPr>
          <w:spacing w:val="-3"/>
          <w:sz w:val="26"/>
          <w:vertAlign w:val="subscript"/>
        </w:rPr>
        <w:t>L</w:t>
      </w:r>
      <w:r w:rsidRPr="003C1C6A">
        <w:rPr>
          <w:spacing w:val="-3"/>
        </w:rPr>
        <w:t xml:space="preserve"> is the diffusion coefficient in the liquid and </w:t>
      </w:r>
      <w:r w:rsidRPr="003C1C6A">
        <w:rPr>
          <w:i/>
          <w:iCs/>
          <w:spacing w:val="-3"/>
        </w:rPr>
        <w:t>a</w:t>
      </w:r>
      <w:r w:rsidRPr="00727E8A">
        <w:rPr>
          <w:spacing w:val="-3"/>
          <w:sz w:val="26"/>
          <w:vertAlign w:val="subscript"/>
        </w:rPr>
        <w:t>0</w:t>
      </w:r>
      <w:r w:rsidRPr="003C1C6A">
        <w:rPr>
          <w:spacing w:val="-3"/>
        </w:rPr>
        <w:t xml:space="preserve"> is the distance</w:t>
      </w:r>
      <w:r>
        <w:rPr>
          <w:spacing w:val="-3"/>
        </w:rPr>
        <w:t xml:space="preserve"> between liquid structural units</w:t>
      </w:r>
      <w:r w:rsidRPr="003C1C6A">
        <w:rPr>
          <w:spacing w:val="-3"/>
        </w:rPr>
        <w:t>. For metals, this attachment rate is fairly independent of temperature and so</w:t>
      </w:r>
    </w:p>
    <w:p w14:paraId="6233394B" w14:textId="77777777" w:rsidR="00015B17" w:rsidRPr="003C1C6A" w:rsidRDefault="00015B17" w:rsidP="00015B17">
      <w:pPr>
        <w:suppressAutoHyphens/>
        <w:spacing w:line="360" w:lineRule="auto"/>
        <w:jc w:val="both"/>
        <w:rPr>
          <w:spacing w:val="-3"/>
        </w:rPr>
      </w:pPr>
    </w:p>
    <w:p w14:paraId="6229D24D" w14:textId="77777777" w:rsidR="00015B17" w:rsidRDefault="00015B17" w:rsidP="00015B17">
      <w:pPr>
        <w:suppressAutoHyphens/>
        <w:spacing w:line="360" w:lineRule="auto"/>
        <w:jc w:val="center"/>
        <w:rPr>
          <w:spacing w:val="-3"/>
        </w:rPr>
      </w:pPr>
      <w:r w:rsidRPr="00CA094E">
        <w:rPr>
          <w:spacing w:val="-3"/>
          <w:position w:val="-28"/>
        </w:rPr>
        <w:object w:dxaOrig="3560" w:dyaOrig="680" w14:anchorId="4E98D2B5">
          <v:shape id="_x0000_i1314" type="#_x0000_t75" style="width:177.65pt;height:33.65pt" o:ole="">
            <v:imagedata r:id="rId558" o:title=""/>
          </v:shape>
          <o:OLEObject Type="Embed" ProgID="Equation.DSMT4" ShapeID="_x0000_i1314" DrawAspect="Content" ObjectID="_1840626880" r:id="rId559"/>
        </w:object>
      </w:r>
    </w:p>
    <w:p w14:paraId="7975CEED" w14:textId="77777777" w:rsidR="00015B17" w:rsidRPr="003C1C6A" w:rsidRDefault="00015B17" w:rsidP="00015B17">
      <w:pPr>
        <w:suppressAutoHyphens/>
        <w:spacing w:line="360" w:lineRule="auto"/>
        <w:jc w:val="center"/>
        <w:rPr>
          <w:spacing w:val="-3"/>
        </w:rPr>
      </w:pPr>
    </w:p>
    <w:p w14:paraId="37905D13" w14:textId="77777777" w:rsidR="00015B17" w:rsidRDefault="00015B17" w:rsidP="00015B17">
      <w:pPr>
        <w:suppressAutoHyphens/>
        <w:spacing w:line="360" w:lineRule="auto"/>
        <w:rPr>
          <w:spacing w:val="-3"/>
        </w:rPr>
      </w:pPr>
      <w:smartTag w:uri="urn:schemas-microsoft-com:office:smarttags" w:element="place">
        <w:r w:rsidRPr="003C1C6A">
          <w:rPr>
            <w:i/>
            <w:iCs/>
            <w:spacing w:val="-3"/>
          </w:rPr>
          <w:t>K</w:t>
        </w:r>
        <w:r w:rsidRPr="00727E8A">
          <w:rPr>
            <w:spacing w:val="-3"/>
            <w:sz w:val="26"/>
            <w:vertAlign w:val="subscript"/>
          </w:rPr>
          <w:t>2</w:t>
        </w:r>
      </w:smartTag>
      <w:r w:rsidRPr="003C1C6A">
        <w:rPr>
          <w:spacing w:val="-3"/>
        </w:rPr>
        <w:t xml:space="preserve"> typically has a value </w:t>
      </w:r>
      <w:r>
        <w:rPr>
          <w:spacing w:val="-3"/>
        </w:rPr>
        <w:t xml:space="preserve">of </w:t>
      </w:r>
      <w:r w:rsidRPr="003B1B72">
        <w:rPr>
          <w:spacing w:val="-3"/>
        </w:rPr>
        <w:t>10</w:t>
      </w:r>
      <w:r w:rsidRPr="003B1B72">
        <w:rPr>
          <w:spacing w:val="-3"/>
          <w:sz w:val="26"/>
          <w:vertAlign w:val="superscript"/>
        </w:rPr>
        <w:t>42</w:t>
      </w:r>
      <w:r w:rsidRPr="003B1B72">
        <w:rPr>
          <w:spacing w:val="-3"/>
        </w:rPr>
        <w:t>/m</w:t>
      </w:r>
      <w:r w:rsidRPr="003B1B72">
        <w:rPr>
          <w:spacing w:val="-3"/>
          <w:sz w:val="26"/>
          <w:vertAlign w:val="superscript"/>
        </w:rPr>
        <w:t>3</w:t>
      </w:r>
      <w:r w:rsidRPr="003B1B72">
        <w:rPr>
          <w:spacing w:val="-3"/>
        </w:rPr>
        <w:t>s</w:t>
      </w:r>
      <w:r w:rsidRPr="001B068D">
        <w:rPr>
          <w:spacing w:val="-3"/>
          <w:highlight w:val="yellow"/>
        </w:rPr>
        <w:t>.</w:t>
      </w:r>
      <w:r w:rsidRPr="003C1C6A">
        <w:rPr>
          <w:spacing w:val="-3"/>
        </w:rPr>
        <w:t xml:space="preserve"> For nonmetallic melts, where the diffusion coefficient in the liquid can depend strongly on temperature,</w:t>
      </w:r>
    </w:p>
    <w:p w14:paraId="384F68DC" w14:textId="77777777" w:rsidR="00015B17" w:rsidRPr="003C1C6A" w:rsidRDefault="00015B17" w:rsidP="00015B17">
      <w:pPr>
        <w:suppressAutoHyphens/>
        <w:spacing w:line="360" w:lineRule="auto"/>
        <w:rPr>
          <w:spacing w:val="-3"/>
        </w:rPr>
      </w:pPr>
    </w:p>
    <w:p w14:paraId="59769A49" w14:textId="77777777" w:rsidR="00015B17" w:rsidRDefault="00015B17" w:rsidP="00015B17">
      <w:pPr>
        <w:suppressAutoHyphens/>
        <w:spacing w:line="360" w:lineRule="auto"/>
        <w:jc w:val="center"/>
        <w:rPr>
          <w:spacing w:val="-3"/>
        </w:rPr>
      </w:pPr>
      <w:r w:rsidRPr="00CA094E">
        <w:rPr>
          <w:spacing w:val="-3"/>
          <w:position w:val="-32"/>
        </w:rPr>
        <w:object w:dxaOrig="3560" w:dyaOrig="760" w14:anchorId="57D83B0D">
          <v:shape id="_x0000_i1315" type="#_x0000_t75" style="width:177.65pt;height:38.35pt" o:ole="">
            <v:imagedata r:id="rId560" o:title=""/>
          </v:shape>
          <o:OLEObject Type="Embed" ProgID="Equation.DSMT4" ShapeID="_x0000_i1315" DrawAspect="Content" ObjectID="_1840626881" r:id="rId561"/>
        </w:object>
      </w:r>
    </w:p>
    <w:p w14:paraId="3609BE9B" w14:textId="77777777" w:rsidR="00015B17" w:rsidRPr="003C1C6A" w:rsidRDefault="00015B17" w:rsidP="00015B17">
      <w:pPr>
        <w:suppressAutoHyphens/>
        <w:spacing w:line="360" w:lineRule="auto"/>
        <w:jc w:val="center"/>
        <w:rPr>
          <w:spacing w:val="-3"/>
        </w:rPr>
      </w:pPr>
    </w:p>
    <w:p w14:paraId="2EE22337" w14:textId="77777777" w:rsidR="00015B17" w:rsidRDefault="00015B17" w:rsidP="00015B17">
      <w:pPr>
        <w:suppressAutoHyphens/>
        <w:spacing w:line="360" w:lineRule="auto"/>
        <w:rPr>
          <w:spacing w:val="-3"/>
        </w:rPr>
      </w:pPr>
      <w:r w:rsidRPr="003C1C6A">
        <w:rPr>
          <w:spacing w:val="-3"/>
        </w:rPr>
        <w:t xml:space="preserve">where </w:t>
      </w:r>
      <w:r w:rsidRPr="004E48B1">
        <w:rPr>
          <w:i/>
          <w:spacing w:val="-3"/>
        </w:rPr>
        <w:t>K</w:t>
      </w:r>
      <w:r w:rsidRPr="00727E8A">
        <w:rPr>
          <w:i/>
          <w:spacing w:val="-3"/>
          <w:sz w:val="26"/>
          <w:vertAlign w:val="subscript"/>
        </w:rPr>
        <w:t>4</w:t>
      </w:r>
      <w:r w:rsidRPr="003C1C6A">
        <w:rPr>
          <w:spacing w:val="-3"/>
        </w:rPr>
        <w:t xml:space="preserve"> includes the pre-exponential factor for diffusion, and </w:t>
      </w:r>
      <w:r w:rsidRPr="003C1C6A">
        <w:rPr>
          <w:i/>
          <w:iCs/>
          <w:spacing w:val="-3"/>
        </w:rPr>
        <w:t>ΔG</w:t>
      </w:r>
      <w:r w:rsidRPr="00727E8A">
        <w:rPr>
          <w:spacing w:val="-3"/>
          <w:sz w:val="26"/>
          <w:vertAlign w:val="subscript"/>
        </w:rPr>
        <w:t>d</w:t>
      </w:r>
      <w:r w:rsidRPr="003C1C6A">
        <w:rPr>
          <w:spacing w:val="-3"/>
        </w:rPr>
        <w:t xml:space="preserve"> is the activation energy for diffusion.  For heterogeneous nucleation, similar expressions can be developed but is described per unit area of catalytic surface</w:t>
      </w:r>
      <w:r>
        <w:rPr>
          <w:spacing w:val="-3"/>
        </w:rPr>
        <w:t>.</w:t>
      </w:r>
    </w:p>
    <w:p w14:paraId="346DC5D4" w14:textId="77777777" w:rsidR="00015B17" w:rsidRPr="003C1C6A" w:rsidRDefault="00015B17" w:rsidP="00015B17">
      <w:pPr>
        <w:suppressAutoHyphens/>
        <w:spacing w:line="360" w:lineRule="auto"/>
        <w:rPr>
          <w:spacing w:val="-3"/>
        </w:rPr>
      </w:pPr>
    </w:p>
    <w:p w14:paraId="724B2F7A" w14:textId="77777777" w:rsidR="00015B17" w:rsidRDefault="00015B17" w:rsidP="00015B17">
      <w:pPr>
        <w:suppressAutoHyphens/>
        <w:spacing w:line="360" w:lineRule="auto"/>
        <w:rPr>
          <w:spacing w:val="-3"/>
        </w:rPr>
      </w:pPr>
      <w:r w:rsidRPr="003C1C6A">
        <w:rPr>
          <w:spacing w:val="-3"/>
        </w:rPr>
        <w:tab/>
        <w:t xml:space="preserve">An evaluation of </w:t>
      </w:r>
      <w:r>
        <w:rPr>
          <w:spacing w:val="-3"/>
        </w:rPr>
        <w:t>Eqn</w:t>
      </w:r>
      <w:r w:rsidRPr="003C1C6A">
        <w:rPr>
          <w:spacing w:val="-3"/>
        </w:rPr>
        <w:t>. (</w:t>
      </w:r>
      <w:r>
        <w:rPr>
          <w:spacing w:val="-3"/>
        </w:rPr>
        <w:t>4.10</w:t>
      </w:r>
      <w:r w:rsidRPr="003C1C6A">
        <w:rPr>
          <w:spacing w:val="-3"/>
        </w:rPr>
        <w:t xml:space="preserve">) </w:t>
      </w:r>
      <w:r>
        <w:rPr>
          <w:spacing w:val="-3"/>
        </w:rPr>
        <w:t>for homogeneous nucleation (</w:t>
      </w:r>
      <w:r w:rsidRPr="001E3768">
        <w:rPr>
          <w:position w:val="-14"/>
        </w:rPr>
        <w:object w:dxaOrig="900" w:dyaOrig="400" w14:anchorId="1D5E3EA3">
          <v:shape id="_x0000_i1316" type="#_x0000_t75" style="width:44.9pt;height:19.65pt" o:ole="">
            <v:imagedata r:id="rId562" o:title=""/>
          </v:shape>
          <o:OLEObject Type="Embed" ProgID="Equation.DSMT4" ShapeID="_x0000_i1316" DrawAspect="Content" ObjectID="_1840626882" r:id="rId563"/>
        </w:object>
      </w:r>
      <w:r>
        <w:t>)</w:t>
      </w:r>
      <w:r w:rsidRPr="003C1C6A">
        <w:rPr>
          <w:spacing w:val="-3"/>
        </w:rPr>
        <w:t xml:space="preserve"> shows that as the supercooling is increased, </w:t>
      </w:r>
      <w:r w:rsidRPr="000730AD">
        <w:rPr>
          <w:i/>
          <w:spacing w:val="-3"/>
        </w:rPr>
        <w:t>I</w:t>
      </w:r>
      <w:r w:rsidRPr="003C1C6A">
        <w:rPr>
          <w:spacing w:val="-3"/>
        </w:rPr>
        <w:t xml:space="preserve"> increases very rapidly at a critical supercooling in the range of </w:t>
      </w:r>
      <w:r w:rsidR="004E48B1" w:rsidRPr="004E48B1">
        <w:rPr>
          <w:spacing w:val="-3"/>
          <w:position w:val="-12"/>
        </w:rPr>
        <w:object w:dxaOrig="1140" w:dyaOrig="360" w14:anchorId="4395AFAF">
          <v:shape id="_x0000_i1317" type="#_x0000_t75" style="width:57.05pt;height:17.75pt" o:ole="">
            <v:imagedata r:id="rId564" o:title=""/>
          </v:shape>
          <o:OLEObject Type="Embed" ProgID="Equation.DSMT4" ShapeID="_x0000_i1317" DrawAspect="Content" ObjectID="_1840626883" r:id="rId565"/>
        </w:object>
      </w:r>
      <w:r w:rsidRPr="003C1C6A">
        <w:rPr>
          <w:spacing w:val="-3"/>
        </w:rPr>
        <w:t xml:space="preserve"> to </w:t>
      </w:r>
      <w:r w:rsidR="004E48B1" w:rsidRPr="004E48B1">
        <w:rPr>
          <w:spacing w:val="-3"/>
          <w:position w:val="-12"/>
        </w:rPr>
        <w:object w:dxaOrig="1140" w:dyaOrig="360" w14:anchorId="60819674">
          <v:shape id="_x0000_i1318" type="#_x0000_t75" style="width:57.05pt;height:17.75pt" o:ole="">
            <v:imagedata r:id="rId566" o:title=""/>
          </v:shape>
          <o:OLEObject Type="Embed" ProgID="Equation.DSMT4" ShapeID="_x0000_i1318" DrawAspect="Content" ObjectID="_1840626884" r:id="rId567"/>
        </w:object>
      </w:r>
      <w:r w:rsidRPr="003C1C6A">
        <w:rPr>
          <w:spacing w:val="-3"/>
        </w:rPr>
        <w:t>. Changes in the pre</w:t>
      </w:r>
      <w:r w:rsidRPr="003C1C6A">
        <w:rPr>
          <w:spacing w:val="-3"/>
        </w:rPr>
        <w:noBreakHyphen/>
        <w:t xml:space="preserve">exponential term in </w:t>
      </w:r>
      <w:r>
        <w:rPr>
          <w:spacing w:val="-3"/>
        </w:rPr>
        <w:t>E</w:t>
      </w:r>
      <w:r w:rsidRPr="003C1C6A">
        <w:rPr>
          <w:spacing w:val="-3"/>
        </w:rPr>
        <w:t>q</w:t>
      </w:r>
      <w:r>
        <w:rPr>
          <w:spacing w:val="-3"/>
        </w:rPr>
        <w:t>n</w:t>
      </w:r>
      <w:r w:rsidRPr="003C1C6A">
        <w:rPr>
          <w:spacing w:val="-3"/>
        </w:rPr>
        <w:t>. (</w:t>
      </w:r>
      <w:r>
        <w:rPr>
          <w:spacing w:val="-3"/>
        </w:rPr>
        <w:t>4.</w:t>
      </w:r>
      <w:r w:rsidR="00311243">
        <w:rPr>
          <w:spacing w:val="-3"/>
        </w:rPr>
        <w:t>10</w:t>
      </w:r>
      <w:r w:rsidRPr="003C1C6A">
        <w:rPr>
          <w:spacing w:val="-3"/>
        </w:rPr>
        <w:t>) by orders of magnitude do not appreciably affect the calculated supercooling for sensible nucleation rates. This rapid rise in nucleation rate with temperature effectively defines a</w:t>
      </w:r>
      <w:r w:rsidRPr="003C1C6A">
        <w:rPr>
          <w:i/>
          <w:iCs/>
          <w:spacing w:val="-3"/>
        </w:rPr>
        <w:t xml:space="preserve"> nucleation temperature</w:t>
      </w:r>
      <w:r w:rsidRPr="003C1C6A">
        <w:rPr>
          <w:spacing w:val="-3"/>
        </w:rPr>
        <w:t>.</w:t>
      </w:r>
      <w:r>
        <w:rPr>
          <w:spacing w:val="-3"/>
        </w:rPr>
        <w:t xml:space="preserve"> Thus for a metal with a melting point of 1000 K, homogeneous nucleation would occur for supercoolings of 200 K to 400 K.</w:t>
      </w:r>
    </w:p>
    <w:p w14:paraId="496956E0" w14:textId="77777777" w:rsidR="00015B17" w:rsidRPr="003C1C6A" w:rsidRDefault="00015B17" w:rsidP="00015B17">
      <w:pPr>
        <w:suppressAutoHyphens/>
        <w:spacing w:line="360" w:lineRule="auto"/>
        <w:rPr>
          <w:spacing w:val="-3"/>
        </w:rPr>
      </w:pPr>
    </w:p>
    <w:p w14:paraId="6936BD71" w14:textId="77777777" w:rsidR="00015B17" w:rsidRDefault="00015B17" w:rsidP="00015B17">
      <w:pPr>
        <w:suppressAutoHyphens/>
        <w:spacing w:line="360" w:lineRule="auto"/>
        <w:rPr>
          <w:spacing w:val="-3"/>
        </w:rPr>
      </w:pPr>
      <w:r w:rsidRPr="003C1C6A">
        <w:rPr>
          <w:spacing w:val="-3"/>
        </w:rPr>
        <w:tab/>
        <w:t>During rapid cooling of the melt</w:t>
      </w:r>
      <w:r w:rsidR="004E48B1">
        <w:rPr>
          <w:spacing w:val="-3"/>
        </w:rPr>
        <w:t>,</w:t>
      </w:r>
      <w:r w:rsidRPr="003C1C6A">
        <w:rPr>
          <w:spacing w:val="-3"/>
        </w:rPr>
        <w:t xml:space="preserve"> especially to large supercoolings in glass forming alloys, atomic transport may be too slow to maintain an equilibrium number of clusters. This requires the examination of transient nucleation theory and effectively introduces a delay time into nucleation kinetics that can be important during glass formation or during devitrification as described by </w:t>
      </w:r>
      <w:r>
        <w:rPr>
          <w:spacing w:val="-3"/>
        </w:rPr>
        <w:t>Kelton and Greer</w:t>
      </w:r>
      <w:r w:rsidRPr="003C1C6A">
        <w:rPr>
          <w:spacing w:val="-3"/>
        </w:rPr>
        <w:t xml:space="preserve"> [</w:t>
      </w:r>
      <w:r>
        <w:rPr>
          <w:spacing w:val="-3"/>
        </w:rPr>
        <w:t>2010</w:t>
      </w:r>
      <w:r w:rsidRPr="003C1C6A">
        <w:rPr>
          <w:spacing w:val="-3"/>
        </w:rPr>
        <w:t>].</w:t>
      </w:r>
    </w:p>
    <w:p w14:paraId="740E91BB" w14:textId="77777777" w:rsidR="00015B17" w:rsidRPr="003C1C6A" w:rsidRDefault="00015B17" w:rsidP="00015B17">
      <w:pPr>
        <w:suppressAutoHyphens/>
        <w:spacing w:line="360" w:lineRule="auto"/>
        <w:rPr>
          <w:spacing w:val="-3"/>
        </w:rPr>
      </w:pPr>
    </w:p>
    <w:p w14:paraId="6DF9B289" w14:textId="61229193" w:rsidR="00015B17" w:rsidRDefault="00015B17" w:rsidP="00015B17">
      <w:pPr>
        <w:suppressAutoHyphens/>
        <w:spacing w:line="360" w:lineRule="auto"/>
        <w:rPr>
          <w:spacing w:val="-3"/>
        </w:rPr>
      </w:pPr>
      <w:r w:rsidRPr="003C1C6A">
        <w:rPr>
          <w:spacing w:val="-3"/>
        </w:rPr>
        <w:tab/>
      </w:r>
      <w:r>
        <w:rPr>
          <w:spacing w:val="-3"/>
        </w:rPr>
        <w:t>Another</w:t>
      </w:r>
      <w:r w:rsidRPr="003C1C6A">
        <w:rPr>
          <w:spacing w:val="-3"/>
        </w:rPr>
        <w:t xml:space="preserve"> assumption of the classical nucleation theory is that the free energy per unit volume and free energy per unit surface area are independent of the size of the embryo. Since the interface between solid and liquid is usually considered to be diffuse on the level of a few atomi</w:t>
      </w:r>
      <w:r>
        <w:rPr>
          <w:spacing w:val="-3"/>
        </w:rPr>
        <w:t>c dimensions</w:t>
      </w:r>
      <w:r w:rsidRPr="003C1C6A">
        <w:rPr>
          <w:spacing w:val="-3"/>
        </w:rPr>
        <w:t>, embryo</w:t>
      </w:r>
      <w:r w:rsidR="004E48B1">
        <w:rPr>
          <w:spacing w:val="-3"/>
        </w:rPr>
        <w:t>s</w:t>
      </w:r>
      <w:r w:rsidRPr="003C1C6A">
        <w:rPr>
          <w:spacing w:val="-3"/>
        </w:rPr>
        <w:t xml:space="preserve"> that are a few atomic dimensions in radius cannot be described classically</w:t>
      </w:r>
      <w:r>
        <w:rPr>
          <w:spacing w:val="-3"/>
        </w:rPr>
        <w:t xml:space="preserve"> as above</w:t>
      </w:r>
      <w:r w:rsidRPr="003C1C6A">
        <w:rPr>
          <w:spacing w:val="-3"/>
        </w:rPr>
        <w:t>. This leads to a radius (or temperature) dependence of the surface energy</w:t>
      </w:r>
      <w:r w:rsidRPr="000D73EC">
        <w:rPr>
          <w:spacing w:val="-3"/>
        </w:rPr>
        <w:t xml:space="preserve"> </w:t>
      </w:r>
      <w:r w:rsidRPr="003C1C6A">
        <w:rPr>
          <w:spacing w:val="-3"/>
        </w:rPr>
        <w:t>as shown by LARSON and GARSIDE [1986] and SPAEPEN [1994]</w:t>
      </w:r>
      <w:r>
        <w:rPr>
          <w:spacing w:val="-3"/>
        </w:rPr>
        <w:t xml:space="preserve">. </w:t>
      </w:r>
      <w:r w:rsidRPr="003C1C6A">
        <w:rPr>
          <w:spacing w:val="-3"/>
        </w:rPr>
        <w:t xml:space="preserve"> </w:t>
      </w:r>
      <w:r>
        <w:rPr>
          <w:spacing w:val="-3"/>
        </w:rPr>
        <w:t xml:space="preserve">Indeed Tolman [1949] proposed that for small </w:t>
      </w:r>
      <w:r w:rsidR="002E3625">
        <w:rPr>
          <w:spacing w:val="-3"/>
        </w:rPr>
        <w:t xml:space="preserve">particle of radius </w:t>
      </w:r>
      <w:r w:rsidR="002E3625">
        <w:rPr>
          <w:i/>
          <w:spacing w:val="-3"/>
        </w:rPr>
        <w:t>r</w:t>
      </w:r>
      <w:r w:rsidR="002E3625">
        <w:rPr>
          <w:spacing w:val="-3"/>
        </w:rPr>
        <w:t xml:space="preserve"> </w:t>
      </w:r>
      <w:r>
        <w:rPr>
          <w:spacing w:val="-3"/>
        </w:rPr>
        <w:t xml:space="preserve">that the interface energy </w:t>
      </w:r>
      <w:r w:rsidR="002E3625">
        <w:rPr>
          <w:spacing w:val="-3"/>
        </w:rPr>
        <w:t xml:space="preserve">itself </w:t>
      </w:r>
      <w:r>
        <w:rPr>
          <w:spacing w:val="-3"/>
        </w:rPr>
        <w:t xml:space="preserve">would have a first order correction given by </w:t>
      </w:r>
    </w:p>
    <w:p w14:paraId="1F431880" w14:textId="77777777" w:rsidR="00015B17" w:rsidRDefault="00015B17" w:rsidP="00015B17">
      <w:pPr>
        <w:suppressAutoHyphens/>
        <w:spacing w:line="360" w:lineRule="auto"/>
        <w:jc w:val="both"/>
        <w:rPr>
          <w:spacing w:val="-3"/>
        </w:rPr>
      </w:pPr>
    </w:p>
    <w:p w14:paraId="6C0F9B2C" w14:textId="77777777" w:rsidR="00015B17" w:rsidRDefault="002E3625" w:rsidP="00015B17">
      <w:pPr>
        <w:suppressAutoHyphens/>
        <w:spacing w:line="360" w:lineRule="auto"/>
        <w:jc w:val="center"/>
        <w:rPr>
          <w:spacing w:val="-3"/>
        </w:rPr>
      </w:pPr>
      <w:r w:rsidRPr="008050D1">
        <w:rPr>
          <w:spacing w:val="-3"/>
          <w:position w:val="-28"/>
        </w:rPr>
        <w:object w:dxaOrig="1820" w:dyaOrig="680" w14:anchorId="6675BDB9">
          <v:shape id="_x0000_i1319" type="#_x0000_t75" style="width:89.75pt;height:33.65pt" o:ole="">
            <v:imagedata r:id="rId568" o:title=""/>
          </v:shape>
          <o:OLEObject Type="Embed" ProgID="Equation.DSMT4" ShapeID="_x0000_i1319" DrawAspect="Content" ObjectID="_1840626885" r:id="rId569"/>
        </w:object>
      </w:r>
      <w:r w:rsidR="006E6FC2">
        <w:rPr>
          <w:spacing w:val="-3"/>
        </w:rPr>
        <w:t>,</w:t>
      </w:r>
      <w:r w:rsidR="00015B17">
        <w:rPr>
          <w:spacing w:val="-3"/>
        </w:rPr>
        <w:tab/>
      </w:r>
      <w:r w:rsidR="00015B17">
        <w:rPr>
          <w:spacing w:val="-3"/>
        </w:rPr>
        <w:tab/>
      </w:r>
      <w:r w:rsidR="00015B17">
        <w:rPr>
          <w:spacing w:val="-3"/>
        </w:rPr>
        <w:tab/>
        <w:t>(4.12)</w:t>
      </w:r>
    </w:p>
    <w:p w14:paraId="2DC0DB6D" w14:textId="77777777" w:rsidR="00015B17" w:rsidRDefault="00015B17" w:rsidP="00015B17">
      <w:pPr>
        <w:suppressAutoHyphens/>
        <w:spacing w:line="360" w:lineRule="auto"/>
        <w:jc w:val="center"/>
        <w:rPr>
          <w:spacing w:val="-3"/>
        </w:rPr>
      </w:pPr>
    </w:p>
    <w:p w14:paraId="5AAEA290" w14:textId="77777777" w:rsidR="002E3625" w:rsidRDefault="004E48B1" w:rsidP="00015B17">
      <w:pPr>
        <w:suppressAutoHyphens/>
        <w:spacing w:line="360" w:lineRule="auto"/>
        <w:rPr>
          <w:spacing w:val="-3"/>
        </w:rPr>
      </w:pPr>
      <w:r>
        <w:rPr>
          <w:spacing w:val="-3"/>
        </w:rPr>
        <w:t>w</w:t>
      </w:r>
      <w:r w:rsidR="00311243">
        <w:rPr>
          <w:spacing w:val="-3"/>
        </w:rPr>
        <w:t>here</w:t>
      </w:r>
      <w:r>
        <w:rPr>
          <w:spacing w:val="-3"/>
        </w:rPr>
        <w:t xml:space="preserve"> </w:t>
      </w:r>
      <w:r w:rsidRPr="00204BCD">
        <w:rPr>
          <w:position w:val="-12"/>
        </w:rPr>
        <w:object w:dxaOrig="360" w:dyaOrig="380" w14:anchorId="4DFC5D63">
          <v:shape id="_x0000_i1320" type="#_x0000_t75" style="width:17.75pt;height:18.7pt" o:ole="">
            <v:imagedata r:id="rId570" o:title=""/>
          </v:shape>
          <o:OLEObject Type="Embed" ProgID="Equation.DSMT4" ShapeID="_x0000_i1320" DrawAspect="Content" ObjectID="_1840626886" r:id="rId571"/>
        </w:object>
      </w:r>
      <w:r w:rsidR="00311243">
        <w:rPr>
          <w:spacing w:val="-3"/>
        </w:rPr>
        <w:t xml:space="preserve"> </w:t>
      </w:r>
      <w:r>
        <w:rPr>
          <w:spacing w:val="-3"/>
        </w:rPr>
        <w:t>is the standard value of the interfacial energy and</w:t>
      </w:r>
      <w:r w:rsidR="002E3625">
        <w:rPr>
          <w:spacing w:val="-3"/>
        </w:rPr>
        <w:t xml:space="preserve"> </w:t>
      </w:r>
      <w:r w:rsidR="00015B17" w:rsidRPr="00BB5FD0">
        <w:rPr>
          <w:spacing w:val="-3"/>
          <w:position w:val="-6"/>
        </w:rPr>
        <w:object w:dxaOrig="220" w:dyaOrig="279" w14:anchorId="6597907B">
          <v:shape id="_x0000_i1321" type="#_x0000_t75" style="width:10.3pt;height:14.05pt" o:ole="">
            <v:imagedata r:id="rId572" o:title=""/>
          </v:shape>
          <o:OLEObject Type="Embed" ProgID="Equation.DSMT4" ShapeID="_x0000_i1321" DrawAspect="Content" ObjectID="_1840626887" r:id="rId573"/>
        </w:object>
      </w:r>
      <w:r w:rsidR="00015B17">
        <w:rPr>
          <w:spacing w:val="-3"/>
        </w:rPr>
        <w:t xml:space="preserve"> is a parameter related to the </w:t>
      </w:r>
      <w:r w:rsidR="002E3625">
        <w:rPr>
          <w:spacing w:val="-3"/>
        </w:rPr>
        <w:t xml:space="preserve">L-S </w:t>
      </w:r>
      <w:r w:rsidR="00015B17">
        <w:rPr>
          <w:spacing w:val="-3"/>
        </w:rPr>
        <w:t>interface thickness.</w:t>
      </w:r>
    </w:p>
    <w:p w14:paraId="789F5077" w14:textId="77777777" w:rsidR="002E3625" w:rsidRDefault="002E3625" w:rsidP="00015B17">
      <w:pPr>
        <w:suppressAutoHyphens/>
        <w:spacing w:line="360" w:lineRule="auto"/>
        <w:rPr>
          <w:spacing w:val="-3"/>
        </w:rPr>
      </w:pPr>
    </w:p>
    <w:p w14:paraId="12DEE37D" w14:textId="07BFA1E5" w:rsidR="00015B17" w:rsidRPr="00901BA9" w:rsidRDefault="002E3625" w:rsidP="00015B17">
      <w:pPr>
        <w:suppressAutoHyphens/>
        <w:spacing w:line="360" w:lineRule="auto"/>
        <w:rPr>
          <w:spacing w:val="-3"/>
        </w:rPr>
      </w:pPr>
      <w:r>
        <w:rPr>
          <w:spacing w:val="-3"/>
        </w:rPr>
        <w:tab/>
      </w:r>
      <w:r w:rsidR="00015B17">
        <w:rPr>
          <w:spacing w:val="-3"/>
        </w:rPr>
        <w:t xml:space="preserve">For heterogeneous nucleation, </w:t>
      </w:r>
      <w:r w:rsidR="00015B17" w:rsidRPr="00901BA9">
        <w:rPr>
          <w:spacing w:val="-3"/>
        </w:rPr>
        <w:t xml:space="preserve">PEREPEZKO [1988] has pointed out that if </w:t>
      </w:r>
      <w:r w:rsidR="00015B17" w:rsidRPr="00901BA9">
        <w:rPr>
          <w:i/>
          <w:iCs/>
          <w:spacing w:val="-3"/>
        </w:rPr>
        <w:t>θ</w:t>
      </w:r>
      <w:r w:rsidR="00015B17" w:rsidRPr="00901BA9">
        <w:rPr>
          <w:spacing w:val="-3"/>
        </w:rPr>
        <w:t xml:space="preserve"> approaches zero for a heterogeneous nucleation process, the thickness of the spherical cap can approach atomic dimensions, even when the cap radius is much larger</w:t>
      </w:r>
      <w:r>
        <w:rPr>
          <w:spacing w:val="-3"/>
        </w:rPr>
        <w:t xml:space="preserve">. </w:t>
      </w:r>
      <w:r w:rsidR="00015B17" w:rsidRPr="00901BA9">
        <w:rPr>
          <w:spacing w:val="-3"/>
        </w:rPr>
        <w:t xml:space="preserve"> </w:t>
      </w:r>
      <w:r>
        <w:rPr>
          <w:spacing w:val="-3"/>
        </w:rPr>
        <w:t>This</w:t>
      </w:r>
      <w:r w:rsidRPr="00901BA9">
        <w:rPr>
          <w:spacing w:val="-3"/>
        </w:rPr>
        <w:t xml:space="preserve"> </w:t>
      </w:r>
      <w:r w:rsidR="00015B17" w:rsidRPr="00901BA9">
        <w:rPr>
          <w:spacing w:val="-3"/>
        </w:rPr>
        <w:t>fact would also necessitate a nonclassical approach to heterogeneous nucleation</w:t>
      </w:r>
      <w:r w:rsidR="00015B17">
        <w:rPr>
          <w:spacing w:val="-3"/>
        </w:rPr>
        <w:t xml:space="preserve"> because the liquid-solid interface structure may be influence</w:t>
      </w:r>
      <w:r>
        <w:rPr>
          <w:spacing w:val="-3"/>
        </w:rPr>
        <w:t>d</w:t>
      </w:r>
      <w:r w:rsidR="00015B17">
        <w:rPr>
          <w:spacing w:val="-3"/>
        </w:rPr>
        <w:t xml:space="preserve"> by the liquid-substrate interface structure.</w:t>
      </w:r>
      <w:r w:rsidR="00015B17" w:rsidRPr="00901BA9">
        <w:rPr>
          <w:spacing w:val="-3"/>
        </w:rPr>
        <w:t xml:space="preserve"> Diffuse interface theoretical methods have been used to </w:t>
      </w:r>
      <w:r w:rsidR="00015B17">
        <w:rPr>
          <w:spacing w:val="-3"/>
        </w:rPr>
        <w:t>explore situations where the</w:t>
      </w:r>
      <w:r w:rsidR="00015B17" w:rsidRPr="00901BA9">
        <w:rPr>
          <w:spacing w:val="-3"/>
        </w:rPr>
        <w:t xml:space="preserve"> substrate induc</w:t>
      </w:r>
      <w:r w:rsidR="00015B17">
        <w:rPr>
          <w:spacing w:val="-3"/>
        </w:rPr>
        <w:t>es</w:t>
      </w:r>
      <w:r w:rsidR="00015B17" w:rsidRPr="00901BA9">
        <w:rPr>
          <w:spacing w:val="-3"/>
        </w:rPr>
        <w:t xml:space="preserve"> ordering in the liquid </w:t>
      </w:r>
      <w:r w:rsidR="00015B17">
        <w:rPr>
          <w:spacing w:val="-3"/>
        </w:rPr>
        <w:t>(</w:t>
      </w:r>
      <w:r w:rsidR="00015B17" w:rsidRPr="00901BA9">
        <w:rPr>
          <w:spacing w:val="-3"/>
        </w:rPr>
        <w:t>Gran</w:t>
      </w:r>
      <w:r w:rsidR="00015B17">
        <w:rPr>
          <w:spacing w:val="-3"/>
        </w:rPr>
        <w:t>a</w:t>
      </w:r>
      <w:r w:rsidR="00015B17" w:rsidRPr="00901BA9">
        <w:rPr>
          <w:spacing w:val="-3"/>
        </w:rPr>
        <w:t xml:space="preserve">sy et al. </w:t>
      </w:r>
      <w:r w:rsidR="00015B17">
        <w:rPr>
          <w:spacing w:val="-3"/>
        </w:rPr>
        <w:t>[</w:t>
      </w:r>
      <w:r w:rsidR="00015B17" w:rsidRPr="00901BA9">
        <w:rPr>
          <w:spacing w:val="-3"/>
        </w:rPr>
        <w:t>2007]</w:t>
      </w:r>
      <w:r w:rsidR="00015B17">
        <w:rPr>
          <w:spacing w:val="-3"/>
        </w:rPr>
        <w:t>,</w:t>
      </w:r>
      <w:r w:rsidR="00015B17" w:rsidRPr="00901BA9">
        <w:rPr>
          <w:spacing w:val="-3"/>
        </w:rPr>
        <w:t xml:space="preserve"> </w:t>
      </w:r>
      <w:r w:rsidR="00015B17" w:rsidRPr="00901BA9">
        <w:rPr>
          <w:spacing w:val="-3"/>
          <w:lang w:val="de-DE"/>
        </w:rPr>
        <w:t xml:space="preserve">Warren </w:t>
      </w:r>
      <w:r w:rsidR="00015B17">
        <w:rPr>
          <w:spacing w:val="-3"/>
          <w:lang w:val="de-DE"/>
        </w:rPr>
        <w:t>et al. [</w:t>
      </w:r>
      <w:r w:rsidR="00015B17" w:rsidRPr="00901BA9">
        <w:rPr>
          <w:spacing w:val="-3"/>
          <w:lang w:val="de-DE"/>
        </w:rPr>
        <w:t>2009]</w:t>
      </w:r>
      <w:r w:rsidR="00015B17">
        <w:rPr>
          <w:spacing w:val="-3"/>
          <w:lang w:val="de-DE"/>
        </w:rPr>
        <w:t>)</w:t>
      </w:r>
      <w:r w:rsidR="00015B17">
        <w:rPr>
          <w:spacing w:val="-3"/>
        </w:rPr>
        <w:t>.</w:t>
      </w:r>
    </w:p>
    <w:p w14:paraId="0BC9E870" w14:textId="77777777" w:rsidR="00015B17" w:rsidRPr="00F9721F" w:rsidRDefault="00015B17" w:rsidP="00015B17">
      <w:pPr>
        <w:suppressAutoHyphens/>
        <w:spacing w:line="360" w:lineRule="auto"/>
        <w:jc w:val="both"/>
        <w:rPr>
          <w:spacing w:val="-3"/>
          <w:lang w:val="de-DE"/>
        </w:rPr>
      </w:pPr>
      <w:r w:rsidRPr="00C5642F">
        <w:rPr>
          <w:color w:val="0000FF"/>
          <w:spacing w:val="-3"/>
        </w:rPr>
        <w:t xml:space="preserve"> </w:t>
      </w:r>
    </w:p>
    <w:p w14:paraId="5BE6C2BD" w14:textId="11C6AE5B" w:rsidR="00015B17" w:rsidRPr="003C1C6A" w:rsidRDefault="00015B17" w:rsidP="00015B17">
      <w:pPr>
        <w:suppressAutoHyphens/>
        <w:spacing w:line="360" w:lineRule="auto"/>
        <w:jc w:val="both"/>
        <w:rPr>
          <w:spacing w:val="-3"/>
        </w:rPr>
      </w:pPr>
      <w:r w:rsidRPr="003C1C6A">
        <w:rPr>
          <w:b/>
          <w:bCs/>
          <w:spacing w:val="-3"/>
        </w:rPr>
        <w:t>4.2 Effect of Melt Subdivision</w:t>
      </w:r>
    </w:p>
    <w:p w14:paraId="3EC9B363" w14:textId="77777777" w:rsidR="00015B17" w:rsidRPr="003C1C6A" w:rsidRDefault="00015B17" w:rsidP="00015B17">
      <w:pPr>
        <w:suppressAutoHyphens/>
        <w:spacing w:line="360" w:lineRule="auto"/>
        <w:jc w:val="both"/>
        <w:rPr>
          <w:spacing w:val="-3"/>
        </w:rPr>
      </w:pPr>
    </w:p>
    <w:p w14:paraId="5AF3B7ED" w14:textId="5DB27B39" w:rsidR="00015B17" w:rsidRDefault="00015B17" w:rsidP="00015B17">
      <w:pPr>
        <w:suppressAutoHyphens/>
        <w:spacing w:line="360" w:lineRule="auto"/>
        <w:rPr>
          <w:spacing w:val="-3"/>
        </w:rPr>
      </w:pPr>
      <w:r w:rsidRPr="003C1C6A">
        <w:rPr>
          <w:spacing w:val="-3"/>
        </w:rPr>
        <w:tab/>
        <w:t xml:space="preserve">When a volume of liquid metal is converted </w:t>
      </w:r>
      <w:r w:rsidR="002E3625">
        <w:rPr>
          <w:spacing w:val="-3"/>
        </w:rPr>
        <w:t>in</w:t>
      </w:r>
      <w:r w:rsidRPr="003C1C6A">
        <w:rPr>
          <w:spacing w:val="-3"/>
        </w:rPr>
        <w:t>to an array of liquid droplets, large supercoolings prior to solidification are often obtained in many of the droplets</w:t>
      </w:r>
      <w:r>
        <w:rPr>
          <w:spacing w:val="-3"/>
        </w:rPr>
        <w:t>.</w:t>
      </w:r>
      <w:r w:rsidRPr="003C1C6A">
        <w:rPr>
          <w:spacing w:val="-3"/>
        </w:rPr>
        <w:t xml:space="preserve"> This fact leads to a method for the study of nucleation and to understand the </w:t>
      </w:r>
      <w:r>
        <w:rPr>
          <w:spacing w:val="-3"/>
        </w:rPr>
        <w:t xml:space="preserve">large </w:t>
      </w:r>
      <w:r w:rsidRPr="003C1C6A">
        <w:rPr>
          <w:spacing w:val="-3"/>
        </w:rPr>
        <w:t xml:space="preserve">supercooling </w:t>
      </w:r>
      <w:r>
        <w:rPr>
          <w:spacing w:val="-3"/>
        </w:rPr>
        <w:t xml:space="preserve">and refined microstructures obtained </w:t>
      </w:r>
      <w:r w:rsidRPr="003C1C6A">
        <w:rPr>
          <w:spacing w:val="-3"/>
        </w:rPr>
        <w:t xml:space="preserve">in metal </w:t>
      </w:r>
      <w:r>
        <w:rPr>
          <w:spacing w:val="-3"/>
        </w:rPr>
        <w:t>powders</w:t>
      </w:r>
      <w:r w:rsidRPr="003C1C6A">
        <w:rPr>
          <w:spacing w:val="-3"/>
        </w:rPr>
        <w:t xml:space="preserve"> created by </w:t>
      </w:r>
      <w:r>
        <w:rPr>
          <w:spacing w:val="-3"/>
        </w:rPr>
        <w:t xml:space="preserve">industrial gas </w:t>
      </w:r>
      <w:r w:rsidRPr="003C1C6A">
        <w:rPr>
          <w:spacing w:val="-3"/>
        </w:rPr>
        <w:t>atomization</w:t>
      </w:r>
      <w:r>
        <w:rPr>
          <w:spacing w:val="-3"/>
        </w:rPr>
        <w:t xml:space="preserve"> and plasma spray processes</w:t>
      </w:r>
      <w:r w:rsidRPr="003C1C6A">
        <w:rPr>
          <w:spacing w:val="-3"/>
        </w:rPr>
        <w:t>. For the study of nucleation</w:t>
      </w:r>
      <w:r w:rsidR="004E48B1">
        <w:rPr>
          <w:spacing w:val="-3"/>
        </w:rPr>
        <w:t>,</w:t>
      </w:r>
      <w:r w:rsidRPr="003C1C6A">
        <w:rPr>
          <w:spacing w:val="-3"/>
        </w:rPr>
        <w:t xml:space="preserve"> this method was pioneered by TURNBULL and CECH [1950] and continued most notably by PEREPEZKO and ANDERSON [1980]. An example of the effect of supercooling on microstructure development for </w:t>
      </w:r>
      <w:r>
        <w:rPr>
          <w:spacing w:val="-3"/>
        </w:rPr>
        <w:t xml:space="preserve">gas </w:t>
      </w:r>
      <w:r w:rsidRPr="003C1C6A">
        <w:rPr>
          <w:spacing w:val="-3"/>
        </w:rPr>
        <w:t>atomized Al-8</w:t>
      </w:r>
      <w:r w:rsidR="00BD6531">
        <w:rPr>
          <w:spacing w:val="-3"/>
        </w:rPr>
        <w:t xml:space="preserve"> wt</w:t>
      </w:r>
      <w:r w:rsidRPr="003C1C6A">
        <w:rPr>
          <w:spacing w:val="-3"/>
        </w:rPr>
        <w:t>%</w:t>
      </w:r>
      <w:r w:rsidR="00A53CF1">
        <w:rPr>
          <w:spacing w:val="-3"/>
        </w:rPr>
        <w:t xml:space="preserve"> </w:t>
      </w:r>
      <w:r w:rsidRPr="003C1C6A">
        <w:rPr>
          <w:spacing w:val="-3"/>
        </w:rPr>
        <w:t xml:space="preserve">Fe alloys </w:t>
      </w:r>
      <w:r w:rsidR="002E3625" w:rsidRPr="003C1C6A">
        <w:rPr>
          <w:spacing w:val="-3"/>
        </w:rPr>
        <w:t xml:space="preserve">is given </w:t>
      </w:r>
      <w:r w:rsidRPr="003C1C6A">
        <w:rPr>
          <w:spacing w:val="-3"/>
        </w:rPr>
        <w:t xml:space="preserve">by BOETTINGER </w:t>
      </w:r>
      <w:r w:rsidRPr="003C1C6A">
        <w:rPr>
          <w:i/>
          <w:iCs/>
          <w:spacing w:val="-3"/>
        </w:rPr>
        <w:t>et al</w:t>
      </w:r>
      <w:r w:rsidRPr="003C1C6A">
        <w:rPr>
          <w:spacing w:val="-3"/>
        </w:rPr>
        <w:t>.</w:t>
      </w:r>
      <w:r>
        <w:rPr>
          <w:spacing w:val="-3"/>
        </w:rPr>
        <w:t xml:space="preserve"> </w:t>
      </w:r>
      <w:r w:rsidRPr="003C1C6A">
        <w:rPr>
          <w:spacing w:val="-3"/>
        </w:rPr>
        <w:t>[1986].</w:t>
      </w:r>
    </w:p>
    <w:p w14:paraId="52E3EC91" w14:textId="77777777" w:rsidR="00015B17" w:rsidRPr="003C1C6A" w:rsidRDefault="00015B17" w:rsidP="00015B17">
      <w:pPr>
        <w:suppressAutoHyphens/>
        <w:spacing w:line="360" w:lineRule="auto"/>
        <w:rPr>
          <w:spacing w:val="-3"/>
        </w:rPr>
      </w:pPr>
    </w:p>
    <w:p w14:paraId="0CF75EFB" w14:textId="77777777" w:rsidR="00015B17" w:rsidRPr="003C1C6A" w:rsidRDefault="00015B17" w:rsidP="00015B17">
      <w:pPr>
        <w:suppressAutoHyphens/>
        <w:spacing w:line="360" w:lineRule="auto"/>
        <w:rPr>
          <w:spacing w:val="-3"/>
        </w:rPr>
      </w:pPr>
      <w:r w:rsidRPr="003C1C6A">
        <w:rPr>
          <w:spacing w:val="-3"/>
        </w:rPr>
        <w:tab/>
        <w:t xml:space="preserve">If the </w:t>
      </w:r>
      <w:r w:rsidR="002E3625">
        <w:rPr>
          <w:spacing w:val="-3"/>
        </w:rPr>
        <w:t xml:space="preserve">heterogeneous </w:t>
      </w:r>
      <w:r w:rsidRPr="003C1C6A">
        <w:rPr>
          <w:spacing w:val="-3"/>
        </w:rPr>
        <w:t xml:space="preserve">nucleating sites contained within a given liquid volume are distributed randomly, the arrangement of nucleants among the droplets may be described by a Poisson </w:t>
      </w:r>
      <w:r w:rsidRPr="003C1C6A">
        <w:rPr>
          <w:spacing w:val="-3"/>
        </w:rPr>
        <w:fldChar w:fldCharType="begin"/>
      </w:r>
      <w:r w:rsidRPr="003C1C6A">
        <w:rPr>
          <w:spacing w:val="-3"/>
        </w:rPr>
        <w:instrText>ADVANCE \R 0.80</w:instrText>
      </w:r>
      <w:r w:rsidRPr="003C1C6A">
        <w:rPr>
          <w:spacing w:val="-3"/>
        </w:rPr>
        <w:fldChar w:fldCharType="end"/>
      </w:r>
      <w:r w:rsidRPr="003C1C6A">
        <w:rPr>
          <w:spacing w:val="-3"/>
        </w:rPr>
        <w:t>distribution.  For</w:t>
      </w:r>
      <w:r w:rsidRPr="003C1C6A">
        <w:rPr>
          <w:spacing w:val="-3"/>
        </w:rPr>
        <w:fldChar w:fldCharType="begin"/>
      </w:r>
      <w:r w:rsidRPr="003C1C6A">
        <w:rPr>
          <w:spacing w:val="-3"/>
        </w:rPr>
        <w:instrText>ADVANCE \R 3.40</w:instrText>
      </w:r>
      <w:r w:rsidRPr="003C1C6A">
        <w:rPr>
          <w:spacing w:val="-3"/>
        </w:rPr>
        <w:fldChar w:fldCharType="end"/>
      </w:r>
      <w:r w:rsidRPr="003C1C6A">
        <w:rPr>
          <w:spacing w:val="-3"/>
        </w:rPr>
        <w:t xml:space="preserve"> this case</w:t>
      </w:r>
      <w:r w:rsidRPr="003C1C6A">
        <w:rPr>
          <w:spacing w:val="-3"/>
        </w:rPr>
        <w:fldChar w:fldCharType="begin"/>
      </w:r>
      <w:r w:rsidRPr="003C1C6A">
        <w:rPr>
          <w:spacing w:val="-3"/>
        </w:rPr>
        <w:instrText>ADVANCE \R 3.40</w:instrText>
      </w:r>
      <w:r w:rsidRPr="003C1C6A">
        <w:rPr>
          <w:spacing w:val="-3"/>
        </w:rPr>
        <w:fldChar w:fldCharType="end"/>
      </w:r>
      <w:r w:rsidRPr="003C1C6A">
        <w:rPr>
          <w:spacing w:val="-3"/>
        </w:rPr>
        <w:t xml:space="preserve"> the </w:t>
      </w:r>
      <w:r w:rsidRPr="003C1C6A">
        <w:rPr>
          <w:spacing w:val="-3"/>
        </w:rPr>
        <w:fldChar w:fldCharType="begin"/>
      </w:r>
      <w:r w:rsidRPr="003C1C6A">
        <w:rPr>
          <w:spacing w:val="-3"/>
        </w:rPr>
        <w:instrText>ADVANCE \R 2.55</w:instrText>
      </w:r>
      <w:r w:rsidRPr="003C1C6A">
        <w:rPr>
          <w:spacing w:val="-3"/>
        </w:rPr>
        <w:fldChar w:fldCharType="end"/>
      </w:r>
      <w:r w:rsidRPr="003C1C6A">
        <w:rPr>
          <w:spacing w:val="-3"/>
        </w:rPr>
        <w:t xml:space="preserve">nucleant </w:t>
      </w:r>
      <w:r w:rsidRPr="003C1C6A">
        <w:rPr>
          <w:spacing w:val="-3"/>
        </w:rPr>
        <w:fldChar w:fldCharType="begin"/>
      </w:r>
      <w:r w:rsidRPr="003C1C6A">
        <w:rPr>
          <w:spacing w:val="-3"/>
        </w:rPr>
        <w:instrText>ADVANCE \R 2.55</w:instrText>
      </w:r>
      <w:r w:rsidRPr="003C1C6A">
        <w:rPr>
          <w:spacing w:val="-3"/>
        </w:rPr>
        <w:fldChar w:fldCharType="end"/>
      </w:r>
      <w:r w:rsidRPr="003C1C6A">
        <w:rPr>
          <w:spacing w:val="-3"/>
        </w:rPr>
        <w:t>free</w:t>
      </w:r>
      <w:r w:rsidRPr="003C1C6A">
        <w:rPr>
          <w:spacing w:val="-3"/>
        </w:rPr>
        <w:fldChar w:fldCharType="begin"/>
      </w:r>
      <w:r w:rsidRPr="003C1C6A">
        <w:rPr>
          <w:spacing w:val="-3"/>
        </w:rPr>
        <w:instrText>ADVANCE \R 2.55</w:instrText>
      </w:r>
      <w:r w:rsidRPr="003C1C6A">
        <w:rPr>
          <w:spacing w:val="-3"/>
        </w:rPr>
        <w:fldChar w:fldCharType="end"/>
      </w:r>
      <w:r w:rsidRPr="003C1C6A">
        <w:rPr>
          <w:spacing w:val="-3"/>
        </w:rPr>
        <w:t xml:space="preserve"> droplet</w:t>
      </w:r>
      <w:r w:rsidRPr="003C1C6A">
        <w:rPr>
          <w:spacing w:val="-3"/>
        </w:rPr>
        <w:fldChar w:fldCharType="begin"/>
      </w:r>
      <w:r w:rsidRPr="003C1C6A">
        <w:rPr>
          <w:spacing w:val="-3"/>
        </w:rPr>
        <w:instrText>ADVANCE \R 2.55</w:instrText>
      </w:r>
      <w:r w:rsidRPr="003C1C6A">
        <w:rPr>
          <w:spacing w:val="-3"/>
        </w:rPr>
        <w:fldChar w:fldCharType="end"/>
      </w:r>
      <w:r w:rsidRPr="003C1C6A">
        <w:rPr>
          <w:spacing w:val="-3"/>
        </w:rPr>
        <w:t xml:space="preserve"> fraction,</w:t>
      </w:r>
      <w:r w:rsidRPr="003C1C6A">
        <w:rPr>
          <w:i/>
          <w:iCs/>
          <w:spacing w:val="-3"/>
        </w:rPr>
        <w:fldChar w:fldCharType="begin"/>
      </w:r>
      <w:r w:rsidRPr="003C1C6A">
        <w:rPr>
          <w:i/>
          <w:iCs/>
          <w:spacing w:val="-3"/>
        </w:rPr>
        <w:instrText>ADVANCE \R 2.55</w:instrText>
      </w:r>
      <w:r w:rsidRPr="003C1C6A">
        <w:rPr>
          <w:i/>
          <w:iCs/>
          <w:spacing w:val="-3"/>
        </w:rPr>
        <w:fldChar w:fldCharType="end"/>
      </w:r>
      <w:r w:rsidRPr="003C1C6A">
        <w:rPr>
          <w:i/>
          <w:iCs/>
          <w:spacing w:val="-3"/>
        </w:rPr>
        <w:t xml:space="preserve"> X,</w:t>
      </w:r>
      <w:r w:rsidRPr="003C1C6A">
        <w:rPr>
          <w:spacing w:val="-3"/>
        </w:rPr>
        <w:t xml:space="preserve"> </w:t>
      </w:r>
      <w:r w:rsidRPr="003C1C6A">
        <w:rPr>
          <w:spacing w:val="-3"/>
        </w:rPr>
        <w:fldChar w:fldCharType="begin"/>
      </w:r>
      <w:r w:rsidRPr="003C1C6A">
        <w:rPr>
          <w:spacing w:val="-3"/>
        </w:rPr>
        <w:instrText>ADVANCE \R 2.55</w:instrText>
      </w:r>
      <w:r w:rsidRPr="003C1C6A">
        <w:rPr>
          <w:spacing w:val="-3"/>
        </w:rPr>
        <w:fldChar w:fldCharType="end"/>
      </w:r>
      <w:r w:rsidRPr="003C1C6A">
        <w:rPr>
          <w:spacing w:val="-3"/>
        </w:rPr>
        <w:t xml:space="preserve">is </w:t>
      </w:r>
      <w:r w:rsidRPr="003C1C6A">
        <w:rPr>
          <w:spacing w:val="-3"/>
        </w:rPr>
        <w:fldChar w:fldCharType="begin"/>
      </w:r>
      <w:r w:rsidRPr="003C1C6A">
        <w:rPr>
          <w:spacing w:val="-3"/>
        </w:rPr>
        <w:instrText>ADVANCE \R 5.10</w:instrText>
      </w:r>
      <w:r w:rsidRPr="003C1C6A">
        <w:rPr>
          <w:spacing w:val="-3"/>
        </w:rPr>
        <w:fldChar w:fldCharType="end"/>
      </w:r>
      <w:r w:rsidRPr="003C1C6A">
        <w:rPr>
          <w:spacing w:val="-3"/>
        </w:rPr>
        <w:t xml:space="preserve">represented </w:t>
      </w:r>
      <w:r w:rsidRPr="003C1C6A">
        <w:rPr>
          <w:spacing w:val="-3"/>
        </w:rPr>
        <w:fldChar w:fldCharType="begin"/>
      </w:r>
      <w:r w:rsidRPr="003C1C6A">
        <w:rPr>
          <w:spacing w:val="-3"/>
        </w:rPr>
        <w:instrText>ADVANCE \R 2.55</w:instrText>
      </w:r>
      <w:r w:rsidRPr="003C1C6A">
        <w:rPr>
          <w:spacing w:val="-3"/>
        </w:rPr>
        <w:fldChar w:fldCharType="end"/>
      </w:r>
      <w:r w:rsidRPr="003C1C6A">
        <w:rPr>
          <w:spacing w:val="-3"/>
        </w:rPr>
        <w:t>by</w:t>
      </w:r>
      <w:r>
        <w:rPr>
          <w:spacing w:val="-3"/>
        </w:rPr>
        <w:t xml:space="preserve"> </w:t>
      </w:r>
      <w:r w:rsidR="004E48B1" w:rsidRPr="000D73EC">
        <w:rPr>
          <w:spacing w:val="-3"/>
          <w:position w:val="-14"/>
        </w:rPr>
        <w:object w:dxaOrig="1920" w:dyaOrig="400" w14:anchorId="028E9FA5">
          <v:shape id="_x0000_i1322" type="#_x0000_t75" style="width:96.3pt;height:19.65pt" o:ole="">
            <v:imagedata r:id="rId574" o:title=""/>
          </v:shape>
          <o:OLEObject Type="Embed" ProgID="Equation.DSMT4" ShapeID="_x0000_i1322" DrawAspect="Content" ObjectID="_1840626888" r:id="rId575"/>
        </w:object>
      </w:r>
      <w:r w:rsidRPr="003C1C6A">
        <w:rPr>
          <w:spacing w:val="-3"/>
        </w:rPr>
        <w:t xml:space="preserve">where </w:t>
      </w:r>
      <w:r w:rsidRPr="00927ED9">
        <w:rPr>
          <w:i/>
          <w:spacing w:val="-3"/>
        </w:rPr>
        <w:t>m</w:t>
      </w:r>
      <w:r w:rsidRPr="003C1C6A">
        <w:rPr>
          <w:spacing w:val="-3"/>
        </w:rPr>
        <w:t xml:space="preserve"> is the number of nucleants per volume in the melt and </w:t>
      </w:r>
      <w:r w:rsidRPr="004E48B1">
        <w:rPr>
          <w:i/>
          <w:spacing w:val="-3"/>
        </w:rPr>
        <w:t>V</w:t>
      </w:r>
      <w:r w:rsidR="004E48B1" w:rsidRPr="00727E8A">
        <w:rPr>
          <w:i/>
          <w:spacing w:val="-3"/>
          <w:sz w:val="26"/>
          <w:vertAlign w:val="subscript"/>
        </w:rPr>
        <w:t>d</w:t>
      </w:r>
      <w:r w:rsidRPr="004E48B1">
        <w:rPr>
          <w:i/>
          <w:spacing w:val="-3"/>
        </w:rPr>
        <w:t xml:space="preserve"> </w:t>
      </w:r>
      <w:r w:rsidRPr="003C1C6A">
        <w:rPr>
          <w:spacing w:val="-3"/>
        </w:rPr>
        <w:t xml:space="preserve">is the droplet volume.  Based on experience with </w:t>
      </w:r>
      <w:r w:rsidR="004A45A7">
        <w:rPr>
          <w:spacing w:val="-3"/>
        </w:rPr>
        <w:t xml:space="preserve">metal </w:t>
      </w:r>
      <w:r w:rsidRPr="003C1C6A">
        <w:rPr>
          <w:spacing w:val="-3"/>
        </w:rPr>
        <w:t xml:space="preserve">droplet emulsion samples </w:t>
      </w:r>
      <w:r w:rsidRPr="003C1C6A">
        <w:rPr>
          <w:spacing w:val="-3"/>
        </w:rPr>
        <w:lastRenderedPageBreak/>
        <w:t xml:space="preserve">(PEREPEZKO and ANDERSON [1980]), supercooling effects become measurable for size refinement below about 100 μm diameter and can become appreciable for powder sizes less than about 10 </w:t>
      </w:r>
      <w:r w:rsidRPr="001B068D">
        <w:rPr>
          <w:i/>
          <w:iCs/>
          <w:spacing w:val="-3"/>
        </w:rPr>
        <w:t>μm</w:t>
      </w:r>
      <w:r w:rsidRPr="003C1C6A">
        <w:rPr>
          <w:spacing w:val="-3"/>
        </w:rPr>
        <w:t>.  This suggests that typical values for nucleant densities within the volume of a melt must be in the range from about 10</w:t>
      </w:r>
      <w:r w:rsidRPr="00883A53">
        <w:rPr>
          <w:spacing w:val="-3"/>
          <w:sz w:val="26"/>
          <w:vertAlign w:val="superscript"/>
        </w:rPr>
        <w:t xml:space="preserve">6 </w:t>
      </w:r>
      <w:r w:rsidRPr="001B068D">
        <w:rPr>
          <w:i/>
          <w:iCs/>
          <w:spacing w:val="-3"/>
        </w:rPr>
        <w:t>cm</w:t>
      </w:r>
      <w:r w:rsidRPr="00883A53">
        <w:rPr>
          <w:spacing w:val="-3"/>
          <w:sz w:val="26"/>
          <w:vertAlign w:val="superscript"/>
        </w:rPr>
        <w:t>-3</w:t>
      </w:r>
      <w:r>
        <w:rPr>
          <w:spacing w:val="-3"/>
        </w:rPr>
        <w:t xml:space="preserve"> to </w:t>
      </w:r>
      <w:r w:rsidRPr="003C1C6A">
        <w:rPr>
          <w:spacing w:val="-3"/>
        </w:rPr>
        <w:t>10</w:t>
      </w:r>
      <w:r w:rsidRPr="00883A53">
        <w:rPr>
          <w:spacing w:val="-3"/>
          <w:sz w:val="26"/>
          <w:vertAlign w:val="superscript"/>
        </w:rPr>
        <w:t>9</w:t>
      </w:r>
      <w:r w:rsidRPr="003C1C6A">
        <w:rPr>
          <w:spacing w:val="-3"/>
        </w:rPr>
        <w:t xml:space="preserve"> </w:t>
      </w:r>
      <w:r w:rsidRPr="001B068D">
        <w:rPr>
          <w:i/>
          <w:iCs/>
          <w:spacing w:val="-3"/>
        </w:rPr>
        <w:t>cm</w:t>
      </w:r>
      <w:r w:rsidRPr="00883A53">
        <w:rPr>
          <w:spacing w:val="-3"/>
          <w:sz w:val="26"/>
          <w:vertAlign w:val="superscript"/>
        </w:rPr>
        <w:t>-3</w:t>
      </w:r>
      <w:r w:rsidRPr="003C1C6A">
        <w:rPr>
          <w:spacing w:val="-3"/>
        </w:rPr>
        <w:t xml:space="preserve">. The relatively sharp selection of a given </w:t>
      </w:r>
      <w:r w:rsidRPr="003C1C6A">
        <w:rPr>
          <w:i/>
          <w:iCs/>
          <w:spacing w:val="-3"/>
        </w:rPr>
        <w:t>X</w:t>
      </w:r>
      <w:r w:rsidRPr="003C1C6A">
        <w:rPr>
          <w:spacing w:val="-3"/>
        </w:rPr>
        <w:t xml:space="preserve"> value (e.g.,</w:t>
      </w:r>
      <w:r w:rsidRPr="003C1C6A">
        <w:rPr>
          <w:i/>
          <w:iCs/>
          <w:spacing w:val="-3"/>
        </w:rPr>
        <w:t xml:space="preserve"> X</w:t>
      </w:r>
      <w:r w:rsidRPr="003C1C6A">
        <w:rPr>
          <w:spacing w:val="-3"/>
        </w:rPr>
        <w:t xml:space="preserve"> = 0.9) with the droplet volume indicates the important role of size refinement in achieving large supercooling. Similar relationships can be developed for surface nucleant distributions.</w:t>
      </w:r>
    </w:p>
    <w:p w14:paraId="090370AB" w14:textId="77777777" w:rsidR="00015B17" w:rsidRPr="003C1C6A" w:rsidRDefault="00015B17" w:rsidP="00015B17">
      <w:pPr>
        <w:suppressAutoHyphens/>
        <w:spacing w:line="360" w:lineRule="auto"/>
        <w:rPr>
          <w:spacing w:val="-3"/>
        </w:rPr>
      </w:pPr>
    </w:p>
    <w:p w14:paraId="64060D69" w14:textId="0E1BA63D" w:rsidR="00015B17" w:rsidRPr="003C1C6A" w:rsidRDefault="00015B17" w:rsidP="00015B17">
      <w:pPr>
        <w:suppressAutoHyphens/>
        <w:spacing w:line="360" w:lineRule="auto"/>
        <w:rPr>
          <w:spacing w:val="-3"/>
        </w:rPr>
      </w:pPr>
      <w:r w:rsidRPr="003C1C6A">
        <w:rPr>
          <w:b/>
          <w:bCs/>
          <w:spacing w:val="-3"/>
        </w:rPr>
        <w:t xml:space="preserve">4.3 Experiments on </w:t>
      </w:r>
      <w:r w:rsidR="002E3625">
        <w:rPr>
          <w:b/>
          <w:bCs/>
          <w:spacing w:val="-3"/>
        </w:rPr>
        <w:t>n</w:t>
      </w:r>
      <w:r w:rsidR="002E3625" w:rsidRPr="003C1C6A">
        <w:rPr>
          <w:b/>
          <w:bCs/>
          <w:spacing w:val="-3"/>
        </w:rPr>
        <w:t xml:space="preserve">ucleation </w:t>
      </w:r>
      <w:r w:rsidRPr="003C1C6A">
        <w:rPr>
          <w:b/>
          <w:bCs/>
          <w:spacing w:val="-3"/>
        </w:rPr>
        <w:t>in pure metals</w:t>
      </w:r>
      <w:r>
        <w:rPr>
          <w:b/>
          <w:bCs/>
          <w:spacing w:val="-3"/>
        </w:rPr>
        <w:t xml:space="preserve"> – the liquid solid interface energy</w:t>
      </w:r>
    </w:p>
    <w:p w14:paraId="573D6550" w14:textId="77777777" w:rsidR="00015B17" w:rsidRPr="003C1C6A" w:rsidRDefault="00015B17" w:rsidP="00015B17">
      <w:pPr>
        <w:suppressAutoHyphens/>
        <w:spacing w:line="360" w:lineRule="auto"/>
        <w:rPr>
          <w:spacing w:val="-3"/>
        </w:rPr>
      </w:pPr>
    </w:p>
    <w:p w14:paraId="696484AD" w14:textId="38A3CF2A" w:rsidR="00015B17" w:rsidRDefault="00015B17" w:rsidP="00015B17">
      <w:pPr>
        <w:suppressAutoHyphens/>
        <w:spacing w:line="360" w:lineRule="auto"/>
        <w:rPr>
          <w:spacing w:val="-3"/>
        </w:rPr>
      </w:pPr>
      <w:r w:rsidRPr="003C1C6A">
        <w:rPr>
          <w:spacing w:val="-3"/>
        </w:rPr>
        <w:tab/>
        <w:t xml:space="preserve">PEREPEZKO and ANDERSON [1980] have </w:t>
      </w:r>
      <w:r>
        <w:rPr>
          <w:spacing w:val="-3"/>
        </w:rPr>
        <w:t xml:space="preserve">also </w:t>
      </w:r>
      <w:r w:rsidRPr="003C1C6A">
        <w:rPr>
          <w:spacing w:val="-3"/>
        </w:rPr>
        <w:t xml:space="preserve">summarized the principal </w:t>
      </w:r>
      <w:r>
        <w:rPr>
          <w:spacing w:val="-3"/>
        </w:rPr>
        <w:t xml:space="preserve">methods </w:t>
      </w:r>
      <w:r w:rsidRPr="003C1C6A">
        <w:rPr>
          <w:spacing w:val="-3"/>
        </w:rPr>
        <w:t xml:space="preserve">for nucleation experiments conducted at </w:t>
      </w:r>
      <w:r>
        <w:rPr>
          <w:spacing w:val="-3"/>
        </w:rPr>
        <w:t xml:space="preserve">slow cooling rates as shown in </w:t>
      </w:r>
      <w:r w:rsidRPr="003C1C6A">
        <w:rPr>
          <w:spacing w:val="-3"/>
        </w:rPr>
        <w:t>Fig.</w:t>
      </w:r>
      <w:r>
        <w:rPr>
          <w:spacing w:val="-3"/>
        </w:rPr>
        <w:t>4.3</w:t>
      </w:r>
      <w:r w:rsidRPr="003C1C6A">
        <w:rPr>
          <w:spacing w:val="-3"/>
        </w:rPr>
        <w:t xml:space="preserve">. The most common </w:t>
      </w:r>
      <w:r w:rsidR="00191C07">
        <w:rPr>
          <w:spacing w:val="-3"/>
        </w:rPr>
        <w:t xml:space="preserve">method </w:t>
      </w:r>
      <w:r w:rsidRPr="003C1C6A">
        <w:rPr>
          <w:spacing w:val="-3"/>
        </w:rPr>
        <w:t>corresponds to the dispersion of a pure metal into droplets within a suitable medium. For metals that melt below 500</w:t>
      </w:r>
      <w:r w:rsidR="00061F4B">
        <w:rPr>
          <w:spacing w:val="-3"/>
        </w:rPr>
        <w:t xml:space="preserve"> </w:t>
      </w:r>
      <w:r w:rsidRPr="003C1C6A">
        <w:rPr>
          <w:spacing w:val="-3"/>
        </w:rPr>
        <w:sym w:font="Symbol" w:char="F0B0"/>
      </w:r>
      <w:r w:rsidRPr="003C1C6A">
        <w:rPr>
          <w:spacing w:val="-3"/>
        </w:rPr>
        <w:t xml:space="preserve">C, organic fluids with added surfactants are used to form the droplet dispersion. In addition to the isolation of nucleants discussed above, the surfactant </w:t>
      </w:r>
      <w:r w:rsidR="002E3625">
        <w:rPr>
          <w:spacing w:val="-3"/>
        </w:rPr>
        <w:t>may</w:t>
      </w:r>
      <w:r w:rsidR="002E3625" w:rsidRPr="003C1C6A">
        <w:rPr>
          <w:spacing w:val="-3"/>
        </w:rPr>
        <w:t xml:space="preserve"> </w:t>
      </w:r>
      <w:r w:rsidRPr="003C1C6A">
        <w:rPr>
          <w:spacing w:val="-3"/>
        </w:rPr>
        <w:t xml:space="preserve">play a role in rendering some nucleates inactive. For systems with high melting points, molten salts and glasses have been employed. In both cases, </w:t>
      </w:r>
      <w:r w:rsidR="002A1C2F">
        <w:rPr>
          <w:spacing w:val="-3"/>
        </w:rPr>
        <w:t>face</w:t>
      </w:r>
      <w:r w:rsidRPr="003C1C6A">
        <w:rPr>
          <w:spacing w:val="-3"/>
        </w:rPr>
        <w:t xml:space="preserve">independence and separation of droplets are maintained by a thin inert coating which must be non-catalytic to nucleation. Such dispersions of droplets can be thermally cycled in a DTA or </w:t>
      </w:r>
      <w:r w:rsidR="003B1B72">
        <w:rPr>
          <w:spacing w:val="-3"/>
        </w:rPr>
        <w:t>d</w:t>
      </w:r>
      <w:r w:rsidR="003B1B72" w:rsidRPr="003B1B72">
        <w:rPr>
          <w:spacing w:val="-3"/>
        </w:rPr>
        <w:t>ifferential scanning calorimetry</w:t>
      </w:r>
      <w:r w:rsidR="003B1B72">
        <w:rPr>
          <w:spacing w:val="-3"/>
        </w:rPr>
        <w:t xml:space="preserve"> (</w:t>
      </w:r>
      <w:r w:rsidRPr="003C1C6A">
        <w:rPr>
          <w:spacing w:val="-3"/>
        </w:rPr>
        <w:t>DSC</w:t>
      </w:r>
      <w:r w:rsidR="003B1B72">
        <w:rPr>
          <w:spacing w:val="-3"/>
        </w:rPr>
        <w:t>)</w:t>
      </w:r>
      <w:r w:rsidRPr="003C1C6A">
        <w:rPr>
          <w:spacing w:val="-3"/>
        </w:rPr>
        <w:t xml:space="preserve"> to determine the supercooling of the majority of droplets prior to nucleation. PEREPEZKO [1984] </w:t>
      </w:r>
      <w:r>
        <w:rPr>
          <w:spacing w:val="-3"/>
        </w:rPr>
        <w:t xml:space="preserve">and Kelton [1991] have </w:t>
      </w:r>
      <w:r w:rsidRPr="003C1C6A">
        <w:rPr>
          <w:spacing w:val="-3"/>
        </w:rPr>
        <w:t>summarize</w:t>
      </w:r>
      <w:r>
        <w:rPr>
          <w:spacing w:val="-3"/>
        </w:rPr>
        <w:t>d</w:t>
      </w:r>
      <w:r w:rsidRPr="003C1C6A">
        <w:rPr>
          <w:spacing w:val="-3"/>
        </w:rPr>
        <w:t xml:space="preserve"> the maximum supercoolings obtained by </w:t>
      </w:r>
      <w:r>
        <w:rPr>
          <w:spacing w:val="-3"/>
        </w:rPr>
        <w:t xml:space="preserve">various workers. In particular Kelton [1991] has used the maximum obtained supercooling </w:t>
      </w:r>
      <w:r w:rsidR="004A45A7">
        <w:rPr>
          <w:spacing w:val="-3"/>
        </w:rPr>
        <w:t xml:space="preserve">value </w:t>
      </w:r>
      <w:r>
        <w:rPr>
          <w:spacing w:val="-3"/>
        </w:rPr>
        <w:t xml:space="preserve">to extract values for </w:t>
      </w:r>
      <w:r w:rsidRPr="00397CCD">
        <w:rPr>
          <w:spacing w:val="-3"/>
          <w:position w:val="-12"/>
        </w:rPr>
        <w:object w:dxaOrig="360" w:dyaOrig="360" w14:anchorId="348F3211">
          <v:shape id="_x0000_i1323" type="#_x0000_t75" style="width:17.75pt;height:17.75pt" o:ole="">
            <v:imagedata r:id="rId576" o:title=""/>
          </v:shape>
          <o:OLEObject Type="Embed" ProgID="Equation.DSMT4" ShapeID="_x0000_i1323" DrawAspect="Content" ObjectID="_1840626889" r:id="rId577"/>
        </w:object>
      </w:r>
      <w:r>
        <w:rPr>
          <w:spacing w:val="-3"/>
        </w:rPr>
        <w:t xml:space="preserve">for 30 pure metals using the classical nucleation theory. This is possible because the nucleation temperature depends on </w:t>
      </w:r>
      <w:r w:rsidRPr="00397CCD">
        <w:rPr>
          <w:spacing w:val="-3"/>
          <w:position w:val="-12"/>
        </w:rPr>
        <w:object w:dxaOrig="360" w:dyaOrig="380" w14:anchorId="748087B2">
          <v:shape id="_x0000_i1324" type="#_x0000_t75" style="width:17.75pt;height:18.7pt" o:ole="">
            <v:imagedata r:id="rId578" o:title=""/>
          </v:shape>
          <o:OLEObject Type="Embed" ProgID="Equation.DSMT4" ShapeID="_x0000_i1324" DrawAspect="Content" ObjectID="_1840626890" r:id="rId579"/>
        </w:object>
      </w:r>
      <w:r>
        <w:rPr>
          <w:spacing w:val="-3"/>
        </w:rPr>
        <w:t xml:space="preserve">, and the results are relatively insensitive to the </w:t>
      </w:r>
      <w:r w:rsidR="004E48B1">
        <w:rPr>
          <w:spacing w:val="-3"/>
        </w:rPr>
        <w:t xml:space="preserve">poorly known </w:t>
      </w:r>
      <w:r>
        <w:rPr>
          <w:spacing w:val="-3"/>
        </w:rPr>
        <w:t>prefactor of the exponential in Eqn (4.</w:t>
      </w:r>
      <w:r w:rsidR="004E48B1">
        <w:rPr>
          <w:spacing w:val="-3"/>
        </w:rPr>
        <w:t>10</w:t>
      </w:r>
      <w:r>
        <w:rPr>
          <w:spacing w:val="-3"/>
        </w:rPr>
        <w:t>).</w:t>
      </w:r>
      <w:r w:rsidRPr="00397CCD">
        <w:rPr>
          <w:spacing w:val="-3"/>
        </w:rPr>
        <w:t xml:space="preserve"> </w:t>
      </w:r>
      <w:r>
        <w:rPr>
          <w:spacing w:val="-3"/>
        </w:rPr>
        <w:t xml:space="preserve">The results are well fit by the expression </w:t>
      </w:r>
    </w:p>
    <w:p w14:paraId="5042E026" w14:textId="77777777" w:rsidR="00015B17" w:rsidRDefault="00015B17" w:rsidP="00015B17">
      <w:pPr>
        <w:suppressAutoHyphens/>
        <w:spacing w:line="360" w:lineRule="auto"/>
        <w:jc w:val="both"/>
        <w:rPr>
          <w:spacing w:val="-3"/>
        </w:rPr>
      </w:pPr>
    </w:p>
    <w:p w14:paraId="309E02F3" w14:textId="77777777" w:rsidR="00015B17" w:rsidRDefault="00015B17" w:rsidP="00015B17">
      <w:pPr>
        <w:suppressAutoHyphens/>
        <w:spacing w:line="360" w:lineRule="auto"/>
        <w:jc w:val="center"/>
        <w:rPr>
          <w:spacing w:val="-3"/>
        </w:rPr>
      </w:pPr>
      <w:r w:rsidRPr="00397CCD">
        <w:rPr>
          <w:spacing w:val="-3"/>
          <w:position w:val="-12"/>
        </w:rPr>
        <w:object w:dxaOrig="2240" w:dyaOrig="400" w14:anchorId="01E2C07D">
          <v:shape id="_x0000_i1325" type="#_x0000_t75" style="width:112.2pt;height:19.65pt" o:ole="">
            <v:imagedata r:id="rId580" o:title=""/>
          </v:shape>
          <o:OLEObject Type="Embed" ProgID="Equation.DSMT4" ShapeID="_x0000_i1325" DrawAspect="Content" ObjectID="_1840626891" r:id="rId581"/>
        </w:object>
      </w:r>
      <w:r>
        <w:rPr>
          <w:spacing w:val="-3"/>
        </w:rPr>
        <w:tab/>
      </w:r>
      <w:r>
        <w:rPr>
          <w:spacing w:val="-3"/>
        </w:rPr>
        <w:tab/>
        <w:t>(4.13)</w:t>
      </w:r>
    </w:p>
    <w:p w14:paraId="38E3E265" w14:textId="77777777" w:rsidR="00015B17" w:rsidRDefault="00015B17" w:rsidP="00015B17">
      <w:pPr>
        <w:suppressAutoHyphens/>
        <w:spacing w:line="360" w:lineRule="auto"/>
        <w:jc w:val="center"/>
        <w:rPr>
          <w:spacing w:val="-3"/>
        </w:rPr>
      </w:pPr>
    </w:p>
    <w:p w14:paraId="1971066C" w14:textId="6DB71A5B" w:rsidR="00015B17" w:rsidRDefault="00015B17" w:rsidP="00015B17">
      <w:pPr>
        <w:suppressAutoHyphens/>
        <w:spacing w:line="360" w:lineRule="auto"/>
        <w:rPr>
          <w:spacing w:val="-3"/>
        </w:rPr>
      </w:pPr>
      <w:r w:rsidRPr="003C1C6A">
        <w:rPr>
          <w:spacing w:val="-3"/>
        </w:rPr>
        <w:lastRenderedPageBreak/>
        <w:t xml:space="preserve">where </w:t>
      </w:r>
      <w:r w:rsidRPr="003C1C6A">
        <w:rPr>
          <w:i/>
          <w:iCs/>
          <w:spacing w:val="-3"/>
        </w:rPr>
        <w:t>N</w:t>
      </w:r>
      <w:r w:rsidRPr="00727E8A">
        <w:rPr>
          <w:spacing w:val="-3"/>
          <w:sz w:val="26"/>
          <w:vertAlign w:val="subscript"/>
        </w:rPr>
        <w:t>a</w:t>
      </w:r>
      <w:r w:rsidRPr="003C1C6A">
        <w:rPr>
          <w:spacing w:val="-3"/>
        </w:rPr>
        <w:t xml:space="preserve"> is Avogadro's number, </w:t>
      </w:r>
      <w:r w:rsidRPr="003C1C6A">
        <w:rPr>
          <w:i/>
          <w:iCs/>
          <w:spacing w:val="-3"/>
        </w:rPr>
        <w:t>V</w:t>
      </w:r>
      <w:r w:rsidRPr="00727E8A">
        <w:rPr>
          <w:i/>
          <w:iCs/>
          <w:spacing w:val="-3"/>
          <w:sz w:val="26"/>
          <w:vertAlign w:val="subscript"/>
        </w:rPr>
        <w:t>m</w:t>
      </w:r>
      <w:r w:rsidRPr="003C1C6A">
        <w:rPr>
          <w:spacing w:val="-3"/>
        </w:rPr>
        <w:t xml:space="preserve"> is the molar volume</w:t>
      </w:r>
      <w:r>
        <w:rPr>
          <w:spacing w:val="-3"/>
        </w:rPr>
        <w:t xml:space="preserve"> and with </w:t>
      </w:r>
      <w:r w:rsidR="002E3625">
        <w:rPr>
          <w:spacing w:val="-3"/>
        </w:rPr>
        <w:t>the</w:t>
      </w:r>
      <w:r>
        <w:rPr>
          <w:spacing w:val="-3"/>
        </w:rPr>
        <w:t xml:space="preserve"> constant </w:t>
      </w:r>
      <w:r w:rsidRPr="00C616E7">
        <w:rPr>
          <w:spacing w:val="-3"/>
          <w:position w:val="-6"/>
        </w:rPr>
        <w:object w:dxaOrig="900" w:dyaOrig="279" w14:anchorId="72FF2298">
          <v:shape id="_x0000_i1326" type="#_x0000_t75" style="width:44.9pt;height:14.05pt" o:ole="">
            <v:imagedata r:id="rId582" o:title=""/>
          </v:shape>
          <o:OLEObject Type="Embed" ProgID="Equation.DSMT4" ShapeID="_x0000_i1326" DrawAspect="Content" ObjectID="_1840626892" r:id="rId583"/>
        </w:object>
      </w:r>
      <w:r>
        <w:rPr>
          <w:spacing w:val="-3"/>
        </w:rPr>
        <w:t>. This</w:t>
      </w:r>
      <w:r w:rsidRPr="00397CCD">
        <w:rPr>
          <w:spacing w:val="-3"/>
        </w:rPr>
        <w:t xml:space="preserve"> procedure may provide only a lower bound on the value of the interface energy; unless it is </w:t>
      </w:r>
      <w:r>
        <w:rPr>
          <w:spacing w:val="-3"/>
        </w:rPr>
        <w:t>proven</w:t>
      </w:r>
      <w:r w:rsidRPr="00397CCD">
        <w:rPr>
          <w:spacing w:val="-3"/>
        </w:rPr>
        <w:t xml:space="preserve"> that the nucleation is indeed homogeneous. It may be that heterogeneities still limit the observed maximum supercoolings in most metals. O</w:t>
      </w:r>
      <w:r>
        <w:rPr>
          <w:spacing w:val="-3"/>
        </w:rPr>
        <w:t xml:space="preserve">ther methods of measuring </w:t>
      </w:r>
      <w:r w:rsidR="004E48B1">
        <w:rPr>
          <w:spacing w:val="-3"/>
        </w:rPr>
        <w:t>the</w:t>
      </w:r>
      <w:r w:rsidR="004E48B1" w:rsidRPr="003C1C6A">
        <w:rPr>
          <w:spacing w:val="-3"/>
        </w:rPr>
        <w:t xml:space="preserve"> </w:t>
      </w:r>
      <w:r>
        <w:rPr>
          <w:spacing w:val="-3"/>
        </w:rPr>
        <w:t>interface</w:t>
      </w:r>
      <w:r w:rsidRPr="003C1C6A">
        <w:rPr>
          <w:spacing w:val="-3"/>
        </w:rPr>
        <w:t xml:space="preserve"> energy </w:t>
      </w:r>
      <w:r>
        <w:rPr>
          <w:spacing w:val="-3"/>
        </w:rPr>
        <w:t xml:space="preserve">are noted that </w:t>
      </w:r>
      <w:r w:rsidRPr="003C1C6A">
        <w:rPr>
          <w:spacing w:val="-3"/>
        </w:rPr>
        <w:t>us</w:t>
      </w:r>
      <w:r>
        <w:rPr>
          <w:spacing w:val="-3"/>
        </w:rPr>
        <w:t>e</w:t>
      </w:r>
      <w:r w:rsidRPr="003C1C6A">
        <w:rPr>
          <w:spacing w:val="-3"/>
        </w:rPr>
        <w:t xml:space="preserve"> grain boundary gro</w:t>
      </w:r>
      <w:r>
        <w:rPr>
          <w:spacing w:val="-3"/>
        </w:rPr>
        <w:t>o</w:t>
      </w:r>
      <w:r w:rsidRPr="003C1C6A">
        <w:rPr>
          <w:spacing w:val="-3"/>
        </w:rPr>
        <w:t>ve experiments (</w:t>
      </w:r>
      <w:r w:rsidR="002E3625" w:rsidRPr="003C1C6A">
        <w:rPr>
          <w:spacing w:val="-3"/>
        </w:rPr>
        <w:t>Gunduz</w:t>
      </w:r>
      <w:r w:rsidRPr="003C1C6A">
        <w:rPr>
          <w:spacing w:val="-3"/>
        </w:rPr>
        <w:t xml:space="preserve"> and </w:t>
      </w:r>
      <w:r w:rsidR="002E3625" w:rsidRPr="003C1C6A">
        <w:rPr>
          <w:spacing w:val="-3"/>
        </w:rPr>
        <w:t>Hunt</w:t>
      </w:r>
      <w:r w:rsidRPr="003C1C6A">
        <w:rPr>
          <w:spacing w:val="-3"/>
        </w:rPr>
        <w:t xml:space="preserve"> [1985]</w:t>
      </w:r>
      <w:r>
        <w:rPr>
          <w:spacing w:val="-3"/>
        </w:rPr>
        <w:t>,</w:t>
      </w:r>
      <w:r w:rsidRPr="003C1C6A">
        <w:rPr>
          <w:spacing w:val="-3"/>
        </w:rPr>
        <w:t xml:space="preserve"> </w:t>
      </w:r>
      <w:r w:rsidR="002E3625" w:rsidRPr="003C1C6A">
        <w:rPr>
          <w:spacing w:val="-3"/>
        </w:rPr>
        <w:t>Hardy</w:t>
      </w:r>
      <w:r w:rsidRPr="003C1C6A">
        <w:rPr>
          <w:spacing w:val="-3"/>
        </w:rPr>
        <w:t xml:space="preserve"> </w:t>
      </w:r>
      <w:r w:rsidRPr="003C1C6A">
        <w:rPr>
          <w:i/>
          <w:iCs/>
          <w:spacing w:val="-3"/>
        </w:rPr>
        <w:t>et al</w:t>
      </w:r>
      <w:r w:rsidRPr="003C1C6A">
        <w:rPr>
          <w:spacing w:val="-3"/>
        </w:rPr>
        <w:t>. [1991]</w:t>
      </w:r>
      <w:r>
        <w:rPr>
          <w:spacing w:val="-3"/>
        </w:rPr>
        <w:t xml:space="preserve"> and Marasli and Hunt [1996]</w:t>
      </w:r>
      <w:r w:rsidRPr="003C1C6A">
        <w:rPr>
          <w:spacing w:val="-3"/>
        </w:rPr>
        <w:t>)</w:t>
      </w:r>
      <w:r>
        <w:rPr>
          <w:spacing w:val="-3"/>
        </w:rPr>
        <w:t xml:space="preserve">. </w:t>
      </w:r>
    </w:p>
    <w:p w14:paraId="20102CE3" w14:textId="77777777" w:rsidR="00015B17" w:rsidRDefault="00015B17" w:rsidP="00015B17">
      <w:pPr>
        <w:suppressAutoHyphens/>
        <w:spacing w:line="360" w:lineRule="auto"/>
        <w:rPr>
          <w:spacing w:val="-3"/>
        </w:rPr>
      </w:pPr>
    </w:p>
    <w:p w14:paraId="2796B72A" w14:textId="247B14AA" w:rsidR="00015B17" w:rsidRPr="00397CCD" w:rsidRDefault="00015B17" w:rsidP="00015B17">
      <w:pPr>
        <w:suppressAutoHyphens/>
        <w:spacing w:line="360" w:lineRule="auto"/>
        <w:rPr>
          <w:color w:val="FF0000"/>
          <w:spacing w:val="-3"/>
        </w:rPr>
      </w:pPr>
      <w:r>
        <w:rPr>
          <w:spacing w:val="-3"/>
        </w:rPr>
        <w:tab/>
        <w:t>Closely aligned with the correlation above is the</w:t>
      </w:r>
      <w:r w:rsidRPr="003C1C6A">
        <w:rPr>
          <w:spacing w:val="-3"/>
        </w:rPr>
        <w:t xml:space="preserve"> theoretical model</w:t>
      </w:r>
      <w:r>
        <w:rPr>
          <w:spacing w:val="-3"/>
        </w:rPr>
        <w:t xml:space="preserve"> of </w:t>
      </w:r>
      <w:r w:rsidR="002E3625" w:rsidRPr="003C1C6A">
        <w:rPr>
          <w:spacing w:val="-3"/>
        </w:rPr>
        <w:t xml:space="preserve">Spaepen </w:t>
      </w:r>
      <w:r w:rsidRPr="003C1C6A">
        <w:rPr>
          <w:spacing w:val="-3"/>
        </w:rPr>
        <w:t>[1975] and</w:t>
      </w:r>
      <w:r w:rsidR="002E3625" w:rsidRPr="003C1C6A">
        <w:rPr>
          <w:spacing w:val="-3"/>
        </w:rPr>
        <w:t xml:space="preserve"> Spaepen </w:t>
      </w:r>
      <w:r w:rsidR="002E3625">
        <w:rPr>
          <w:spacing w:val="-3"/>
        </w:rPr>
        <w:t>a</w:t>
      </w:r>
      <w:r w:rsidR="002E3625" w:rsidRPr="003C1C6A">
        <w:rPr>
          <w:spacing w:val="-3"/>
        </w:rPr>
        <w:t>nd Meyer</w:t>
      </w:r>
      <w:r w:rsidRPr="003C1C6A">
        <w:rPr>
          <w:spacing w:val="-3"/>
        </w:rPr>
        <w:t xml:space="preserve"> [1976] </w:t>
      </w:r>
      <w:r>
        <w:rPr>
          <w:spacing w:val="-3"/>
        </w:rPr>
        <w:t xml:space="preserve">that </w:t>
      </w:r>
      <w:r w:rsidRPr="003C1C6A">
        <w:rPr>
          <w:spacing w:val="-3"/>
        </w:rPr>
        <w:t>estimate the surface energy based on the configurational entropy of a structural transition that enforce</w:t>
      </w:r>
      <w:r w:rsidR="004A45A7">
        <w:rPr>
          <w:spacing w:val="-3"/>
        </w:rPr>
        <w:t>s</w:t>
      </w:r>
      <w:r w:rsidRPr="003C1C6A">
        <w:rPr>
          <w:spacing w:val="-3"/>
        </w:rPr>
        <w:t xml:space="preserve"> polyhedral atomic packing in the int</w:t>
      </w:r>
      <w:r>
        <w:rPr>
          <w:spacing w:val="-3"/>
        </w:rPr>
        <w:t xml:space="preserve">erfacial region. Their </w:t>
      </w:r>
      <w:r w:rsidRPr="003C1C6A">
        <w:rPr>
          <w:spacing w:val="-3"/>
        </w:rPr>
        <w:t>result is equivalent to the expression</w:t>
      </w:r>
    </w:p>
    <w:p w14:paraId="5BFD90A9" w14:textId="77777777" w:rsidR="00015B17" w:rsidRPr="003C1C6A" w:rsidRDefault="00015B17" w:rsidP="00015B17">
      <w:pPr>
        <w:suppressAutoHyphens/>
        <w:spacing w:line="360" w:lineRule="auto"/>
        <w:jc w:val="both"/>
        <w:rPr>
          <w:spacing w:val="-3"/>
        </w:rPr>
      </w:pPr>
    </w:p>
    <w:p w14:paraId="29A38B66" w14:textId="77777777" w:rsidR="00015B17" w:rsidRDefault="00015B17" w:rsidP="00015B17">
      <w:pPr>
        <w:suppressAutoHyphens/>
        <w:spacing w:line="360" w:lineRule="auto"/>
        <w:jc w:val="center"/>
        <w:rPr>
          <w:spacing w:val="-3"/>
        </w:rPr>
      </w:pPr>
      <w:r w:rsidRPr="00397CCD">
        <w:rPr>
          <w:spacing w:val="-3"/>
          <w:position w:val="-12"/>
        </w:rPr>
        <w:object w:dxaOrig="2880" w:dyaOrig="400" w14:anchorId="40DF2159">
          <v:shape id="_x0000_i1327" type="#_x0000_t75" style="width:2in;height:19.65pt" o:ole="">
            <v:imagedata r:id="rId584" o:title=""/>
          </v:shape>
          <o:OLEObject Type="Embed" ProgID="Equation.DSMT4" ShapeID="_x0000_i1327" DrawAspect="Content" ObjectID="_1840626893" r:id="rId585"/>
        </w:object>
      </w:r>
      <w:r>
        <w:rPr>
          <w:spacing w:val="-3"/>
        </w:rPr>
        <w:tab/>
      </w:r>
      <w:r>
        <w:rPr>
          <w:spacing w:val="-3"/>
        </w:rPr>
        <w:tab/>
        <w:t>(4.14)</w:t>
      </w:r>
    </w:p>
    <w:p w14:paraId="02278008" w14:textId="77777777" w:rsidR="00015B17" w:rsidRPr="003C1C6A" w:rsidRDefault="00015B17" w:rsidP="00015B17">
      <w:pPr>
        <w:suppressAutoHyphens/>
        <w:spacing w:line="360" w:lineRule="auto"/>
        <w:jc w:val="both"/>
        <w:rPr>
          <w:spacing w:val="-3"/>
        </w:rPr>
      </w:pPr>
    </w:p>
    <w:p w14:paraId="40675A52" w14:textId="64004831" w:rsidR="00015B17" w:rsidRDefault="00E763BA" w:rsidP="00015B17">
      <w:pPr>
        <w:suppressAutoHyphens/>
        <w:spacing w:line="360" w:lineRule="auto"/>
        <w:rPr>
          <w:spacing w:val="-3"/>
        </w:rPr>
      </w:pPr>
      <w:r>
        <w:rPr>
          <w:spacing w:val="-3"/>
        </w:rPr>
        <w:t>w</w:t>
      </w:r>
      <w:r w:rsidR="00015B17" w:rsidRPr="003C1C6A">
        <w:rPr>
          <w:spacing w:val="-3"/>
        </w:rPr>
        <w:t xml:space="preserve">here </w:t>
      </w:r>
      <w:r w:rsidR="00015B17" w:rsidRPr="005160CA">
        <w:rPr>
          <w:spacing w:val="-3"/>
          <w:position w:val="-6"/>
        </w:rPr>
        <w:object w:dxaOrig="240" w:dyaOrig="220" w14:anchorId="4B0F351D">
          <v:shape id="_x0000_i1328" type="#_x0000_t75" style="width:12.15pt;height:10.3pt" o:ole="">
            <v:imagedata r:id="rId586" o:title=""/>
          </v:shape>
          <o:OLEObject Type="Embed" ProgID="Equation.DSMT4" ShapeID="_x0000_i1328" DrawAspect="Content" ObjectID="_1840626894" r:id="rId587"/>
        </w:object>
      </w:r>
      <w:r w:rsidR="00015B17" w:rsidRPr="003C1C6A">
        <w:rPr>
          <w:spacing w:val="-3"/>
        </w:rPr>
        <w:t xml:space="preserve">is a numerical factor related to the atomic packing (0.866 for </w:t>
      </w:r>
      <w:r w:rsidR="002A1C2F">
        <w:rPr>
          <w:spacing w:val="-3"/>
        </w:rPr>
        <w:t>face centered cubic (fcc)</w:t>
      </w:r>
      <w:r w:rsidR="002A1C2F" w:rsidRPr="003C1C6A">
        <w:rPr>
          <w:spacing w:val="-3"/>
        </w:rPr>
        <w:t xml:space="preserve"> </w:t>
      </w:r>
      <w:r w:rsidR="00015B17" w:rsidRPr="003C1C6A">
        <w:rPr>
          <w:spacing w:val="-3"/>
        </w:rPr>
        <w:t xml:space="preserve">and </w:t>
      </w:r>
      <w:r w:rsidR="002A1C2F">
        <w:rPr>
          <w:spacing w:val="-3"/>
        </w:rPr>
        <w:t>hexagonal close packed (hcp)</w:t>
      </w:r>
      <w:r w:rsidR="00015B17" w:rsidRPr="003C1C6A">
        <w:rPr>
          <w:spacing w:val="-3"/>
        </w:rPr>
        <w:t xml:space="preserve"> and 0.71 for </w:t>
      </w:r>
      <w:r w:rsidR="002A1C2F">
        <w:rPr>
          <w:spacing w:val="-3"/>
        </w:rPr>
        <w:t>body centered cubic (bcc)</w:t>
      </w:r>
      <w:r w:rsidR="00015B17" w:rsidRPr="003C1C6A">
        <w:rPr>
          <w:spacing w:val="-3"/>
        </w:rPr>
        <w:t xml:space="preserve"> metals). </w:t>
      </w:r>
    </w:p>
    <w:p w14:paraId="5800C419" w14:textId="77777777" w:rsidR="00015B17" w:rsidRDefault="00015B17" w:rsidP="00015B17">
      <w:pPr>
        <w:suppressAutoHyphens/>
        <w:spacing w:line="360" w:lineRule="auto"/>
        <w:rPr>
          <w:spacing w:val="-3"/>
        </w:rPr>
      </w:pPr>
    </w:p>
    <w:p w14:paraId="306FC86D" w14:textId="77777777" w:rsidR="00015B17" w:rsidRPr="000B329B" w:rsidRDefault="00015B17" w:rsidP="00015B17">
      <w:pPr>
        <w:suppressAutoHyphens/>
        <w:spacing w:line="360" w:lineRule="auto"/>
        <w:rPr>
          <w:b/>
          <w:spacing w:val="-3"/>
        </w:rPr>
      </w:pPr>
      <w:r>
        <w:rPr>
          <w:b/>
          <w:spacing w:val="-3"/>
        </w:rPr>
        <w:t xml:space="preserve">4.4 </w:t>
      </w:r>
      <w:r w:rsidRPr="000B329B">
        <w:rPr>
          <w:b/>
          <w:spacing w:val="-3"/>
        </w:rPr>
        <w:t>Atomistic calculation of interface energy</w:t>
      </w:r>
    </w:p>
    <w:p w14:paraId="4B68D32A" w14:textId="77777777" w:rsidR="00015B17" w:rsidRDefault="00015B17" w:rsidP="00015B17">
      <w:pPr>
        <w:suppressAutoHyphens/>
        <w:spacing w:line="360" w:lineRule="auto"/>
        <w:rPr>
          <w:spacing w:val="-3"/>
        </w:rPr>
      </w:pPr>
    </w:p>
    <w:p w14:paraId="0F79DCBC" w14:textId="1CADCD76" w:rsidR="00015B17" w:rsidRDefault="00015B17" w:rsidP="00015B17">
      <w:pPr>
        <w:suppressAutoHyphens/>
        <w:spacing w:line="360" w:lineRule="auto"/>
        <w:rPr>
          <w:spacing w:val="-3"/>
        </w:rPr>
      </w:pPr>
      <w:r>
        <w:rPr>
          <w:spacing w:val="-3"/>
        </w:rPr>
        <w:tab/>
        <w:t xml:space="preserve">Because experimental measurements of </w:t>
      </w:r>
      <w:r w:rsidRPr="00CD3F6D">
        <w:rPr>
          <w:spacing w:val="-3"/>
          <w:position w:val="-12"/>
        </w:rPr>
        <w:object w:dxaOrig="360" w:dyaOrig="360" w14:anchorId="217574F3">
          <v:shape id="_x0000_i1329" type="#_x0000_t75" style="width:17.75pt;height:17.75pt" o:ole="">
            <v:imagedata r:id="rId588" o:title=""/>
          </v:shape>
          <o:OLEObject Type="Embed" ProgID="Equation.DSMT4" ShapeID="_x0000_i1329" DrawAspect="Content" ObjectID="_1840626895" r:id="rId589"/>
        </w:object>
      </w:r>
      <w:r>
        <w:rPr>
          <w:spacing w:val="-3"/>
        </w:rPr>
        <w:t xml:space="preserve"> are difficult and because of its importance not only to nucleation prediction but also to the Gibbs-Thomson effect, molecular dynamics (MD) simulations are being used to obtain information about </w:t>
      </w:r>
      <w:r w:rsidRPr="00CD3F6D">
        <w:rPr>
          <w:spacing w:val="-3"/>
          <w:position w:val="-12"/>
        </w:rPr>
        <w:object w:dxaOrig="360" w:dyaOrig="360" w14:anchorId="321458D5">
          <v:shape id="_x0000_i1330" type="#_x0000_t75" style="width:17.75pt;height:17.75pt" o:ole="">
            <v:imagedata r:id="rId588" o:title=""/>
          </v:shape>
          <o:OLEObject Type="Embed" ProgID="Equation.DSMT4" ShapeID="_x0000_i1330" DrawAspect="Content" ObjectID="_1840626896" r:id="rId590"/>
        </w:object>
      </w:r>
      <w:r>
        <w:rPr>
          <w:spacing w:val="-3"/>
        </w:rPr>
        <w:t xml:space="preserve"> and its anisotropy. The increasing use of MD is largely due to the availability of more realistic </w:t>
      </w:r>
      <w:r w:rsidR="004E48B1">
        <w:rPr>
          <w:spacing w:val="-3"/>
        </w:rPr>
        <w:t>e</w:t>
      </w:r>
      <w:r>
        <w:rPr>
          <w:spacing w:val="-3"/>
        </w:rPr>
        <w:t>mbedded atom potentials</w:t>
      </w:r>
      <w:r w:rsidR="002E3625">
        <w:rPr>
          <w:spacing w:val="-3"/>
        </w:rPr>
        <w:t xml:space="preserve"> </w:t>
      </w:r>
      <w:r>
        <w:rPr>
          <w:spacing w:val="-3"/>
        </w:rPr>
        <w:t xml:space="preserve">to treat metals (Daws &amp; Baskes [1984]). Fig. 4.4, from Hoyt et al. [2006] shows a summary of results for several metals using different potentials. The scaling of the interface energy with the heat of fusion is again demonstrated with values of </w:t>
      </w:r>
      <w:r w:rsidRPr="008A1CC0">
        <w:rPr>
          <w:spacing w:val="-3"/>
          <w:position w:val="-6"/>
        </w:rPr>
        <w:object w:dxaOrig="240" w:dyaOrig="220" w14:anchorId="51A0B2F4">
          <v:shape id="_x0000_i1331" type="#_x0000_t75" style="width:12.15pt;height:10.3pt" o:ole="">
            <v:imagedata r:id="rId591" o:title=""/>
          </v:shape>
          <o:OLEObject Type="Embed" ProgID="Equation.DSMT4" ShapeID="_x0000_i1331" DrawAspect="Content" ObjectID="_1840626897" r:id="rId592"/>
        </w:object>
      </w:r>
      <w:r>
        <w:rPr>
          <w:spacing w:val="-3"/>
        </w:rPr>
        <w:t>of 0.55 and 0.</w:t>
      </w:r>
      <w:r w:rsidR="00E763BA">
        <w:rPr>
          <w:spacing w:val="-3"/>
        </w:rPr>
        <w:t>3</w:t>
      </w:r>
      <w:r>
        <w:rPr>
          <w:spacing w:val="-3"/>
        </w:rPr>
        <w:t xml:space="preserve"> in Eqn. 4.13 for FCC and BCC metals respectively.</w:t>
      </w:r>
    </w:p>
    <w:p w14:paraId="5115D00B" w14:textId="77777777" w:rsidR="00015B17" w:rsidRDefault="00015B17" w:rsidP="00015B17">
      <w:pPr>
        <w:suppressAutoHyphens/>
        <w:spacing w:line="360" w:lineRule="auto"/>
        <w:rPr>
          <w:spacing w:val="-3"/>
        </w:rPr>
      </w:pPr>
    </w:p>
    <w:p w14:paraId="4CDB153B" w14:textId="52AFF1AC" w:rsidR="00015B17" w:rsidRPr="007B5082" w:rsidRDefault="00015B17" w:rsidP="00015B17">
      <w:pPr>
        <w:suppressAutoHyphens/>
        <w:spacing w:line="360" w:lineRule="auto"/>
        <w:rPr>
          <w:spacing w:val="-3"/>
        </w:rPr>
      </w:pPr>
      <w:r>
        <w:rPr>
          <w:spacing w:val="-3"/>
        </w:rPr>
        <w:tab/>
        <w:t xml:space="preserve">The anisotropy of the interface energy can also be determined with MD using either </w:t>
      </w:r>
      <w:r w:rsidR="004A45A7">
        <w:rPr>
          <w:spacing w:val="-3"/>
        </w:rPr>
        <w:t xml:space="preserve">the </w:t>
      </w:r>
      <w:r>
        <w:rPr>
          <w:spacing w:val="-3"/>
        </w:rPr>
        <w:t xml:space="preserve">cleavage method or the capillary fluctuation method. The latter monitors small </w:t>
      </w:r>
      <w:r>
        <w:rPr>
          <w:spacing w:val="-3"/>
        </w:rPr>
        <w:lastRenderedPageBreak/>
        <w:t xml:space="preserve">equilibrium undulations in the interface shape from which the interface stiffness used in the anisotropic form of the Gibbs-Thomson coefficient (§3.1) can be directly obtained (Hoyt et al. [2003]). </w:t>
      </w:r>
    </w:p>
    <w:p w14:paraId="0BCA4D1B" w14:textId="77777777" w:rsidR="00015B17" w:rsidRDefault="00015B17" w:rsidP="00015B17">
      <w:pPr>
        <w:suppressAutoHyphens/>
        <w:spacing w:line="360" w:lineRule="auto"/>
        <w:rPr>
          <w:spacing w:val="-3"/>
        </w:rPr>
      </w:pPr>
    </w:p>
    <w:p w14:paraId="6AFCC206" w14:textId="77777777" w:rsidR="00015B17" w:rsidRDefault="00015B17" w:rsidP="00015B17">
      <w:pPr>
        <w:suppressAutoHyphens/>
        <w:spacing w:line="360" w:lineRule="auto"/>
        <w:jc w:val="both"/>
        <w:rPr>
          <w:spacing w:val="-3"/>
        </w:rPr>
      </w:pPr>
    </w:p>
    <w:p w14:paraId="7DAC4960" w14:textId="55C52915" w:rsidR="00015B17" w:rsidRPr="003C1C6A" w:rsidRDefault="00015B17" w:rsidP="00015B17">
      <w:pPr>
        <w:suppressAutoHyphens/>
        <w:spacing w:line="360" w:lineRule="auto"/>
        <w:jc w:val="both"/>
        <w:rPr>
          <w:spacing w:val="-3"/>
        </w:rPr>
      </w:pPr>
      <w:r w:rsidRPr="003C1C6A">
        <w:rPr>
          <w:b/>
          <w:bCs/>
          <w:spacing w:val="-3"/>
        </w:rPr>
        <w:t>4.</w:t>
      </w:r>
      <w:r>
        <w:rPr>
          <w:b/>
          <w:bCs/>
          <w:spacing w:val="-3"/>
        </w:rPr>
        <w:t>5</w:t>
      </w:r>
      <w:r w:rsidRPr="003C1C6A">
        <w:rPr>
          <w:b/>
          <w:bCs/>
          <w:spacing w:val="-3"/>
        </w:rPr>
        <w:t xml:space="preserve"> Alloy </w:t>
      </w:r>
      <w:r>
        <w:rPr>
          <w:b/>
          <w:bCs/>
          <w:spacing w:val="-3"/>
        </w:rPr>
        <w:t>n</w:t>
      </w:r>
      <w:r w:rsidRPr="003C1C6A">
        <w:rPr>
          <w:b/>
          <w:bCs/>
          <w:spacing w:val="-3"/>
        </w:rPr>
        <w:t>ucleation</w:t>
      </w:r>
    </w:p>
    <w:p w14:paraId="5587E8FA" w14:textId="77777777" w:rsidR="00015B17" w:rsidRPr="003C1C6A" w:rsidRDefault="00015B17" w:rsidP="00015B17">
      <w:pPr>
        <w:suppressAutoHyphens/>
        <w:spacing w:line="360" w:lineRule="auto"/>
        <w:jc w:val="both"/>
        <w:rPr>
          <w:spacing w:val="-3"/>
        </w:rPr>
      </w:pPr>
    </w:p>
    <w:p w14:paraId="5A019776" w14:textId="6266B725" w:rsidR="00015B17" w:rsidRDefault="00015B17" w:rsidP="00015B17">
      <w:pPr>
        <w:suppressAutoHyphens/>
        <w:spacing w:line="360" w:lineRule="auto"/>
        <w:rPr>
          <w:spacing w:val="-3"/>
        </w:rPr>
      </w:pPr>
      <w:r w:rsidRPr="003C1C6A">
        <w:rPr>
          <w:spacing w:val="-3"/>
        </w:rPr>
        <w:tab/>
        <w:t xml:space="preserve">For </w:t>
      </w:r>
      <w:r>
        <w:rPr>
          <w:spacing w:val="-3"/>
        </w:rPr>
        <w:t>a pure material</w:t>
      </w:r>
      <w:r w:rsidRPr="003C1C6A">
        <w:rPr>
          <w:spacing w:val="-3"/>
        </w:rPr>
        <w:t xml:space="preserve">, </w:t>
      </w:r>
      <w:r w:rsidRPr="003C1C6A">
        <w:rPr>
          <w:i/>
          <w:iCs/>
          <w:spacing w:val="-3"/>
        </w:rPr>
        <w:t>ΔG</w:t>
      </w:r>
      <w:r w:rsidRPr="00727E8A">
        <w:rPr>
          <w:spacing w:val="-3"/>
          <w:sz w:val="26"/>
          <w:vertAlign w:val="subscript"/>
        </w:rPr>
        <w:t>v</w:t>
      </w:r>
      <w:r w:rsidRPr="003C1C6A">
        <w:rPr>
          <w:spacing w:val="-3"/>
        </w:rPr>
        <w:t xml:space="preserve"> </w:t>
      </w:r>
      <w:r>
        <w:rPr>
          <w:spacing w:val="-3"/>
        </w:rPr>
        <w:t>depends only on temperature. However for</w:t>
      </w:r>
      <w:r w:rsidRPr="003C1C6A">
        <w:rPr>
          <w:spacing w:val="-3"/>
        </w:rPr>
        <w:t xml:space="preserve"> a binary alloy </w:t>
      </w:r>
      <w:r w:rsidRPr="003C1C6A">
        <w:rPr>
          <w:i/>
          <w:iCs/>
          <w:spacing w:val="-3"/>
        </w:rPr>
        <w:t>ΔG</w:t>
      </w:r>
      <w:r w:rsidRPr="00727E8A">
        <w:rPr>
          <w:spacing w:val="-3"/>
          <w:sz w:val="26"/>
          <w:vertAlign w:val="subscript"/>
        </w:rPr>
        <w:t>v</w:t>
      </w:r>
      <w:r w:rsidRPr="003C1C6A">
        <w:rPr>
          <w:spacing w:val="-3"/>
        </w:rPr>
        <w:t xml:space="preserve"> depends on the temperature </w:t>
      </w:r>
      <w:r>
        <w:rPr>
          <w:spacing w:val="-3"/>
        </w:rPr>
        <w:t>and</w:t>
      </w:r>
      <w:r w:rsidRPr="003C1C6A">
        <w:rPr>
          <w:spacing w:val="-3"/>
        </w:rPr>
        <w:t xml:space="preserve"> also on the composition of the liquid and of the solid nuclei. Thus for a given liquid composition, critical values of nucleus composition as well as size are required to determine </w:t>
      </w:r>
      <w:r w:rsidRPr="003C1C6A">
        <w:rPr>
          <w:i/>
          <w:iCs/>
          <w:spacing w:val="-3"/>
        </w:rPr>
        <w:t>ΔG</w:t>
      </w:r>
      <w:r w:rsidRPr="00883A53">
        <w:rPr>
          <w:spacing w:val="-3"/>
          <w:sz w:val="26"/>
          <w:vertAlign w:val="superscript"/>
        </w:rPr>
        <w:t>*</w:t>
      </w:r>
      <w:r w:rsidRPr="003C1C6A">
        <w:rPr>
          <w:spacing w:val="-3"/>
        </w:rPr>
        <w:t xml:space="preserve">. If the surface energy and </w:t>
      </w:r>
      <w:r w:rsidRPr="003C1C6A">
        <w:rPr>
          <w:i/>
          <w:iCs/>
          <w:spacing w:val="-3"/>
        </w:rPr>
        <w:t>f(θ)</w:t>
      </w:r>
      <w:r w:rsidRPr="003C1C6A">
        <w:rPr>
          <w:spacing w:val="-3"/>
        </w:rPr>
        <w:t xml:space="preserve"> are </w:t>
      </w:r>
      <w:r>
        <w:rPr>
          <w:spacing w:val="-3"/>
        </w:rPr>
        <w:t xml:space="preserve">independent of </w:t>
      </w:r>
      <w:r w:rsidR="002A1C2F">
        <w:rPr>
          <w:spacing w:val="-3"/>
        </w:rPr>
        <w:t>temperature,</w:t>
      </w:r>
      <w:r w:rsidRPr="003C1C6A">
        <w:rPr>
          <w:spacing w:val="-3"/>
        </w:rPr>
        <w:t xml:space="preserve"> the smallest value of</w:t>
      </w:r>
      <w:r w:rsidRPr="003C1C6A">
        <w:rPr>
          <w:i/>
          <w:iCs/>
          <w:spacing w:val="-3"/>
        </w:rPr>
        <w:t xml:space="preserve"> r</w:t>
      </w:r>
      <w:r w:rsidRPr="00883A53">
        <w:rPr>
          <w:spacing w:val="-3"/>
          <w:sz w:val="26"/>
          <w:vertAlign w:val="superscript"/>
        </w:rPr>
        <w:t>*</w:t>
      </w:r>
      <w:r w:rsidRPr="003C1C6A">
        <w:rPr>
          <w:spacing w:val="-3"/>
        </w:rPr>
        <w:t xml:space="preserve"> (hence easiest nucleation) is obtained if the composition of the critical cluster maximizes </w:t>
      </w:r>
      <w:r w:rsidRPr="003C1C6A">
        <w:rPr>
          <w:i/>
          <w:iCs/>
          <w:spacing w:val="-3"/>
        </w:rPr>
        <w:t>ΔG</w:t>
      </w:r>
      <w:r w:rsidRPr="00E52F18">
        <w:rPr>
          <w:spacing w:val="-3"/>
        </w:rPr>
        <w:t xml:space="preserve"> given in </w:t>
      </w:r>
      <w:r>
        <w:rPr>
          <w:spacing w:val="-3"/>
        </w:rPr>
        <w:t>E</w:t>
      </w:r>
      <w:r w:rsidRPr="00E52F18">
        <w:rPr>
          <w:spacing w:val="-3"/>
        </w:rPr>
        <w:t>qn</w:t>
      </w:r>
      <w:r>
        <w:rPr>
          <w:spacing w:val="-3"/>
        </w:rPr>
        <w:t>.</w:t>
      </w:r>
      <w:r w:rsidRPr="00E52F18">
        <w:rPr>
          <w:spacing w:val="-3"/>
        </w:rPr>
        <w:t xml:space="preserve"> </w:t>
      </w:r>
      <w:r>
        <w:rPr>
          <w:spacing w:val="-3"/>
        </w:rPr>
        <w:t xml:space="preserve">(3.7) with </w:t>
      </w:r>
      <w:r w:rsidRPr="00856B87">
        <w:rPr>
          <w:position w:val="-12"/>
        </w:rPr>
        <w:object w:dxaOrig="840" w:dyaOrig="380" w14:anchorId="1CFE10BC">
          <v:shape id="_x0000_i1332" type="#_x0000_t75" style="width:42.1pt;height:18.7pt" o:ole="">
            <v:imagedata r:id="rId593" o:title=""/>
          </v:shape>
          <o:OLEObject Type="Embed" ProgID="Equation.DSMT4" ShapeID="_x0000_i1332" DrawAspect="Content" ObjectID="_1840626898" r:id="rId594"/>
        </w:object>
      </w:r>
      <w:r w:rsidRPr="003C1C6A">
        <w:rPr>
          <w:spacing w:val="-3"/>
        </w:rPr>
        <w:t xml:space="preserve">. It is apparent from </w:t>
      </w:r>
      <w:r>
        <w:rPr>
          <w:spacing w:val="-3"/>
        </w:rPr>
        <w:t xml:space="preserve">Eqn. (3.7) </w:t>
      </w:r>
      <w:r w:rsidRPr="003C1C6A">
        <w:rPr>
          <w:spacing w:val="-3"/>
        </w:rPr>
        <w:t xml:space="preserve">that </w:t>
      </w:r>
      <w:r w:rsidRPr="00856B87">
        <w:rPr>
          <w:spacing w:val="-3"/>
          <w:position w:val="-6"/>
        </w:rPr>
        <w:object w:dxaOrig="400" w:dyaOrig="279" w14:anchorId="59D4CAD2">
          <v:shape id="_x0000_i1333" type="#_x0000_t75" style="width:19.65pt;height:14.05pt" o:ole="">
            <v:imagedata r:id="rId595" o:title=""/>
          </v:shape>
          <o:OLEObject Type="Embed" ProgID="Equation.DSMT4" ShapeID="_x0000_i1333" DrawAspect="Content" ObjectID="_1840626899" r:id="rId596"/>
        </w:object>
      </w:r>
      <w:r>
        <w:rPr>
          <w:spacing w:val="-3"/>
        </w:rPr>
        <w:t xml:space="preserve">(and hence </w:t>
      </w:r>
      <w:r w:rsidRPr="003C1C6A">
        <w:rPr>
          <w:i/>
          <w:iCs/>
          <w:spacing w:val="-3"/>
        </w:rPr>
        <w:t>ΔG</w:t>
      </w:r>
      <w:r w:rsidRPr="00727E8A">
        <w:rPr>
          <w:spacing w:val="-3"/>
          <w:sz w:val="26"/>
          <w:vertAlign w:val="subscript"/>
        </w:rPr>
        <w:t>v</w:t>
      </w:r>
      <w:r>
        <w:rPr>
          <w:spacing w:val="-3"/>
        </w:rPr>
        <w:t>)</w:t>
      </w:r>
      <w:r w:rsidRPr="003C1C6A">
        <w:rPr>
          <w:spacing w:val="-3"/>
        </w:rPr>
        <w:t xml:space="preserve"> would be maximized for a composition of the solid </w:t>
      </w:r>
      <w:r w:rsidR="002E3625">
        <w:rPr>
          <w:spacing w:val="-3"/>
        </w:rPr>
        <w:t>with</w:t>
      </w:r>
      <w:r w:rsidRPr="00B758EC">
        <w:rPr>
          <w:spacing w:val="-3"/>
          <w:position w:val="-12"/>
        </w:rPr>
        <w:object w:dxaOrig="2160" w:dyaOrig="380" w14:anchorId="5375C1EA">
          <v:shape id="_x0000_i1334" type="#_x0000_t75" style="width:108.45pt;height:18.7pt" o:ole="">
            <v:imagedata r:id="rId597" o:title=""/>
          </v:shape>
          <o:OLEObject Type="Embed" ProgID="Equation.DSMT4" ShapeID="_x0000_i1334" DrawAspect="Content" ObjectID="_1840626900" r:id="rId598"/>
        </w:object>
      </w:r>
      <w:r w:rsidRPr="003C1C6A">
        <w:rPr>
          <w:spacing w:val="-3"/>
        </w:rPr>
        <w:t>; i.e., by a parallel tangent construction as shown in Fig.</w:t>
      </w:r>
      <w:r>
        <w:rPr>
          <w:spacing w:val="-3"/>
        </w:rPr>
        <w:t xml:space="preserve"> 4.5</w:t>
      </w:r>
      <w:r w:rsidRPr="003C1C6A">
        <w:rPr>
          <w:spacing w:val="-3"/>
        </w:rPr>
        <w:t>.  This maximum driving force condition has been proposed (HILLERT [1953], THOMPSON and SPAEPEN [1983]) to find the favored nucleus composition for a given temperature and liquid composition. In order to use this condition, one must have a thermodynamic model for the alloy of interest; i.e., the free energy functions for the liquid and solid phases must be known. For simple analysis, regular solution models are often employed for the liquid and solid phases. More precise models that fit the measured phase diagram and other thermodynamic data are often available in the literature</w:t>
      </w:r>
      <w:r>
        <w:rPr>
          <w:spacing w:val="-3"/>
        </w:rPr>
        <w:t xml:space="preserve"> using the Calphad </w:t>
      </w:r>
      <w:r w:rsidR="002E3625">
        <w:rPr>
          <w:spacing w:val="-3"/>
        </w:rPr>
        <w:t>method</w:t>
      </w:r>
      <w:r w:rsidRPr="003C1C6A">
        <w:rPr>
          <w:spacing w:val="-3"/>
        </w:rPr>
        <w:t xml:space="preserve">. By including a simple model of the composition dependence of the surface energy, ISHIHARA </w:t>
      </w:r>
      <w:r w:rsidRPr="003C1C6A">
        <w:rPr>
          <w:i/>
          <w:iCs/>
          <w:spacing w:val="-3"/>
        </w:rPr>
        <w:t>et al.</w:t>
      </w:r>
      <w:r w:rsidRPr="003C1C6A">
        <w:rPr>
          <w:spacing w:val="-3"/>
        </w:rPr>
        <w:t xml:space="preserve"> [198</w:t>
      </w:r>
      <w:r>
        <w:rPr>
          <w:spacing w:val="-3"/>
        </w:rPr>
        <w:t>5]</w:t>
      </w:r>
      <w:r w:rsidRPr="003C1C6A">
        <w:rPr>
          <w:spacing w:val="-3"/>
        </w:rPr>
        <w:t xml:space="preserve"> have shown that the critical nucleus composition can approach the bulk liquid composition at large supercoolings.</w:t>
      </w:r>
    </w:p>
    <w:p w14:paraId="0A1C5F24" w14:textId="77777777" w:rsidR="00015B17" w:rsidRPr="003C1C6A" w:rsidRDefault="00015B17" w:rsidP="00015B17">
      <w:pPr>
        <w:suppressAutoHyphens/>
        <w:spacing w:line="360" w:lineRule="auto"/>
        <w:rPr>
          <w:spacing w:val="-3"/>
        </w:rPr>
      </w:pPr>
    </w:p>
    <w:p w14:paraId="7D7A9050" w14:textId="77777777" w:rsidR="00015B17" w:rsidRDefault="00015B17" w:rsidP="00015B17">
      <w:pPr>
        <w:suppressAutoHyphens/>
        <w:spacing w:line="360" w:lineRule="auto"/>
        <w:rPr>
          <w:spacing w:val="-3"/>
        </w:rPr>
      </w:pPr>
      <w:r w:rsidRPr="003C1C6A">
        <w:rPr>
          <w:spacing w:val="-3"/>
        </w:rPr>
        <w:tab/>
        <w:t>Experience with alloy supercooling indicates that the composition dependence of the nucleation temperature,</w:t>
      </w:r>
      <w:r>
        <w:rPr>
          <w:spacing w:val="-3"/>
        </w:rPr>
        <w:t xml:space="preserve"> </w:t>
      </w:r>
      <w:r w:rsidRPr="003C1C6A">
        <w:rPr>
          <w:i/>
          <w:iCs/>
          <w:spacing w:val="-3"/>
        </w:rPr>
        <w:t>T</w:t>
      </w:r>
      <w:r w:rsidRPr="00727E8A">
        <w:rPr>
          <w:spacing w:val="-3"/>
          <w:sz w:val="26"/>
          <w:vertAlign w:val="subscript"/>
        </w:rPr>
        <w:t>N</w:t>
      </w:r>
      <w:r w:rsidRPr="003C1C6A">
        <w:rPr>
          <w:spacing w:val="-3"/>
        </w:rPr>
        <w:t xml:space="preserve">, </w:t>
      </w:r>
      <w:r>
        <w:rPr>
          <w:spacing w:val="-3"/>
        </w:rPr>
        <w:t xml:space="preserve">often </w:t>
      </w:r>
      <w:r w:rsidRPr="003C1C6A">
        <w:rPr>
          <w:spacing w:val="-3"/>
        </w:rPr>
        <w:t>reflects the composition dependence of liquidus temperature</w:t>
      </w:r>
      <w:r w:rsidRPr="003C1C6A">
        <w:rPr>
          <w:i/>
          <w:iCs/>
          <w:spacing w:val="-3"/>
        </w:rPr>
        <w:t xml:space="preserve"> T</w:t>
      </w:r>
      <w:r w:rsidRPr="00727E8A">
        <w:rPr>
          <w:spacing w:val="-3"/>
          <w:sz w:val="26"/>
          <w:vertAlign w:val="subscript"/>
        </w:rPr>
        <w:t>L</w:t>
      </w:r>
      <w:r w:rsidRPr="003C1C6A">
        <w:rPr>
          <w:spacing w:val="-3"/>
        </w:rPr>
        <w:t>.  For example in the Pb-Sb system, the supercooling results shown in Fig.</w:t>
      </w:r>
      <w:r>
        <w:rPr>
          <w:spacing w:val="-3"/>
        </w:rPr>
        <w:t xml:space="preserve"> 4.6</w:t>
      </w:r>
      <w:r w:rsidRPr="003C1C6A">
        <w:rPr>
          <w:spacing w:val="-3"/>
        </w:rPr>
        <w:t xml:space="preserve"> reveal that </w:t>
      </w:r>
      <w:r w:rsidRPr="003C1C6A">
        <w:rPr>
          <w:i/>
          <w:iCs/>
          <w:spacing w:val="-3"/>
        </w:rPr>
        <w:t>T</w:t>
      </w:r>
      <w:r w:rsidRPr="00727E8A">
        <w:rPr>
          <w:spacing w:val="-3"/>
          <w:sz w:val="26"/>
          <w:vertAlign w:val="subscript"/>
        </w:rPr>
        <w:t>N</w:t>
      </w:r>
      <w:r w:rsidRPr="003C1C6A">
        <w:rPr>
          <w:spacing w:val="-3"/>
        </w:rPr>
        <w:t xml:space="preserve"> follows a similar trend to</w:t>
      </w:r>
      <w:r w:rsidRPr="003C1C6A">
        <w:rPr>
          <w:i/>
          <w:iCs/>
          <w:spacing w:val="-3"/>
        </w:rPr>
        <w:t xml:space="preserve"> T</w:t>
      </w:r>
      <w:r w:rsidRPr="00727E8A">
        <w:rPr>
          <w:spacing w:val="-3"/>
          <w:sz w:val="26"/>
          <w:vertAlign w:val="subscript"/>
        </w:rPr>
        <w:t>L</w:t>
      </w:r>
      <w:r w:rsidRPr="003C1C6A">
        <w:rPr>
          <w:spacing w:val="-3"/>
        </w:rPr>
        <w:t xml:space="preserve"> even for different </w:t>
      </w:r>
      <w:r w:rsidRPr="003C1C6A">
        <w:rPr>
          <w:i/>
          <w:iCs/>
          <w:spacing w:val="-3"/>
        </w:rPr>
        <w:t>T</w:t>
      </w:r>
      <w:r w:rsidRPr="00727E8A">
        <w:rPr>
          <w:spacing w:val="-3"/>
          <w:sz w:val="26"/>
          <w:vertAlign w:val="subscript"/>
        </w:rPr>
        <w:t>N</w:t>
      </w:r>
      <w:r w:rsidRPr="003C1C6A">
        <w:rPr>
          <w:spacing w:val="-3"/>
        </w:rPr>
        <w:t xml:space="preserve"> levels resulting from </w:t>
      </w:r>
      <w:r w:rsidRPr="003C1C6A">
        <w:rPr>
          <w:spacing w:val="-3"/>
        </w:rPr>
        <w:lastRenderedPageBreak/>
        <w:t xml:space="preserve">catalytic sites of different potency, i.e., different surface coatings (RICHMOND </w:t>
      </w:r>
      <w:r w:rsidRPr="003C1C6A">
        <w:rPr>
          <w:i/>
          <w:iCs/>
          <w:spacing w:val="-3"/>
        </w:rPr>
        <w:t>et al</w:t>
      </w:r>
      <w:r w:rsidRPr="003C1C6A">
        <w:rPr>
          <w:spacing w:val="-3"/>
        </w:rPr>
        <w:t xml:space="preserve">.[1983]).  The maximum </w:t>
      </w:r>
      <w:r w:rsidRPr="003C1C6A">
        <w:rPr>
          <w:i/>
          <w:iCs/>
          <w:spacing w:val="-3"/>
        </w:rPr>
        <w:t>ΔG</w:t>
      </w:r>
      <w:r w:rsidRPr="00727E8A">
        <w:rPr>
          <w:spacing w:val="-3"/>
          <w:sz w:val="26"/>
          <w:vertAlign w:val="subscript"/>
        </w:rPr>
        <w:t>v</w:t>
      </w:r>
      <w:r w:rsidRPr="003C1C6A">
        <w:rPr>
          <w:spacing w:val="-3"/>
        </w:rPr>
        <w:t xml:space="preserve"> condition to determine nucleus composition has been used to successfully predict the composition dependence of measured values of </w:t>
      </w:r>
      <w:r w:rsidRPr="003C1C6A">
        <w:rPr>
          <w:i/>
          <w:iCs/>
          <w:spacing w:val="-3"/>
        </w:rPr>
        <w:t>T</w:t>
      </w:r>
      <w:r w:rsidRPr="00727E8A">
        <w:rPr>
          <w:spacing w:val="-3"/>
          <w:sz w:val="26"/>
          <w:vertAlign w:val="subscript"/>
        </w:rPr>
        <w:t>N</w:t>
      </w:r>
      <w:r w:rsidRPr="003C1C6A">
        <w:rPr>
          <w:spacing w:val="-3"/>
        </w:rPr>
        <w:t xml:space="preserve"> in various alloy systems (THOMPSON and SPAEPEN [1983]).</w:t>
      </w:r>
    </w:p>
    <w:p w14:paraId="61FF3BA8" w14:textId="77777777" w:rsidR="00015B17" w:rsidRDefault="00015B17" w:rsidP="00015B17">
      <w:pPr>
        <w:suppressAutoHyphens/>
        <w:spacing w:line="360" w:lineRule="auto"/>
        <w:jc w:val="both"/>
        <w:rPr>
          <w:spacing w:val="-3"/>
        </w:rPr>
      </w:pPr>
    </w:p>
    <w:p w14:paraId="17A079C5" w14:textId="77777777" w:rsidR="00015B17" w:rsidRPr="003C1C6A" w:rsidRDefault="00015B17" w:rsidP="00015B17">
      <w:pPr>
        <w:tabs>
          <w:tab w:val="left" w:pos="-720"/>
        </w:tabs>
        <w:suppressAutoHyphens/>
        <w:spacing w:line="360" w:lineRule="auto"/>
        <w:jc w:val="both"/>
        <w:rPr>
          <w:spacing w:val="-3"/>
        </w:rPr>
      </w:pPr>
      <w:r w:rsidRPr="003C1C6A">
        <w:rPr>
          <w:b/>
          <w:bCs/>
          <w:spacing w:val="-3"/>
        </w:rPr>
        <w:t>4.</w:t>
      </w:r>
      <w:r>
        <w:rPr>
          <w:b/>
          <w:bCs/>
          <w:spacing w:val="-3"/>
        </w:rPr>
        <w:t>6</w:t>
      </w:r>
      <w:r w:rsidRPr="003C1C6A">
        <w:rPr>
          <w:b/>
          <w:bCs/>
          <w:spacing w:val="-3"/>
        </w:rPr>
        <w:t xml:space="preserve"> Formation of </w:t>
      </w:r>
      <w:r>
        <w:rPr>
          <w:b/>
          <w:bCs/>
          <w:spacing w:val="-3"/>
        </w:rPr>
        <w:t>m</w:t>
      </w:r>
      <w:r w:rsidRPr="003C1C6A">
        <w:rPr>
          <w:b/>
          <w:bCs/>
          <w:spacing w:val="-3"/>
        </w:rPr>
        <w:t xml:space="preserve">etastable </w:t>
      </w:r>
      <w:r>
        <w:rPr>
          <w:b/>
          <w:bCs/>
          <w:spacing w:val="-3"/>
        </w:rPr>
        <w:t>p</w:t>
      </w:r>
      <w:r w:rsidRPr="003C1C6A">
        <w:rPr>
          <w:b/>
          <w:bCs/>
          <w:spacing w:val="-3"/>
        </w:rPr>
        <w:t xml:space="preserve">hases by </w:t>
      </w:r>
      <w:r>
        <w:rPr>
          <w:b/>
          <w:bCs/>
          <w:spacing w:val="-3"/>
        </w:rPr>
        <w:t>s</w:t>
      </w:r>
      <w:r w:rsidRPr="003C1C6A">
        <w:rPr>
          <w:b/>
          <w:bCs/>
          <w:spacing w:val="-3"/>
        </w:rPr>
        <w:t>upercooling</w:t>
      </w:r>
    </w:p>
    <w:p w14:paraId="026C36F6" w14:textId="77777777" w:rsidR="00015B17" w:rsidRPr="003C1C6A" w:rsidRDefault="00015B17" w:rsidP="00015B17">
      <w:pPr>
        <w:tabs>
          <w:tab w:val="left" w:pos="-720"/>
        </w:tabs>
        <w:suppressAutoHyphens/>
        <w:spacing w:line="360" w:lineRule="auto"/>
        <w:jc w:val="both"/>
        <w:rPr>
          <w:spacing w:val="-3"/>
        </w:rPr>
      </w:pPr>
    </w:p>
    <w:p w14:paraId="0C853E48" w14:textId="71617D80" w:rsidR="00015B17" w:rsidRDefault="00015B17" w:rsidP="00015B17">
      <w:pPr>
        <w:tabs>
          <w:tab w:val="left" w:pos="-720"/>
        </w:tabs>
        <w:suppressAutoHyphens/>
        <w:spacing w:line="360" w:lineRule="auto"/>
        <w:rPr>
          <w:spacing w:val="-3"/>
        </w:rPr>
      </w:pPr>
      <w:r w:rsidRPr="003C1C6A">
        <w:rPr>
          <w:spacing w:val="-3"/>
        </w:rPr>
        <w:tab/>
        <w:t xml:space="preserve">One of the most dramatic effects of large supercoolings prior to solidification is the possibility of forming metastable phases. An elegant yet simple example occurs for pure Bi (YOON </w:t>
      </w:r>
      <w:r w:rsidRPr="003C1C6A">
        <w:rPr>
          <w:i/>
          <w:iCs/>
          <w:spacing w:val="-3"/>
        </w:rPr>
        <w:t>et al</w:t>
      </w:r>
      <w:r w:rsidRPr="003C1C6A">
        <w:rPr>
          <w:spacing w:val="-3"/>
        </w:rPr>
        <w:t>. [1986]). A dispersion of Bi droplets was cooled from above the Bi melting temperature of 271</w:t>
      </w:r>
      <w:r w:rsidRPr="003C1C6A">
        <w:rPr>
          <w:spacing w:val="-3"/>
        </w:rPr>
        <w:sym w:font="Symbol" w:char="F0B0"/>
      </w:r>
      <w:r w:rsidRPr="003C1C6A">
        <w:rPr>
          <w:spacing w:val="-3"/>
        </w:rPr>
        <w:t>C to approximately 50</w:t>
      </w:r>
      <w:r w:rsidRPr="003C1C6A">
        <w:rPr>
          <w:spacing w:val="-3"/>
        </w:rPr>
        <w:sym w:font="Symbol" w:char="F0B0"/>
      </w:r>
      <w:r w:rsidRPr="003C1C6A">
        <w:rPr>
          <w:spacing w:val="-3"/>
        </w:rPr>
        <w:t>C where nucleation took place. Upon reheating the dispersion, melting occurred at 174</w:t>
      </w:r>
      <w:r w:rsidRPr="003C1C6A">
        <w:rPr>
          <w:spacing w:val="-3"/>
        </w:rPr>
        <w:sym w:font="Symbol" w:char="F0B0"/>
      </w:r>
      <w:r w:rsidRPr="003C1C6A">
        <w:rPr>
          <w:spacing w:val="-3"/>
        </w:rPr>
        <w:t>C</w:t>
      </w:r>
      <w:r w:rsidR="00DA667B">
        <w:rPr>
          <w:spacing w:val="-3"/>
        </w:rPr>
        <w:t>, well below the Bi melting point indicat</w:t>
      </w:r>
      <w:r w:rsidR="00F172FF">
        <w:rPr>
          <w:spacing w:val="-3"/>
        </w:rPr>
        <w:t>ing</w:t>
      </w:r>
      <w:r w:rsidR="00DA667B">
        <w:rPr>
          <w:spacing w:val="-3"/>
        </w:rPr>
        <w:t xml:space="preserve"> that a metastable phase had been formed</w:t>
      </w:r>
      <w:r w:rsidR="00F172FF">
        <w:rPr>
          <w:spacing w:val="-3"/>
        </w:rPr>
        <w:t xml:space="preserve"> at </w:t>
      </w:r>
      <w:r w:rsidR="00F172FF" w:rsidRPr="003C1C6A">
        <w:rPr>
          <w:spacing w:val="-3"/>
        </w:rPr>
        <w:t>50</w:t>
      </w:r>
      <w:r w:rsidR="00F172FF" w:rsidRPr="003C1C6A">
        <w:rPr>
          <w:spacing w:val="-3"/>
        </w:rPr>
        <w:sym w:font="Symbol" w:char="F0B0"/>
      </w:r>
      <w:r w:rsidR="00F172FF" w:rsidRPr="003C1C6A">
        <w:rPr>
          <w:spacing w:val="-3"/>
        </w:rPr>
        <w:t>C</w:t>
      </w:r>
      <w:r w:rsidRPr="003C1C6A">
        <w:rPr>
          <w:spacing w:val="-3"/>
        </w:rPr>
        <w:t>. If one examines the pressure-temperature diagram for Bi and extrapolates the melting curve for the high pressure Bi(II) phase  to atmospheric pressure, one obtains a metastable melting point for Bi(II) very close to 174</w:t>
      </w:r>
      <w:r w:rsidRPr="003C1C6A">
        <w:rPr>
          <w:spacing w:val="-3"/>
        </w:rPr>
        <w:sym w:font="Symbol" w:char="F0B0"/>
      </w:r>
      <w:r w:rsidRPr="003C1C6A">
        <w:rPr>
          <w:spacing w:val="-3"/>
        </w:rPr>
        <w:t>C. In addition</w:t>
      </w:r>
      <w:r w:rsidR="00E763BA">
        <w:rPr>
          <w:spacing w:val="-3"/>
        </w:rPr>
        <w:t>,</w:t>
      </w:r>
      <w:r w:rsidRPr="003C1C6A">
        <w:rPr>
          <w:spacing w:val="-3"/>
        </w:rPr>
        <w:t xml:space="preserve"> performing the supercooling experiment with an increase in ambient pressure modified the melting point of the metastable phase in a manner consistent with it being Bi(II). Thus the formation of metastable Bi(II) </w:t>
      </w:r>
      <w:r w:rsidR="00E23778" w:rsidRPr="003C1C6A">
        <w:rPr>
          <w:spacing w:val="-3"/>
        </w:rPr>
        <w:t>occurred</w:t>
      </w:r>
      <w:r w:rsidRPr="003C1C6A">
        <w:rPr>
          <w:spacing w:val="-3"/>
        </w:rPr>
        <w:t xml:space="preserve"> rather than the stable Bi(I) phase at large supercooling.</w:t>
      </w:r>
    </w:p>
    <w:p w14:paraId="6EB30B80" w14:textId="77777777" w:rsidR="00015B17" w:rsidRPr="003C1C6A" w:rsidRDefault="00015B17" w:rsidP="00015B17">
      <w:pPr>
        <w:tabs>
          <w:tab w:val="left" w:pos="-720"/>
        </w:tabs>
        <w:suppressAutoHyphens/>
        <w:spacing w:line="360" w:lineRule="auto"/>
        <w:rPr>
          <w:spacing w:val="-3"/>
        </w:rPr>
      </w:pPr>
    </w:p>
    <w:p w14:paraId="65CD18F0" w14:textId="44188798" w:rsidR="00015B17" w:rsidRDefault="00015B17" w:rsidP="00015B17">
      <w:pPr>
        <w:tabs>
          <w:tab w:val="left" w:pos="-720"/>
        </w:tabs>
        <w:suppressAutoHyphens/>
        <w:spacing w:line="360" w:lineRule="auto"/>
        <w:rPr>
          <w:spacing w:val="-3"/>
        </w:rPr>
      </w:pPr>
      <w:r w:rsidRPr="003C1C6A">
        <w:rPr>
          <w:spacing w:val="-3"/>
        </w:rPr>
        <w:tab/>
        <w:t>The bulk free energy change for solidification,</w:t>
      </w:r>
      <w:r w:rsidRPr="003C1C6A">
        <w:rPr>
          <w:i/>
          <w:iCs/>
          <w:spacing w:val="-3"/>
        </w:rPr>
        <w:t xml:space="preserve"> ΔG</w:t>
      </w:r>
      <w:r w:rsidRPr="00727E8A">
        <w:rPr>
          <w:spacing w:val="-3"/>
          <w:sz w:val="26"/>
          <w:vertAlign w:val="subscript"/>
        </w:rPr>
        <w:t>v</w:t>
      </w:r>
      <w:r w:rsidRPr="003C1C6A">
        <w:rPr>
          <w:spacing w:val="-3"/>
        </w:rPr>
        <w:t xml:space="preserve"> is always largest for the stable phase. However in the context of the heterogeneous nucleation theory described above, a metastable phase may make a smaller contact angle with a particular catalytic site than does the stable phase. Thus the barrier for nucleation of a metastable phase may be smaller than the barrier for the stable phase. Of course one must always supercool below the melting point of the metastable phase in order for </w:t>
      </w:r>
      <w:r w:rsidRPr="003C1C6A">
        <w:rPr>
          <w:i/>
          <w:iCs/>
          <w:spacing w:val="-3"/>
        </w:rPr>
        <w:t>ΔG</w:t>
      </w:r>
      <w:r w:rsidRPr="00727E8A">
        <w:rPr>
          <w:spacing w:val="-3"/>
          <w:sz w:val="26"/>
          <w:vertAlign w:val="subscript"/>
        </w:rPr>
        <w:t>v</w:t>
      </w:r>
      <w:r w:rsidRPr="003C1C6A">
        <w:rPr>
          <w:spacing w:val="-3"/>
        </w:rPr>
        <w:t xml:space="preserve"> for the metastable phase to be negative. Similarly metastable phases have been formed in alloy systems. In fact in the Pb-Sn system, by avoiding the nucleation of the stable Sn phase, the metastable Pb liquidus and solidus curves have been measured more than 80K below the Pb-Sn eutectic temperature as shown in Fig.</w:t>
      </w:r>
      <w:r>
        <w:rPr>
          <w:spacing w:val="-3"/>
        </w:rPr>
        <w:t>4.7</w:t>
      </w:r>
      <w:r w:rsidRPr="003C1C6A">
        <w:rPr>
          <w:spacing w:val="-3"/>
        </w:rPr>
        <w:t xml:space="preserve"> (FECHT and PEREPEZKO [1989]). When nucleation did occur in this supercooled state, a metastable phase was formed.</w:t>
      </w:r>
    </w:p>
    <w:p w14:paraId="08428C07" w14:textId="77777777" w:rsidR="00015B17" w:rsidRDefault="00015B17" w:rsidP="00015B17">
      <w:pPr>
        <w:tabs>
          <w:tab w:val="left" w:pos="-720"/>
        </w:tabs>
        <w:suppressAutoHyphens/>
        <w:spacing w:line="360" w:lineRule="auto"/>
        <w:rPr>
          <w:spacing w:val="-3"/>
        </w:rPr>
      </w:pPr>
    </w:p>
    <w:p w14:paraId="7C029E0A" w14:textId="198CF02B" w:rsidR="00015B17" w:rsidRDefault="00015B17" w:rsidP="00015B17">
      <w:pPr>
        <w:suppressAutoHyphens/>
        <w:spacing w:line="360" w:lineRule="auto"/>
        <w:rPr>
          <w:spacing w:val="-3"/>
        </w:rPr>
      </w:pPr>
      <w:r>
        <w:rPr>
          <w:spacing w:val="-3"/>
        </w:rPr>
        <w:tab/>
      </w:r>
      <w:r w:rsidRPr="003C1C6A">
        <w:rPr>
          <w:spacing w:val="-3"/>
        </w:rPr>
        <w:t xml:space="preserve">KIM </w:t>
      </w:r>
      <w:r w:rsidRPr="003C1C6A">
        <w:rPr>
          <w:i/>
          <w:iCs/>
          <w:spacing w:val="-3"/>
        </w:rPr>
        <w:t>et al</w:t>
      </w:r>
      <w:r w:rsidRPr="003C1C6A">
        <w:rPr>
          <w:spacing w:val="-3"/>
        </w:rPr>
        <w:t>. [1988a],</w:t>
      </w:r>
      <w:r>
        <w:rPr>
          <w:spacing w:val="-3"/>
        </w:rPr>
        <w:t xml:space="preserve"> </w:t>
      </w:r>
      <w:r w:rsidRPr="003C1C6A">
        <w:rPr>
          <w:spacing w:val="-3"/>
        </w:rPr>
        <w:t xml:space="preserve">[1988b] have used </w:t>
      </w:r>
      <w:r>
        <w:rPr>
          <w:spacing w:val="-3"/>
        </w:rPr>
        <w:t>Spaepen’s</w:t>
      </w:r>
      <w:r w:rsidRPr="003C1C6A">
        <w:rPr>
          <w:spacing w:val="-3"/>
        </w:rPr>
        <w:t xml:space="preserve"> model </w:t>
      </w:r>
      <w:r>
        <w:rPr>
          <w:spacing w:val="-3"/>
        </w:rPr>
        <w:t xml:space="preserve">of the interface energy with </w:t>
      </w:r>
      <w:r w:rsidRPr="00901BA9">
        <w:rPr>
          <w:spacing w:val="-3"/>
          <w:position w:val="-6"/>
        </w:rPr>
        <w:object w:dxaOrig="240" w:dyaOrig="220" w14:anchorId="679D0FDD">
          <v:shape id="_x0000_i1335" type="#_x0000_t75" style="width:12.15pt;height:10.3pt" o:ole="">
            <v:imagedata r:id="rId599" o:title=""/>
          </v:shape>
          <o:OLEObject Type="Embed" ProgID="Equation.DSMT4" ShapeID="_x0000_i1335" DrawAspect="Content" ObjectID="_1840626901" r:id="rId600"/>
        </w:object>
      </w:r>
      <w:r>
        <w:rPr>
          <w:spacing w:val="-3"/>
        </w:rPr>
        <w:t>=</w:t>
      </w:r>
      <w:r w:rsidRPr="003C1C6A">
        <w:rPr>
          <w:spacing w:val="-3"/>
        </w:rPr>
        <w:t xml:space="preserve">0.866 for </w:t>
      </w:r>
      <w:r w:rsidR="00B36D3D">
        <w:rPr>
          <w:spacing w:val="-3"/>
        </w:rPr>
        <w:t>FCC</w:t>
      </w:r>
      <w:r w:rsidRPr="003C1C6A">
        <w:rPr>
          <w:spacing w:val="-3"/>
        </w:rPr>
        <w:t xml:space="preserve"> and 0.71 for </w:t>
      </w:r>
      <w:r w:rsidR="00B36D3D">
        <w:rPr>
          <w:spacing w:val="-3"/>
        </w:rPr>
        <w:t>BCC</w:t>
      </w:r>
      <w:r w:rsidRPr="003C1C6A">
        <w:rPr>
          <w:spacing w:val="-3"/>
        </w:rPr>
        <w:t xml:space="preserve"> metals)</w:t>
      </w:r>
      <w:r>
        <w:rPr>
          <w:spacing w:val="-3"/>
        </w:rPr>
        <w:t xml:space="preserve"> </w:t>
      </w:r>
      <w:r w:rsidRPr="003C1C6A">
        <w:rPr>
          <w:spacing w:val="-3"/>
        </w:rPr>
        <w:t xml:space="preserve">to calculate homogeneous nucleation rates for the </w:t>
      </w:r>
      <w:r w:rsidR="00B36D3D">
        <w:rPr>
          <w:spacing w:val="-3"/>
        </w:rPr>
        <w:t>FCC</w:t>
      </w:r>
      <w:r w:rsidRPr="003C1C6A">
        <w:rPr>
          <w:spacing w:val="-3"/>
        </w:rPr>
        <w:t xml:space="preserve"> and </w:t>
      </w:r>
      <w:r w:rsidR="00B36D3D">
        <w:rPr>
          <w:spacing w:val="-3"/>
        </w:rPr>
        <w:t>BCC</w:t>
      </w:r>
      <w:r w:rsidRPr="003C1C6A">
        <w:rPr>
          <w:spacing w:val="-3"/>
        </w:rPr>
        <w:t xml:space="preserve"> phases for all compositions in Fe-Ni alloys. Due primarily to the higher α value for </w:t>
      </w:r>
      <w:r w:rsidR="00B36D3D">
        <w:rPr>
          <w:spacing w:val="-3"/>
        </w:rPr>
        <w:t>FCC</w:t>
      </w:r>
      <w:r w:rsidRPr="003C1C6A">
        <w:rPr>
          <w:spacing w:val="-3"/>
        </w:rPr>
        <w:t xml:space="preserve"> </w:t>
      </w:r>
      <w:r w:rsidR="00E763BA">
        <w:rPr>
          <w:spacing w:val="-3"/>
        </w:rPr>
        <w:t>(hence more difficult nucleation using equation 4.14)</w:t>
      </w:r>
      <w:r w:rsidRPr="003C1C6A">
        <w:rPr>
          <w:spacing w:val="-3"/>
        </w:rPr>
        <w:t xml:space="preserve">, nucleation of </w:t>
      </w:r>
      <w:r w:rsidR="00B36D3D">
        <w:rPr>
          <w:spacing w:val="-3"/>
        </w:rPr>
        <w:t>BCC</w:t>
      </w:r>
      <w:r w:rsidR="00E763BA" w:rsidRPr="003C1C6A">
        <w:rPr>
          <w:spacing w:val="-3"/>
        </w:rPr>
        <w:t xml:space="preserve"> </w:t>
      </w:r>
      <w:r w:rsidRPr="003C1C6A">
        <w:rPr>
          <w:spacing w:val="-3"/>
        </w:rPr>
        <w:t xml:space="preserve">phase is </w:t>
      </w:r>
      <w:r w:rsidR="00E763BA">
        <w:rPr>
          <w:spacing w:val="-3"/>
        </w:rPr>
        <w:t xml:space="preserve">favored </w:t>
      </w:r>
      <w:r w:rsidRPr="003C1C6A">
        <w:rPr>
          <w:spacing w:val="-3"/>
        </w:rPr>
        <w:t xml:space="preserve">in these alloys even for compositions where </w:t>
      </w:r>
      <w:r w:rsidR="00B36D3D">
        <w:rPr>
          <w:spacing w:val="-3"/>
        </w:rPr>
        <w:t>FCC</w:t>
      </w:r>
      <w:r w:rsidR="00E763BA" w:rsidRPr="003C1C6A">
        <w:rPr>
          <w:spacing w:val="-3"/>
        </w:rPr>
        <w:t xml:space="preserve"> </w:t>
      </w:r>
      <w:r w:rsidRPr="003C1C6A">
        <w:rPr>
          <w:spacing w:val="-3"/>
        </w:rPr>
        <w:t>has a higher liquidus. Indeed this was confirmed in their own experiments in 3</w:t>
      </w:r>
      <w:r w:rsidR="002164F8">
        <w:rPr>
          <w:spacing w:val="-3"/>
        </w:rPr>
        <w:t xml:space="preserve"> µm to </w:t>
      </w:r>
      <w:r w:rsidRPr="003C1C6A">
        <w:rPr>
          <w:spacing w:val="-3"/>
        </w:rPr>
        <w:t>30 μm size powders as well as in the earlier work of CECH [1956].</w:t>
      </w:r>
      <w:r w:rsidR="00E763BA">
        <w:rPr>
          <w:spacing w:val="-3"/>
        </w:rPr>
        <w:t xml:space="preserve"> </w:t>
      </w:r>
    </w:p>
    <w:p w14:paraId="0B75DA00" w14:textId="77777777" w:rsidR="00015B17" w:rsidRDefault="00015B17" w:rsidP="00015B17">
      <w:pPr>
        <w:tabs>
          <w:tab w:val="left" w:pos="-720"/>
        </w:tabs>
        <w:suppressAutoHyphens/>
        <w:spacing w:line="360" w:lineRule="auto"/>
        <w:rPr>
          <w:strike/>
          <w:spacing w:val="-3"/>
        </w:rPr>
      </w:pPr>
    </w:p>
    <w:p w14:paraId="4338E8EC" w14:textId="0B98F932" w:rsidR="00015B17" w:rsidRDefault="00015B17" w:rsidP="00015B17">
      <w:pPr>
        <w:tabs>
          <w:tab w:val="left" w:pos="-720"/>
        </w:tabs>
        <w:suppressAutoHyphens/>
        <w:spacing w:line="360" w:lineRule="auto"/>
        <w:rPr>
          <w:b/>
          <w:spacing w:val="-3"/>
        </w:rPr>
      </w:pPr>
      <w:r>
        <w:rPr>
          <w:b/>
          <w:spacing w:val="-3"/>
        </w:rPr>
        <w:t xml:space="preserve">4.7 </w:t>
      </w:r>
      <w:r w:rsidRPr="00C707D2">
        <w:rPr>
          <w:b/>
          <w:spacing w:val="-3"/>
        </w:rPr>
        <w:t>Inoculants</w:t>
      </w:r>
    </w:p>
    <w:p w14:paraId="794C850A" w14:textId="77777777" w:rsidR="00015B17" w:rsidRDefault="00015B17" w:rsidP="00015B17">
      <w:pPr>
        <w:tabs>
          <w:tab w:val="left" w:pos="-720"/>
        </w:tabs>
        <w:suppressAutoHyphens/>
        <w:spacing w:line="360" w:lineRule="auto"/>
        <w:rPr>
          <w:b/>
          <w:spacing w:val="-3"/>
        </w:rPr>
      </w:pPr>
    </w:p>
    <w:p w14:paraId="0798D2A3" w14:textId="77777777" w:rsidR="00015B17" w:rsidRDefault="00015B17" w:rsidP="00015B17">
      <w:pPr>
        <w:suppressAutoHyphens/>
        <w:spacing w:line="360" w:lineRule="auto"/>
        <w:ind w:firstLine="720"/>
        <w:rPr>
          <w:spacing w:val="-3"/>
        </w:rPr>
      </w:pPr>
      <w:r>
        <w:rPr>
          <w:spacing w:val="-3"/>
        </w:rPr>
        <w:t xml:space="preserve">One of the most important examples of structure modification in industry is the grain refinement of Al and its alloys using </w:t>
      </w:r>
      <w:r w:rsidR="00E23778">
        <w:rPr>
          <w:spacing w:val="-3"/>
        </w:rPr>
        <w:t>inoculants</w:t>
      </w:r>
      <w:r>
        <w:rPr>
          <w:spacing w:val="-3"/>
        </w:rPr>
        <w:t xml:space="preserve"> that increase heterogeneous nucleation. A fine grain size in shaped castings ensures uniformity an</w:t>
      </w:r>
      <w:r w:rsidR="003F153B">
        <w:rPr>
          <w:spacing w:val="-3"/>
        </w:rPr>
        <w:t>d</w:t>
      </w:r>
      <w:r>
        <w:rPr>
          <w:spacing w:val="-3"/>
        </w:rPr>
        <w:t xml:space="preserve"> isotropy of mechanical properties by promoting a fine distribution of second phases and microporosity</w:t>
      </w:r>
      <w:r w:rsidR="00236C4D">
        <w:rPr>
          <w:spacing w:val="-3"/>
        </w:rPr>
        <w:t xml:space="preserve"> if present</w:t>
      </w:r>
      <w:r>
        <w:rPr>
          <w:spacing w:val="-3"/>
        </w:rPr>
        <w:t xml:space="preserve">. The grain refining inoculants used in the aluminum industry employ so-called "master alloys" containing Al with Ti, B and C. This </w:t>
      </w:r>
      <w:r w:rsidR="003F153B">
        <w:rPr>
          <w:spacing w:val="-3"/>
        </w:rPr>
        <w:t xml:space="preserve">is </w:t>
      </w:r>
      <w:r>
        <w:rPr>
          <w:spacing w:val="-3"/>
        </w:rPr>
        <w:t xml:space="preserve">a complex subject beyond the scope of this chapter and excellent reviews are available. (Perepezko [2008] and Kelton and Greer [2010]). </w:t>
      </w:r>
    </w:p>
    <w:p w14:paraId="0CD57063" w14:textId="77777777" w:rsidR="00015B17" w:rsidRDefault="00015B17" w:rsidP="00015B17">
      <w:pPr>
        <w:suppressAutoHyphens/>
        <w:spacing w:line="360" w:lineRule="auto"/>
        <w:ind w:firstLine="720"/>
        <w:rPr>
          <w:spacing w:val="-3"/>
        </w:rPr>
      </w:pPr>
    </w:p>
    <w:p w14:paraId="73455024" w14:textId="770D7E39" w:rsidR="00015B17" w:rsidRDefault="00015B17" w:rsidP="00015B17">
      <w:pPr>
        <w:suppressAutoHyphens/>
        <w:spacing w:line="360" w:lineRule="auto"/>
        <w:ind w:firstLine="720"/>
        <w:rPr>
          <w:b/>
          <w:spacing w:val="-3"/>
        </w:rPr>
      </w:pPr>
      <w:r>
        <w:rPr>
          <w:spacing w:val="-3"/>
        </w:rPr>
        <w:t xml:space="preserve">One important idea on this subject is found in the in the work of GREER et al. [2000] defining the free growth model of heterogeneous nucleation. In </w:t>
      </w:r>
      <w:r w:rsidR="00236C4D">
        <w:rPr>
          <w:spacing w:val="-3"/>
        </w:rPr>
        <w:t>§4</w:t>
      </w:r>
      <w:r>
        <w:rPr>
          <w:spacing w:val="-3"/>
        </w:rPr>
        <w:t xml:space="preserve"> it has been assumed that once the critical size is obtained the growth will proceed </w:t>
      </w:r>
      <w:r w:rsidR="00236C4D">
        <w:rPr>
          <w:spacing w:val="-3"/>
        </w:rPr>
        <w:t xml:space="preserve">practically </w:t>
      </w:r>
      <w:r>
        <w:rPr>
          <w:spacing w:val="-3"/>
        </w:rPr>
        <w:t>uninhibited. One can model the heat flow and growth of a spherical particle in a pure material starting from a radius slightly larger than the critical radius quite rigorously. Since the temperature of the bulk liquid is at the nucleation temperature and the interface radius is slightly larger than the critical value, the interface temperature through the Gibbs -Thomson effect is slightly above the nucleation temperature. Thus latent heat can flow</w:t>
      </w:r>
      <w:r w:rsidR="0062434B">
        <w:rPr>
          <w:spacing w:val="-3"/>
        </w:rPr>
        <w:t xml:space="preserve"> from the interface</w:t>
      </w:r>
      <w:r>
        <w:rPr>
          <w:spacing w:val="-3"/>
        </w:rPr>
        <w:t xml:space="preserve"> into the supercooled liquid. As growth proceeds, the radius gets larger, the interface temperature rises (through the Gibbs-Thomson effect) and the heat flow </w:t>
      </w:r>
      <w:r w:rsidR="0062434B">
        <w:rPr>
          <w:spacing w:val="-3"/>
        </w:rPr>
        <w:t>to</w:t>
      </w:r>
      <w:r>
        <w:rPr>
          <w:spacing w:val="-3"/>
        </w:rPr>
        <w:t xml:space="preserve"> the bulk liquid </w:t>
      </w:r>
      <w:r w:rsidR="00E763BA">
        <w:rPr>
          <w:spacing w:val="-3"/>
        </w:rPr>
        <w:t xml:space="preserve">becomes </w:t>
      </w:r>
      <w:r>
        <w:rPr>
          <w:spacing w:val="-3"/>
        </w:rPr>
        <w:t xml:space="preserve">more rapid and growth continues. </w:t>
      </w:r>
      <w:r w:rsidR="002A1C2F">
        <w:rPr>
          <w:spacing w:val="-3"/>
        </w:rPr>
        <w:t>However,</w:t>
      </w:r>
      <w:r>
        <w:rPr>
          <w:spacing w:val="-3"/>
        </w:rPr>
        <w:t xml:space="preserve"> for the growth of a spherical cap on a catalytic substrate, growth </w:t>
      </w:r>
      <w:r w:rsidR="002164F8">
        <w:rPr>
          <w:spacing w:val="-3"/>
        </w:rPr>
        <w:t>cannot</w:t>
      </w:r>
      <w:r>
        <w:rPr>
          <w:spacing w:val="-3"/>
        </w:rPr>
        <w:t xml:space="preserve"> proceed uninhibited.  </w:t>
      </w:r>
    </w:p>
    <w:p w14:paraId="45206E89" w14:textId="77777777" w:rsidR="00015B17" w:rsidRPr="00C707D2" w:rsidRDefault="00015B17" w:rsidP="00015B17">
      <w:pPr>
        <w:tabs>
          <w:tab w:val="left" w:pos="-720"/>
          <w:tab w:val="left" w:pos="7200"/>
        </w:tabs>
        <w:suppressAutoHyphens/>
        <w:spacing w:line="360" w:lineRule="auto"/>
        <w:rPr>
          <w:b/>
          <w:spacing w:val="-3"/>
        </w:rPr>
      </w:pPr>
      <w:r>
        <w:rPr>
          <w:b/>
          <w:spacing w:val="-3"/>
        </w:rPr>
        <w:lastRenderedPageBreak/>
        <w:tab/>
      </w:r>
    </w:p>
    <w:p w14:paraId="083D688C" w14:textId="7E477440" w:rsidR="00015B17" w:rsidRDefault="00015B17" w:rsidP="00015B17">
      <w:pPr>
        <w:tabs>
          <w:tab w:val="left" w:pos="-720"/>
        </w:tabs>
        <w:suppressAutoHyphens/>
        <w:spacing w:line="360" w:lineRule="auto"/>
        <w:rPr>
          <w:spacing w:val="-3"/>
        </w:rPr>
      </w:pPr>
      <w:r>
        <w:rPr>
          <w:spacing w:val="-3"/>
        </w:rPr>
        <w:tab/>
        <w:t xml:space="preserve">As </w:t>
      </w:r>
      <w:r w:rsidR="0062434B">
        <w:rPr>
          <w:spacing w:val="-3"/>
        </w:rPr>
        <w:t xml:space="preserve">real </w:t>
      </w:r>
      <w:r>
        <w:rPr>
          <w:spacing w:val="-3"/>
        </w:rPr>
        <w:t xml:space="preserve">catalytic sites have limited lateral extent other considerations are necessary. GREER et al. [2000] considered a disk-like catalytic particle whose catalytic face is of diameter </w:t>
      </w:r>
      <w:r w:rsidRPr="00BE3B22">
        <w:rPr>
          <w:i/>
          <w:spacing w:val="-3"/>
        </w:rPr>
        <w:t>d</w:t>
      </w:r>
      <w:r w:rsidR="00E763BA">
        <w:rPr>
          <w:i/>
          <w:spacing w:val="-3"/>
        </w:rPr>
        <w:t xml:space="preserve"> </w:t>
      </w:r>
      <w:r w:rsidR="00E763BA" w:rsidRPr="00E763BA">
        <w:rPr>
          <w:spacing w:val="-3"/>
        </w:rPr>
        <w:t>(Fig. 4.8)</w:t>
      </w:r>
      <w:r>
        <w:rPr>
          <w:spacing w:val="-3"/>
        </w:rPr>
        <w:t xml:space="preserve">. The spherical cap can only grow until its base diameter reaches the limit of the face diameter. The triple junction between the liquid, solid and catalyst becomes spatially pinned and the contact angle calculated from Eqn. 4. 4 becomes irrelevant. For the solid metal to continue to grow, the radius of the liquid-solid interface must actually decrease. The minimum radius is equal to </w:t>
      </w:r>
      <w:r w:rsidRPr="00957411">
        <w:rPr>
          <w:i/>
          <w:spacing w:val="-3"/>
        </w:rPr>
        <w:t>d</w:t>
      </w:r>
      <w:r w:rsidR="00236C4D">
        <w:rPr>
          <w:spacing w:val="-3"/>
        </w:rPr>
        <w:t xml:space="preserve">. </w:t>
      </w:r>
      <w:r w:rsidR="00236C4D">
        <w:rPr>
          <w:i/>
          <w:spacing w:val="-3"/>
        </w:rPr>
        <w:t xml:space="preserve"> </w:t>
      </w:r>
      <w:r w:rsidR="00236C4D" w:rsidRPr="003E0F31">
        <w:rPr>
          <w:spacing w:val="-3"/>
        </w:rPr>
        <w:t>T</w:t>
      </w:r>
      <w:r>
        <w:rPr>
          <w:spacing w:val="-3"/>
        </w:rPr>
        <w:t xml:space="preserve">he Gibbs-Thomson effect would then require the bulk undercooling </w:t>
      </w:r>
      <w:r w:rsidR="00E763BA">
        <w:rPr>
          <w:spacing w:val="-3"/>
        </w:rPr>
        <w:t xml:space="preserve">value for </w:t>
      </w:r>
      <w:r w:rsidR="00236C4D">
        <w:rPr>
          <w:spacing w:val="-3"/>
        </w:rPr>
        <w:t xml:space="preserve">further </w:t>
      </w:r>
      <w:r w:rsidR="00E763BA">
        <w:rPr>
          <w:spacing w:val="-3"/>
        </w:rPr>
        <w:t>growth (f</w:t>
      </w:r>
      <w:r w:rsidR="00236C4D">
        <w:rPr>
          <w:spacing w:val="-3"/>
        </w:rPr>
        <w:t xml:space="preserve">ree </w:t>
      </w:r>
      <w:r w:rsidR="00E763BA">
        <w:rPr>
          <w:spacing w:val="-3"/>
        </w:rPr>
        <w:t>g</w:t>
      </w:r>
      <w:r w:rsidR="00236C4D">
        <w:rPr>
          <w:spacing w:val="-3"/>
        </w:rPr>
        <w:t>rowth</w:t>
      </w:r>
      <w:r w:rsidR="00E763BA">
        <w:rPr>
          <w:spacing w:val="-3"/>
        </w:rPr>
        <w:t xml:space="preserve">) to </w:t>
      </w:r>
      <w:r>
        <w:rPr>
          <w:spacing w:val="-3"/>
        </w:rPr>
        <w:t>be at least</w:t>
      </w:r>
    </w:p>
    <w:p w14:paraId="36E0701E" w14:textId="77777777" w:rsidR="00015B17" w:rsidRDefault="00015B17" w:rsidP="00015B17">
      <w:pPr>
        <w:tabs>
          <w:tab w:val="left" w:pos="-720"/>
        </w:tabs>
        <w:suppressAutoHyphens/>
        <w:spacing w:line="360" w:lineRule="auto"/>
        <w:rPr>
          <w:spacing w:val="-3"/>
        </w:rPr>
      </w:pPr>
    </w:p>
    <w:p w14:paraId="5B39FDA6" w14:textId="77777777" w:rsidR="00015B17" w:rsidRDefault="00015B17" w:rsidP="00015B17">
      <w:pPr>
        <w:tabs>
          <w:tab w:val="left" w:pos="-720"/>
        </w:tabs>
        <w:suppressAutoHyphens/>
        <w:spacing w:line="360" w:lineRule="auto"/>
        <w:jc w:val="center"/>
        <w:rPr>
          <w:spacing w:val="-3"/>
        </w:rPr>
      </w:pPr>
      <w:r w:rsidRPr="00FF0493">
        <w:rPr>
          <w:spacing w:val="-3"/>
          <w:position w:val="-24"/>
        </w:rPr>
        <w:object w:dxaOrig="1440" w:dyaOrig="620" w14:anchorId="0F7673AB">
          <v:shape id="_x0000_i1336" type="#_x0000_t75" style="width:1in;height:31.8pt" o:ole="">
            <v:imagedata r:id="rId601" o:title=""/>
          </v:shape>
          <o:OLEObject Type="Embed" ProgID="Equation.DSMT4" ShapeID="_x0000_i1336" DrawAspect="Content" ObjectID="_1840626902" r:id="rId602"/>
        </w:object>
      </w:r>
      <w:r>
        <w:rPr>
          <w:spacing w:val="-3"/>
        </w:rPr>
        <w:tab/>
      </w:r>
      <w:r>
        <w:rPr>
          <w:spacing w:val="-3"/>
        </w:rPr>
        <w:tab/>
      </w:r>
      <w:r>
        <w:rPr>
          <w:spacing w:val="-3"/>
        </w:rPr>
        <w:tab/>
        <w:t>(4.15)</w:t>
      </w:r>
    </w:p>
    <w:p w14:paraId="5AC49F79" w14:textId="77777777" w:rsidR="00015B17" w:rsidRDefault="00015B17" w:rsidP="00015B17">
      <w:pPr>
        <w:tabs>
          <w:tab w:val="left" w:pos="-720"/>
        </w:tabs>
        <w:suppressAutoHyphens/>
        <w:spacing w:line="360" w:lineRule="auto"/>
        <w:jc w:val="center"/>
        <w:rPr>
          <w:spacing w:val="-3"/>
        </w:rPr>
      </w:pPr>
    </w:p>
    <w:p w14:paraId="4426BA73" w14:textId="1643A401" w:rsidR="00015B17" w:rsidRDefault="00015B17" w:rsidP="00015B17">
      <w:pPr>
        <w:tabs>
          <w:tab w:val="left" w:pos="-720"/>
        </w:tabs>
        <w:suppressAutoHyphens/>
        <w:spacing w:line="360" w:lineRule="auto"/>
        <w:rPr>
          <w:spacing w:val="-3"/>
        </w:rPr>
      </w:pPr>
      <w:r>
        <w:rPr>
          <w:spacing w:val="-3"/>
        </w:rPr>
        <w:t xml:space="preserve">in order to effect dissipation of the heat of fusion. If this level of bulk supercooling is available, continued growth of the spherical cap solid would then cause the liquid-solid interface radius to increase and it would be </w:t>
      </w:r>
      <w:r w:rsidRPr="00957411">
        <w:rPr>
          <w:i/>
          <w:spacing w:val="-3"/>
        </w:rPr>
        <w:t>free</w:t>
      </w:r>
      <w:r>
        <w:rPr>
          <w:spacing w:val="-3"/>
        </w:rPr>
        <w:t xml:space="preserve"> to grow controlled by the temperature of the melt undergoing recalescence and by the limits of solute diffusion for alloy melts. With this model the statistical variation of nucleation temperatures predicted by the classical approach would disappear. A fixed start of sensible solidification (nucleation) would be obtained </w:t>
      </w:r>
      <w:r w:rsidR="00236C4D">
        <w:rPr>
          <w:spacing w:val="-3"/>
        </w:rPr>
        <w:t xml:space="preserve">if all of the substrates had the same </w:t>
      </w:r>
      <w:r>
        <w:rPr>
          <w:spacing w:val="-3"/>
        </w:rPr>
        <w:t xml:space="preserve">size. However when this model is considered within the context of the distribution of inoculant sizes that are present in real grain refiners, a stochastic distribution of initiation temperatures is obtained. </w:t>
      </w:r>
    </w:p>
    <w:p w14:paraId="1CCBB149" w14:textId="77777777" w:rsidR="00015B17" w:rsidRDefault="00015B17" w:rsidP="00015B17">
      <w:pPr>
        <w:suppressAutoHyphens/>
        <w:spacing w:line="360" w:lineRule="auto"/>
        <w:jc w:val="center"/>
      </w:pPr>
      <w:r>
        <w:rPr>
          <w:bCs/>
          <w:spacing w:val="-3"/>
        </w:rPr>
        <w:br w:type="page"/>
      </w:r>
      <w:r>
        <w:rPr>
          <w:b/>
          <w:bCs/>
          <w:i/>
          <w:iCs/>
          <w:sz w:val="28"/>
          <w:szCs w:val="28"/>
        </w:rPr>
        <w:lastRenderedPageBreak/>
        <w:t>5. Interface Kinetics</w:t>
      </w:r>
      <w:r>
        <w:fldChar w:fldCharType="begin"/>
      </w:r>
      <w:r>
        <w:instrText xml:space="preserve">PRIVATE </w:instrText>
      </w:r>
      <w:r>
        <w:fldChar w:fldCharType="end"/>
      </w:r>
    </w:p>
    <w:p w14:paraId="4D5CF963" w14:textId="77777777" w:rsidR="00015B17" w:rsidRDefault="00015B17" w:rsidP="00015B17">
      <w:pPr>
        <w:suppressAutoHyphens/>
        <w:spacing w:line="360" w:lineRule="auto"/>
        <w:jc w:val="both"/>
        <w:rPr>
          <w:spacing w:val="-3"/>
        </w:rPr>
      </w:pPr>
    </w:p>
    <w:p w14:paraId="02D829D4" w14:textId="77777777" w:rsidR="00015B17" w:rsidRDefault="00015B17" w:rsidP="00015B17">
      <w:pPr>
        <w:suppressAutoHyphens/>
        <w:spacing w:line="360" w:lineRule="auto"/>
        <w:jc w:val="both"/>
        <w:rPr>
          <w:spacing w:val="-3"/>
        </w:rPr>
      </w:pPr>
      <w:r>
        <w:rPr>
          <w:spacing w:val="-3"/>
        </w:rPr>
        <w:tab/>
      </w:r>
    </w:p>
    <w:p w14:paraId="39C95BD8" w14:textId="77777777" w:rsidR="00015B17" w:rsidRDefault="00015B17" w:rsidP="00015B17">
      <w:pPr>
        <w:suppressAutoHyphens/>
        <w:spacing w:line="360" w:lineRule="auto"/>
        <w:rPr>
          <w:spacing w:val="-3"/>
        </w:rPr>
      </w:pPr>
      <w:r>
        <w:rPr>
          <w:spacing w:val="-3"/>
        </w:rPr>
        <w:tab/>
        <w:t xml:space="preserve">As mentioned in § 3, local equilibrium is often a good approximation for interface conditions during solidification of metals and alloys under casting conditions. Here we quantify the degree of nonequilibrium (interface supercooling) required to move an interface between a crystal and a melt at a given velocity. First we describe pure materials and then describe alloy effects focusing on the nonequilibrium incorporation of solute into a crystal </w:t>
      </w:r>
      <w:r w:rsidR="0074413E">
        <w:rPr>
          <w:spacing w:val="-3"/>
        </w:rPr>
        <w:t xml:space="preserve">growing at </w:t>
      </w:r>
      <w:r>
        <w:rPr>
          <w:spacing w:val="-3"/>
        </w:rPr>
        <w:t>high solidification velocity.</w:t>
      </w:r>
    </w:p>
    <w:p w14:paraId="7CD53F4A" w14:textId="77777777" w:rsidR="00015B17" w:rsidRDefault="00015B17" w:rsidP="00015B17">
      <w:pPr>
        <w:suppressAutoHyphens/>
        <w:spacing w:line="360" w:lineRule="auto"/>
        <w:rPr>
          <w:b/>
          <w:bCs/>
          <w:spacing w:val="-3"/>
        </w:rPr>
      </w:pPr>
    </w:p>
    <w:p w14:paraId="1BE9F837" w14:textId="07C5E9F1" w:rsidR="00015B17" w:rsidRDefault="00015B17" w:rsidP="00015B17">
      <w:pPr>
        <w:suppressAutoHyphens/>
        <w:spacing w:line="360" w:lineRule="auto"/>
        <w:rPr>
          <w:spacing w:val="-3"/>
        </w:rPr>
      </w:pPr>
      <w:r>
        <w:rPr>
          <w:b/>
          <w:bCs/>
          <w:spacing w:val="-3"/>
        </w:rPr>
        <w:t>5.1 Pure materials</w:t>
      </w:r>
    </w:p>
    <w:p w14:paraId="79E4130B" w14:textId="77777777" w:rsidR="00015B17" w:rsidRDefault="00015B17" w:rsidP="00015B17">
      <w:pPr>
        <w:suppressAutoHyphens/>
        <w:spacing w:line="360" w:lineRule="auto"/>
        <w:rPr>
          <w:spacing w:val="-3"/>
        </w:rPr>
      </w:pPr>
    </w:p>
    <w:p w14:paraId="3DBB8E9F" w14:textId="3BF76B71" w:rsidR="00015B17" w:rsidRDefault="00015B17" w:rsidP="00015B17">
      <w:pPr>
        <w:suppressAutoHyphens/>
        <w:spacing w:line="360" w:lineRule="auto"/>
        <w:rPr>
          <w:spacing w:val="-3"/>
        </w:rPr>
      </w:pPr>
      <w:r>
        <w:rPr>
          <w:spacing w:val="-3"/>
        </w:rPr>
        <w:tab/>
        <w:t xml:space="preserve">The nature of the </w:t>
      </w:r>
      <w:r w:rsidR="004201E7">
        <w:rPr>
          <w:spacing w:val="-3"/>
        </w:rPr>
        <w:t>L-S</w:t>
      </w:r>
      <w:r>
        <w:rPr>
          <w:spacing w:val="-3"/>
        </w:rPr>
        <w:t xml:space="preserve"> interface and the rate at which atoms join a crystal from the melt has a decisive influence on the kinetics and morphology of crystal growth. For solidification of a pure material, the parameter which governs the atomic or molecular attachment kinetics is the </w:t>
      </w:r>
      <w:r w:rsidRPr="0059109D">
        <w:rPr>
          <w:i/>
          <w:iCs/>
          <w:spacing w:val="-3"/>
        </w:rPr>
        <w:t>interface supercooling</w:t>
      </w:r>
      <w:r>
        <w:rPr>
          <w:spacing w:val="-3"/>
        </w:rPr>
        <w:t>,</w:t>
      </w:r>
      <w:r w:rsidR="00C25FB9">
        <w:rPr>
          <w:spacing w:val="-3"/>
        </w:rPr>
        <w:t xml:space="preserve"> </w:t>
      </w:r>
      <w:r w:rsidRPr="00CA77DB">
        <w:rPr>
          <w:i/>
          <w:iCs/>
          <w:spacing w:val="-3"/>
          <w:position w:val="-12"/>
        </w:rPr>
        <w:object w:dxaOrig="420" w:dyaOrig="360" w14:anchorId="4E402D8E">
          <v:shape id="_x0000_i1337" type="#_x0000_t75" style="width:20.55pt;height:17.75pt" o:ole="">
            <v:imagedata r:id="rId603" o:title=""/>
          </v:shape>
          <o:OLEObject Type="Embed" ProgID="Equation.DSMT4" ShapeID="_x0000_i1337" DrawAspect="Content" ObjectID="_1840626903" r:id="rId604"/>
        </w:object>
      </w:r>
      <w:r>
        <w:rPr>
          <w:spacing w:val="-3"/>
        </w:rPr>
        <w:t xml:space="preserve">, which is the difference between the thermodynamic melting point and the interface temperature. The dependence of </w:t>
      </w:r>
      <w:r w:rsidRPr="00CA77DB">
        <w:rPr>
          <w:i/>
          <w:iCs/>
          <w:spacing w:val="-3"/>
          <w:position w:val="-12"/>
        </w:rPr>
        <w:object w:dxaOrig="420" w:dyaOrig="360" w14:anchorId="0F20708A">
          <v:shape id="_x0000_i1338" type="#_x0000_t75" style="width:20.55pt;height:17.75pt" o:ole="">
            <v:imagedata r:id="rId603" o:title=""/>
          </v:shape>
          <o:OLEObject Type="Embed" ProgID="Equation.DSMT4" ShapeID="_x0000_i1338" DrawAspect="Content" ObjectID="_1840626904" r:id="rId605"/>
        </w:object>
      </w:r>
      <w:r>
        <w:rPr>
          <w:spacing w:val="-3"/>
        </w:rPr>
        <w:t xml:space="preserve"> on growth velocity is the subject of this section. Interface supercooling is a distinct topic from the topic of bulk supercooling and/or bulk supersaturation. Bulk supercooling is the difference between the thermodynamic melting point and the temperature in the liquid far away from the interface. The response to bulk supercooling is controlled by the transport of heat and solute by conduction/diffusion and/or convection in the liquid to be described in § 7 for dendritic growth. </w:t>
      </w:r>
    </w:p>
    <w:p w14:paraId="5F5B4CE4" w14:textId="77777777" w:rsidR="00015B17" w:rsidRDefault="00015B17" w:rsidP="00015B17">
      <w:pPr>
        <w:suppressAutoHyphens/>
        <w:spacing w:line="360" w:lineRule="auto"/>
        <w:rPr>
          <w:b/>
          <w:bCs/>
          <w:spacing w:val="-3"/>
        </w:rPr>
      </w:pPr>
      <w:r>
        <w:rPr>
          <w:spacing w:val="-3"/>
        </w:rPr>
        <w:t xml:space="preserve"> </w:t>
      </w:r>
      <w:r>
        <w:rPr>
          <w:spacing w:val="-3"/>
        </w:rPr>
        <w:tab/>
      </w:r>
    </w:p>
    <w:p w14:paraId="4CA1AC95" w14:textId="4EAC77D3" w:rsidR="00015B17" w:rsidRDefault="00015B17" w:rsidP="00015B17">
      <w:pPr>
        <w:suppressAutoHyphens/>
        <w:spacing w:line="360" w:lineRule="auto"/>
        <w:rPr>
          <w:spacing w:val="-3"/>
        </w:rPr>
      </w:pPr>
      <w:r>
        <w:rPr>
          <w:b/>
          <w:bCs/>
          <w:spacing w:val="-3"/>
        </w:rPr>
        <w:t>5.1.1 Interface Structure</w:t>
      </w:r>
    </w:p>
    <w:p w14:paraId="71669D3A" w14:textId="77777777" w:rsidR="00015B17" w:rsidRDefault="00015B17" w:rsidP="00015B17">
      <w:pPr>
        <w:suppressAutoHyphens/>
        <w:spacing w:line="360" w:lineRule="auto"/>
        <w:rPr>
          <w:spacing w:val="-3"/>
        </w:rPr>
      </w:pPr>
    </w:p>
    <w:p w14:paraId="08AAB6C1" w14:textId="14C6BBB6" w:rsidR="00015B17" w:rsidRDefault="00015B17" w:rsidP="00015B17">
      <w:pPr>
        <w:suppressAutoHyphens/>
        <w:spacing w:line="360" w:lineRule="auto"/>
        <w:rPr>
          <w:spacing w:val="-3"/>
        </w:rPr>
      </w:pPr>
      <w:r>
        <w:rPr>
          <w:spacing w:val="-3"/>
        </w:rPr>
        <w:tab/>
        <w:t xml:space="preserve">There are two approaches involved in the description of the transition in order from a liquid to a crystal across an interface. In the first, atoms are considered to belong to either the crystal or the liquid and the interface is considered to be a </w:t>
      </w:r>
      <w:r w:rsidRPr="007B5F96">
        <w:rPr>
          <w:i/>
          <w:spacing w:val="-3"/>
        </w:rPr>
        <w:t>sharp</w:t>
      </w:r>
      <w:r>
        <w:rPr>
          <w:i/>
          <w:spacing w:val="-3"/>
        </w:rPr>
        <w:t xml:space="preserve"> interface</w:t>
      </w:r>
      <w:r>
        <w:rPr>
          <w:spacing w:val="-3"/>
        </w:rPr>
        <w:t xml:space="preserve">. The geometry of the surface that separates the two types of atoms may be smooth or meandering on an atomic scale. The former is called a facetted interface while the </w:t>
      </w:r>
      <w:r w:rsidR="00E2394F">
        <w:rPr>
          <w:spacing w:val="-3"/>
        </w:rPr>
        <w:t>latter</w:t>
      </w:r>
      <w:r>
        <w:rPr>
          <w:spacing w:val="-3"/>
        </w:rPr>
        <w:t xml:space="preserve"> is called a rough </w:t>
      </w:r>
      <w:r>
        <w:rPr>
          <w:spacing w:val="-3"/>
        </w:rPr>
        <w:lastRenderedPageBreak/>
        <w:t>interface. In either case the atomic position of atoms in the crystal at the interface are considered to be in perfect crystallographic positions. The second approach includes the additional possibility of a gradual transition in atomic position from the randomness associated with a liquid to the perfect registry of the crystal. Th</w:t>
      </w:r>
      <w:r w:rsidR="0074413E">
        <w:rPr>
          <w:spacing w:val="-3"/>
        </w:rPr>
        <w:t>e</w:t>
      </w:r>
      <w:r>
        <w:rPr>
          <w:spacing w:val="-3"/>
        </w:rPr>
        <w:t xml:space="preserve"> </w:t>
      </w:r>
      <w:r w:rsidR="00E2394F">
        <w:rPr>
          <w:spacing w:val="-3"/>
        </w:rPr>
        <w:t>latter</w:t>
      </w:r>
      <w:r>
        <w:rPr>
          <w:spacing w:val="-3"/>
        </w:rPr>
        <w:t xml:space="preserve"> is called a </w:t>
      </w:r>
      <w:r>
        <w:rPr>
          <w:i/>
          <w:iCs/>
          <w:spacing w:val="-3"/>
        </w:rPr>
        <w:t>diffuse interface</w:t>
      </w:r>
      <w:r>
        <w:rPr>
          <w:spacing w:val="-3"/>
        </w:rPr>
        <w:t>.</w:t>
      </w:r>
    </w:p>
    <w:p w14:paraId="1831C72F" w14:textId="77777777" w:rsidR="00015B17" w:rsidRDefault="00015B17" w:rsidP="00015B17">
      <w:pPr>
        <w:suppressAutoHyphens/>
        <w:spacing w:line="360" w:lineRule="auto"/>
        <w:rPr>
          <w:spacing w:val="-3"/>
        </w:rPr>
      </w:pPr>
      <w:r>
        <w:rPr>
          <w:spacing w:val="-3"/>
        </w:rPr>
        <w:t xml:space="preserve">  </w:t>
      </w:r>
    </w:p>
    <w:p w14:paraId="48B30AF9" w14:textId="77777777" w:rsidR="00015B17" w:rsidRDefault="00015B17" w:rsidP="00015B17">
      <w:pPr>
        <w:suppressAutoHyphens/>
        <w:spacing w:line="360" w:lineRule="auto"/>
        <w:rPr>
          <w:spacing w:val="-3"/>
        </w:rPr>
      </w:pPr>
      <w:r>
        <w:rPr>
          <w:spacing w:val="-3"/>
        </w:rPr>
        <w:tab/>
      </w:r>
      <w:smartTag w:uri="urn:schemas-microsoft-com:office:smarttags" w:element="place">
        <w:smartTag w:uri="urn:schemas-microsoft-com:office:smarttags" w:element="City">
          <w:r>
            <w:rPr>
              <w:spacing w:val="-3"/>
            </w:rPr>
            <w:t>JACKSON</w:t>
          </w:r>
        </w:smartTag>
      </w:smartTag>
      <w:r>
        <w:rPr>
          <w:spacing w:val="-3"/>
        </w:rPr>
        <w:t xml:space="preserve"> [1958] has considered a sharp interface model and estimate</w:t>
      </w:r>
      <w:r w:rsidR="0074413E">
        <w:rPr>
          <w:spacing w:val="-3"/>
        </w:rPr>
        <w:t>d</w:t>
      </w:r>
      <w:r>
        <w:rPr>
          <w:spacing w:val="-3"/>
        </w:rPr>
        <w:t xml:space="preserve"> the conditions when a facetted or a rough interface will occur between liquid and solid. Using a near-neighbor bond model and assuming that a random arrangement of atoms</w:t>
      </w:r>
      <w:r w:rsidR="00B954F4">
        <w:rPr>
          <w:spacing w:val="-3"/>
        </w:rPr>
        <w:t xml:space="preserve"> in the liquid</w:t>
      </w:r>
      <w:r>
        <w:rPr>
          <w:spacing w:val="-3"/>
        </w:rPr>
        <w:t xml:space="preserve"> are added to an atomically planar crystal surface, he obtained an expression for the change in free energy as a function of the fraction, </w:t>
      </w:r>
      <w:r w:rsidRPr="00CA77DB">
        <w:rPr>
          <w:spacing w:val="-3"/>
          <w:position w:val="-6"/>
        </w:rPr>
        <w:object w:dxaOrig="200" w:dyaOrig="220" w14:anchorId="6A8A0A57">
          <v:shape id="_x0000_i1339" type="#_x0000_t75" style="width:10.3pt;height:10.3pt" o:ole="">
            <v:imagedata r:id="rId606" o:title=""/>
          </v:shape>
          <o:OLEObject Type="Embed" ProgID="Equation.DSMT4" ShapeID="_x0000_i1339" DrawAspect="Content" ObjectID="_1840626905" r:id="rId607"/>
        </w:object>
      </w:r>
      <w:r>
        <w:rPr>
          <w:spacing w:val="-3"/>
        </w:rPr>
        <w:t>, of the possible sites occupied by "added solid atoms" as</w:t>
      </w:r>
    </w:p>
    <w:p w14:paraId="17B8D571" w14:textId="77777777" w:rsidR="00015B17" w:rsidRDefault="00015B17" w:rsidP="00015B17">
      <w:pPr>
        <w:suppressAutoHyphens/>
        <w:spacing w:line="360" w:lineRule="auto"/>
        <w:jc w:val="both"/>
        <w:rPr>
          <w:spacing w:val="-3"/>
        </w:rPr>
      </w:pPr>
    </w:p>
    <w:p w14:paraId="28E10181" w14:textId="77777777" w:rsidR="00015B17" w:rsidRPr="00087E69" w:rsidRDefault="00015B17" w:rsidP="00015B17">
      <w:pPr>
        <w:suppressAutoHyphens/>
        <w:spacing w:line="360" w:lineRule="auto"/>
        <w:jc w:val="center"/>
        <w:rPr>
          <w:spacing w:val="-2"/>
        </w:rPr>
      </w:pPr>
      <w:r w:rsidRPr="00CA77DB">
        <w:rPr>
          <w:spacing w:val="-2"/>
          <w:position w:val="-30"/>
        </w:rPr>
        <w:object w:dxaOrig="4099" w:dyaOrig="680" w14:anchorId="4CBB8BE3">
          <v:shape id="_x0000_i1340" type="#_x0000_t75" style="width:205.7pt;height:33.65pt" o:ole="">
            <v:imagedata r:id="rId608" o:title=""/>
          </v:shape>
          <o:OLEObject Type="Embed" ProgID="Equation.DSMT4" ShapeID="_x0000_i1340" DrawAspect="Content" ObjectID="_1840626906" r:id="rId609"/>
        </w:object>
      </w:r>
      <w:r>
        <w:rPr>
          <w:spacing w:val="-2"/>
        </w:rPr>
        <w:tab/>
      </w:r>
      <w:r w:rsidR="006E6FC2">
        <w:rPr>
          <w:spacing w:val="-2"/>
        </w:rPr>
        <w:t>,</w:t>
      </w:r>
      <w:r>
        <w:rPr>
          <w:spacing w:val="-2"/>
        </w:rPr>
        <w:tab/>
        <w:t>(</w:t>
      </w:r>
      <w:r w:rsidRPr="00087E69">
        <w:rPr>
          <w:spacing w:val="-2"/>
        </w:rPr>
        <w:t>5.1</w:t>
      </w:r>
      <w:r>
        <w:rPr>
          <w:spacing w:val="-2"/>
        </w:rPr>
        <w:t>)</w:t>
      </w:r>
    </w:p>
    <w:p w14:paraId="5B038735" w14:textId="77777777" w:rsidR="00015B17" w:rsidRPr="00103339" w:rsidRDefault="00015B17" w:rsidP="00015B17">
      <w:pPr>
        <w:suppressAutoHyphens/>
        <w:spacing w:line="360" w:lineRule="auto"/>
        <w:jc w:val="both"/>
        <w:rPr>
          <w:spacing w:val="-3"/>
        </w:rPr>
      </w:pPr>
      <w:r>
        <w:rPr>
          <w:spacing w:val="-3"/>
        </w:rPr>
        <w:t>where</w:t>
      </w:r>
    </w:p>
    <w:p w14:paraId="3166D1D3" w14:textId="77777777" w:rsidR="00015B17" w:rsidRDefault="00015B17" w:rsidP="00015B17">
      <w:pPr>
        <w:suppressAutoHyphens/>
        <w:spacing w:line="360" w:lineRule="auto"/>
        <w:jc w:val="both"/>
        <w:rPr>
          <w:spacing w:val="-3"/>
        </w:rPr>
      </w:pPr>
    </w:p>
    <w:p w14:paraId="508C4FC3" w14:textId="77777777" w:rsidR="00015B17" w:rsidRDefault="00C25FB9" w:rsidP="00015B17">
      <w:pPr>
        <w:suppressAutoHyphens/>
        <w:spacing w:line="360" w:lineRule="auto"/>
        <w:jc w:val="center"/>
        <w:rPr>
          <w:spacing w:val="-2"/>
        </w:rPr>
      </w:pPr>
      <w:r w:rsidRPr="00C25FB9">
        <w:rPr>
          <w:spacing w:val="-2"/>
          <w:position w:val="-32"/>
        </w:rPr>
        <w:object w:dxaOrig="1460" w:dyaOrig="760" w14:anchorId="51F26CF7">
          <v:shape id="_x0000_i1341" type="#_x0000_t75" style="width:72.95pt;height:38.35pt" o:ole="">
            <v:imagedata r:id="rId610" o:title=""/>
          </v:shape>
          <o:OLEObject Type="Embed" ProgID="Equation.DSMT4" ShapeID="_x0000_i1341" DrawAspect="Content" ObjectID="_1840626907" r:id="rId611"/>
        </w:object>
      </w:r>
      <w:r w:rsidR="006E6FC2">
        <w:rPr>
          <w:spacing w:val="-2"/>
        </w:rPr>
        <w:t>,</w:t>
      </w:r>
      <w:r w:rsidR="00015B17">
        <w:rPr>
          <w:spacing w:val="-2"/>
        </w:rPr>
        <w:tab/>
        <w:t>(</w:t>
      </w:r>
      <w:r w:rsidR="00015B17" w:rsidRPr="00087E69">
        <w:rPr>
          <w:spacing w:val="-2"/>
        </w:rPr>
        <w:t>5.</w:t>
      </w:r>
      <w:r w:rsidR="00015B17">
        <w:rPr>
          <w:spacing w:val="-2"/>
        </w:rPr>
        <w:t>2)</w:t>
      </w:r>
    </w:p>
    <w:p w14:paraId="31DCC9F3" w14:textId="77777777" w:rsidR="00015B17" w:rsidRDefault="00015B17" w:rsidP="00015B17">
      <w:pPr>
        <w:suppressAutoHyphens/>
        <w:spacing w:line="360" w:lineRule="auto"/>
        <w:jc w:val="center"/>
        <w:rPr>
          <w:spacing w:val="-3"/>
        </w:rPr>
      </w:pPr>
    </w:p>
    <w:p w14:paraId="7E3C4E82" w14:textId="77777777" w:rsidR="00015B17" w:rsidRDefault="00015B17" w:rsidP="00015B17">
      <w:pPr>
        <w:suppressAutoHyphens/>
        <w:spacing w:line="360" w:lineRule="auto"/>
        <w:rPr>
          <w:spacing w:val="-3"/>
        </w:rPr>
      </w:pPr>
      <w:r>
        <w:rPr>
          <w:iCs/>
          <w:spacing w:val="-3"/>
        </w:rPr>
        <w:t>and w</w:t>
      </w:r>
      <w:r w:rsidRPr="00B21A1B">
        <w:rPr>
          <w:iCs/>
          <w:spacing w:val="-3"/>
        </w:rPr>
        <w:t xml:space="preserve">here </w:t>
      </w:r>
      <w:r>
        <w:rPr>
          <w:i/>
          <w:iCs/>
          <w:spacing w:val="-3"/>
        </w:rPr>
        <w:t>R</w:t>
      </w:r>
      <w:r>
        <w:rPr>
          <w:spacing w:val="-3"/>
        </w:rPr>
        <w:t xml:space="preserve"> is the gas constant, </w:t>
      </w:r>
      <w:r>
        <w:rPr>
          <w:i/>
          <w:iCs/>
          <w:spacing w:val="-3"/>
        </w:rPr>
        <w:t>L</w:t>
      </w:r>
      <w:r w:rsidRPr="00727E8A">
        <w:rPr>
          <w:spacing w:val="-3"/>
          <w:sz w:val="26"/>
          <w:vertAlign w:val="subscript"/>
        </w:rPr>
        <w:t xml:space="preserve">m </w:t>
      </w:r>
      <w:r>
        <w:rPr>
          <w:spacing w:val="-3"/>
        </w:rPr>
        <w:t xml:space="preserve">the molar latent heat and </w:t>
      </w:r>
      <w:r>
        <w:rPr>
          <w:i/>
          <w:iCs/>
          <w:spacing w:val="-3"/>
        </w:rPr>
        <w:t>ξ</w:t>
      </w:r>
      <w:r>
        <w:rPr>
          <w:spacing w:val="-3"/>
        </w:rPr>
        <w:t xml:space="preserve"> is a factor depending on the crystallography of the interface. This factor is always less than unity, is usually greater than 0.5 and is largest for close-packed planes. This theory has been successfully used to classify and categorize growth morphologies (</w:t>
      </w:r>
      <w:smartTag w:uri="urn:schemas-microsoft-com:office:smarttags" w:element="City">
        <w:smartTag w:uri="urn:schemas-microsoft-com:office:smarttags" w:element="place">
          <w:r>
            <w:rPr>
              <w:spacing w:val="-3"/>
            </w:rPr>
            <w:t>JACKSON</w:t>
          </w:r>
        </w:smartTag>
      </w:smartTag>
      <w:r>
        <w:rPr>
          <w:spacing w:val="-3"/>
        </w:rPr>
        <w:t xml:space="preserve"> [1971]). When</w:t>
      </w:r>
      <w:r>
        <w:rPr>
          <w:i/>
          <w:iCs/>
          <w:spacing w:val="-3"/>
        </w:rPr>
        <w:t xml:space="preserve"> α</w:t>
      </w:r>
      <w:r w:rsidRPr="00883A53">
        <w:rPr>
          <w:spacing w:val="-3"/>
          <w:sz w:val="26"/>
          <w:vertAlign w:val="superscript"/>
        </w:rPr>
        <w:t>*</w:t>
      </w:r>
      <w:r>
        <w:rPr>
          <w:spacing w:val="-3"/>
        </w:rPr>
        <w:t xml:space="preserve"> &lt; 2, the minimum value of </w:t>
      </w:r>
      <w:r>
        <w:rPr>
          <w:i/>
          <w:iCs/>
          <w:spacing w:val="-3"/>
        </w:rPr>
        <w:t>ΔG</w:t>
      </w:r>
      <w:r>
        <w:rPr>
          <w:spacing w:val="-3"/>
        </w:rPr>
        <w:t xml:space="preserve"> occurs at</w:t>
      </w:r>
      <w:r w:rsidRPr="00D12965">
        <w:rPr>
          <w:spacing w:val="-3"/>
          <w:position w:val="-6"/>
        </w:rPr>
        <w:object w:dxaOrig="780" w:dyaOrig="279" w14:anchorId="5C4B0FFA">
          <v:shape id="_x0000_i1342" type="#_x0000_t75" style="width:40.2pt;height:14.05pt" o:ole="">
            <v:imagedata r:id="rId612" o:title=""/>
          </v:shape>
          <o:OLEObject Type="Embed" ProgID="Equation.DSMT4" ShapeID="_x0000_i1342" DrawAspect="Content" ObjectID="_1840626908" r:id="rId613"/>
        </w:object>
      </w:r>
      <w:r>
        <w:rPr>
          <w:spacing w:val="-3"/>
        </w:rPr>
        <w:t xml:space="preserve">; i.e., when half the sites are full. This represents a rough interface. In these circumstances, from a more macroscopic point of view the </w:t>
      </w:r>
      <w:r w:rsidR="004201E7">
        <w:rPr>
          <w:spacing w:val="-3"/>
        </w:rPr>
        <w:t>L-S</w:t>
      </w:r>
      <w:r>
        <w:rPr>
          <w:spacing w:val="-3"/>
        </w:rPr>
        <w:t xml:space="preserve"> interface is, in general, non-faceted and may exhibit smooth changes in orientation on a scale larger than atomic dimensions.  When </w:t>
      </w:r>
      <w:r>
        <w:rPr>
          <w:i/>
          <w:iCs/>
          <w:spacing w:val="-3"/>
        </w:rPr>
        <w:t>α</w:t>
      </w:r>
      <w:r w:rsidRPr="00883A53">
        <w:rPr>
          <w:spacing w:val="-3"/>
          <w:sz w:val="26"/>
          <w:vertAlign w:val="superscript"/>
        </w:rPr>
        <w:t>*</w:t>
      </w:r>
      <w:r>
        <w:rPr>
          <w:spacing w:val="-3"/>
        </w:rPr>
        <w:t xml:space="preserve"> &gt; 2, minima in </w:t>
      </w:r>
      <w:r w:rsidRPr="003533E5">
        <w:rPr>
          <w:spacing w:val="-3"/>
          <w:position w:val="-12"/>
        </w:rPr>
        <w:object w:dxaOrig="940" w:dyaOrig="380" w14:anchorId="46B0D844">
          <v:shape id="_x0000_i1343" type="#_x0000_t75" style="width:46.75pt;height:18.7pt" o:ole="">
            <v:imagedata r:id="rId614" o:title=""/>
          </v:shape>
          <o:OLEObject Type="Embed" ProgID="Equation.DSMT4" ShapeID="_x0000_i1343" DrawAspect="Content" ObjectID="_1840626909" r:id="rId615"/>
        </w:object>
      </w:r>
      <w:r>
        <w:rPr>
          <w:spacing w:val="-3"/>
        </w:rPr>
        <w:t xml:space="preserve"> occur at two values of </w:t>
      </w:r>
      <w:r w:rsidRPr="003533E5">
        <w:rPr>
          <w:spacing w:val="-3"/>
          <w:position w:val="-6"/>
        </w:rPr>
        <w:object w:dxaOrig="200" w:dyaOrig="220" w14:anchorId="09657881">
          <v:shape id="_x0000_i1344" type="#_x0000_t75" style="width:10.3pt;height:10.3pt" o:ole="">
            <v:imagedata r:id="rId616" o:title=""/>
          </v:shape>
          <o:OLEObject Type="Embed" ProgID="Equation.DSMT4" ShapeID="_x0000_i1344" DrawAspect="Content" ObjectID="_1840626910" r:id="rId617"/>
        </w:object>
      </w:r>
      <w:r>
        <w:rPr>
          <w:spacing w:val="-3"/>
        </w:rPr>
        <w:t>, one near zero and one near unity indicating an interfacial layer with mostly empty site</w:t>
      </w:r>
      <w:r w:rsidR="00B954F4">
        <w:rPr>
          <w:spacing w:val="-3"/>
        </w:rPr>
        <w:t>s</w:t>
      </w:r>
      <w:r>
        <w:rPr>
          <w:spacing w:val="-3"/>
        </w:rPr>
        <w:t xml:space="preserve"> or mostly full sites. This represents a smooth (facetted) interface. Planes that are not close-packed have </w:t>
      </w:r>
      <w:r>
        <w:rPr>
          <w:spacing w:val="-3"/>
        </w:rPr>
        <w:lastRenderedPageBreak/>
        <w:t xml:space="preserve">smaller values of </w:t>
      </w:r>
      <w:r>
        <w:rPr>
          <w:i/>
          <w:iCs/>
          <w:spacing w:val="-3"/>
        </w:rPr>
        <w:t>ξ</w:t>
      </w:r>
      <w:r>
        <w:rPr>
          <w:spacing w:val="-3"/>
        </w:rPr>
        <w:t xml:space="preserve"> and thus for some materials, can exhibit roughness while close-packed planes may be facetted.</w:t>
      </w:r>
    </w:p>
    <w:p w14:paraId="6A9CCC42" w14:textId="77777777" w:rsidR="00015B17" w:rsidRDefault="00015B17" w:rsidP="00015B17">
      <w:pPr>
        <w:suppressAutoHyphens/>
        <w:spacing w:line="360" w:lineRule="auto"/>
        <w:rPr>
          <w:spacing w:val="-3"/>
        </w:rPr>
      </w:pPr>
    </w:p>
    <w:p w14:paraId="1C54E3B5" w14:textId="74CD492E" w:rsidR="00015B17" w:rsidRDefault="00015B17" w:rsidP="00015B17">
      <w:pPr>
        <w:suppressAutoHyphens/>
        <w:spacing w:line="360" w:lineRule="auto"/>
        <w:rPr>
          <w:spacing w:val="-3"/>
        </w:rPr>
      </w:pPr>
      <w:r>
        <w:rPr>
          <w:spacing w:val="-3"/>
        </w:rPr>
        <w:tab/>
        <w:t>Another approach to interface roughness comes from the consideration of how thermal vibrations affect the surface energy of a</w:t>
      </w:r>
      <w:r w:rsidR="00A314F8">
        <w:rPr>
          <w:spacing w:val="-3"/>
        </w:rPr>
        <w:t>n</w:t>
      </w:r>
      <w:r>
        <w:rPr>
          <w:spacing w:val="-3"/>
        </w:rPr>
        <w:t xml:space="preserve"> atomic step on an otherwise facetted interface (CHERNOV [1984]). It is found that the step energy vanishes when </w:t>
      </w:r>
      <w:r>
        <w:rPr>
          <w:i/>
          <w:iCs/>
          <w:spacing w:val="-3"/>
        </w:rPr>
        <w:t>L</w:t>
      </w:r>
      <w:r w:rsidRPr="00727E8A">
        <w:rPr>
          <w:spacing w:val="-3"/>
          <w:sz w:val="26"/>
          <w:vertAlign w:val="subscript"/>
        </w:rPr>
        <w:t>m</w:t>
      </w:r>
      <w:r>
        <w:rPr>
          <w:spacing w:val="-3"/>
        </w:rPr>
        <w:t>/</w:t>
      </w:r>
      <w:r>
        <w:rPr>
          <w:i/>
          <w:iCs/>
          <w:spacing w:val="-3"/>
        </w:rPr>
        <w:t>RT</w:t>
      </w:r>
      <w:r w:rsidRPr="00727E8A">
        <w:rPr>
          <w:spacing w:val="-3"/>
          <w:sz w:val="26"/>
          <w:vertAlign w:val="subscript"/>
        </w:rPr>
        <w:t>m</w:t>
      </w:r>
      <w:r>
        <w:rPr>
          <w:spacing w:val="-3"/>
        </w:rPr>
        <w:t xml:space="preserve"> falls below a critical value of order unity. When the step energy goes to zero there is no barrier to surface roughening. This analysis gives the same qualitative result as </w:t>
      </w:r>
      <w:smartTag w:uri="urn:schemas-microsoft-com:office:smarttags" w:element="place">
        <w:smartTag w:uri="urn:schemas-microsoft-com:office:smarttags" w:element="City">
          <w:r>
            <w:rPr>
              <w:spacing w:val="-3"/>
            </w:rPr>
            <w:t>Jackson</w:t>
          </w:r>
        </w:smartTag>
      </w:smartTag>
      <w:r>
        <w:rPr>
          <w:spacing w:val="-3"/>
        </w:rPr>
        <w:t xml:space="preserve">'s approach. Various statistical multilevel models of interface structure and </w:t>
      </w:r>
      <w:smartTag w:uri="urn:schemas-microsoft-com:office:smarttags" w:element="place">
        <w:r>
          <w:rPr>
            <w:spacing w:val="-3"/>
          </w:rPr>
          <w:t>Monte Carlo</w:t>
        </w:r>
      </w:smartTag>
      <w:r>
        <w:rPr>
          <w:spacing w:val="-3"/>
        </w:rPr>
        <w:t xml:space="preserve"> simulations (TEMKIN [1964, 1969], LEAMY and JACKSON [1971], JACKSON [1974]) also indicate the importance of the ratio </w:t>
      </w:r>
      <w:r>
        <w:rPr>
          <w:i/>
          <w:iCs/>
          <w:spacing w:val="-3"/>
        </w:rPr>
        <w:t>L</w:t>
      </w:r>
      <w:r w:rsidRPr="00727E8A">
        <w:rPr>
          <w:spacing w:val="-3"/>
          <w:sz w:val="26"/>
          <w:vertAlign w:val="subscript"/>
        </w:rPr>
        <w:t>m</w:t>
      </w:r>
      <w:r>
        <w:rPr>
          <w:spacing w:val="-3"/>
        </w:rPr>
        <w:t>/</w:t>
      </w:r>
      <w:r>
        <w:rPr>
          <w:i/>
          <w:iCs/>
          <w:spacing w:val="-3"/>
        </w:rPr>
        <w:t>RT</w:t>
      </w:r>
      <w:r w:rsidRPr="00727E8A">
        <w:rPr>
          <w:spacing w:val="-3"/>
          <w:sz w:val="26"/>
          <w:vertAlign w:val="subscript"/>
        </w:rPr>
        <w:t>m</w:t>
      </w:r>
      <w:r>
        <w:rPr>
          <w:spacing w:val="-3"/>
        </w:rPr>
        <w:t xml:space="preserve">. A common feature of all these models is that the roughness of the interface increases with decreasing </w:t>
      </w:r>
      <w:r>
        <w:rPr>
          <w:i/>
          <w:iCs/>
          <w:spacing w:val="-3"/>
        </w:rPr>
        <w:t>L</w:t>
      </w:r>
      <w:r w:rsidRPr="00727E8A">
        <w:rPr>
          <w:spacing w:val="-3"/>
          <w:sz w:val="26"/>
          <w:vertAlign w:val="subscript"/>
        </w:rPr>
        <w:t>m</w:t>
      </w:r>
      <w:r>
        <w:rPr>
          <w:spacing w:val="-3"/>
        </w:rPr>
        <w:t>/</w:t>
      </w:r>
      <w:r>
        <w:rPr>
          <w:i/>
          <w:iCs/>
          <w:spacing w:val="-3"/>
        </w:rPr>
        <w:t>RT</w:t>
      </w:r>
      <w:r w:rsidRPr="00727E8A">
        <w:rPr>
          <w:spacing w:val="-3"/>
          <w:sz w:val="26"/>
          <w:vertAlign w:val="subscript"/>
        </w:rPr>
        <w:t>m</w:t>
      </w:r>
      <w:r>
        <w:rPr>
          <w:spacing w:val="-3"/>
        </w:rPr>
        <w:t xml:space="preserve">. Fig. 5.1 shows simulations of an interface at several values of </w:t>
      </w:r>
      <w:r>
        <w:rPr>
          <w:i/>
          <w:iCs/>
          <w:spacing w:val="-3"/>
        </w:rPr>
        <w:t>L</w:t>
      </w:r>
      <w:r w:rsidRPr="00727E8A">
        <w:rPr>
          <w:i/>
          <w:iCs/>
          <w:spacing w:val="-3"/>
          <w:sz w:val="26"/>
          <w:vertAlign w:val="subscript"/>
        </w:rPr>
        <w:t>m</w:t>
      </w:r>
      <w:r>
        <w:rPr>
          <w:i/>
          <w:iCs/>
          <w:spacing w:val="-3"/>
        </w:rPr>
        <w:t>/RT</w:t>
      </w:r>
      <w:r w:rsidRPr="00727E8A">
        <w:rPr>
          <w:i/>
          <w:iCs/>
          <w:spacing w:val="-3"/>
          <w:sz w:val="26"/>
          <w:vertAlign w:val="subscript"/>
        </w:rPr>
        <w:t>m</w:t>
      </w:r>
      <w:r>
        <w:rPr>
          <w:spacing w:val="-3"/>
        </w:rPr>
        <w:t xml:space="preserve"> (LEAMY and GILMER [1974]).</w:t>
      </w:r>
    </w:p>
    <w:p w14:paraId="7FB06786" w14:textId="77777777" w:rsidR="00015B17" w:rsidRDefault="00015B17" w:rsidP="00015B17">
      <w:pPr>
        <w:suppressAutoHyphens/>
        <w:spacing w:line="360" w:lineRule="auto"/>
        <w:rPr>
          <w:spacing w:val="-3"/>
        </w:rPr>
      </w:pPr>
    </w:p>
    <w:p w14:paraId="2D80788A" w14:textId="027D5251" w:rsidR="00015B17" w:rsidRDefault="00015B17" w:rsidP="00015B17">
      <w:pPr>
        <w:suppressAutoHyphens/>
        <w:spacing w:line="360" w:lineRule="auto"/>
        <w:rPr>
          <w:spacing w:val="-3"/>
        </w:rPr>
      </w:pPr>
      <w:r>
        <w:rPr>
          <w:spacing w:val="-3"/>
        </w:rPr>
        <w:tab/>
        <w:t xml:space="preserve">As mentioned in the </w:t>
      </w:r>
      <w:r w:rsidR="00C25FB9">
        <w:rPr>
          <w:spacing w:val="-3"/>
        </w:rPr>
        <w:t>§</w:t>
      </w:r>
      <w:r>
        <w:rPr>
          <w:spacing w:val="-3"/>
        </w:rPr>
        <w:t xml:space="preserve"> 4 on nucleation, molecular dynamics simulations have been used to model interface structure. Simulations show that the transition between liquid and solid for a material with a Lennard-Jones interatomic potential takes place over several atomic layers (BROUGHTON </w:t>
      </w:r>
      <w:r>
        <w:rPr>
          <w:i/>
          <w:iCs/>
          <w:spacing w:val="-3"/>
        </w:rPr>
        <w:t>et al.</w:t>
      </w:r>
      <w:r>
        <w:rPr>
          <w:spacing w:val="-3"/>
        </w:rPr>
        <w:t xml:space="preserve"> [1981]). This potential approximates non-directional metallic-like bonding. Fig. 5.2 shows the calculated structure of successive (111) layers between the liquid and crystal. </w:t>
      </w:r>
    </w:p>
    <w:p w14:paraId="349D1F86" w14:textId="77777777" w:rsidR="00015B17" w:rsidRDefault="00015B17" w:rsidP="00015B17">
      <w:pPr>
        <w:suppressAutoHyphens/>
        <w:spacing w:line="360" w:lineRule="auto"/>
        <w:rPr>
          <w:spacing w:val="-3"/>
        </w:rPr>
      </w:pPr>
    </w:p>
    <w:p w14:paraId="0ACF25E9" w14:textId="77777777" w:rsidR="00015B17" w:rsidRDefault="00015B17" w:rsidP="00015B17">
      <w:pPr>
        <w:suppressAutoHyphens/>
        <w:spacing w:line="360" w:lineRule="auto"/>
        <w:rPr>
          <w:spacing w:val="-3"/>
        </w:rPr>
      </w:pPr>
      <w:r>
        <w:rPr>
          <w:spacing w:val="-3"/>
        </w:rPr>
        <w:t xml:space="preserve"> </w:t>
      </w:r>
      <w:r>
        <w:rPr>
          <w:spacing w:val="-3"/>
        </w:rPr>
        <w:tab/>
        <w:t>In another technique, density functional theory, superposition of ordering waves is employed to represent the local atomic density (OXTOBY and HAYMET [1982]). This method also shows the interface to be several atom layers thick as sketched in Fig. 3.5</w:t>
      </w:r>
      <w:r w:rsidR="00190A3A">
        <w:rPr>
          <w:spacing w:val="-3"/>
        </w:rPr>
        <w:t>.</w:t>
      </w:r>
      <w:r>
        <w:rPr>
          <w:spacing w:val="-3"/>
        </w:rPr>
        <w:t xml:space="preserve"> The expansion relating the free energy to the local density uses order parameters that describe the amplitude of the ordering waves through the interfacial region. This is a generalization of the gradient energy approach of CAHN [1960] except that liquid structure factor data are used to determine the interface thickness and gradient energy coefficient.</w:t>
      </w:r>
    </w:p>
    <w:p w14:paraId="47EE0109" w14:textId="77777777" w:rsidR="00015B17" w:rsidRDefault="00015B17" w:rsidP="00015B17">
      <w:pPr>
        <w:suppressAutoHyphens/>
        <w:spacing w:line="360" w:lineRule="auto"/>
        <w:rPr>
          <w:spacing w:val="-3"/>
        </w:rPr>
      </w:pPr>
    </w:p>
    <w:p w14:paraId="10AA8240" w14:textId="1CCB906B" w:rsidR="00015B17" w:rsidRPr="009A3585" w:rsidRDefault="00015B17" w:rsidP="00015B17">
      <w:pPr>
        <w:suppressAutoHyphens/>
        <w:spacing w:line="360" w:lineRule="auto"/>
        <w:rPr>
          <w:spacing w:val="-3"/>
        </w:rPr>
      </w:pPr>
      <w:r>
        <w:rPr>
          <w:color w:val="FF0000"/>
          <w:spacing w:val="-3"/>
        </w:rPr>
        <w:tab/>
      </w:r>
      <w:r w:rsidRPr="009A3585">
        <w:rPr>
          <w:spacing w:val="-3"/>
        </w:rPr>
        <w:t xml:space="preserve">Whether a sharp or diffuse interface model is used, a facetted interface must grow by layer or lateral growth. In contrast </w:t>
      </w:r>
      <w:r w:rsidR="0074413E">
        <w:rPr>
          <w:spacing w:val="-3"/>
        </w:rPr>
        <w:t>L-S</w:t>
      </w:r>
      <w:r w:rsidRPr="009A3585">
        <w:rPr>
          <w:spacing w:val="-3"/>
        </w:rPr>
        <w:t xml:space="preserve"> interfaces that are rough can grow by continuous </w:t>
      </w:r>
      <w:r w:rsidRPr="009A3585">
        <w:rPr>
          <w:spacing w:val="-3"/>
        </w:rPr>
        <w:lastRenderedPageBreak/>
        <w:t>growth because there are so many sites for easy attachment. As we see below continuous growth is faster than faceted growth</w:t>
      </w:r>
      <w:r>
        <w:rPr>
          <w:spacing w:val="-3"/>
        </w:rPr>
        <w:t xml:space="preserve"> at the same level of interface supercooling.</w:t>
      </w:r>
      <w:r w:rsidRPr="009A3585">
        <w:rPr>
          <w:spacing w:val="-3"/>
        </w:rPr>
        <w:t xml:space="preserve"> </w:t>
      </w:r>
    </w:p>
    <w:p w14:paraId="78538BC4" w14:textId="77777777" w:rsidR="00015B17" w:rsidRDefault="00015B17" w:rsidP="00015B17">
      <w:pPr>
        <w:suppressAutoHyphens/>
        <w:spacing w:line="360" w:lineRule="auto"/>
        <w:rPr>
          <w:spacing w:val="-3"/>
        </w:rPr>
      </w:pPr>
    </w:p>
    <w:p w14:paraId="3825D916" w14:textId="497DB91C" w:rsidR="00015B17" w:rsidRDefault="00015B17" w:rsidP="00015B17">
      <w:pPr>
        <w:suppressAutoHyphens/>
        <w:spacing w:line="360" w:lineRule="auto"/>
        <w:rPr>
          <w:spacing w:val="-3"/>
        </w:rPr>
      </w:pPr>
      <w:r>
        <w:rPr>
          <w:b/>
          <w:bCs/>
          <w:spacing w:val="-3"/>
        </w:rPr>
        <w:t>5.1.2 Continuous Growth</w:t>
      </w:r>
    </w:p>
    <w:p w14:paraId="1F05F6A3" w14:textId="77777777" w:rsidR="00015B17" w:rsidRDefault="00015B17" w:rsidP="00015B17">
      <w:pPr>
        <w:suppressAutoHyphens/>
        <w:spacing w:line="360" w:lineRule="auto"/>
        <w:rPr>
          <w:spacing w:val="-3"/>
        </w:rPr>
      </w:pPr>
    </w:p>
    <w:p w14:paraId="42D3964B" w14:textId="77777777" w:rsidR="00015B17" w:rsidRDefault="00015B17" w:rsidP="00015B17">
      <w:pPr>
        <w:suppressAutoHyphens/>
        <w:spacing w:line="360" w:lineRule="auto"/>
        <w:rPr>
          <w:spacing w:val="-2"/>
        </w:rPr>
      </w:pPr>
      <w:r>
        <w:rPr>
          <w:spacing w:val="-3"/>
        </w:rPr>
        <w:tab/>
        <w:t>The growth of a rough, sharp interface is called continuous or normal growth because the interface can propagate normal to itself in a continuous manner due to the large number of sites for easy atom attachment. To obtain the velocity-supercooling function for continuous growth of single-component melts, the growth velocity is typically expressed as a product of a factor involving the thermodynamic driving force for solidification and a kinetic prefactor involving the interface mobility:</w:t>
      </w:r>
      <w:r w:rsidRPr="00103339">
        <w:rPr>
          <w:spacing w:val="-2"/>
        </w:rPr>
        <w:t xml:space="preserve"> </w:t>
      </w:r>
    </w:p>
    <w:p w14:paraId="4A39953C" w14:textId="77777777" w:rsidR="00015B17" w:rsidRDefault="00015B17" w:rsidP="00015B17">
      <w:pPr>
        <w:suppressAutoHyphens/>
        <w:spacing w:line="360" w:lineRule="auto"/>
        <w:jc w:val="both"/>
        <w:rPr>
          <w:spacing w:val="-2"/>
        </w:rPr>
      </w:pPr>
    </w:p>
    <w:p w14:paraId="1E1EFE68" w14:textId="77777777" w:rsidR="00015B17" w:rsidRDefault="00015B17" w:rsidP="00015B17">
      <w:pPr>
        <w:suppressAutoHyphens/>
        <w:spacing w:line="360" w:lineRule="auto"/>
        <w:jc w:val="center"/>
        <w:rPr>
          <w:spacing w:val="-2"/>
        </w:rPr>
      </w:pPr>
      <w:r w:rsidRPr="009A4FD6">
        <w:rPr>
          <w:spacing w:val="-2"/>
          <w:position w:val="-18"/>
        </w:rPr>
        <w:object w:dxaOrig="3580" w:dyaOrig="480" w14:anchorId="14CCB180">
          <v:shape id="_x0000_i1345" type="#_x0000_t75" style="width:179.55pt;height:24.3pt" o:ole="">
            <v:imagedata r:id="rId618" o:title=""/>
          </v:shape>
          <o:OLEObject Type="Embed" ProgID="Equation.DSMT4" ShapeID="_x0000_i1345" DrawAspect="Content" ObjectID="_1840626911" r:id="rId619"/>
        </w:object>
      </w:r>
      <w:r>
        <w:rPr>
          <w:spacing w:val="-2"/>
        </w:rPr>
        <w:tab/>
      </w:r>
      <w:r w:rsidR="006E6FC2">
        <w:rPr>
          <w:spacing w:val="-2"/>
        </w:rPr>
        <w:t>,</w:t>
      </w:r>
      <w:r>
        <w:rPr>
          <w:spacing w:val="-2"/>
        </w:rPr>
        <w:tab/>
        <w:t>(</w:t>
      </w:r>
      <w:r w:rsidRPr="00087E69">
        <w:rPr>
          <w:spacing w:val="-2"/>
        </w:rPr>
        <w:t>5.</w:t>
      </w:r>
      <w:r>
        <w:rPr>
          <w:spacing w:val="-2"/>
        </w:rPr>
        <w:t>3)</w:t>
      </w:r>
    </w:p>
    <w:p w14:paraId="2612ACEE" w14:textId="77777777" w:rsidR="00015B17" w:rsidRDefault="00015B17" w:rsidP="00015B17">
      <w:pPr>
        <w:suppressAutoHyphens/>
        <w:spacing w:line="360" w:lineRule="auto"/>
        <w:jc w:val="both"/>
        <w:rPr>
          <w:spacing w:val="-3"/>
        </w:rPr>
      </w:pPr>
    </w:p>
    <w:p w14:paraId="3580F570" w14:textId="48702C0B" w:rsidR="00015B17" w:rsidRDefault="00015B17" w:rsidP="00B954F4">
      <w:pPr>
        <w:suppressAutoHyphens/>
        <w:spacing w:line="360" w:lineRule="auto"/>
        <w:rPr>
          <w:spacing w:val="-2"/>
        </w:rPr>
      </w:pPr>
      <w:r>
        <w:rPr>
          <w:spacing w:val="-3"/>
        </w:rPr>
        <w:t xml:space="preserve">where </w:t>
      </w:r>
      <w:r w:rsidRPr="009A4FD6">
        <w:rPr>
          <w:i/>
          <w:iCs/>
          <w:spacing w:val="-3"/>
          <w:position w:val="-4"/>
        </w:rPr>
        <w:object w:dxaOrig="279" w:dyaOrig="300" w14:anchorId="0BC23DAA">
          <v:shape id="_x0000_i1346" type="#_x0000_t75" style="width:14.05pt;height:14.95pt" o:ole="">
            <v:imagedata r:id="rId620" o:title=""/>
          </v:shape>
          <o:OLEObject Type="Embed" ProgID="Equation.DSMT4" ShapeID="_x0000_i1346" DrawAspect="Content" ObjectID="_1840626912" r:id="rId621"/>
        </w:object>
      </w:r>
      <w:r>
        <w:rPr>
          <w:spacing w:val="-3"/>
        </w:rPr>
        <w:t xml:space="preserve">is the interface temperature and </w:t>
      </w:r>
      <w:r>
        <w:rPr>
          <w:i/>
          <w:iCs/>
          <w:spacing w:val="-3"/>
        </w:rPr>
        <w:t>ΔG</w:t>
      </w:r>
      <w:r>
        <w:rPr>
          <w:spacing w:val="-3"/>
        </w:rPr>
        <w:t xml:space="preserve"> is the Gibbs free energy change per mole of material solidified (defined to be negative for solidification). The bracketed term in Eqn. (5.3) represents a difference between the "forward flux" (liquid </w:t>
      </w:r>
      <w:r>
        <w:rPr>
          <w:spacing w:val="-3"/>
        </w:rPr>
        <w:sym w:font="Symbol" w:char="F0AE"/>
      </w:r>
      <w:r>
        <w:rPr>
          <w:spacing w:val="-3"/>
        </w:rPr>
        <w:t xml:space="preserve"> solid) and the "backward flux".  The kinetic prefactor, </w:t>
      </w:r>
      <w:r>
        <w:rPr>
          <w:i/>
          <w:iCs/>
          <w:spacing w:val="-3"/>
        </w:rPr>
        <w:t>V</w:t>
      </w:r>
      <w:r w:rsidRPr="00727E8A">
        <w:rPr>
          <w:spacing w:val="-3"/>
          <w:sz w:val="26"/>
          <w:vertAlign w:val="subscript"/>
        </w:rPr>
        <w:t>c</w:t>
      </w:r>
      <w:r>
        <w:rPr>
          <w:spacing w:val="-3"/>
        </w:rPr>
        <w:t>(</w:t>
      </w:r>
      <w:r>
        <w:rPr>
          <w:i/>
          <w:iCs/>
          <w:spacing w:val="-3"/>
        </w:rPr>
        <w:t>T</w:t>
      </w:r>
      <w:r>
        <w:rPr>
          <w:spacing w:val="-3"/>
        </w:rPr>
        <w:t>), is the rate of the forward flux alone, and corresponds to the hypothetical maximum growth velocity at infinite driving force.  Near equilibrium</w:t>
      </w:r>
      <w:r w:rsidR="0074413E">
        <w:rPr>
          <w:spacing w:val="-3"/>
        </w:rPr>
        <w:t xml:space="preserve"> (</w:t>
      </w:r>
      <m:oMath>
        <m:r>
          <w:rPr>
            <w:rFonts w:ascii="Cambria Math"/>
            <w:spacing w:val="-3"/>
          </w:rPr>
          <m:t>ΔG/RT</m:t>
        </m:r>
        <m:r>
          <w:rPr>
            <w:rFonts w:ascii="Cambria Math" w:hAnsi="Cambria Math" w:cs="Cambria Math"/>
            <w:spacing w:val="-3"/>
          </w:rPr>
          <m:t>≪</m:t>
        </m:r>
        <m:r>
          <w:rPr>
            <w:rFonts w:ascii="Cambria Math"/>
            <w:spacing w:val="-3"/>
          </w:rPr>
          <m:t>1</m:t>
        </m:r>
      </m:oMath>
      <w:r w:rsidR="0074413E">
        <w:rPr>
          <w:spacing w:val="-3"/>
        </w:rPr>
        <w:t>)</w:t>
      </w:r>
      <w:r>
        <w:rPr>
          <w:spacing w:val="-3"/>
        </w:rPr>
        <w:t xml:space="preserve">, the exponential can be expanded, and using Eqn. (3.8) for </w:t>
      </w:r>
      <w:r w:rsidRPr="00063B54">
        <w:rPr>
          <w:spacing w:val="-3"/>
          <w:position w:val="-6"/>
        </w:rPr>
        <w:object w:dxaOrig="400" w:dyaOrig="279" w14:anchorId="3A282320">
          <v:shape id="_x0000_i1347" type="#_x0000_t75" style="width:19.65pt;height:14.05pt" o:ole="">
            <v:imagedata r:id="rId622" o:title=""/>
          </v:shape>
          <o:OLEObject Type="Embed" ProgID="Equation.DSMT4" ShapeID="_x0000_i1347" DrawAspect="Content" ObjectID="_1840626913" r:id="rId623"/>
        </w:object>
      </w:r>
      <w:r>
        <w:rPr>
          <w:spacing w:val="-3"/>
        </w:rPr>
        <w:t xml:space="preserve"> results in a linear relation between velocity and supercooling:</w:t>
      </w:r>
      <w:r w:rsidRPr="00103339">
        <w:rPr>
          <w:spacing w:val="-2"/>
        </w:rPr>
        <w:t xml:space="preserve"> </w:t>
      </w:r>
    </w:p>
    <w:p w14:paraId="2F548E66" w14:textId="77777777" w:rsidR="00015B17" w:rsidRDefault="00015B17" w:rsidP="00015B17">
      <w:pPr>
        <w:suppressAutoHyphens/>
        <w:spacing w:line="360" w:lineRule="auto"/>
        <w:jc w:val="both"/>
        <w:rPr>
          <w:spacing w:val="-2"/>
        </w:rPr>
      </w:pPr>
    </w:p>
    <w:p w14:paraId="59E7A82F" w14:textId="77777777" w:rsidR="00015B17" w:rsidRDefault="00015B17" w:rsidP="00015B17">
      <w:pPr>
        <w:suppressAutoHyphens/>
        <w:spacing w:line="360" w:lineRule="auto"/>
        <w:jc w:val="center"/>
        <w:rPr>
          <w:spacing w:val="-2"/>
        </w:rPr>
      </w:pPr>
      <w:r w:rsidRPr="00945252">
        <w:rPr>
          <w:spacing w:val="-2"/>
          <w:position w:val="-30"/>
        </w:rPr>
        <w:object w:dxaOrig="1780" w:dyaOrig="680" w14:anchorId="30D8441D">
          <v:shape id="_x0000_i1348" type="#_x0000_t75" style="width:88.85pt;height:33.65pt" o:ole="">
            <v:imagedata r:id="rId624" o:title=""/>
          </v:shape>
          <o:OLEObject Type="Embed" ProgID="Equation.DSMT4" ShapeID="_x0000_i1348" DrawAspect="Content" ObjectID="_1840626914" r:id="rId625"/>
        </w:object>
      </w:r>
      <w:r w:rsidR="006E6FC2">
        <w:rPr>
          <w:spacing w:val="-2"/>
        </w:rPr>
        <w:t>.</w:t>
      </w:r>
      <w:r>
        <w:rPr>
          <w:spacing w:val="-2"/>
        </w:rPr>
        <w:tab/>
      </w:r>
      <w:r>
        <w:rPr>
          <w:spacing w:val="-2"/>
        </w:rPr>
        <w:tab/>
        <w:t>(</w:t>
      </w:r>
      <w:r w:rsidRPr="00087E69">
        <w:rPr>
          <w:spacing w:val="-2"/>
        </w:rPr>
        <w:t>5.</w:t>
      </w:r>
      <w:r>
        <w:rPr>
          <w:spacing w:val="-2"/>
        </w:rPr>
        <w:t>4)</w:t>
      </w:r>
    </w:p>
    <w:p w14:paraId="272BF7B4" w14:textId="77777777" w:rsidR="00015B17" w:rsidRDefault="00015B17" w:rsidP="00015B17">
      <w:pPr>
        <w:suppressAutoHyphens/>
        <w:spacing w:line="360" w:lineRule="auto"/>
        <w:jc w:val="center"/>
        <w:rPr>
          <w:spacing w:val="-3"/>
        </w:rPr>
      </w:pPr>
    </w:p>
    <w:p w14:paraId="5CCA8C0E" w14:textId="77777777" w:rsidR="00015B17" w:rsidRDefault="00015B17" w:rsidP="00015B17">
      <w:pPr>
        <w:suppressAutoHyphens/>
        <w:spacing w:line="360" w:lineRule="auto"/>
        <w:rPr>
          <w:spacing w:val="-3"/>
        </w:rPr>
      </w:pPr>
      <w:r>
        <w:rPr>
          <w:spacing w:val="-3"/>
        </w:rPr>
        <w:t>This is often written as</w:t>
      </w:r>
    </w:p>
    <w:p w14:paraId="616BE2DB" w14:textId="77777777" w:rsidR="00015B17" w:rsidRDefault="00015B17" w:rsidP="00015B17">
      <w:pPr>
        <w:suppressAutoHyphens/>
        <w:spacing w:line="360" w:lineRule="auto"/>
        <w:jc w:val="both"/>
        <w:rPr>
          <w:spacing w:val="-3"/>
        </w:rPr>
      </w:pPr>
    </w:p>
    <w:p w14:paraId="02EAC95F" w14:textId="77777777" w:rsidR="00015B17" w:rsidRDefault="00015B17" w:rsidP="00015B17">
      <w:pPr>
        <w:suppressAutoHyphens/>
        <w:spacing w:line="360" w:lineRule="auto"/>
        <w:jc w:val="center"/>
        <w:rPr>
          <w:spacing w:val="-2"/>
        </w:rPr>
      </w:pPr>
      <w:r w:rsidRPr="00945252">
        <w:rPr>
          <w:spacing w:val="-2"/>
          <w:position w:val="-12"/>
        </w:rPr>
        <w:object w:dxaOrig="960" w:dyaOrig="360" w14:anchorId="73B9DCEE">
          <v:shape id="_x0000_i1349" type="#_x0000_t75" style="width:47.7pt;height:17.75pt" o:ole="">
            <v:imagedata r:id="rId626" o:title=""/>
          </v:shape>
          <o:OLEObject Type="Embed" ProgID="Equation.DSMT4" ShapeID="_x0000_i1349" DrawAspect="Content" ObjectID="_1840626915" r:id="rId627"/>
        </w:object>
      </w:r>
      <w:r w:rsidR="006E6FC2">
        <w:rPr>
          <w:spacing w:val="-2"/>
        </w:rPr>
        <w:t>,</w:t>
      </w:r>
      <w:r>
        <w:rPr>
          <w:spacing w:val="-2"/>
        </w:rPr>
        <w:tab/>
      </w:r>
      <w:r>
        <w:rPr>
          <w:spacing w:val="-2"/>
        </w:rPr>
        <w:tab/>
        <w:t>(</w:t>
      </w:r>
      <w:r w:rsidRPr="00087E69">
        <w:rPr>
          <w:spacing w:val="-2"/>
        </w:rPr>
        <w:t>5.</w:t>
      </w:r>
      <w:r>
        <w:rPr>
          <w:spacing w:val="-2"/>
        </w:rPr>
        <w:t>5)</w:t>
      </w:r>
    </w:p>
    <w:p w14:paraId="043C04E0" w14:textId="77777777" w:rsidR="00015B17" w:rsidRDefault="00015B17" w:rsidP="00015B17">
      <w:pPr>
        <w:suppressAutoHyphens/>
        <w:spacing w:line="360" w:lineRule="auto"/>
        <w:jc w:val="center"/>
        <w:rPr>
          <w:spacing w:val="-3"/>
        </w:rPr>
      </w:pPr>
    </w:p>
    <w:p w14:paraId="0D93C42C" w14:textId="77777777" w:rsidR="00015B17" w:rsidRDefault="00015B17" w:rsidP="00015B17">
      <w:pPr>
        <w:suppressAutoHyphens/>
        <w:spacing w:line="360" w:lineRule="auto"/>
        <w:rPr>
          <w:spacing w:val="-3"/>
        </w:rPr>
      </w:pPr>
      <w:r>
        <w:rPr>
          <w:spacing w:val="-3"/>
        </w:rPr>
        <w:t>where</w:t>
      </w:r>
      <w:r>
        <w:rPr>
          <w:i/>
          <w:iCs/>
          <w:spacing w:val="-3"/>
        </w:rPr>
        <w:t xml:space="preserve"> </w:t>
      </w:r>
      <w:r w:rsidRPr="00B21A1B">
        <w:rPr>
          <w:i/>
          <w:iCs/>
          <w:spacing w:val="-3"/>
          <w:position w:val="-10"/>
        </w:rPr>
        <w:object w:dxaOrig="240" w:dyaOrig="260" w14:anchorId="3C5D92D8">
          <v:shape id="_x0000_i1350" type="#_x0000_t75" style="width:12.15pt;height:13.1pt" o:ole="">
            <v:imagedata r:id="rId628" o:title=""/>
          </v:shape>
          <o:OLEObject Type="Embed" ProgID="Equation.DSMT4" ShapeID="_x0000_i1350" DrawAspect="Content" ObjectID="_1840626916" r:id="rId629"/>
        </w:object>
      </w:r>
      <w:r>
        <w:rPr>
          <w:spacing w:val="-3"/>
        </w:rPr>
        <w:t>is called the linear interface kinetic coefficient.</w:t>
      </w:r>
    </w:p>
    <w:p w14:paraId="78D97854" w14:textId="77777777" w:rsidR="00015B17" w:rsidRDefault="00015B17" w:rsidP="00015B17">
      <w:pPr>
        <w:suppressAutoHyphens/>
        <w:spacing w:line="360" w:lineRule="auto"/>
        <w:rPr>
          <w:spacing w:val="-3"/>
        </w:rPr>
      </w:pPr>
    </w:p>
    <w:p w14:paraId="49EA33DA" w14:textId="77777777" w:rsidR="00015B17" w:rsidRDefault="00015B17" w:rsidP="00015B17">
      <w:pPr>
        <w:tabs>
          <w:tab w:val="left" w:pos="-720"/>
        </w:tabs>
        <w:suppressAutoHyphens/>
        <w:spacing w:line="360" w:lineRule="auto"/>
        <w:rPr>
          <w:spacing w:val="-3"/>
        </w:rPr>
      </w:pPr>
      <w:r>
        <w:rPr>
          <w:spacing w:val="-3"/>
        </w:rPr>
        <w:tab/>
        <w:t>In conventional modeling of interface kinetics (</w:t>
      </w:r>
      <w:r w:rsidR="0088720B">
        <w:rPr>
          <w:spacing w:val="-3"/>
        </w:rPr>
        <w:t>Wilson [1900], Frenkel [1932], Turnbull [1962], Jackson [1975]</w:t>
      </w:r>
      <w:r>
        <w:rPr>
          <w:spacing w:val="-3"/>
        </w:rPr>
        <w:t>) it is assumed that the rate of the forward reaction, i.e., the rate at which atoms can jump across the interface to join the solid, is similar to the rate at which atoms can diffuse in the melt.  Consequently, the kinetic prefactor is assumed to scale with the diffusivity in the liquid</w:t>
      </w:r>
    </w:p>
    <w:p w14:paraId="38D401B2" w14:textId="77777777" w:rsidR="00015B17" w:rsidRDefault="00015B17" w:rsidP="00015B17">
      <w:pPr>
        <w:tabs>
          <w:tab w:val="left" w:pos="-720"/>
        </w:tabs>
        <w:suppressAutoHyphens/>
        <w:spacing w:line="360" w:lineRule="auto"/>
        <w:rPr>
          <w:spacing w:val="-3"/>
        </w:rPr>
      </w:pPr>
    </w:p>
    <w:p w14:paraId="3851D8CA" w14:textId="77777777" w:rsidR="00015B17" w:rsidRDefault="00015B17" w:rsidP="00015B17">
      <w:pPr>
        <w:tabs>
          <w:tab w:val="left" w:pos="-720"/>
        </w:tabs>
        <w:suppressAutoHyphens/>
        <w:spacing w:line="360" w:lineRule="auto"/>
        <w:jc w:val="center"/>
        <w:rPr>
          <w:spacing w:val="-3"/>
        </w:rPr>
      </w:pPr>
      <w:r w:rsidRPr="004D2B8C">
        <w:rPr>
          <w:spacing w:val="-2"/>
          <w:position w:val="-12"/>
        </w:rPr>
        <w:object w:dxaOrig="1359" w:dyaOrig="360" w14:anchorId="6CD73006">
          <v:shape id="_x0000_i1351" type="#_x0000_t75" style="width:68.25pt;height:17.75pt" o:ole="">
            <v:imagedata r:id="rId630" o:title=""/>
          </v:shape>
          <o:OLEObject Type="Embed" ProgID="Equation.DSMT4" ShapeID="_x0000_i1351" DrawAspect="Content" ObjectID="_1840626917" r:id="rId631"/>
        </w:object>
      </w:r>
      <w:r>
        <w:rPr>
          <w:spacing w:val="-2"/>
        </w:rPr>
        <w:tab/>
      </w:r>
      <w:r w:rsidR="006E6FC2">
        <w:rPr>
          <w:spacing w:val="-2"/>
        </w:rPr>
        <w:t>,</w:t>
      </w:r>
      <w:r>
        <w:rPr>
          <w:spacing w:val="-2"/>
        </w:rPr>
        <w:tab/>
        <w:t>(</w:t>
      </w:r>
      <w:r w:rsidRPr="00087E69">
        <w:rPr>
          <w:spacing w:val="-2"/>
        </w:rPr>
        <w:t>5.</w:t>
      </w:r>
      <w:r>
        <w:rPr>
          <w:spacing w:val="-2"/>
        </w:rPr>
        <w:t>6)</w:t>
      </w:r>
    </w:p>
    <w:p w14:paraId="36F69008" w14:textId="77777777" w:rsidR="00015B17" w:rsidRDefault="00015B17" w:rsidP="00015B17">
      <w:pPr>
        <w:tabs>
          <w:tab w:val="left" w:pos="-720"/>
        </w:tabs>
        <w:suppressAutoHyphens/>
        <w:spacing w:line="360" w:lineRule="auto"/>
        <w:jc w:val="both"/>
        <w:rPr>
          <w:spacing w:val="-3"/>
        </w:rPr>
      </w:pPr>
    </w:p>
    <w:p w14:paraId="2C0043CC" w14:textId="1256844E" w:rsidR="00015B17" w:rsidRDefault="0074413E" w:rsidP="00015B17">
      <w:pPr>
        <w:tabs>
          <w:tab w:val="left" w:pos="-720"/>
        </w:tabs>
        <w:suppressAutoHyphens/>
        <w:spacing w:line="360" w:lineRule="auto"/>
        <w:rPr>
          <w:spacing w:val="-3"/>
        </w:rPr>
      </w:pPr>
      <w:r>
        <w:rPr>
          <w:spacing w:val="-3"/>
        </w:rPr>
        <w:t>w</w:t>
      </w:r>
      <w:r w:rsidR="00015B17">
        <w:rPr>
          <w:spacing w:val="-3"/>
        </w:rPr>
        <w:t>here</w:t>
      </w:r>
      <w:r w:rsidR="00015B17">
        <w:rPr>
          <w:i/>
          <w:iCs/>
          <w:spacing w:val="-3"/>
        </w:rPr>
        <w:t xml:space="preserve"> a</w:t>
      </w:r>
      <w:r w:rsidR="00015B17" w:rsidRPr="00727E8A">
        <w:rPr>
          <w:spacing w:val="-3"/>
          <w:sz w:val="26"/>
          <w:vertAlign w:val="subscript"/>
        </w:rPr>
        <w:t>0</w:t>
      </w:r>
      <w:r w:rsidR="00015B17">
        <w:rPr>
          <w:spacing w:val="-3"/>
        </w:rPr>
        <w:t xml:space="preserve"> is an interatomic spacing and </w:t>
      </w:r>
      <w:r w:rsidR="00015B17">
        <w:rPr>
          <w:i/>
          <w:iCs/>
          <w:spacing w:val="-3"/>
        </w:rPr>
        <w:t>f</w:t>
      </w:r>
      <w:r w:rsidR="00015B17" w:rsidRPr="00727E8A">
        <w:rPr>
          <w:spacing w:val="-3"/>
          <w:sz w:val="26"/>
          <w:vertAlign w:val="subscript"/>
        </w:rPr>
        <w:t>1</w:t>
      </w:r>
      <w:r w:rsidR="00015B17">
        <w:rPr>
          <w:spacing w:val="-3"/>
        </w:rPr>
        <w:t xml:space="preserve"> is a geometrical factor of order unity. Because of the temperature dependence of </w:t>
      </w:r>
      <w:r w:rsidR="00015B17">
        <w:rPr>
          <w:i/>
          <w:iCs/>
          <w:spacing w:val="-3"/>
        </w:rPr>
        <w:t>D</w:t>
      </w:r>
      <w:r w:rsidR="00015B17" w:rsidRPr="00727E8A">
        <w:rPr>
          <w:spacing w:val="-3"/>
          <w:sz w:val="26"/>
          <w:vertAlign w:val="subscript"/>
        </w:rPr>
        <w:t>L</w:t>
      </w:r>
      <w:r w:rsidR="00015B17">
        <w:rPr>
          <w:spacing w:val="-3"/>
        </w:rPr>
        <w:t xml:space="preserve">, </w:t>
      </w:r>
      <w:r w:rsidR="00015B17">
        <w:rPr>
          <w:i/>
          <w:iCs/>
          <w:spacing w:val="-3"/>
        </w:rPr>
        <w:t>V</w:t>
      </w:r>
      <w:r w:rsidR="00015B17">
        <w:rPr>
          <w:spacing w:val="-3"/>
        </w:rPr>
        <w:t xml:space="preserve"> will first increase linearly, then go through a maximum and finally decrease as the supercooling increases. This relation has extensive experimental support for the crystallization of oxide glasses and other covalent materials (</w:t>
      </w:r>
      <w:r w:rsidR="0088720B">
        <w:rPr>
          <w:spacing w:val="-3"/>
        </w:rPr>
        <w:t>Jackson</w:t>
      </w:r>
      <w:r w:rsidR="00015B17">
        <w:rPr>
          <w:spacing w:val="-3"/>
        </w:rPr>
        <w:t xml:space="preserve"> </w:t>
      </w:r>
      <w:r w:rsidR="00015B17">
        <w:rPr>
          <w:i/>
          <w:iCs/>
          <w:spacing w:val="-3"/>
        </w:rPr>
        <w:t>et al.</w:t>
      </w:r>
      <w:r w:rsidR="00015B17">
        <w:rPr>
          <w:spacing w:val="-3"/>
        </w:rPr>
        <w:t xml:space="preserve"> [1967]). However a prefactor that scales with viscosity has never been verified for monatomic melts such as liquid metals (</w:t>
      </w:r>
      <w:r w:rsidR="0088720B">
        <w:rPr>
          <w:spacing w:val="-3"/>
        </w:rPr>
        <w:t>Broughton</w:t>
      </w:r>
      <w:r w:rsidR="00015B17">
        <w:rPr>
          <w:spacing w:val="-3"/>
        </w:rPr>
        <w:t xml:space="preserve"> </w:t>
      </w:r>
      <w:r w:rsidR="00015B17">
        <w:rPr>
          <w:i/>
          <w:iCs/>
          <w:spacing w:val="-3"/>
        </w:rPr>
        <w:t>et al.</w:t>
      </w:r>
      <w:r w:rsidR="00015B17">
        <w:rPr>
          <w:spacing w:val="-3"/>
        </w:rPr>
        <w:t xml:space="preserve"> [1982]).</w:t>
      </w:r>
    </w:p>
    <w:p w14:paraId="2135A820" w14:textId="77777777" w:rsidR="00015B17" w:rsidRDefault="00015B17" w:rsidP="00015B17">
      <w:pPr>
        <w:tabs>
          <w:tab w:val="left" w:pos="-720"/>
        </w:tabs>
        <w:suppressAutoHyphens/>
        <w:spacing w:line="360" w:lineRule="auto"/>
        <w:rPr>
          <w:spacing w:val="-3"/>
        </w:rPr>
      </w:pPr>
    </w:p>
    <w:p w14:paraId="227FA440" w14:textId="77777777" w:rsidR="00015B17" w:rsidRDefault="00015B17" w:rsidP="00015B17">
      <w:pPr>
        <w:tabs>
          <w:tab w:val="left" w:pos="-720"/>
        </w:tabs>
        <w:suppressAutoHyphens/>
        <w:spacing w:line="360" w:lineRule="auto"/>
        <w:rPr>
          <w:spacing w:val="-3"/>
        </w:rPr>
      </w:pPr>
      <w:r>
        <w:rPr>
          <w:spacing w:val="-3"/>
        </w:rPr>
        <w:tab/>
      </w:r>
      <w:r w:rsidR="0088720B">
        <w:rPr>
          <w:spacing w:val="-3"/>
        </w:rPr>
        <w:t>Turnbull</w:t>
      </w:r>
      <w:r>
        <w:rPr>
          <w:spacing w:val="-3"/>
        </w:rPr>
        <w:t xml:space="preserve"> and </w:t>
      </w:r>
      <w:r w:rsidR="0088720B">
        <w:rPr>
          <w:spacing w:val="-3"/>
        </w:rPr>
        <w:t>Bagley</w:t>
      </w:r>
      <w:r>
        <w:rPr>
          <w:spacing w:val="-3"/>
        </w:rPr>
        <w:t xml:space="preserve"> [1975] pointed out that for simple atomic melts in which the intermolecular potential is largely directionally independent, crystallization events may be limited only by the impingement rate of atoms with the crystal surface and therefore can be much more rapid than diffusive events.  According to their</w:t>
      </w:r>
      <w:r>
        <w:rPr>
          <w:i/>
          <w:iCs/>
          <w:spacing w:val="-3"/>
        </w:rPr>
        <w:t xml:space="preserve"> collision-limited growth model</w:t>
      </w:r>
      <w:r>
        <w:rPr>
          <w:spacing w:val="-3"/>
        </w:rPr>
        <w:t>,</w:t>
      </w:r>
    </w:p>
    <w:p w14:paraId="15CCEFD0" w14:textId="77777777" w:rsidR="00015B17" w:rsidRDefault="00015B17" w:rsidP="00015B17">
      <w:pPr>
        <w:tabs>
          <w:tab w:val="left" w:pos="-720"/>
        </w:tabs>
        <w:suppressAutoHyphens/>
        <w:spacing w:line="360" w:lineRule="auto"/>
        <w:jc w:val="both"/>
        <w:rPr>
          <w:spacing w:val="-3"/>
        </w:rPr>
      </w:pPr>
    </w:p>
    <w:p w14:paraId="7218B9C1" w14:textId="77777777" w:rsidR="00015B17" w:rsidRDefault="00015B17" w:rsidP="00015B17">
      <w:pPr>
        <w:tabs>
          <w:tab w:val="left" w:pos="-720"/>
        </w:tabs>
        <w:suppressAutoHyphens/>
        <w:spacing w:line="360" w:lineRule="auto"/>
        <w:jc w:val="center"/>
        <w:rPr>
          <w:spacing w:val="-2"/>
        </w:rPr>
      </w:pPr>
      <w:r w:rsidRPr="004D2B8C">
        <w:rPr>
          <w:spacing w:val="-2"/>
          <w:position w:val="-12"/>
        </w:rPr>
        <w:object w:dxaOrig="960" w:dyaOrig="360" w14:anchorId="165A41EE">
          <v:shape id="_x0000_i1352" type="#_x0000_t75" style="width:47.7pt;height:17.75pt" o:ole="">
            <v:imagedata r:id="rId632" o:title=""/>
          </v:shape>
          <o:OLEObject Type="Embed" ProgID="Equation.DSMT4" ShapeID="_x0000_i1352" DrawAspect="Content" ObjectID="_1840626918" r:id="rId633"/>
        </w:object>
      </w:r>
      <w:r w:rsidR="006E6FC2">
        <w:rPr>
          <w:spacing w:val="-2"/>
        </w:rPr>
        <w:t>,</w:t>
      </w:r>
      <w:r>
        <w:rPr>
          <w:spacing w:val="-2"/>
        </w:rPr>
        <w:tab/>
      </w:r>
      <w:r>
        <w:rPr>
          <w:spacing w:val="-2"/>
        </w:rPr>
        <w:tab/>
      </w:r>
      <w:r>
        <w:rPr>
          <w:spacing w:val="-2"/>
        </w:rPr>
        <w:tab/>
        <w:t>(</w:t>
      </w:r>
      <w:r w:rsidRPr="00063B54">
        <w:rPr>
          <w:spacing w:val="-2"/>
        </w:rPr>
        <w:t>5.7</w:t>
      </w:r>
      <w:r>
        <w:rPr>
          <w:spacing w:val="-2"/>
        </w:rPr>
        <w:t>)</w:t>
      </w:r>
    </w:p>
    <w:p w14:paraId="399B0DFC" w14:textId="77777777" w:rsidR="00015B17" w:rsidRPr="00063B54" w:rsidRDefault="00015B17" w:rsidP="00015B17">
      <w:pPr>
        <w:tabs>
          <w:tab w:val="left" w:pos="-720"/>
        </w:tabs>
        <w:suppressAutoHyphens/>
        <w:spacing w:line="360" w:lineRule="auto"/>
        <w:jc w:val="center"/>
        <w:rPr>
          <w:spacing w:val="-3"/>
        </w:rPr>
      </w:pPr>
    </w:p>
    <w:p w14:paraId="0C74538B" w14:textId="271BDFD4" w:rsidR="00015B17" w:rsidRDefault="0074413E" w:rsidP="00015B17">
      <w:pPr>
        <w:tabs>
          <w:tab w:val="left" w:pos="-720"/>
        </w:tabs>
        <w:suppressAutoHyphens/>
        <w:spacing w:line="360" w:lineRule="auto"/>
        <w:rPr>
          <w:spacing w:val="-3"/>
        </w:rPr>
      </w:pPr>
      <w:r>
        <w:rPr>
          <w:spacing w:val="-3"/>
        </w:rPr>
        <w:t>w</w:t>
      </w:r>
      <w:r w:rsidR="00015B17">
        <w:rPr>
          <w:spacing w:val="-3"/>
        </w:rPr>
        <w:t xml:space="preserve">here </w:t>
      </w:r>
      <w:r w:rsidR="00015B17">
        <w:rPr>
          <w:i/>
          <w:iCs/>
          <w:spacing w:val="-3"/>
        </w:rPr>
        <w:t>V</w:t>
      </w:r>
      <w:r w:rsidR="00015B17" w:rsidRPr="00727E8A">
        <w:rPr>
          <w:spacing w:val="-3"/>
          <w:sz w:val="26"/>
          <w:vertAlign w:val="subscript"/>
        </w:rPr>
        <w:t>S</w:t>
      </w:r>
      <w:r w:rsidR="00015B17">
        <w:rPr>
          <w:spacing w:val="-3"/>
        </w:rPr>
        <w:t xml:space="preserve"> is the velocity of sound </w:t>
      </w:r>
      <w:r w:rsidR="0088720B">
        <w:rPr>
          <w:spacing w:val="-3"/>
        </w:rPr>
        <w:t xml:space="preserve">in the liquid metal </w:t>
      </w:r>
      <w:r>
        <w:rPr>
          <w:spacing w:val="-3"/>
        </w:rPr>
        <w:t>(</w:t>
      </w:r>
      <w:r w:rsidR="00E2394F">
        <w:rPr>
          <w:spacing w:val="-3"/>
        </w:rPr>
        <w:t>≈</w:t>
      </w:r>
      <w:r>
        <w:rPr>
          <w:spacing w:val="-3"/>
        </w:rPr>
        <w:t xml:space="preserve"> 1</w:t>
      </w:r>
      <w:r w:rsidRPr="0074413E">
        <w:rPr>
          <w:spacing w:val="-3"/>
          <w:position w:val="-10"/>
        </w:rPr>
        <w:object w:dxaOrig="639" w:dyaOrig="360" w14:anchorId="1FA002BB">
          <v:shape id="_x0000_i1353" type="#_x0000_t75" style="width:31.8pt;height:17.75pt" o:ole="">
            <v:imagedata r:id="rId634" o:title=""/>
          </v:shape>
          <o:OLEObject Type="Embed" ProgID="Equation.DSMT4" ShapeID="_x0000_i1353" DrawAspect="Content" ObjectID="_1840626919" r:id="rId635"/>
        </w:object>
      </w:r>
      <w:r>
        <w:rPr>
          <w:spacing w:val="-3"/>
        </w:rPr>
        <w:t>)</w:t>
      </w:r>
      <w:r w:rsidR="0088720B">
        <w:rPr>
          <w:spacing w:val="-3"/>
        </w:rPr>
        <w:t xml:space="preserve"> </w:t>
      </w:r>
      <w:r w:rsidR="00015B17">
        <w:rPr>
          <w:spacing w:val="-3"/>
        </w:rPr>
        <w:t xml:space="preserve">and </w:t>
      </w:r>
      <w:r w:rsidR="00015B17">
        <w:rPr>
          <w:i/>
          <w:iCs/>
          <w:spacing w:val="-3"/>
        </w:rPr>
        <w:t>f</w:t>
      </w:r>
      <w:r w:rsidR="00015B17" w:rsidRPr="00727E8A">
        <w:rPr>
          <w:spacing w:val="-3"/>
          <w:sz w:val="26"/>
          <w:vertAlign w:val="subscript"/>
        </w:rPr>
        <w:t>3</w:t>
      </w:r>
      <w:r w:rsidR="00015B17">
        <w:rPr>
          <w:spacing w:val="-3"/>
        </w:rPr>
        <w:t xml:space="preserve"> is another numerical factor of order unity.  The important consequence is that </w:t>
      </w:r>
      <w:r w:rsidR="00015B17">
        <w:rPr>
          <w:i/>
          <w:iCs/>
          <w:spacing w:val="-3"/>
        </w:rPr>
        <w:t>V</w:t>
      </w:r>
      <w:r w:rsidR="00015B17" w:rsidRPr="00727E8A">
        <w:rPr>
          <w:spacing w:val="-3"/>
          <w:sz w:val="26"/>
          <w:vertAlign w:val="subscript"/>
        </w:rPr>
        <w:t>S</w:t>
      </w:r>
      <w:r w:rsidR="00015B17">
        <w:rPr>
          <w:spacing w:val="-3"/>
        </w:rPr>
        <w:t xml:space="preserve"> is about three orders of magnitude greater than</w:t>
      </w:r>
      <w:r w:rsidR="00015B17">
        <w:rPr>
          <w:i/>
          <w:iCs/>
          <w:spacing w:val="-3"/>
        </w:rPr>
        <w:t xml:space="preserve"> D</w:t>
      </w:r>
      <w:r w:rsidR="00015B17" w:rsidRPr="00727E8A">
        <w:rPr>
          <w:spacing w:val="-3"/>
          <w:sz w:val="26"/>
          <w:vertAlign w:val="subscript"/>
        </w:rPr>
        <w:t>L</w:t>
      </w:r>
      <w:r w:rsidR="00015B17">
        <w:rPr>
          <w:spacing w:val="-3"/>
        </w:rPr>
        <w:t>/</w:t>
      </w:r>
      <w:r w:rsidR="00015B17">
        <w:rPr>
          <w:i/>
          <w:iCs/>
          <w:spacing w:val="-3"/>
        </w:rPr>
        <w:t>a</w:t>
      </w:r>
      <w:r w:rsidR="00015B17" w:rsidRPr="00727E8A">
        <w:rPr>
          <w:spacing w:val="-3"/>
          <w:sz w:val="26"/>
          <w:vertAlign w:val="subscript"/>
        </w:rPr>
        <w:t>0</w:t>
      </w:r>
      <w:r w:rsidR="00015B17">
        <w:rPr>
          <w:spacing w:val="-3"/>
        </w:rPr>
        <w:t xml:space="preserve"> for typical metallic melts, resulting in a correspondingly more mobile crystal/melt interface. Hence for a given velocity, the kinetic undercooling is much smaller. In addition no maximum is expected in the velocity-supercooling curve. The collision-limited growth model has been confirmed as an upper bound on </w:t>
      </w:r>
      <w:r w:rsidR="00015B17" w:rsidRPr="00460E27">
        <w:rPr>
          <w:spacing w:val="-3"/>
          <w:position w:val="-12"/>
        </w:rPr>
        <w:object w:dxaOrig="260" w:dyaOrig="360" w14:anchorId="58958D69">
          <v:shape id="_x0000_i1354" type="#_x0000_t75" style="width:13.1pt;height:17.75pt" o:ole="">
            <v:imagedata r:id="rId636" o:title=""/>
          </v:shape>
          <o:OLEObject Type="Embed" ProgID="Equation.DSMT4" ShapeID="_x0000_i1354" DrawAspect="Content" ObjectID="_1840626920" r:id="rId637"/>
        </w:object>
      </w:r>
      <w:r w:rsidR="00015B17">
        <w:rPr>
          <w:spacing w:val="-3"/>
        </w:rPr>
        <w:t xml:space="preserve"> by the analysis of the velocities of rapidly growing dendrites growing into pure Ni melts (</w:t>
      </w:r>
      <w:r w:rsidR="0088720B">
        <w:rPr>
          <w:spacing w:val="-3"/>
        </w:rPr>
        <w:t xml:space="preserve">Coriell and </w:t>
      </w:r>
      <w:r w:rsidR="0088720B">
        <w:rPr>
          <w:spacing w:val="-3"/>
        </w:rPr>
        <w:lastRenderedPageBreak/>
        <w:t>Turnbull</w:t>
      </w:r>
      <w:r w:rsidR="00015B17">
        <w:rPr>
          <w:spacing w:val="-3"/>
        </w:rPr>
        <w:t xml:space="preserve"> [1982]), by molecular dynamics calculations on Lennard-Jones systems (</w:t>
      </w:r>
      <w:r w:rsidR="0088720B">
        <w:rPr>
          <w:spacing w:val="-3"/>
        </w:rPr>
        <w:t>Broughton</w:t>
      </w:r>
      <w:r w:rsidR="00015B17">
        <w:rPr>
          <w:spacing w:val="-3"/>
        </w:rPr>
        <w:t xml:space="preserve"> </w:t>
      </w:r>
      <w:r w:rsidR="00015B17">
        <w:rPr>
          <w:i/>
          <w:iCs/>
          <w:spacing w:val="-3"/>
        </w:rPr>
        <w:t>et al.</w:t>
      </w:r>
      <w:r w:rsidR="00015B17">
        <w:rPr>
          <w:spacing w:val="-3"/>
        </w:rPr>
        <w:t xml:space="preserve"> [1982]) and by pulsed laser melting experiments on Cu and Au (</w:t>
      </w:r>
      <w:r w:rsidR="0088720B">
        <w:rPr>
          <w:spacing w:val="-3"/>
        </w:rPr>
        <w:t xml:space="preserve">McDonald </w:t>
      </w:r>
      <w:r w:rsidR="00015B17">
        <w:rPr>
          <w:i/>
          <w:iCs/>
          <w:spacing w:val="-3"/>
        </w:rPr>
        <w:t>et al.</w:t>
      </w:r>
      <w:r w:rsidR="00015B17">
        <w:rPr>
          <w:spacing w:val="-3"/>
        </w:rPr>
        <w:t xml:space="preserve"> [1989]).</w:t>
      </w:r>
    </w:p>
    <w:p w14:paraId="65B5AA8D" w14:textId="77777777" w:rsidR="00015B17" w:rsidRDefault="00015B17" w:rsidP="00015B17">
      <w:pPr>
        <w:tabs>
          <w:tab w:val="left" w:pos="-720"/>
        </w:tabs>
        <w:suppressAutoHyphens/>
        <w:spacing w:line="360" w:lineRule="auto"/>
        <w:rPr>
          <w:spacing w:val="-3"/>
        </w:rPr>
      </w:pPr>
      <w:r>
        <w:rPr>
          <w:spacing w:val="-3"/>
        </w:rPr>
        <w:t xml:space="preserve"> </w:t>
      </w:r>
    </w:p>
    <w:p w14:paraId="055CBFC3" w14:textId="77777777" w:rsidR="00015B17" w:rsidRDefault="00015B17" w:rsidP="00015B17">
      <w:pPr>
        <w:tabs>
          <w:tab w:val="left" w:pos="-720"/>
        </w:tabs>
        <w:suppressAutoHyphens/>
        <w:spacing w:line="360" w:lineRule="auto"/>
        <w:rPr>
          <w:spacing w:val="-3"/>
        </w:rPr>
      </w:pPr>
      <w:r>
        <w:rPr>
          <w:spacing w:val="-3"/>
        </w:rPr>
        <w:tab/>
        <w:t xml:space="preserve">In the molecular dynamics simulation of growth, </w:t>
      </w:r>
      <w:r w:rsidR="0088720B">
        <w:rPr>
          <w:spacing w:val="-3"/>
        </w:rPr>
        <w:t>Broughton</w:t>
      </w:r>
      <w:r>
        <w:rPr>
          <w:spacing w:val="-3"/>
        </w:rPr>
        <w:t xml:space="preserve"> </w:t>
      </w:r>
      <w:r>
        <w:rPr>
          <w:i/>
          <w:iCs/>
          <w:spacing w:val="-3"/>
        </w:rPr>
        <w:t>et al.</w:t>
      </w:r>
      <w:r>
        <w:rPr>
          <w:spacing w:val="-3"/>
        </w:rPr>
        <w:t xml:space="preserve"> [1982] approximate their results using Eqn. (5.4) but with</w:t>
      </w:r>
    </w:p>
    <w:p w14:paraId="52355BD4" w14:textId="77777777" w:rsidR="00015B17" w:rsidRDefault="00015B17" w:rsidP="00015B17">
      <w:pPr>
        <w:tabs>
          <w:tab w:val="left" w:pos="-720"/>
        </w:tabs>
        <w:suppressAutoHyphens/>
        <w:spacing w:line="360" w:lineRule="auto"/>
        <w:jc w:val="both"/>
        <w:rPr>
          <w:spacing w:val="-3"/>
        </w:rPr>
      </w:pPr>
    </w:p>
    <w:p w14:paraId="6410B280" w14:textId="77777777" w:rsidR="00015B17" w:rsidRDefault="00015B17" w:rsidP="00015B17">
      <w:pPr>
        <w:tabs>
          <w:tab w:val="left" w:pos="-720"/>
        </w:tabs>
        <w:suppressAutoHyphens/>
        <w:spacing w:line="360" w:lineRule="auto"/>
        <w:jc w:val="center"/>
        <w:rPr>
          <w:spacing w:val="-2"/>
        </w:rPr>
      </w:pPr>
      <w:r w:rsidRPr="007A5884">
        <w:rPr>
          <w:spacing w:val="-3"/>
          <w:position w:val="-14"/>
        </w:rPr>
        <w:object w:dxaOrig="1939" w:dyaOrig="420" w14:anchorId="7C5EC7F0">
          <v:shape id="_x0000_i1355" type="#_x0000_t75" style="width:97.25pt;height:20.55pt" o:ole="">
            <v:imagedata r:id="rId638" o:title=""/>
          </v:shape>
          <o:OLEObject Type="Embed" ProgID="Equation.DSMT4" ShapeID="_x0000_i1355" DrawAspect="Content" ObjectID="_1840626921" r:id="rId639"/>
        </w:object>
      </w:r>
      <w:r w:rsidR="006E6FC2">
        <w:rPr>
          <w:spacing w:val="-3"/>
        </w:rPr>
        <w:t>,</w:t>
      </w:r>
      <w:r>
        <w:rPr>
          <w:spacing w:val="-3"/>
        </w:rPr>
        <w:tab/>
      </w:r>
      <w:r>
        <w:rPr>
          <w:spacing w:val="-3"/>
        </w:rPr>
        <w:tab/>
      </w:r>
      <w:r>
        <w:rPr>
          <w:spacing w:val="-2"/>
        </w:rPr>
        <w:t>(</w:t>
      </w:r>
      <w:r w:rsidRPr="00087E69">
        <w:rPr>
          <w:spacing w:val="-2"/>
        </w:rPr>
        <w:t>5.</w:t>
      </w:r>
      <w:r>
        <w:rPr>
          <w:spacing w:val="-2"/>
        </w:rPr>
        <w:t>8)</w:t>
      </w:r>
    </w:p>
    <w:p w14:paraId="6F9CB436" w14:textId="77777777" w:rsidR="00015B17" w:rsidRDefault="00015B17" w:rsidP="00015B17">
      <w:pPr>
        <w:tabs>
          <w:tab w:val="left" w:pos="-720"/>
        </w:tabs>
        <w:suppressAutoHyphens/>
        <w:spacing w:line="360" w:lineRule="auto"/>
        <w:jc w:val="center"/>
        <w:rPr>
          <w:spacing w:val="-3"/>
        </w:rPr>
      </w:pPr>
    </w:p>
    <w:p w14:paraId="69BA620B" w14:textId="4781931B" w:rsidR="00015B17" w:rsidRDefault="00015B17" w:rsidP="00015B17">
      <w:pPr>
        <w:tabs>
          <w:tab w:val="left" w:pos="-720"/>
        </w:tabs>
        <w:suppressAutoHyphens/>
        <w:spacing w:line="360" w:lineRule="auto"/>
        <w:rPr>
          <w:spacing w:val="-3"/>
        </w:rPr>
      </w:pPr>
      <w:r>
        <w:rPr>
          <w:spacing w:val="-3"/>
        </w:rPr>
        <w:t>where</w:t>
      </w:r>
      <w:r>
        <w:rPr>
          <w:i/>
          <w:iCs/>
          <w:spacing w:val="-3"/>
        </w:rPr>
        <w:t xml:space="preserve"> </w:t>
      </w:r>
      <w:r w:rsidRPr="003A527B">
        <w:rPr>
          <w:i/>
          <w:iCs/>
          <w:spacing w:val="-3"/>
          <w:position w:val="-10"/>
        </w:rPr>
        <w:object w:dxaOrig="279" w:dyaOrig="340" w14:anchorId="5B293760">
          <v:shape id="_x0000_i1356" type="#_x0000_t75" style="width:14.05pt;height:16.85pt" o:ole="">
            <v:imagedata r:id="rId640" o:title=""/>
          </v:shape>
          <o:OLEObject Type="Embed" ProgID="Equation.DSMT4" ShapeID="_x0000_i1356" DrawAspect="Content" ObjectID="_1840626922" r:id="rId641"/>
        </w:object>
      </w:r>
      <w:r w:rsidRPr="003A527B">
        <w:rPr>
          <w:iCs/>
          <w:spacing w:val="-3"/>
        </w:rPr>
        <w:t xml:space="preserve"> is </w:t>
      </w:r>
      <w:r>
        <w:rPr>
          <w:iCs/>
          <w:spacing w:val="-3"/>
        </w:rPr>
        <w:t xml:space="preserve">the </w:t>
      </w:r>
      <w:r w:rsidRPr="003A527B">
        <w:rPr>
          <w:iCs/>
          <w:spacing w:val="-3"/>
        </w:rPr>
        <w:t>Boltzmann constant</w:t>
      </w:r>
      <w:r>
        <w:rPr>
          <w:i/>
          <w:iCs/>
          <w:spacing w:val="-3"/>
        </w:rPr>
        <w:t>, m</w:t>
      </w:r>
      <w:r w:rsidRPr="00727E8A">
        <w:rPr>
          <w:spacing w:val="-3"/>
          <w:sz w:val="26"/>
          <w:vertAlign w:val="subscript"/>
        </w:rPr>
        <w:t>w</w:t>
      </w:r>
      <w:r>
        <w:rPr>
          <w:spacing w:val="-3"/>
        </w:rPr>
        <w:t xml:space="preserve"> is the atomic weight and </w:t>
      </w:r>
      <w:r w:rsidRPr="00366782">
        <w:rPr>
          <w:spacing w:val="-3"/>
          <w:position w:val="-10"/>
        </w:rPr>
        <w:object w:dxaOrig="279" w:dyaOrig="340" w14:anchorId="573E3B03">
          <v:shape id="_x0000_i1357" type="#_x0000_t75" style="width:14.05pt;height:16.85pt" o:ole="">
            <v:imagedata r:id="rId642" o:title=""/>
          </v:shape>
          <o:OLEObject Type="Embed" ProgID="Equation.DSMT4" ShapeID="_x0000_i1357" DrawAspect="Content" ObjectID="_1840626923" r:id="rId643"/>
        </w:object>
      </w:r>
      <w:r>
        <w:rPr>
          <w:spacing w:val="-3"/>
        </w:rPr>
        <w:t xml:space="preserve"> is of order unity. This speed is the average thermal velocity and corresponds to the velocity at which atoms can strike the lattice sites due to thermal vibrations. For Ni at its melting point, this velocity is 8.6 x10</w:t>
      </w:r>
      <w:r w:rsidRPr="00883A53">
        <w:rPr>
          <w:spacing w:val="-3"/>
          <w:sz w:val="26"/>
          <w:vertAlign w:val="superscript"/>
        </w:rPr>
        <w:t>4</w:t>
      </w:r>
      <w:r>
        <w:rPr>
          <w:spacing w:val="-3"/>
        </w:rPr>
        <w:t>cm s</w:t>
      </w:r>
      <w:r w:rsidRPr="00883A53">
        <w:rPr>
          <w:spacing w:val="-3"/>
          <w:sz w:val="26"/>
          <w:vertAlign w:val="superscript"/>
        </w:rPr>
        <w:t>-1</w:t>
      </w:r>
      <w:r>
        <w:rPr>
          <w:spacing w:val="-3"/>
        </w:rPr>
        <w:t xml:space="preserve">, which is less than the speed of sound for liquid Ni estimated by </w:t>
      </w:r>
      <w:r w:rsidR="0088720B">
        <w:rPr>
          <w:spacing w:val="-3"/>
        </w:rPr>
        <w:t>Coriell and Turnbull</w:t>
      </w:r>
      <w:r>
        <w:rPr>
          <w:spacing w:val="-3"/>
        </w:rPr>
        <w:t xml:space="preserve"> [1982]. For Ni at small supercoolings, this value of </w:t>
      </w:r>
      <w:r>
        <w:rPr>
          <w:i/>
          <w:iCs/>
          <w:spacing w:val="-3"/>
        </w:rPr>
        <w:t>V</w:t>
      </w:r>
      <w:r w:rsidRPr="00727E8A">
        <w:rPr>
          <w:spacing w:val="-3"/>
          <w:sz w:val="26"/>
          <w:vertAlign w:val="subscript"/>
        </w:rPr>
        <w:t>C</w:t>
      </w:r>
      <w:r>
        <w:rPr>
          <w:spacing w:val="-3"/>
        </w:rPr>
        <w:t xml:space="preserve"> yields a kinetic coefficient,</w:t>
      </w:r>
      <w:r w:rsidRPr="00063B54">
        <w:rPr>
          <w:i/>
          <w:iCs/>
          <w:spacing w:val="-3"/>
          <w:position w:val="-10"/>
        </w:rPr>
        <w:object w:dxaOrig="240" w:dyaOrig="260" w14:anchorId="096AB377">
          <v:shape id="_x0000_i1358" type="#_x0000_t75" style="width:12.15pt;height:13.1pt" o:ole="">
            <v:imagedata r:id="rId644" o:title=""/>
          </v:shape>
          <o:OLEObject Type="Embed" ProgID="Equation.DSMT4" ShapeID="_x0000_i1358" DrawAspect="Content" ObjectID="_1840626924" r:id="rId645"/>
        </w:object>
      </w:r>
      <w:r>
        <w:rPr>
          <w:spacing w:val="-3"/>
        </w:rPr>
        <w:t>, of 200</w:t>
      </w:r>
      <w:r w:rsidR="0074413E">
        <w:rPr>
          <w:spacing w:val="-3"/>
        </w:rPr>
        <w:t xml:space="preserve"> </w:t>
      </w:r>
      <w:r>
        <w:rPr>
          <w:spacing w:val="-3"/>
        </w:rPr>
        <w:t>cm</w:t>
      </w:r>
      <w:r w:rsidR="0074413E" w:rsidRPr="0074413E">
        <w:rPr>
          <w:spacing w:val="-3"/>
        </w:rPr>
        <w:t xml:space="preserve"> </w:t>
      </w:r>
      <w:r w:rsidR="0074413E">
        <w:rPr>
          <w:spacing w:val="-3"/>
        </w:rPr>
        <w:t>s</w:t>
      </w:r>
      <w:r w:rsidR="0074413E" w:rsidRPr="00883A53">
        <w:rPr>
          <w:spacing w:val="-3"/>
          <w:sz w:val="26"/>
          <w:vertAlign w:val="superscript"/>
        </w:rPr>
        <w:t>-1</w:t>
      </w:r>
      <w:r>
        <w:rPr>
          <w:spacing w:val="-3"/>
        </w:rPr>
        <w:t xml:space="preserve"> </w:t>
      </w:r>
      <w:r w:rsidR="0074413E">
        <w:rPr>
          <w:spacing w:val="-3"/>
        </w:rPr>
        <w:t>K</w:t>
      </w:r>
      <w:r w:rsidR="0074413E" w:rsidRPr="00883A53">
        <w:rPr>
          <w:spacing w:val="-3"/>
          <w:sz w:val="26"/>
          <w:vertAlign w:val="superscript"/>
        </w:rPr>
        <w:t xml:space="preserve">-1 </w:t>
      </w:r>
      <w:r>
        <w:rPr>
          <w:spacing w:val="-3"/>
        </w:rPr>
        <w:t xml:space="preserve">corresponding to negligible interface supercoolings under ordinary solidification conditions. In addition, </w:t>
      </w:r>
      <w:r w:rsidR="0088720B">
        <w:rPr>
          <w:spacing w:val="-3"/>
        </w:rPr>
        <w:t>Rodway</w:t>
      </w:r>
      <w:r>
        <w:rPr>
          <w:spacing w:val="-3"/>
        </w:rPr>
        <w:t xml:space="preserve"> and </w:t>
      </w:r>
      <w:r w:rsidR="0088720B">
        <w:rPr>
          <w:spacing w:val="-3"/>
        </w:rPr>
        <w:t>Hunt</w:t>
      </w:r>
      <w:r>
        <w:rPr>
          <w:spacing w:val="-3"/>
        </w:rPr>
        <w:t xml:space="preserve"> [1991] using the Seebeck effect to measure the velocity-interface supercooling relation for Pb have obtained a value of 28 </w:t>
      </w:r>
      <w:r w:rsidR="0074413E">
        <w:rPr>
          <w:spacing w:val="-3"/>
        </w:rPr>
        <w:t>cm</w:t>
      </w:r>
      <w:r w:rsidR="0074413E" w:rsidRPr="0074413E">
        <w:rPr>
          <w:spacing w:val="-3"/>
        </w:rPr>
        <w:t xml:space="preserve"> </w:t>
      </w:r>
      <w:r w:rsidR="0074413E">
        <w:rPr>
          <w:spacing w:val="-3"/>
        </w:rPr>
        <w:t>s</w:t>
      </w:r>
      <w:r w:rsidR="0074413E" w:rsidRPr="00883A53">
        <w:rPr>
          <w:spacing w:val="-3"/>
          <w:sz w:val="26"/>
          <w:vertAlign w:val="superscript"/>
        </w:rPr>
        <w:t>-1</w:t>
      </w:r>
      <w:r w:rsidR="0074413E">
        <w:rPr>
          <w:spacing w:val="-3"/>
        </w:rPr>
        <w:t xml:space="preserve"> K</w:t>
      </w:r>
      <w:r w:rsidR="0074413E" w:rsidRPr="00883A53">
        <w:rPr>
          <w:spacing w:val="-3"/>
          <w:sz w:val="26"/>
          <w:vertAlign w:val="superscript"/>
        </w:rPr>
        <w:t>-1</w:t>
      </w:r>
      <w:r>
        <w:rPr>
          <w:spacing w:val="-3"/>
        </w:rPr>
        <w:t xml:space="preserve"> for</w:t>
      </w:r>
      <w:r>
        <w:rPr>
          <w:i/>
          <w:iCs/>
          <w:spacing w:val="-3"/>
        </w:rPr>
        <w:t xml:space="preserve"> </w:t>
      </w:r>
      <w:r w:rsidRPr="00063B54">
        <w:rPr>
          <w:i/>
          <w:iCs/>
          <w:spacing w:val="-3"/>
          <w:position w:val="-10"/>
        </w:rPr>
        <w:object w:dxaOrig="240" w:dyaOrig="260" w14:anchorId="5D7399BF">
          <v:shape id="_x0000_i1359" type="#_x0000_t75" style="width:12.15pt;height:13.1pt" o:ole="">
            <v:imagedata r:id="rId644" o:title=""/>
          </v:shape>
          <o:OLEObject Type="Embed" ProgID="Equation.DSMT4" ShapeID="_x0000_i1359" DrawAspect="Content" ObjectID="_1840626925" r:id="rId646"/>
        </w:object>
      </w:r>
      <w:r>
        <w:rPr>
          <w:spacing w:val="-3"/>
        </w:rPr>
        <w:t xml:space="preserve"> that agrees well with that predicted by </w:t>
      </w:r>
      <w:r w:rsidR="0088720B">
        <w:rPr>
          <w:spacing w:val="-3"/>
        </w:rPr>
        <w:t>Broughton</w:t>
      </w:r>
      <w:r>
        <w:rPr>
          <w:spacing w:val="-3"/>
        </w:rPr>
        <w:t xml:space="preserve"> </w:t>
      </w:r>
      <w:r>
        <w:rPr>
          <w:i/>
          <w:iCs/>
          <w:spacing w:val="-3"/>
        </w:rPr>
        <w:t>et al.</w:t>
      </w:r>
      <w:r>
        <w:rPr>
          <w:spacing w:val="-3"/>
        </w:rPr>
        <w:t xml:space="preserve"> [1982] using the average thermal speed for this lower melting point material. Mikeev and Chernov [1991] and Chernov [2004] employed density functional theory and data for the structure factor of a Lennard-Jones liquid determined by scattering experiments to estimate a value of </w:t>
      </w:r>
      <w:r w:rsidRPr="00366782">
        <w:rPr>
          <w:spacing w:val="-3"/>
          <w:position w:val="-10"/>
        </w:rPr>
        <w:object w:dxaOrig="960" w:dyaOrig="340" w14:anchorId="36DE1319">
          <v:shape id="_x0000_i1360" type="#_x0000_t75" style="width:47.7pt;height:16.85pt" o:ole="">
            <v:imagedata r:id="rId647" o:title=""/>
          </v:shape>
          <o:OLEObject Type="Embed" ProgID="Equation.DSMT4" ShapeID="_x0000_i1360" DrawAspect="Content" ObjectID="_1840626926" r:id="rId648"/>
        </w:object>
      </w:r>
      <w:r>
        <w:rPr>
          <w:spacing w:val="-3"/>
        </w:rPr>
        <w:t>for {100} interfaces.</w:t>
      </w:r>
    </w:p>
    <w:p w14:paraId="2E502586" w14:textId="77777777" w:rsidR="00015B17" w:rsidRDefault="00015B17" w:rsidP="00015B17">
      <w:pPr>
        <w:tabs>
          <w:tab w:val="left" w:pos="-720"/>
        </w:tabs>
        <w:suppressAutoHyphens/>
        <w:spacing w:line="360" w:lineRule="auto"/>
        <w:rPr>
          <w:spacing w:val="-3"/>
        </w:rPr>
      </w:pPr>
      <w:r w:rsidRPr="000C7803">
        <w:rPr>
          <w:spacing w:val="-3"/>
        </w:rPr>
        <w:t xml:space="preserve"> </w:t>
      </w:r>
    </w:p>
    <w:p w14:paraId="53BC643D" w14:textId="602FEC9E" w:rsidR="00015B17" w:rsidRDefault="00015B17" w:rsidP="00015B17">
      <w:pPr>
        <w:tabs>
          <w:tab w:val="left" w:pos="-720"/>
        </w:tabs>
        <w:suppressAutoHyphens/>
        <w:spacing w:line="360" w:lineRule="auto"/>
        <w:rPr>
          <w:spacing w:val="-3"/>
        </w:rPr>
      </w:pPr>
      <w:r>
        <w:rPr>
          <w:spacing w:val="-3"/>
        </w:rPr>
        <w:tab/>
        <w:t xml:space="preserve">Since the work of Broughton et al., molecular dynamics simulation have been using more realistic embedded atom potentials to compute interface kinetic coefficients. As an example, </w:t>
      </w:r>
      <w:r w:rsidRPr="000064CB">
        <w:rPr>
          <w:spacing w:val="-3"/>
          <w:position w:val="-10"/>
        </w:rPr>
        <w:object w:dxaOrig="240" w:dyaOrig="260" w14:anchorId="008F7057">
          <v:shape id="_x0000_i1361" type="#_x0000_t75" style="width:12.15pt;height:13.1pt" o:ole="">
            <v:imagedata r:id="rId649" o:title=""/>
          </v:shape>
          <o:OLEObject Type="Embed" ProgID="Equation.DSMT4" ShapeID="_x0000_i1361" DrawAspect="Content" ObjectID="_1840626927" r:id="rId650"/>
        </w:object>
      </w:r>
      <w:r>
        <w:rPr>
          <w:spacing w:val="-3"/>
        </w:rPr>
        <w:t xml:space="preserve"> values </w:t>
      </w:r>
      <w:r w:rsidRPr="00366782">
        <w:rPr>
          <w:spacing w:val="-3"/>
        </w:rPr>
        <w:t>for</w:t>
      </w:r>
      <w:r>
        <w:rPr>
          <w:spacing w:val="-3"/>
        </w:rPr>
        <w:t xml:space="preserve"> </w:t>
      </w:r>
      <w:r w:rsidRPr="00366782">
        <w:rPr>
          <w:spacing w:val="-3"/>
        </w:rPr>
        <w:t xml:space="preserve">Mo and V are found to lie in the range </w:t>
      </w:r>
      <w:r w:rsidR="00E2394F">
        <w:rPr>
          <w:spacing w:val="-3"/>
        </w:rPr>
        <w:t>(</w:t>
      </w:r>
      <w:r w:rsidRPr="00366782">
        <w:rPr>
          <w:spacing w:val="-3"/>
        </w:rPr>
        <w:t>9</w:t>
      </w:r>
      <w:r w:rsidR="00E2394F">
        <w:rPr>
          <w:spacing w:val="-3"/>
        </w:rPr>
        <w:t xml:space="preserve"> </w:t>
      </w:r>
      <w:r w:rsidRPr="00366782">
        <w:rPr>
          <w:spacing w:val="-3"/>
        </w:rPr>
        <w:t>16</w:t>
      </w:r>
      <w:r w:rsidR="00E2394F">
        <w:rPr>
          <w:spacing w:val="-3"/>
        </w:rPr>
        <w:t>)</w:t>
      </w:r>
      <w:r w:rsidRPr="00366782">
        <w:rPr>
          <w:spacing w:val="-3"/>
        </w:rPr>
        <w:t xml:space="preserve"> cm s</w:t>
      </w:r>
      <w:r w:rsidRPr="00883A53">
        <w:rPr>
          <w:spacing w:val="-3"/>
          <w:sz w:val="26"/>
          <w:vertAlign w:val="superscript"/>
        </w:rPr>
        <w:t>-1</w:t>
      </w:r>
      <w:r w:rsidRPr="00366782">
        <w:rPr>
          <w:spacing w:val="-3"/>
        </w:rPr>
        <w:t>K</w:t>
      </w:r>
      <w:r w:rsidRPr="00883A53">
        <w:rPr>
          <w:spacing w:val="-3"/>
          <w:sz w:val="26"/>
          <w:vertAlign w:val="superscript"/>
        </w:rPr>
        <w:t>-1</w:t>
      </w:r>
      <w:r>
        <w:rPr>
          <w:spacing w:val="-3"/>
        </w:rPr>
        <w:t xml:space="preserve"> [Hoyt et al. 2006]</w:t>
      </w:r>
      <w:r w:rsidR="0088720B">
        <w:rPr>
          <w:spacing w:val="-3"/>
        </w:rPr>
        <w:t>.</w:t>
      </w:r>
      <w:r w:rsidRPr="00366782">
        <w:rPr>
          <w:spacing w:val="-3"/>
        </w:rPr>
        <w:t xml:space="preserve"> The values are greater,</w:t>
      </w:r>
      <w:r>
        <w:rPr>
          <w:spacing w:val="-3"/>
        </w:rPr>
        <w:t xml:space="preserve"> </w:t>
      </w:r>
      <w:r w:rsidRPr="00366782">
        <w:rPr>
          <w:spacing w:val="-3"/>
        </w:rPr>
        <w:t>by a factor of roughly 3</w:t>
      </w:r>
      <w:r>
        <w:rPr>
          <w:spacing w:val="-3"/>
        </w:rPr>
        <w:t>/</w:t>
      </w:r>
      <w:r w:rsidRPr="00366782">
        <w:rPr>
          <w:spacing w:val="-3"/>
        </w:rPr>
        <w:t>2, than those predicted by the</w:t>
      </w:r>
      <w:r w:rsidR="002A1C2F">
        <w:rPr>
          <w:spacing w:val="-3"/>
        </w:rPr>
        <w:t xml:space="preserve"> density functional theory</w:t>
      </w:r>
      <w:r w:rsidRPr="00366782">
        <w:rPr>
          <w:spacing w:val="-3"/>
        </w:rPr>
        <w:t xml:space="preserve"> </w:t>
      </w:r>
      <w:r w:rsidR="002A1C2F">
        <w:rPr>
          <w:spacing w:val="-3"/>
        </w:rPr>
        <w:t>(</w:t>
      </w:r>
      <w:r w:rsidRPr="00366782">
        <w:rPr>
          <w:spacing w:val="-3"/>
        </w:rPr>
        <w:t>DFT</w:t>
      </w:r>
      <w:r w:rsidR="002A1C2F">
        <w:rPr>
          <w:spacing w:val="-3"/>
        </w:rPr>
        <w:t>)</w:t>
      </w:r>
      <w:r w:rsidRPr="00366782">
        <w:rPr>
          <w:spacing w:val="-3"/>
        </w:rPr>
        <w:t xml:space="preserve"> based model of Mikeev</w:t>
      </w:r>
      <w:r>
        <w:rPr>
          <w:spacing w:val="-3"/>
        </w:rPr>
        <w:t xml:space="preserve"> </w:t>
      </w:r>
      <w:r w:rsidRPr="00366782">
        <w:rPr>
          <w:spacing w:val="-3"/>
        </w:rPr>
        <w:t>and Chernov</w:t>
      </w:r>
      <w:r>
        <w:rPr>
          <w:spacing w:val="-3"/>
        </w:rPr>
        <w:t xml:space="preserve"> [1991]</w:t>
      </w:r>
      <w:r w:rsidRPr="00366782">
        <w:rPr>
          <w:spacing w:val="-3"/>
        </w:rPr>
        <w:t>, but the magnitude of the model–simulation discrepancy is similar to</w:t>
      </w:r>
      <w:r>
        <w:rPr>
          <w:spacing w:val="-3"/>
        </w:rPr>
        <w:t xml:space="preserve"> </w:t>
      </w:r>
      <w:r w:rsidRPr="00366782">
        <w:rPr>
          <w:spacing w:val="-3"/>
        </w:rPr>
        <w:t xml:space="preserve">that observed in previous MD studies for </w:t>
      </w:r>
      <w:r w:rsidR="00B36D3D">
        <w:rPr>
          <w:spacing w:val="-3"/>
        </w:rPr>
        <w:t>FCC</w:t>
      </w:r>
      <w:r w:rsidRPr="00366782">
        <w:rPr>
          <w:spacing w:val="-3"/>
        </w:rPr>
        <w:t xml:space="preserve"> </w:t>
      </w:r>
      <w:r w:rsidR="0088720B">
        <w:rPr>
          <w:spacing w:val="-3"/>
        </w:rPr>
        <w:t xml:space="preserve">using embedded </w:t>
      </w:r>
      <w:r w:rsidR="002A1C2F">
        <w:rPr>
          <w:spacing w:val="-3"/>
        </w:rPr>
        <w:t xml:space="preserve">atom </w:t>
      </w:r>
      <w:r w:rsidR="002A1C2F" w:rsidRPr="00366782">
        <w:rPr>
          <w:spacing w:val="-3"/>
        </w:rPr>
        <w:t>potentials</w:t>
      </w:r>
      <w:r w:rsidRPr="00366782">
        <w:rPr>
          <w:spacing w:val="-3"/>
        </w:rPr>
        <w:t>.</w:t>
      </w:r>
      <w:r>
        <w:rPr>
          <w:spacing w:val="-3"/>
        </w:rPr>
        <w:t xml:space="preserve"> [Monk</w:t>
      </w:r>
      <w:r w:rsidR="00CC0793">
        <w:rPr>
          <w:spacing w:val="-3"/>
        </w:rPr>
        <w:t xml:space="preserve"> et al.</w:t>
      </w:r>
      <w:r>
        <w:rPr>
          <w:spacing w:val="-3"/>
        </w:rPr>
        <w:t xml:space="preserve">, 2010] show the difficulty of extracting </w:t>
      </w:r>
      <w:r>
        <w:rPr>
          <w:spacing w:val="-3"/>
        </w:rPr>
        <w:lastRenderedPageBreak/>
        <w:t xml:space="preserve">interface attachment kinetic coefficients from MD simulations when the kinetics </w:t>
      </w:r>
      <w:r w:rsidR="0088720B">
        <w:rPr>
          <w:spacing w:val="-3"/>
        </w:rPr>
        <w:t>is</w:t>
      </w:r>
      <w:r w:rsidR="00CC0793">
        <w:rPr>
          <w:spacing w:val="-3"/>
        </w:rPr>
        <w:t xml:space="preserve"> </w:t>
      </w:r>
      <w:r>
        <w:rPr>
          <w:spacing w:val="-3"/>
        </w:rPr>
        <w:t xml:space="preserve">fast compared to the heat flow. They </w:t>
      </w:r>
      <w:r w:rsidR="00CC0793">
        <w:rPr>
          <w:spacing w:val="-3"/>
        </w:rPr>
        <w:t xml:space="preserve">find </w:t>
      </w:r>
      <w:r w:rsidR="0074413E" w:rsidRPr="00276736">
        <w:rPr>
          <w:spacing w:val="-3"/>
          <w:position w:val="-10"/>
        </w:rPr>
        <w:object w:dxaOrig="1260" w:dyaOrig="360" w14:anchorId="19D56D4F">
          <v:shape id="_x0000_i1362" type="#_x0000_t75" style="width:62.65pt;height:17.75pt" o:ole="">
            <v:imagedata r:id="rId651" o:title=""/>
          </v:shape>
          <o:OLEObject Type="Embed" ProgID="Equation.DSMT4" ShapeID="_x0000_i1362" DrawAspect="Content" ObjectID="_1840626928" r:id="rId652"/>
        </w:object>
      </w:r>
      <w:r w:rsidRPr="00276736">
        <w:rPr>
          <w:spacing w:val="-3"/>
        </w:rPr>
        <w:t xml:space="preserve"> </w:t>
      </w:r>
      <w:r>
        <w:rPr>
          <w:spacing w:val="-3"/>
        </w:rPr>
        <w:t>for Ni.</w:t>
      </w:r>
    </w:p>
    <w:p w14:paraId="7D5E5AD6" w14:textId="77777777" w:rsidR="00015B17" w:rsidRDefault="00015B17" w:rsidP="00015B17">
      <w:pPr>
        <w:tabs>
          <w:tab w:val="left" w:pos="-720"/>
        </w:tabs>
        <w:suppressAutoHyphens/>
        <w:spacing w:line="360" w:lineRule="auto"/>
        <w:rPr>
          <w:spacing w:val="-3"/>
        </w:rPr>
      </w:pPr>
    </w:p>
    <w:p w14:paraId="27CFCC6A" w14:textId="299555AC" w:rsidR="00015B17" w:rsidRPr="00A37BBF" w:rsidRDefault="00015B17" w:rsidP="00015B17">
      <w:pPr>
        <w:tabs>
          <w:tab w:val="left" w:pos="-720"/>
        </w:tabs>
        <w:suppressAutoHyphens/>
        <w:spacing w:line="360" w:lineRule="auto"/>
        <w:rPr>
          <w:spacing w:val="-3"/>
        </w:rPr>
      </w:pPr>
      <w:r>
        <w:rPr>
          <w:spacing w:val="-3"/>
        </w:rPr>
        <w:tab/>
      </w:r>
      <w:r w:rsidRPr="00A37BBF">
        <w:rPr>
          <w:spacing w:val="-3"/>
        </w:rPr>
        <w:t>Mendelev</w:t>
      </w:r>
      <w:r>
        <w:rPr>
          <w:spacing w:val="-3"/>
        </w:rPr>
        <w:t xml:space="preserve"> et al. [2010] examine values of </w:t>
      </w:r>
      <w:r w:rsidRPr="00A37BBF">
        <w:rPr>
          <w:spacing w:val="-3"/>
          <w:position w:val="-10"/>
        </w:rPr>
        <w:object w:dxaOrig="240" w:dyaOrig="260" w14:anchorId="2BCF2FEA">
          <v:shape id="_x0000_i1363" type="#_x0000_t75" style="width:12.15pt;height:13.1pt" o:ole="">
            <v:imagedata r:id="rId653" o:title=""/>
          </v:shape>
          <o:OLEObject Type="Embed" ProgID="Equation.DSMT4" ShapeID="_x0000_i1363" DrawAspect="Content" ObjectID="_1840626929" r:id="rId654"/>
        </w:object>
      </w:r>
      <w:r>
        <w:rPr>
          <w:spacing w:val="-3"/>
        </w:rPr>
        <w:t xml:space="preserve"> for different orientations using a variety of </w:t>
      </w:r>
      <w:r w:rsidR="00CC0793">
        <w:rPr>
          <w:spacing w:val="-3"/>
        </w:rPr>
        <w:t>e</w:t>
      </w:r>
      <w:r>
        <w:rPr>
          <w:spacing w:val="-3"/>
        </w:rPr>
        <w:t>mbedded atom potentials for the FCC metals. For Al, Cu and Ni values averaged over the various potentials are 1</w:t>
      </w:r>
      <w:r w:rsidR="00CC0793">
        <w:rPr>
          <w:spacing w:val="-3"/>
        </w:rPr>
        <w:t>00</w:t>
      </w:r>
      <w:r>
        <w:rPr>
          <w:spacing w:val="-3"/>
        </w:rPr>
        <w:t xml:space="preserve"> </w:t>
      </w:r>
      <w:r w:rsidR="00CC0793">
        <w:rPr>
          <w:spacing w:val="-3"/>
        </w:rPr>
        <w:t>c</w:t>
      </w:r>
      <w:r w:rsidRPr="0074413E">
        <w:rPr>
          <w:i/>
          <w:spacing w:val="-3"/>
        </w:rPr>
        <w:t>m</w:t>
      </w:r>
      <w:r w:rsidR="0074413E" w:rsidRPr="0074413E">
        <w:rPr>
          <w:i/>
          <w:spacing w:val="-3"/>
        </w:rPr>
        <w:t xml:space="preserve"> </w:t>
      </w:r>
      <w:r w:rsidRPr="0074413E">
        <w:rPr>
          <w:i/>
          <w:spacing w:val="-3"/>
        </w:rPr>
        <w:t>s</w:t>
      </w:r>
      <w:r w:rsidRPr="00883A53">
        <w:rPr>
          <w:i/>
          <w:spacing w:val="-3"/>
          <w:sz w:val="26"/>
          <w:vertAlign w:val="superscript"/>
        </w:rPr>
        <w:t>-1</w:t>
      </w:r>
      <w:r w:rsidRPr="0074413E">
        <w:rPr>
          <w:i/>
          <w:spacing w:val="-3"/>
        </w:rPr>
        <w:t>K</w:t>
      </w:r>
      <w:r w:rsidRPr="00883A53">
        <w:rPr>
          <w:i/>
          <w:spacing w:val="-3"/>
          <w:sz w:val="26"/>
          <w:vertAlign w:val="superscript"/>
        </w:rPr>
        <w:t>-1</w:t>
      </w:r>
      <w:r>
        <w:rPr>
          <w:spacing w:val="-3"/>
        </w:rPr>
        <w:t>, 7</w:t>
      </w:r>
      <w:r w:rsidR="00CC0793">
        <w:rPr>
          <w:spacing w:val="-3"/>
        </w:rPr>
        <w:t>0</w:t>
      </w:r>
      <w:r>
        <w:rPr>
          <w:spacing w:val="-3"/>
        </w:rPr>
        <w:t xml:space="preserve"> </w:t>
      </w:r>
      <w:r w:rsidR="00CC0793">
        <w:rPr>
          <w:spacing w:val="-3"/>
        </w:rPr>
        <w:t>c</w:t>
      </w:r>
      <w:r w:rsidRPr="0074413E">
        <w:rPr>
          <w:i/>
          <w:spacing w:val="-3"/>
        </w:rPr>
        <w:t>m</w:t>
      </w:r>
      <w:r w:rsidR="0074413E" w:rsidRPr="0074413E">
        <w:rPr>
          <w:i/>
          <w:spacing w:val="-3"/>
        </w:rPr>
        <w:t xml:space="preserve"> </w:t>
      </w:r>
      <w:r w:rsidRPr="0074413E">
        <w:rPr>
          <w:i/>
          <w:spacing w:val="-3"/>
        </w:rPr>
        <w:t>s</w:t>
      </w:r>
      <w:r w:rsidRPr="00883A53">
        <w:rPr>
          <w:i/>
          <w:spacing w:val="-3"/>
          <w:sz w:val="26"/>
          <w:vertAlign w:val="superscript"/>
        </w:rPr>
        <w:t>-1</w:t>
      </w:r>
      <w:r w:rsidRPr="0074413E">
        <w:rPr>
          <w:i/>
          <w:spacing w:val="-3"/>
        </w:rPr>
        <w:t>K</w:t>
      </w:r>
      <w:r w:rsidRPr="00883A53">
        <w:rPr>
          <w:i/>
          <w:spacing w:val="-3"/>
          <w:sz w:val="26"/>
          <w:vertAlign w:val="superscript"/>
        </w:rPr>
        <w:t>-1</w:t>
      </w:r>
      <w:r>
        <w:rPr>
          <w:spacing w:val="-3"/>
        </w:rPr>
        <w:t xml:space="preserve">and </w:t>
      </w:r>
      <w:r w:rsidR="00CC0793">
        <w:rPr>
          <w:spacing w:val="-3"/>
        </w:rPr>
        <w:t>70</w:t>
      </w:r>
      <w:r>
        <w:rPr>
          <w:spacing w:val="-3"/>
        </w:rPr>
        <w:t xml:space="preserve"> </w:t>
      </w:r>
      <w:r w:rsidR="00CC0793">
        <w:rPr>
          <w:spacing w:val="-3"/>
        </w:rPr>
        <w:t>c</w:t>
      </w:r>
      <w:r w:rsidRPr="0074413E">
        <w:rPr>
          <w:i/>
          <w:spacing w:val="-3"/>
        </w:rPr>
        <w:t>m</w:t>
      </w:r>
      <w:r w:rsidR="0074413E" w:rsidRPr="0074413E">
        <w:rPr>
          <w:i/>
          <w:spacing w:val="-3"/>
        </w:rPr>
        <w:t xml:space="preserve"> </w:t>
      </w:r>
      <w:r w:rsidRPr="0074413E">
        <w:rPr>
          <w:i/>
          <w:spacing w:val="-3"/>
        </w:rPr>
        <w:t>s</w:t>
      </w:r>
      <w:r w:rsidRPr="00883A53">
        <w:rPr>
          <w:i/>
          <w:spacing w:val="-3"/>
          <w:sz w:val="26"/>
          <w:vertAlign w:val="superscript"/>
        </w:rPr>
        <w:t>-1</w:t>
      </w:r>
      <w:r w:rsidRPr="0074413E">
        <w:rPr>
          <w:i/>
          <w:spacing w:val="-3"/>
        </w:rPr>
        <w:t>K</w:t>
      </w:r>
      <w:r w:rsidRPr="00883A53">
        <w:rPr>
          <w:i/>
          <w:spacing w:val="-3"/>
          <w:sz w:val="26"/>
          <w:vertAlign w:val="superscript"/>
        </w:rPr>
        <w:t xml:space="preserve">-1 </w:t>
      </w:r>
      <w:r>
        <w:rPr>
          <w:spacing w:val="-3"/>
        </w:rPr>
        <w:t>for {100}</w:t>
      </w:r>
      <w:r w:rsidR="0074413E">
        <w:rPr>
          <w:spacing w:val="-3"/>
        </w:rPr>
        <w:t xml:space="preserve"> respectively.</w:t>
      </w:r>
      <w:r>
        <w:rPr>
          <w:spacing w:val="-3"/>
        </w:rPr>
        <w:t xml:space="preserve"> All potentials give</w:t>
      </w:r>
      <w:r w:rsidRPr="000064CB">
        <w:rPr>
          <w:spacing w:val="-3"/>
        </w:rPr>
        <w:t xml:space="preserve"> </w:t>
      </w:r>
      <w:r w:rsidRPr="00A37BBF">
        <w:rPr>
          <w:spacing w:val="-3"/>
          <w:position w:val="-10"/>
        </w:rPr>
        <w:object w:dxaOrig="1820" w:dyaOrig="360" w14:anchorId="466DFC89">
          <v:shape id="_x0000_i1364" type="#_x0000_t75" style="width:89.75pt;height:17.75pt" o:ole="">
            <v:imagedata r:id="rId655" o:title=""/>
          </v:shape>
          <o:OLEObject Type="Embed" ProgID="Equation.DSMT4" ShapeID="_x0000_i1364" DrawAspect="Content" ObjectID="_1840626930" r:id="rId656"/>
        </w:object>
      </w:r>
      <w:r>
        <w:rPr>
          <w:spacing w:val="-3"/>
        </w:rPr>
        <w:t xml:space="preserve">for the </w:t>
      </w:r>
      <w:r w:rsidR="002A1C2F" w:rsidRPr="007B5082">
        <w:rPr>
          <w:spacing w:val="-3"/>
        </w:rPr>
        <w:t>high symmetry</w:t>
      </w:r>
      <w:r w:rsidRPr="007B5082">
        <w:rPr>
          <w:spacing w:val="-3"/>
        </w:rPr>
        <w:t xml:space="preserve"> {100}, {110} and {111} plane</w:t>
      </w:r>
      <w:r w:rsidR="0088720B">
        <w:rPr>
          <w:spacing w:val="-3"/>
        </w:rPr>
        <w:t>s</w:t>
      </w:r>
      <w:r>
        <w:rPr>
          <w:spacing w:val="-3"/>
        </w:rPr>
        <w:t>.</w:t>
      </w:r>
      <w:r w:rsidRPr="000064CB">
        <w:rPr>
          <w:spacing w:val="-3"/>
        </w:rPr>
        <w:t xml:space="preserve"> </w:t>
      </w:r>
      <w:r>
        <w:rPr>
          <w:spacing w:val="-3"/>
        </w:rPr>
        <w:t xml:space="preserve"> However, this anisotropy is sufficiently small that no missing growth orientations are usually seen; i.e., no facets are exposed due to growth kinetics.</w:t>
      </w:r>
    </w:p>
    <w:p w14:paraId="69E1BDF8" w14:textId="77777777" w:rsidR="00015B17" w:rsidRDefault="00015B17" w:rsidP="00015B17">
      <w:pPr>
        <w:tabs>
          <w:tab w:val="left" w:pos="-720"/>
        </w:tabs>
        <w:suppressAutoHyphens/>
        <w:spacing w:line="360" w:lineRule="auto"/>
        <w:rPr>
          <w:b/>
          <w:bCs/>
          <w:spacing w:val="-3"/>
        </w:rPr>
      </w:pPr>
    </w:p>
    <w:p w14:paraId="1441CD88" w14:textId="773350BE" w:rsidR="00015B17" w:rsidRDefault="00015B17" w:rsidP="00015B17">
      <w:pPr>
        <w:tabs>
          <w:tab w:val="left" w:pos="-720"/>
        </w:tabs>
        <w:suppressAutoHyphens/>
        <w:spacing w:line="360" w:lineRule="auto"/>
        <w:rPr>
          <w:b/>
          <w:bCs/>
          <w:spacing w:val="-3"/>
        </w:rPr>
      </w:pPr>
      <w:r>
        <w:rPr>
          <w:b/>
          <w:bCs/>
          <w:spacing w:val="-3"/>
        </w:rPr>
        <w:t>5.1.3 Facetted crystal growth</w:t>
      </w:r>
    </w:p>
    <w:p w14:paraId="3B76863D" w14:textId="77777777" w:rsidR="00015B17" w:rsidRDefault="00015B17" w:rsidP="00015B17">
      <w:pPr>
        <w:tabs>
          <w:tab w:val="left" w:pos="-720"/>
        </w:tabs>
        <w:suppressAutoHyphens/>
        <w:spacing w:line="360" w:lineRule="auto"/>
        <w:rPr>
          <w:spacing w:val="-3"/>
        </w:rPr>
      </w:pPr>
    </w:p>
    <w:p w14:paraId="4D08B5F7" w14:textId="0953B057" w:rsidR="00015B17" w:rsidRDefault="00015B17" w:rsidP="00015B17">
      <w:pPr>
        <w:tabs>
          <w:tab w:val="left" w:pos="-720"/>
        </w:tabs>
        <w:suppressAutoHyphens/>
        <w:spacing w:line="360" w:lineRule="auto"/>
        <w:rPr>
          <w:spacing w:val="-3"/>
        </w:rPr>
      </w:pPr>
      <w:r>
        <w:rPr>
          <w:spacing w:val="-3"/>
        </w:rPr>
        <w:tab/>
        <w:t xml:space="preserve">Most metals of primary interest in metallurgy solidify by a continuous growth mechanism with very small interface supercooling and no facets. Examples include Al, Cu, Fe, Ni, and Pb and Sn. Metals that grow with a facetted interface include Bi, Ga and Sb. Intermetallic compounds and Si typically grow with facetted interfaces. </w:t>
      </w:r>
      <w:r w:rsidR="0088720B">
        <w:rPr>
          <w:spacing w:val="-3"/>
        </w:rPr>
        <w:t>Intermetallic compounds</w:t>
      </w:r>
      <w:r>
        <w:rPr>
          <w:spacing w:val="-3"/>
        </w:rPr>
        <w:t xml:space="preserve"> often freeze in combination with non</w:t>
      </w:r>
      <w:r w:rsidR="0088720B">
        <w:rPr>
          <w:spacing w:val="-3"/>
        </w:rPr>
        <w:t>-</w:t>
      </w:r>
      <w:r>
        <w:rPr>
          <w:spacing w:val="-3"/>
        </w:rPr>
        <w:t xml:space="preserve">facetted phases </w:t>
      </w:r>
      <w:r w:rsidR="0088720B">
        <w:rPr>
          <w:spacing w:val="-3"/>
        </w:rPr>
        <w:t xml:space="preserve">to form </w:t>
      </w:r>
      <w:r>
        <w:rPr>
          <w:spacing w:val="-3"/>
        </w:rPr>
        <w:t>eutectics in many practical alloys</w:t>
      </w:r>
      <w:r w:rsidR="0088720B">
        <w:rPr>
          <w:spacing w:val="-3"/>
        </w:rPr>
        <w:t xml:space="preserve"> (see §8.1.3)</w:t>
      </w:r>
      <w:r>
        <w:rPr>
          <w:spacing w:val="-3"/>
        </w:rPr>
        <w:t>. Phases that grow with facetted interface</w:t>
      </w:r>
      <w:r w:rsidR="00CC0793">
        <w:rPr>
          <w:spacing w:val="-3"/>
        </w:rPr>
        <w:t>s</w:t>
      </w:r>
      <w:r>
        <w:rPr>
          <w:spacing w:val="-3"/>
        </w:rPr>
        <w:t xml:space="preserve"> have highly anisotropic growth kinetics</w:t>
      </w:r>
      <w:r w:rsidR="00CC0793">
        <w:rPr>
          <w:spacing w:val="-3"/>
        </w:rPr>
        <w:t xml:space="preserve"> by definition</w:t>
      </w:r>
      <w:r>
        <w:rPr>
          <w:spacing w:val="-3"/>
        </w:rPr>
        <w:t>. A brief description of their growth mechanisms is given</w:t>
      </w:r>
      <w:r w:rsidR="00CC0793">
        <w:rPr>
          <w:spacing w:val="-3"/>
        </w:rPr>
        <w:t>.</w:t>
      </w:r>
    </w:p>
    <w:p w14:paraId="62399C78" w14:textId="6AA09E8B" w:rsidR="00015B17" w:rsidRDefault="00015B17" w:rsidP="00015B17">
      <w:pPr>
        <w:tabs>
          <w:tab w:val="left" w:pos="-720"/>
        </w:tabs>
        <w:suppressAutoHyphens/>
        <w:spacing w:line="360" w:lineRule="auto"/>
        <w:rPr>
          <w:spacing w:val="-3"/>
        </w:rPr>
      </w:pPr>
    </w:p>
    <w:p w14:paraId="57349C55" w14:textId="77777777" w:rsidR="00015B17" w:rsidRDefault="00015B17" w:rsidP="00015B17">
      <w:pPr>
        <w:suppressAutoHyphens/>
        <w:spacing w:line="360" w:lineRule="auto"/>
        <w:rPr>
          <w:spacing w:val="-3"/>
        </w:rPr>
      </w:pPr>
      <w:r>
        <w:rPr>
          <w:color w:val="FF0000"/>
          <w:spacing w:val="-3"/>
        </w:rPr>
        <w:tab/>
      </w:r>
      <w:r>
        <w:rPr>
          <w:spacing w:val="-3"/>
        </w:rPr>
        <w:t>If the interface is atomically smooth and free of any defects, the growth rate is limited by the nucleation of surface clusters. These clusters must form on the interface in order to create the necessary surface steps for lateral growth. The lateral spreading rate is assumed to occur quite rapidly at a speed determined by the continuous growth law described above. The classical theory of two-dimensional nucleation was developed by VOLMER and MARDER [1931]. The growth law (for the formation of cylindrical surface clusters) has the form:</w:t>
      </w:r>
    </w:p>
    <w:p w14:paraId="185E4292" w14:textId="77777777" w:rsidR="00015B17" w:rsidRDefault="00015B17" w:rsidP="00015B17">
      <w:pPr>
        <w:tabs>
          <w:tab w:val="left" w:pos="-720"/>
        </w:tabs>
        <w:suppressAutoHyphens/>
        <w:spacing w:line="360" w:lineRule="auto"/>
        <w:jc w:val="both"/>
        <w:rPr>
          <w:spacing w:val="-3"/>
        </w:rPr>
      </w:pPr>
    </w:p>
    <w:p w14:paraId="732C9EC5" w14:textId="77777777" w:rsidR="00015B17" w:rsidRDefault="00015B17" w:rsidP="00015B17">
      <w:pPr>
        <w:tabs>
          <w:tab w:val="left" w:pos="-720"/>
        </w:tabs>
        <w:suppressAutoHyphens/>
        <w:spacing w:line="360" w:lineRule="auto"/>
        <w:jc w:val="center"/>
        <w:rPr>
          <w:spacing w:val="-3"/>
        </w:rPr>
      </w:pPr>
      <w:r w:rsidRPr="00034127">
        <w:rPr>
          <w:spacing w:val="-3"/>
          <w:position w:val="-32"/>
        </w:rPr>
        <w:object w:dxaOrig="2240" w:dyaOrig="760" w14:anchorId="047DF1C5">
          <v:shape id="_x0000_i1365" type="#_x0000_t75" style="width:112.2pt;height:38.35pt" o:ole="">
            <v:imagedata r:id="rId657" o:title=""/>
          </v:shape>
          <o:OLEObject Type="Embed" ProgID="Equation.DSMT4" ShapeID="_x0000_i1365" DrawAspect="Content" ObjectID="_1840626931" r:id="rId658"/>
        </w:object>
      </w:r>
      <w:r w:rsidR="006E6FC2">
        <w:rPr>
          <w:spacing w:val="-3"/>
        </w:rPr>
        <w:t>,</w:t>
      </w:r>
      <w:r>
        <w:rPr>
          <w:spacing w:val="-3"/>
        </w:rPr>
        <w:tab/>
      </w:r>
      <w:r>
        <w:rPr>
          <w:spacing w:val="-3"/>
        </w:rPr>
        <w:tab/>
      </w:r>
      <w:r>
        <w:rPr>
          <w:spacing w:val="-2"/>
        </w:rPr>
        <w:t>(</w:t>
      </w:r>
      <w:r w:rsidRPr="00087E69">
        <w:rPr>
          <w:spacing w:val="-2"/>
        </w:rPr>
        <w:t>5.</w:t>
      </w:r>
      <w:r>
        <w:rPr>
          <w:spacing w:val="-2"/>
        </w:rPr>
        <w:t>9)</w:t>
      </w:r>
    </w:p>
    <w:p w14:paraId="11D3F390" w14:textId="77777777" w:rsidR="00015B17" w:rsidRDefault="00015B17" w:rsidP="00015B17">
      <w:pPr>
        <w:tabs>
          <w:tab w:val="left" w:pos="-720"/>
        </w:tabs>
        <w:suppressAutoHyphens/>
        <w:spacing w:line="360" w:lineRule="auto"/>
        <w:jc w:val="both"/>
        <w:rPr>
          <w:spacing w:val="-3"/>
        </w:rPr>
      </w:pPr>
    </w:p>
    <w:p w14:paraId="0B33A8DE" w14:textId="77777777" w:rsidR="00015B17" w:rsidRDefault="00015B17" w:rsidP="00015B17">
      <w:pPr>
        <w:tabs>
          <w:tab w:val="left" w:pos="-720"/>
        </w:tabs>
        <w:suppressAutoHyphens/>
        <w:spacing w:line="360" w:lineRule="auto"/>
        <w:rPr>
          <w:spacing w:val="-3"/>
        </w:rPr>
      </w:pPr>
      <w:r>
        <w:rPr>
          <w:spacing w:val="-3"/>
        </w:rPr>
        <w:t>where</w:t>
      </w:r>
      <w:r>
        <w:rPr>
          <w:i/>
          <w:iCs/>
          <w:spacing w:val="-3"/>
        </w:rPr>
        <w:t xml:space="preserve"> </w:t>
      </w:r>
      <w:r w:rsidRPr="00B24FFA">
        <w:rPr>
          <w:i/>
          <w:iCs/>
          <w:spacing w:val="-3"/>
          <w:position w:val="-12"/>
        </w:rPr>
        <w:object w:dxaOrig="260" w:dyaOrig="360" w14:anchorId="6EB0D433">
          <v:shape id="_x0000_i1366" type="#_x0000_t75" style="width:13.1pt;height:17.75pt" o:ole="">
            <v:imagedata r:id="rId659" o:title=""/>
          </v:shape>
          <o:OLEObject Type="Embed" ProgID="Equation.DSMT4" ShapeID="_x0000_i1366" DrawAspect="Content" ObjectID="_1840626932" r:id="rId660"/>
        </w:object>
      </w:r>
      <w:r>
        <w:rPr>
          <w:spacing w:val="-3"/>
        </w:rPr>
        <w:t xml:space="preserve"> is the ledge energy per unit area and </w:t>
      </w:r>
      <w:r w:rsidRPr="00B24FFA">
        <w:rPr>
          <w:spacing w:val="-3"/>
          <w:position w:val="-6"/>
        </w:rPr>
        <w:object w:dxaOrig="200" w:dyaOrig="279" w14:anchorId="10C9AD3B">
          <v:shape id="_x0000_i1367" type="#_x0000_t75" style="width:10.3pt;height:14.05pt" o:ole="">
            <v:imagedata r:id="rId661" o:title=""/>
          </v:shape>
          <o:OLEObject Type="Embed" ProgID="Equation.DSMT4" ShapeID="_x0000_i1367" DrawAspect="Content" ObjectID="_1840626933" r:id="rId662"/>
        </w:object>
      </w:r>
      <w:r>
        <w:rPr>
          <w:spacing w:val="-3"/>
        </w:rPr>
        <w:t xml:space="preserve"> is the step height.  According to Eqn. (5.9) the growth rate is effectively zero at small supercooling and increases sharply at some critical supercooling. </w:t>
      </w:r>
    </w:p>
    <w:p w14:paraId="57E2000C" w14:textId="77777777" w:rsidR="00015B17" w:rsidRDefault="00015B17" w:rsidP="00015B17">
      <w:pPr>
        <w:tabs>
          <w:tab w:val="left" w:pos="-720"/>
        </w:tabs>
        <w:suppressAutoHyphens/>
        <w:spacing w:line="360" w:lineRule="auto"/>
        <w:rPr>
          <w:spacing w:val="-3"/>
        </w:rPr>
      </w:pPr>
    </w:p>
    <w:p w14:paraId="1428BD6E" w14:textId="77777777" w:rsidR="00015B17" w:rsidRDefault="00015B17" w:rsidP="00015B17">
      <w:pPr>
        <w:tabs>
          <w:tab w:val="left" w:pos="-720"/>
        </w:tabs>
        <w:suppressAutoHyphens/>
        <w:spacing w:line="360" w:lineRule="auto"/>
        <w:rPr>
          <w:spacing w:val="-3"/>
        </w:rPr>
      </w:pPr>
      <w:r>
        <w:rPr>
          <w:spacing w:val="-3"/>
        </w:rPr>
        <w:tab/>
        <w:t xml:space="preserve">If one or more screw dislocations emerge at the </w:t>
      </w:r>
      <w:r w:rsidR="004201E7">
        <w:rPr>
          <w:spacing w:val="-3"/>
        </w:rPr>
        <w:t>L-S</w:t>
      </w:r>
      <w:r>
        <w:rPr>
          <w:spacing w:val="-3"/>
        </w:rPr>
        <w:t xml:space="preserve"> interface it is not necessary to nucleate new layers to provide the sites for lateral attachment.  The step generated by each dislocation moves one plane each time it sweeps around the dislocation (FRANK [1949]).  It was shown by HILLIG and TURNBULL [1956] that the distance between neighboring turns of the spiral is inversely proportional to </w:t>
      </w:r>
      <w:r>
        <w:rPr>
          <w:i/>
          <w:iCs/>
          <w:spacing w:val="-3"/>
        </w:rPr>
        <w:t>ΔT</w:t>
      </w:r>
      <w:r w:rsidRPr="00727E8A">
        <w:rPr>
          <w:spacing w:val="-3"/>
          <w:sz w:val="26"/>
          <w:vertAlign w:val="subscript"/>
        </w:rPr>
        <w:t>k</w:t>
      </w:r>
      <w:r>
        <w:rPr>
          <w:spacing w:val="-3"/>
        </w:rPr>
        <w:t xml:space="preserve">, and therefore the total length of step is directly proportional to </w:t>
      </w:r>
      <w:r>
        <w:rPr>
          <w:i/>
          <w:iCs/>
          <w:spacing w:val="-3"/>
        </w:rPr>
        <w:t>ΔT</w:t>
      </w:r>
      <w:r w:rsidRPr="00727E8A">
        <w:rPr>
          <w:spacing w:val="-3"/>
          <w:sz w:val="26"/>
          <w:vertAlign w:val="subscript"/>
        </w:rPr>
        <w:t>k</w:t>
      </w:r>
      <w:r>
        <w:rPr>
          <w:spacing w:val="-3"/>
        </w:rPr>
        <w:t>.  For small supercooling, the rate of growth, therefore, will be</w:t>
      </w:r>
    </w:p>
    <w:p w14:paraId="79F7DC1B" w14:textId="77777777" w:rsidR="00015B17" w:rsidRDefault="00015B17" w:rsidP="00015B17">
      <w:pPr>
        <w:tabs>
          <w:tab w:val="left" w:pos="-720"/>
        </w:tabs>
        <w:suppressAutoHyphens/>
        <w:spacing w:line="360" w:lineRule="auto"/>
        <w:jc w:val="both"/>
        <w:rPr>
          <w:spacing w:val="-3"/>
        </w:rPr>
      </w:pPr>
    </w:p>
    <w:p w14:paraId="34C3EC06" w14:textId="77777777" w:rsidR="00015B17" w:rsidRDefault="00015B17" w:rsidP="00015B17">
      <w:pPr>
        <w:tabs>
          <w:tab w:val="left" w:pos="-720"/>
        </w:tabs>
        <w:suppressAutoHyphens/>
        <w:spacing w:line="360" w:lineRule="auto"/>
        <w:jc w:val="center"/>
        <w:rPr>
          <w:spacing w:val="-2"/>
        </w:rPr>
      </w:pPr>
      <w:r w:rsidRPr="001F6352">
        <w:rPr>
          <w:spacing w:val="-3"/>
          <w:position w:val="-14"/>
        </w:rPr>
        <w:object w:dxaOrig="1219" w:dyaOrig="440" w14:anchorId="240757EC">
          <v:shape id="_x0000_i1368" type="#_x0000_t75" style="width:61.7pt;height:21.5pt" o:ole="">
            <v:imagedata r:id="rId663" o:title=""/>
          </v:shape>
          <o:OLEObject Type="Embed" ProgID="Equation.DSMT4" ShapeID="_x0000_i1368" DrawAspect="Content" ObjectID="_1840626934" r:id="rId664"/>
        </w:object>
      </w:r>
      <w:r>
        <w:rPr>
          <w:spacing w:val="-3"/>
        </w:rPr>
        <w:tab/>
      </w:r>
      <w:r w:rsidR="006E6FC2">
        <w:rPr>
          <w:spacing w:val="-3"/>
        </w:rPr>
        <w:t>,</w:t>
      </w:r>
      <w:r>
        <w:rPr>
          <w:spacing w:val="-3"/>
        </w:rPr>
        <w:tab/>
      </w:r>
      <w:r>
        <w:rPr>
          <w:spacing w:val="-2"/>
        </w:rPr>
        <w:t>(</w:t>
      </w:r>
      <w:r w:rsidRPr="00087E69">
        <w:rPr>
          <w:spacing w:val="-2"/>
        </w:rPr>
        <w:t>5.1</w:t>
      </w:r>
      <w:r>
        <w:rPr>
          <w:spacing w:val="-2"/>
        </w:rPr>
        <w:t>0)</w:t>
      </w:r>
    </w:p>
    <w:p w14:paraId="5B427187" w14:textId="77777777" w:rsidR="00015B17" w:rsidRDefault="00015B17" w:rsidP="00015B17">
      <w:pPr>
        <w:tabs>
          <w:tab w:val="left" w:pos="-720"/>
        </w:tabs>
        <w:suppressAutoHyphens/>
        <w:spacing w:line="360" w:lineRule="auto"/>
        <w:jc w:val="center"/>
        <w:rPr>
          <w:spacing w:val="-3"/>
        </w:rPr>
      </w:pPr>
    </w:p>
    <w:p w14:paraId="1F0A2F99" w14:textId="77777777" w:rsidR="00015B17" w:rsidRDefault="00015B17" w:rsidP="00015B17">
      <w:pPr>
        <w:tabs>
          <w:tab w:val="left" w:pos="-720"/>
        </w:tabs>
        <w:suppressAutoHyphens/>
        <w:spacing w:line="360" w:lineRule="auto"/>
        <w:rPr>
          <w:spacing w:val="-3"/>
        </w:rPr>
      </w:pPr>
      <w:r>
        <w:rPr>
          <w:spacing w:val="-3"/>
        </w:rPr>
        <w:t xml:space="preserve">because the rate of growth per unit length of step should also be proportional to </w:t>
      </w:r>
      <w:r>
        <w:rPr>
          <w:i/>
          <w:iCs/>
          <w:spacing w:val="-3"/>
        </w:rPr>
        <w:t>ΔT</w:t>
      </w:r>
      <w:r w:rsidRPr="00727E8A">
        <w:rPr>
          <w:spacing w:val="-3"/>
          <w:sz w:val="26"/>
          <w:vertAlign w:val="subscript"/>
        </w:rPr>
        <w:t>k</w:t>
      </w:r>
      <w:r>
        <w:rPr>
          <w:spacing w:val="-3"/>
        </w:rPr>
        <w:t xml:space="preserve"> (CHALMERS [1964]). Fig. 5.3 schematically shows the growth laws for continuous, </w:t>
      </w:r>
    </w:p>
    <w:p w14:paraId="64D0B51B" w14:textId="77777777" w:rsidR="00015B17" w:rsidRDefault="00015B17" w:rsidP="00015B17">
      <w:pPr>
        <w:tabs>
          <w:tab w:val="left" w:pos="-720"/>
        </w:tabs>
        <w:suppressAutoHyphens/>
        <w:spacing w:line="360" w:lineRule="auto"/>
        <w:rPr>
          <w:spacing w:val="-3"/>
        </w:rPr>
      </w:pPr>
      <w:r>
        <w:rPr>
          <w:spacing w:val="-3"/>
        </w:rPr>
        <w:t xml:space="preserve">2D-nucleation, and screw dislocation-assisted growth laws. It is seen that interface undercooling required for step growth is considerable higher </w:t>
      </w:r>
      <w:r w:rsidR="00CC0793">
        <w:rPr>
          <w:spacing w:val="-3"/>
        </w:rPr>
        <w:t xml:space="preserve">than </w:t>
      </w:r>
      <w:r>
        <w:rPr>
          <w:spacing w:val="-3"/>
        </w:rPr>
        <w:t xml:space="preserve">for continuous growth. Another source of steps at the </w:t>
      </w:r>
      <w:r w:rsidR="004201E7">
        <w:rPr>
          <w:spacing w:val="-3"/>
        </w:rPr>
        <w:t>L-S</w:t>
      </w:r>
      <w:r>
        <w:rPr>
          <w:spacing w:val="-3"/>
        </w:rPr>
        <w:t xml:space="preserve"> interface is the reentrant angle resulting from the emergence of twin planes at the </w:t>
      </w:r>
      <w:r w:rsidR="004201E7">
        <w:rPr>
          <w:spacing w:val="-3"/>
        </w:rPr>
        <w:t>L-S</w:t>
      </w:r>
      <w:r>
        <w:rPr>
          <w:spacing w:val="-3"/>
        </w:rPr>
        <w:t xml:space="preserve"> interface. This mechanism is found to be important for Si and Ge </w:t>
      </w:r>
      <w:bookmarkStart w:id="0" w:name="OLE_LINK3"/>
      <w:bookmarkStart w:id="1" w:name="OLE_LINK4"/>
      <w:r>
        <w:rPr>
          <w:spacing w:val="-3"/>
        </w:rPr>
        <w:t>[Hamilton &amp; Seidensticker, 1960]</w:t>
      </w:r>
      <w:bookmarkEnd w:id="0"/>
      <w:bookmarkEnd w:id="1"/>
      <w:r>
        <w:rPr>
          <w:spacing w:val="-3"/>
        </w:rPr>
        <w:t>. See FLEMINGS [1974].  Twins are frequently found at high growth rates in many Al alloys [</w:t>
      </w:r>
      <w:r w:rsidRPr="00EC1094">
        <w:rPr>
          <w:spacing w:val="-3"/>
        </w:rPr>
        <w:t xml:space="preserve">Salgado-Ordorica </w:t>
      </w:r>
      <w:r>
        <w:rPr>
          <w:spacing w:val="-3"/>
        </w:rPr>
        <w:t>&amp;</w:t>
      </w:r>
      <w:r w:rsidRPr="00EC1094">
        <w:rPr>
          <w:spacing w:val="-3"/>
        </w:rPr>
        <w:t xml:space="preserve"> Rappaz</w:t>
      </w:r>
      <w:r>
        <w:rPr>
          <w:spacing w:val="-3"/>
        </w:rPr>
        <w:t>, 2008]</w:t>
      </w:r>
      <w:r w:rsidRPr="00EC1094">
        <w:rPr>
          <w:spacing w:val="-3"/>
        </w:rPr>
        <w:t>.</w:t>
      </w:r>
    </w:p>
    <w:p w14:paraId="35C0B350" w14:textId="77777777" w:rsidR="00015B17" w:rsidRDefault="00015B17" w:rsidP="00015B17">
      <w:pPr>
        <w:tabs>
          <w:tab w:val="left" w:pos="-720"/>
        </w:tabs>
        <w:suppressAutoHyphens/>
        <w:spacing w:line="360" w:lineRule="auto"/>
        <w:jc w:val="both"/>
        <w:rPr>
          <w:spacing w:val="-3"/>
        </w:rPr>
      </w:pPr>
    </w:p>
    <w:p w14:paraId="3CABCA1F" w14:textId="61046D04" w:rsidR="00015B17" w:rsidRDefault="00015B17" w:rsidP="00015B17">
      <w:pPr>
        <w:tabs>
          <w:tab w:val="left" w:pos="-720"/>
        </w:tabs>
        <w:suppressAutoHyphens/>
        <w:spacing w:line="360" w:lineRule="auto"/>
        <w:rPr>
          <w:spacing w:val="-3"/>
        </w:rPr>
      </w:pPr>
      <w:r>
        <w:rPr>
          <w:spacing w:val="-3"/>
        </w:rPr>
        <w:tab/>
        <w:t xml:space="preserve">The Jackson </w:t>
      </w:r>
      <w:r w:rsidRPr="00C86D70">
        <w:rPr>
          <w:spacing w:val="-3"/>
          <w:position w:val="-6"/>
        </w:rPr>
        <w:object w:dxaOrig="300" w:dyaOrig="320" w14:anchorId="48C4C802">
          <v:shape id="_x0000_i1369" type="#_x0000_t75" style="width:14.95pt;height:16.85pt" o:ole="">
            <v:imagedata r:id="rId665" o:title=""/>
          </v:shape>
          <o:OLEObject Type="Embed" ProgID="Equation.DSMT4" ShapeID="_x0000_i1369" DrawAspect="Content" ObjectID="_1840626935" r:id="rId666"/>
        </w:object>
      </w:r>
      <w:r>
        <w:rPr>
          <w:spacing w:val="-3"/>
        </w:rPr>
        <w:t xml:space="preserve"> classification scheme while extremely useful </w:t>
      </w:r>
      <w:r w:rsidR="002A1C2F">
        <w:rPr>
          <w:spacing w:val="-3"/>
        </w:rPr>
        <w:t>cannot</w:t>
      </w:r>
      <w:r>
        <w:rPr>
          <w:spacing w:val="-3"/>
        </w:rPr>
        <w:t xml:space="preserve"> predict transitions found in growth kinetics. The models of CAHN [1960], CAHN </w:t>
      </w:r>
      <w:r>
        <w:rPr>
          <w:i/>
          <w:iCs/>
          <w:spacing w:val="-3"/>
        </w:rPr>
        <w:t>et al.</w:t>
      </w:r>
      <w:r>
        <w:rPr>
          <w:spacing w:val="-3"/>
        </w:rPr>
        <w:t xml:space="preserve"> [1964] and Chernov [1984] predict for </w:t>
      </w:r>
      <w:r w:rsidR="00CC0793">
        <w:rPr>
          <w:spacing w:val="-3"/>
        </w:rPr>
        <w:t xml:space="preserve">a </w:t>
      </w:r>
      <w:r>
        <w:rPr>
          <w:spacing w:val="-3"/>
        </w:rPr>
        <w:t xml:space="preserve">given material a kinetic roughening transition from lateral growth at low supercooling to continuous growth at high supercooling. An experiment showing the transition has been performed by PETEVES and ABBASCHIAN [1986] on </w:t>
      </w:r>
      <w:smartTag w:uri="urn:schemas-microsoft-com:office:smarttags" w:element="place">
        <w:smartTag w:uri="urn:schemas-microsoft-com:office:smarttags" w:element="State">
          <w:r>
            <w:rPr>
              <w:spacing w:val="-3"/>
            </w:rPr>
            <w:lastRenderedPageBreak/>
            <w:t>Ga.</w:t>
          </w:r>
        </w:smartTag>
      </w:smartTag>
      <w:r>
        <w:rPr>
          <w:spacing w:val="-3"/>
        </w:rPr>
        <w:t xml:space="preserve"> The transition to continuous growth occurs at an supercooling of about 4K and a growth rate of about </w:t>
      </w:r>
      <w:r w:rsidR="00CC0793">
        <w:rPr>
          <w:spacing w:val="-3"/>
        </w:rPr>
        <w:t xml:space="preserve">0.5 cm </w:t>
      </w:r>
      <w:r>
        <w:rPr>
          <w:spacing w:val="-3"/>
        </w:rPr>
        <w:t>s</w:t>
      </w:r>
      <w:r w:rsidR="00CC0793" w:rsidRPr="00883A53">
        <w:rPr>
          <w:spacing w:val="-3"/>
          <w:sz w:val="26"/>
          <w:vertAlign w:val="superscript"/>
        </w:rPr>
        <w:t>-1</w:t>
      </w:r>
      <w:r>
        <w:rPr>
          <w:spacing w:val="-3"/>
        </w:rPr>
        <w:t xml:space="preserve"> for the (111) face.</w:t>
      </w:r>
    </w:p>
    <w:p w14:paraId="2575DABC" w14:textId="77777777" w:rsidR="00015B17" w:rsidRDefault="00015B17" w:rsidP="00015B17">
      <w:pPr>
        <w:tabs>
          <w:tab w:val="left" w:pos="-720"/>
        </w:tabs>
        <w:suppressAutoHyphens/>
        <w:spacing w:line="360" w:lineRule="auto"/>
        <w:rPr>
          <w:spacing w:val="-3"/>
        </w:rPr>
      </w:pPr>
      <w:r>
        <w:rPr>
          <w:spacing w:val="-3"/>
        </w:rPr>
        <w:tab/>
      </w:r>
    </w:p>
    <w:p w14:paraId="35551F1C" w14:textId="06AD869B" w:rsidR="00015B17" w:rsidRDefault="00015B17" w:rsidP="00015B17">
      <w:pPr>
        <w:tabs>
          <w:tab w:val="left" w:pos="-720"/>
        </w:tabs>
        <w:suppressAutoHyphens/>
        <w:spacing w:line="360" w:lineRule="auto"/>
        <w:rPr>
          <w:spacing w:val="-3"/>
        </w:rPr>
      </w:pPr>
      <w:r>
        <w:rPr>
          <w:b/>
          <w:bCs/>
          <w:spacing w:val="-3"/>
        </w:rPr>
        <w:t>5.2 Binary Alloys</w:t>
      </w:r>
    </w:p>
    <w:p w14:paraId="1D975395" w14:textId="77777777" w:rsidR="00015B17" w:rsidRDefault="00015B17" w:rsidP="00015B17">
      <w:pPr>
        <w:tabs>
          <w:tab w:val="left" w:pos="-720"/>
        </w:tabs>
        <w:suppressAutoHyphens/>
        <w:spacing w:line="360" w:lineRule="auto"/>
        <w:rPr>
          <w:spacing w:val="-3"/>
        </w:rPr>
      </w:pPr>
    </w:p>
    <w:p w14:paraId="516E4FDF" w14:textId="2EEF2964" w:rsidR="00015B17" w:rsidRDefault="00015B17" w:rsidP="00015B17">
      <w:pPr>
        <w:tabs>
          <w:tab w:val="left" w:pos="-720"/>
        </w:tabs>
        <w:suppressAutoHyphens/>
        <w:spacing w:line="360" w:lineRule="auto"/>
        <w:rPr>
          <w:spacing w:val="-3"/>
        </w:rPr>
      </w:pPr>
      <w:r>
        <w:rPr>
          <w:spacing w:val="-3"/>
        </w:rPr>
        <w:tab/>
        <w:t xml:space="preserve">BAKER and CAHN [1971] described the general formalism for the interface conditions for solidification of a </w:t>
      </w:r>
      <w:r>
        <w:rPr>
          <w:i/>
          <w:iCs/>
          <w:spacing w:val="-3"/>
        </w:rPr>
        <w:t>binary</w:t>
      </w:r>
      <w:r>
        <w:rPr>
          <w:spacing w:val="-3"/>
        </w:rPr>
        <w:t xml:space="preserve"> alloy in terms of two response functions.  One choice for these functions describes the interface temperature, </w:t>
      </w:r>
      <w:r w:rsidRPr="00E321FC">
        <w:rPr>
          <w:i/>
          <w:iCs/>
          <w:spacing w:val="-3"/>
          <w:position w:val="-4"/>
        </w:rPr>
        <w:object w:dxaOrig="279" w:dyaOrig="300" w14:anchorId="4039D54F">
          <v:shape id="_x0000_i1370" type="#_x0000_t75" style="width:14.05pt;height:14.95pt" o:ole="">
            <v:imagedata r:id="rId667" o:title=""/>
          </v:shape>
          <o:OLEObject Type="Embed" ProgID="Equation.DSMT4" ShapeID="_x0000_i1370" DrawAspect="Content" ObjectID="_1840626936" r:id="rId668"/>
        </w:object>
      </w:r>
      <w:r>
        <w:rPr>
          <w:spacing w:val="-3"/>
        </w:rPr>
        <w:t xml:space="preserve">, and the composition of the solid at the interface, </w:t>
      </w:r>
      <w:r w:rsidRPr="00E321FC">
        <w:rPr>
          <w:i/>
          <w:iCs/>
          <w:spacing w:val="-3"/>
        </w:rPr>
        <w:t>C</w:t>
      </w:r>
      <w:r w:rsidRPr="00727E8A">
        <w:rPr>
          <w:i/>
          <w:spacing w:val="-3"/>
          <w:sz w:val="26"/>
          <w:vertAlign w:val="subscript"/>
        </w:rPr>
        <w:t>S</w:t>
      </w:r>
      <w:r w:rsidRPr="00883A53">
        <w:rPr>
          <w:i/>
          <w:spacing w:val="-3"/>
          <w:sz w:val="26"/>
          <w:vertAlign w:val="superscript"/>
        </w:rPr>
        <w:t>*</w:t>
      </w:r>
      <w:r>
        <w:rPr>
          <w:spacing w:val="-3"/>
        </w:rPr>
        <w:t xml:space="preserve">. Neglecting </w:t>
      </w:r>
      <w:r w:rsidR="00091DCC">
        <w:rPr>
          <w:spacing w:val="-3"/>
        </w:rPr>
        <w:t>orientation and</w:t>
      </w:r>
      <w:r>
        <w:rPr>
          <w:spacing w:val="-3"/>
        </w:rPr>
        <w:t xml:space="preserve"> curvature effects, these response functions can be written as follows:</w:t>
      </w:r>
    </w:p>
    <w:p w14:paraId="0FFB0890" w14:textId="77777777" w:rsidR="00015B17" w:rsidRDefault="00015B17" w:rsidP="00015B17">
      <w:pPr>
        <w:tabs>
          <w:tab w:val="left" w:pos="-720"/>
        </w:tabs>
        <w:suppressAutoHyphens/>
        <w:spacing w:line="360" w:lineRule="auto"/>
        <w:jc w:val="both"/>
        <w:rPr>
          <w:spacing w:val="-3"/>
        </w:rPr>
      </w:pPr>
    </w:p>
    <w:p w14:paraId="2C843B07" w14:textId="77777777" w:rsidR="00015B17" w:rsidRDefault="00015B17" w:rsidP="00015B17">
      <w:pPr>
        <w:tabs>
          <w:tab w:val="left" w:pos="-720"/>
        </w:tabs>
        <w:suppressAutoHyphens/>
        <w:spacing w:line="360" w:lineRule="auto"/>
        <w:jc w:val="center"/>
        <w:rPr>
          <w:spacing w:val="-3"/>
        </w:rPr>
      </w:pPr>
      <w:r w:rsidRPr="007F5182">
        <w:rPr>
          <w:spacing w:val="-3"/>
          <w:position w:val="-16"/>
        </w:rPr>
        <w:object w:dxaOrig="1380" w:dyaOrig="440" w14:anchorId="05B916B6">
          <v:shape id="_x0000_i1371" type="#_x0000_t75" style="width:69.2pt;height:21.5pt" o:ole="">
            <v:imagedata r:id="rId669" o:title=""/>
          </v:shape>
          <o:OLEObject Type="Embed" ProgID="Equation.DSMT4" ShapeID="_x0000_i1371" DrawAspect="Content" ObjectID="_1840626937" r:id="rId670"/>
        </w:object>
      </w:r>
      <w:r>
        <w:rPr>
          <w:spacing w:val="-3"/>
        </w:rPr>
        <w:tab/>
      </w:r>
      <w:r>
        <w:rPr>
          <w:spacing w:val="-3"/>
        </w:rPr>
        <w:tab/>
      </w:r>
      <w:r>
        <w:rPr>
          <w:spacing w:val="-2"/>
        </w:rPr>
        <w:t>(</w:t>
      </w:r>
      <w:r w:rsidRPr="00087E69">
        <w:rPr>
          <w:spacing w:val="-2"/>
        </w:rPr>
        <w:t>5.1</w:t>
      </w:r>
      <w:r>
        <w:rPr>
          <w:spacing w:val="-2"/>
        </w:rPr>
        <w:t>1)</w:t>
      </w:r>
    </w:p>
    <w:p w14:paraId="67D956A7" w14:textId="77777777" w:rsidR="00015B17" w:rsidRDefault="00015B17" w:rsidP="00015B17">
      <w:pPr>
        <w:tabs>
          <w:tab w:val="left" w:pos="-720"/>
        </w:tabs>
        <w:suppressAutoHyphens/>
        <w:spacing w:line="360" w:lineRule="auto"/>
        <w:rPr>
          <w:spacing w:val="-3"/>
        </w:rPr>
      </w:pPr>
      <w:r>
        <w:rPr>
          <w:spacing w:val="-3"/>
        </w:rPr>
        <w:t>and</w:t>
      </w:r>
    </w:p>
    <w:p w14:paraId="17DE4014" w14:textId="77777777" w:rsidR="00015B17" w:rsidRDefault="00015B17" w:rsidP="00015B17">
      <w:pPr>
        <w:tabs>
          <w:tab w:val="left" w:pos="-720"/>
        </w:tabs>
        <w:suppressAutoHyphens/>
        <w:spacing w:line="360" w:lineRule="auto"/>
        <w:jc w:val="center"/>
        <w:rPr>
          <w:spacing w:val="-2"/>
        </w:rPr>
      </w:pPr>
      <w:r w:rsidRPr="007F5182">
        <w:rPr>
          <w:spacing w:val="-3"/>
          <w:position w:val="-16"/>
        </w:rPr>
        <w:object w:dxaOrig="1680" w:dyaOrig="440" w14:anchorId="28A903E2">
          <v:shape id="_x0000_i1372" type="#_x0000_t75" style="width:84.15pt;height:21.5pt" o:ole="">
            <v:imagedata r:id="rId671" o:title=""/>
          </v:shape>
          <o:OLEObject Type="Embed" ProgID="Equation.DSMT4" ShapeID="_x0000_i1372" DrawAspect="Content" ObjectID="_1840626938" r:id="rId672"/>
        </w:object>
      </w:r>
      <w:r>
        <w:rPr>
          <w:spacing w:val="-3"/>
        </w:rPr>
        <w:t>,</w:t>
      </w:r>
      <w:r>
        <w:rPr>
          <w:spacing w:val="-3"/>
        </w:rPr>
        <w:tab/>
      </w:r>
      <w:r>
        <w:rPr>
          <w:spacing w:val="-3"/>
        </w:rPr>
        <w:tab/>
      </w:r>
      <w:r>
        <w:rPr>
          <w:spacing w:val="-2"/>
        </w:rPr>
        <w:t>(</w:t>
      </w:r>
      <w:r w:rsidRPr="00087E69">
        <w:rPr>
          <w:spacing w:val="-2"/>
        </w:rPr>
        <w:t>5.1</w:t>
      </w:r>
      <w:r>
        <w:rPr>
          <w:spacing w:val="-2"/>
        </w:rPr>
        <w:t>2)</w:t>
      </w:r>
    </w:p>
    <w:p w14:paraId="444CF8F6" w14:textId="77777777" w:rsidR="00015B17" w:rsidRDefault="00015B17" w:rsidP="00015B17">
      <w:pPr>
        <w:tabs>
          <w:tab w:val="left" w:pos="-720"/>
        </w:tabs>
        <w:suppressAutoHyphens/>
        <w:spacing w:line="360" w:lineRule="auto"/>
        <w:jc w:val="center"/>
        <w:rPr>
          <w:spacing w:val="-3"/>
        </w:rPr>
      </w:pPr>
    </w:p>
    <w:p w14:paraId="57F7C9F6" w14:textId="2813B493" w:rsidR="00015B17" w:rsidRDefault="006E6FC2" w:rsidP="00015B17">
      <w:pPr>
        <w:tabs>
          <w:tab w:val="left" w:pos="-720"/>
        </w:tabs>
        <w:suppressAutoHyphens/>
        <w:spacing w:line="360" w:lineRule="auto"/>
        <w:rPr>
          <w:spacing w:val="-3"/>
        </w:rPr>
      </w:pPr>
      <w:r>
        <w:rPr>
          <w:spacing w:val="-3"/>
        </w:rPr>
        <w:t>w</w:t>
      </w:r>
      <w:r w:rsidR="00015B17">
        <w:rPr>
          <w:spacing w:val="-3"/>
        </w:rPr>
        <w:t xml:space="preserve">here </w:t>
      </w:r>
      <w:r w:rsidR="00015B17">
        <w:rPr>
          <w:i/>
          <w:iCs/>
          <w:spacing w:val="-3"/>
        </w:rPr>
        <w:t>V</w:t>
      </w:r>
      <w:r w:rsidR="00015B17">
        <w:rPr>
          <w:spacing w:val="-3"/>
        </w:rPr>
        <w:t xml:space="preserve"> is the local interface velocity.  The functions</w:t>
      </w:r>
      <w:r w:rsidR="00015B17" w:rsidRPr="007F5182">
        <w:t xml:space="preserve"> </w:t>
      </w:r>
      <w:r w:rsidR="00015B17" w:rsidRPr="007C188B">
        <w:rPr>
          <w:position w:val="-16"/>
        </w:rPr>
        <w:object w:dxaOrig="900" w:dyaOrig="440" w14:anchorId="7706BEAE">
          <v:shape id="_x0000_i1373" type="#_x0000_t75" style="width:44.9pt;height:21.5pt" o:ole="">
            <v:imagedata r:id="rId673" o:title=""/>
          </v:shape>
          <o:OLEObject Type="Embed" ProgID="Equation.DSMT4" ShapeID="_x0000_i1373" DrawAspect="Content" ObjectID="_1840626939" r:id="rId674"/>
        </w:object>
      </w:r>
      <w:r w:rsidR="00015B17">
        <w:rPr>
          <w:spacing w:val="-3"/>
        </w:rPr>
        <w:t xml:space="preserve"> and </w:t>
      </w:r>
      <w:r w:rsidR="00015B17" w:rsidRPr="007C188B">
        <w:rPr>
          <w:position w:val="-16"/>
        </w:rPr>
        <w:object w:dxaOrig="940" w:dyaOrig="440" w14:anchorId="58CE0149">
          <v:shape id="_x0000_i1374" type="#_x0000_t75" style="width:46.75pt;height:21.5pt" o:ole="">
            <v:imagedata r:id="rId675" o:title=""/>
          </v:shape>
          <o:OLEObject Type="Embed" ProgID="Equation.DSMT4" ShapeID="_x0000_i1374" DrawAspect="Content" ObjectID="_1840626940" r:id="rId676"/>
        </w:object>
      </w:r>
      <w:r w:rsidR="00015B17">
        <w:rPr>
          <w:spacing w:val="-3"/>
        </w:rPr>
        <w:t xml:space="preserve"> must be determined by a detailed kinetic model for the interface.  They are applied at the interface as boundary conditions for the solution of the appropriate diffusion equations for heat and solute. At zero velocity they are very simply related to the phase diagram:  </w:t>
      </w:r>
      <w:r w:rsidR="00015B17" w:rsidRPr="007F5182">
        <w:rPr>
          <w:spacing w:val="-3"/>
          <w:position w:val="-10"/>
        </w:rPr>
        <w:object w:dxaOrig="1040" w:dyaOrig="340" w14:anchorId="721432E5">
          <v:shape id="_x0000_i1375" type="#_x0000_t75" style="width:52.35pt;height:16.85pt" o:ole="">
            <v:imagedata r:id="rId677" o:title=""/>
          </v:shape>
          <o:OLEObject Type="Embed" ProgID="Equation.DSMT4" ShapeID="_x0000_i1375" DrawAspect="Content" ObjectID="_1840626941" r:id="rId678"/>
        </w:object>
      </w:r>
      <w:r w:rsidR="00015B17">
        <w:rPr>
          <w:spacing w:val="-3"/>
        </w:rPr>
        <w:t xml:space="preserve"> is the equation for the phase diagram liquidus and </w:t>
      </w:r>
      <w:r w:rsidR="00015B17" w:rsidRPr="007F5182">
        <w:rPr>
          <w:spacing w:val="-3"/>
          <w:position w:val="-10"/>
        </w:rPr>
        <w:object w:dxaOrig="1020" w:dyaOrig="340" w14:anchorId="0BF1722E">
          <v:shape id="_x0000_i1376" type="#_x0000_t75" style="width:51.45pt;height:16.85pt" o:ole="">
            <v:imagedata r:id="rId679" o:title=""/>
          </v:shape>
          <o:OLEObject Type="Embed" ProgID="Equation.DSMT4" ShapeID="_x0000_i1376" DrawAspect="Content" ObjectID="_1840626942" r:id="rId680"/>
        </w:object>
      </w:r>
      <w:r w:rsidR="00015B17">
        <w:rPr>
          <w:spacing w:val="-3"/>
        </w:rPr>
        <w:t>is the equation for the equilibrium partition coefficient</w:t>
      </w:r>
      <w:r w:rsidR="00015B17">
        <w:rPr>
          <w:i/>
          <w:iCs/>
          <w:spacing w:val="-3"/>
        </w:rPr>
        <w:t xml:space="preserve"> k</w:t>
      </w:r>
      <w:r w:rsidR="00015B17" w:rsidRPr="00727E8A">
        <w:rPr>
          <w:spacing w:val="-3"/>
          <w:sz w:val="26"/>
          <w:vertAlign w:val="subscript"/>
        </w:rPr>
        <w:t>0</w:t>
      </w:r>
      <w:r w:rsidR="00015B17">
        <w:rPr>
          <w:spacing w:val="-3"/>
        </w:rPr>
        <w:t xml:space="preserve">, which can depend on composition.  The dependence of </w:t>
      </w:r>
      <w:r w:rsidR="00015B17" w:rsidRPr="007F5182">
        <w:rPr>
          <w:spacing w:val="-3"/>
          <w:position w:val="-6"/>
        </w:rPr>
        <w:object w:dxaOrig="200" w:dyaOrig="279" w14:anchorId="48B61345">
          <v:shape id="_x0000_i1377" type="#_x0000_t75" style="width:10.3pt;height:14.05pt" o:ole="">
            <v:imagedata r:id="rId681" o:title=""/>
          </v:shape>
          <o:OLEObject Type="Embed" ProgID="Equation.DSMT4" ShapeID="_x0000_i1377" DrawAspect="Content" ObjectID="_1840626943" r:id="rId682"/>
        </w:object>
      </w:r>
      <w:r w:rsidR="00015B17">
        <w:rPr>
          <w:spacing w:val="-3"/>
        </w:rPr>
        <w:t xml:space="preserve"> on curvature is thought to be negligible (FLEMINGS [1974]). The possible forms for the functions </w:t>
      </w:r>
      <w:r w:rsidR="00015B17">
        <w:rPr>
          <w:i/>
          <w:iCs/>
          <w:spacing w:val="-3"/>
        </w:rPr>
        <w:t>T</w:t>
      </w:r>
      <w:r w:rsidR="00015B17">
        <w:rPr>
          <w:spacing w:val="-3"/>
        </w:rPr>
        <w:t xml:space="preserve"> and </w:t>
      </w:r>
      <w:r w:rsidR="00015B17" w:rsidRPr="007F5182">
        <w:rPr>
          <w:i/>
          <w:spacing w:val="-3"/>
        </w:rPr>
        <w:t>k</w:t>
      </w:r>
      <w:r w:rsidR="00015B17">
        <w:rPr>
          <w:spacing w:val="-3"/>
        </w:rPr>
        <w:t xml:space="preserve"> for solidification are constrained by the condition that </w:t>
      </w:r>
      <w:r w:rsidR="00015B17">
        <w:rPr>
          <w:i/>
          <w:iCs/>
          <w:spacing w:val="-3"/>
        </w:rPr>
        <w:t>ΔG</w:t>
      </w:r>
      <w:r w:rsidR="00015B17">
        <w:rPr>
          <w:spacing w:val="-3"/>
        </w:rPr>
        <w:t xml:space="preserve">&lt;0 </w:t>
      </w:r>
      <w:r w:rsidR="00015B17" w:rsidRPr="004A2BF7">
        <w:rPr>
          <w:spacing w:val="-3"/>
        </w:rPr>
        <w:t xml:space="preserve">as described </w:t>
      </w:r>
      <w:r w:rsidR="00015B17">
        <w:rPr>
          <w:spacing w:val="-3"/>
        </w:rPr>
        <w:t xml:space="preserve">by Eqn, 3.7 and shown </w:t>
      </w:r>
      <w:r w:rsidR="00015B17" w:rsidRPr="004A2BF7">
        <w:rPr>
          <w:spacing w:val="-3"/>
        </w:rPr>
        <w:t xml:space="preserve">in Fig. </w:t>
      </w:r>
      <w:r w:rsidR="00015B17">
        <w:rPr>
          <w:spacing w:val="-3"/>
        </w:rPr>
        <w:t xml:space="preserve">3.2.  In the limit of very high rate, the interface partition coefficient may approach unity only if the interface temperature decreases below the </w:t>
      </w:r>
      <w:r w:rsidR="00015B17" w:rsidRPr="00537CA6">
        <w:rPr>
          <w:i/>
          <w:spacing w:val="-3"/>
        </w:rPr>
        <w:t>T</w:t>
      </w:r>
      <w:r w:rsidR="00015B17" w:rsidRPr="00727E8A">
        <w:rPr>
          <w:i/>
          <w:spacing w:val="-3"/>
          <w:sz w:val="26"/>
          <w:vertAlign w:val="subscript"/>
        </w:rPr>
        <w:t>0</w:t>
      </w:r>
      <w:r w:rsidR="00015B17">
        <w:rPr>
          <w:spacing w:val="-3"/>
        </w:rPr>
        <w:t xml:space="preserve"> temperature as described also in </w:t>
      </w:r>
      <w:r w:rsidR="00F6381C">
        <w:rPr>
          <w:spacing w:val="-3"/>
        </w:rPr>
        <w:t>§</w:t>
      </w:r>
      <w:r w:rsidR="00015B17">
        <w:rPr>
          <w:spacing w:val="-3"/>
        </w:rPr>
        <w:t xml:space="preserve"> 3. The kinetic partition coefficient can also depend on the crystallographic orientation of the growing interface. If a crystal grows with a </w:t>
      </w:r>
      <w:r w:rsidR="004201E7">
        <w:rPr>
          <w:spacing w:val="-3"/>
        </w:rPr>
        <w:t>L-S</w:t>
      </w:r>
      <w:r w:rsidR="00015B17">
        <w:rPr>
          <w:spacing w:val="-3"/>
        </w:rPr>
        <w:t xml:space="preserve"> interface having regions that are curved and facetted, the incorporation of solute into the crystal </w:t>
      </w:r>
      <w:r w:rsidR="00015B17">
        <w:rPr>
          <w:spacing w:val="-3"/>
        </w:rPr>
        <w:lastRenderedPageBreak/>
        <w:t xml:space="preserve">behind the facet can be quite different from the rest of the crystal. BRICE [1973] calls this the </w:t>
      </w:r>
      <w:r w:rsidR="00015B17">
        <w:rPr>
          <w:i/>
          <w:iCs/>
          <w:spacing w:val="-3"/>
        </w:rPr>
        <w:t>facet effect</w:t>
      </w:r>
      <w:r w:rsidR="00015B17">
        <w:rPr>
          <w:spacing w:val="-3"/>
        </w:rPr>
        <w:t xml:space="preserve">. </w:t>
      </w:r>
    </w:p>
    <w:p w14:paraId="580BBEFA" w14:textId="77777777" w:rsidR="00015B17" w:rsidRDefault="00015B17" w:rsidP="00015B17">
      <w:pPr>
        <w:tabs>
          <w:tab w:val="left" w:pos="-720"/>
        </w:tabs>
        <w:suppressAutoHyphens/>
        <w:spacing w:line="360" w:lineRule="auto"/>
        <w:rPr>
          <w:spacing w:val="-3"/>
        </w:rPr>
      </w:pPr>
    </w:p>
    <w:p w14:paraId="55AA6A24" w14:textId="77777777" w:rsidR="00015B17" w:rsidRDefault="00015B17" w:rsidP="00015B17">
      <w:pPr>
        <w:tabs>
          <w:tab w:val="left" w:pos="-720"/>
        </w:tabs>
        <w:suppressAutoHyphens/>
        <w:spacing w:line="360" w:lineRule="auto"/>
        <w:rPr>
          <w:spacing w:val="-3"/>
        </w:rPr>
      </w:pPr>
      <w:r>
        <w:rPr>
          <w:spacing w:val="-3"/>
        </w:rPr>
        <w:tab/>
        <w:t xml:space="preserve">For solidification, the process that accomplishes the formation of the crystal structure from the liquid and the process that establishes the compositions of that crystal at the interface are considered as distinct. Indeed for metals, the former is only limited by the rate at which atoms hit the interface (collision limited growth) whereas the latter process requires diffusive interchanges </w:t>
      </w:r>
      <w:r w:rsidR="008E007B">
        <w:rPr>
          <w:spacing w:val="-3"/>
        </w:rPr>
        <w:t xml:space="preserve">of atoms </w:t>
      </w:r>
      <w:r>
        <w:rPr>
          <w:spacing w:val="-3"/>
        </w:rPr>
        <w:t>between liquid and solid to reach equilibrium solute partitioning. It is this separation of time scales that permits solute trapping at high velocity; there is insufficient time for the diffusive rearrangements before the solute is buried under additional crystalline material. For this reason the</w:t>
      </w:r>
      <w:r>
        <w:rPr>
          <w:i/>
          <w:iCs/>
          <w:spacing w:val="-3"/>
        </w:rPr>
        <w:t xml:space="preserve"> k</w:t>
      </w:r>
      <w:r>
        <w:rPr>
          <w:spacing w:val="-3"/>
        </w:rPr>
        <w:t>(</w:t>
      </w:r>
      <w:r>
        <w:rPr>
          <w:i/>
          <w:iCs/>
          <w:spacing w:val="-3"/>
        </w:rPr>
        <w:t>V</w:t>
      </w:r>
      <w:r>
        <w:rPr>
          <w:spacing w:val="-3"/>
        </w:rPr>
        <w:t xml:space="preserve">) expression will involve a diffusion coefficient, whereas the interface temperature equation can be obtained in an identical manner to a pure material, Eqn. (5.3), employing Eqn.(5.8). It is however necessary to use the value for </w:t>
      </w:r>
      <w:r>
        <w:rPr>
          <w:i/>
          <w:iCs/>
          <w:spacing w:val="-3"/>
        </w:rPr>
        <w:t>ΔG</w:t>
      </w:r>
      <w:r>
        <w:rPr>
          <w:spacing w:val="-3"/>
        </w:rPr>
        <w:t xml:space="preserve"> obtained for alloys, Eqn.(3.7) rather than the simple expression Eqn. (3.8) that is proportion to  </w:t>
      </w:r>
      <w:r>
        <w:rPr>
          <w:i/>
          <w:iCs/>
          <w:spacing w:val="-3"/>
        </w:rPr>
        <w:t>ΔT</w:t>
      </w:r>
      <w:r w:rsidRPr="00727E8A">
        <w:rPr>
          <w:spacing w:val="-3"/>
          <w:sz w:val="26"/>
          <w:vertAlign w:val="subscript"/>
        </w:rPr>
        <w:t>k</w:t>
      </w:r>
      <w:r>
        <w:rPr>
          <w:spacing w:val="-3"/>
        </w:rPr>
        <w:t>.</w:t>
      </w:r>
    </w:p>
    <w:p w14:paraId="05B6C172" w14:textId="77777777" w:rsidR="00015B17" w:rsidRDefault="00015B17" w:rsidP="00015B17">
      <w:pPr>
        <w:tabs>
          <w:tab w:val="left" w:pos="-720"/>
        </w:tabs>
        <w:suppressAutoHyphens/>
        <w:spacing w:line="360" w:lineRule="auto"/>
        <w:rPr>
          <w:spacing w:val="-3"/>
        </w:rPr>
      </w:pPr>
    </w:p>
    <w:p w14:paraId="4F27E823" w14:textId="4A11AC45" w:rsidR="00015B17" w:rsidRPr="00087E69" w:rsidRDefault="00015B17" w:rsidP="00015B17">
      <w:pPr>
        <w:tabs>
          <w:tab w:val="left" w:pos="-720"/>
        </w:tabs>
        <w:suppressAutoHyphens/>
        <w:spacing w:line="360" w:lineRule="auto"/>
        <w:rPr>
          <w:b/>
          <w:spacing w:val="-3"/>
        </w:rPr>
      </w:pPr>
      <w:r w:rsidRPr="00087E69">
        <w:rPr>
          <w:b/>
          <w:spacing w:val="-3"/>
        </w:rPr>
        <w:t xml:space="preserve">5.2.1 Interface </w:t>
      </w:r>
      <w:r>
        <w:rPr>
          <w:b/>
          <w:spacing w:val="-3"/>
        </w:rPr>
        <w:t>T</w:t>
      </w:r>
      <w:r w:rsidRPr="00087E69">
        <w:rPr>
          <w:b/>
          <w:spacing w:val="-3"/>
        </w:rPr>
        <w:t>emperature</w:t>
      </w:r>
    </w:p>
    <w:p w14:paraId="4901699F" w14:textId="77777777" w:rsidR="00015B17" w:rsidRDefault="00015B17" w:rsidP="00015B17">
      <w:pPr>
        <w:tabs>
          <w:tab w:val="left" w:pos="-720"/>
        </w:tabs>
        <w:suppressAutoHyphens/>
        <w:spacing w:line="360" w:lineRule="auto"/>
        <w:rPr>
          <w:spacing w:val="-3"/>
        </w:rPr>
      </w:pPr>
    </w:p>
    <w:p w14:paraId="563DC99C" w14:textId="3426D00C" w:rsidR="00015B17" w:rsidRDefault="00015B17" w:rsidP="00015B17">
      <w:pPr>
        <w:tabs>
          <w:tab w:val="left" w:pos="-720"/>
        </w:tabs>
        <w:suppressAutoHyphens/>
        <w:spacing w:line="360" w:lineRule="auto"/>
        <w:rPr>
          <w:spacing w:val="-3"/>
        </w:rPr>
      </w:pPr>
      <w:r>
        <w:rPr>
          <w:spacing w:val="-3"/>
        </w:rPr>
        <w:tab/>
        <w:t xml:space="preserve">For dilute solutions, an analytical expression for the interface temperature when solute trapping is present can be obtained. </w:t>
      </w:r>
      <w:r w:rsidR="00F6381C">
        <w:rPr>
          <w:spacing w:val="-3"/>
        </w:rPr>
        <w:t xml:space="preserve">Boettinger &amp; Coriell </w:t>
      </w:r>
      <w:r>
        <w:rPr>
          <w:spacing w:val="-3"/>
        </w:rPr>
        <w:t xml:space="preserve">[1986] evaluated </w:t>
      </w:r>
      <w:r w:rsidRPr="00034350">
        <w:rPr>
          <w:spacing w:val="-3"/>
          <w:position w:val="-6"/>
        </w:rPr>
        <w:object w:dxaOrig="400" w:dyaOrig="279" w14:anchorId="0C0E1FA0">
          <v:shape id="_x0000_i1378" type="#_x0000_t75" style="width:19.65pt;height:14.05pt" o:ole="">
            <v:imagedata r:id="rId683" o:title=""/>
          </v:shape>
          <o:OLEObject Type="Embed" ProgID="Equation.DSMT4" ShapeID="_x0000_i1378" DrawAspect="Content" ObjectID="_1840626944" r:id="rId684"/>
        </w:object>
      </w:r>
      <w:r>
        <w:rPr>
          <w:spacing w:val="-3"/>
        </w:rPr>
        <w:t xml:space="preserve"> from Eqn (3.7) for</w:t>
      </w:r>
      <w:r w:rsidRPr="00241B23">
        <w:rPr>
          <w:position w:val="-12"/>
        </w:rPr>
        <w:object w:dxaOrig="820" w:dyaOrig="380" w14:anchorId="14E003A3">
          <v:shape id="_x0000_i1379" type="#_x0000_t75" style="width:40.2pt;height:18.7pt" o:ole="">
            <v:imagedata r:id="rId685" o:title=""/>
          </v:shape>
          <o:OLEObject Type="Embed" ProgID="Equation.DSMT4" ShapeID="_x0000_i1379" DrawAspect="Content" ObjectID="_1840626945" r:id="rId686"/>
        </w:object>
      </w:r>
      <w:r>
        <w:rPr>
          <w:spacing w:val="-3"/>
        </w:rPr>
        <w:t xml:space="preserve">for dilute alloys. A more general expression that used a selectable value of </w:t>
      </w:r>
      <w:r w:rsidRPr="00190A0C">
        <w:rPr>
          <w:spacing w:val="-3"/>
          <w:position w:val="-10"/>
        </w:rPr>
        <w:object w:dxaOrig="320" w:dyaOrig="340" w14:anchorId="70F834C4">
          <v:shape id="_x0000_i1380" type="#_x0000_t75" style="width:16.85pt;height:16.85pt" o:ole="">
            <v:imagedata r:id="rId687" o:title=""/>
          </v:shape>
          <o:OLEObject Type="Embed" ProgID="Equation.DSMT4" ShapeID="_x0000_i1380" DrawAspect="Content" ObjectID="_1840626946" r:id="rId688"/>
        </w:object>
      </w:r>
      <w:r>
        <w:rPr>
          <w:spacing w:val="-3"/>
        </w:rPr>
        <w:t xml:space="preserve"> between </w:t>
      </w:r>
      <w:r w:rsidRPr="00DF133B">
        <w:rPr>
          <w:spacing w:val="-3"/>
          <w:position w:val="-12"/>
        </w:rPr>
        <w:object w:dxaOrig="320" w:dyaOrig="380" w14:anchorId="7D0D3803">
          <v:shape id="_x0000_i1381" type="#_x0000_t75" style="width:16.85pt;height:18.7pt" o:ole="">
            <v:imagedata r:id="rId689" o:title=""/>
          </v:shape>
          <o:OLEObject Type="Embed" ProgID="Equation.DSMT4" ShapeID="_x0000_i1381" DrawAspect="Content" ObjectID="_1840626947" r:id="rId690"/>
        </w:object>
      </w:r>
      <w:r>
        <w:rPr>
          <w:spacing w:val="-3"/>
        </w:rPr>
        <w:t xml:space="preserve"> and </w:t>
      </w:r>
      <w:r w:rsidRPr="00DF133B">
        <w:rPr>
          <w:spacing w:val="-3"/>
          <w:position w:val="-10"/>
        </w:rPr>
        <w:object w:dxaOrig="320" w:dyaOrig="360" w14:anchorId="7F2AD22F">
          <v:shape id="_x0000_i1382" type="#_x0000_t75" style="width:16.85pt;height:17.75pt" o:ole="">
            <v:imagedata r:id="rId691" o:title=""/>
          </v:shape>
          <o:OLEObject Type="Embed" ProgID="Equation.DSMT4" ShapeID="_x0000_i1382" DrawAspect="Content" ObjectID="_1840626948" r:id="rId692"/>
        </w:object>
      </w:r>
      <w:r>
        <w:rPr>
          <w:spacing w:val="-3"/>
        </w:rPr>
        <w:t xml:space="preserve"> depending on a parameter </w:t>
      </w:r>
      <w:r w:rsidRPr="00CC4031">
        <w:rPr>
          <w:spacing w:val="-3"/>
          <w:position w:val="-10"/>
        </w:rPr>
        <w:object w:dxaOrig="240" w:dyaOrig="320" w14:anchorId="28CE4219">
          <v:shape id="_x0000_i1383" type="#_x0000_t75" style="width:12.15pt;height:16.85pt" o:ole="">
            <v:imagedata r:id="rId693" o:title=""/>
          </v:shape>
          <o:OLEObject Type="Embed" ProgID="Equation.DSMT4" ShapeID="_x0000_i1383" DrawAspect="Content" ObjectID="_1840626949" r:id="rId694"/>
        </w:object>
      </w:r>
      <w:r>
        <w:rPr>
          <w:spacing w:val="-3"/>
        </w:rPr>
        <w:t xml:space="preserve"> </w:t>
      </w:r>
    </w:p>
    <w:p w14:paraId="1B6C3F24" w14:textId="77777777" w:rsidR="00015B17" w:rsidRDefault="00015B17" w:rsidP="00015B17">
      <w:pPr>
        <w:tabs>
          <w:tab w:val="left" w:pos="-720"/>
        </w:tabs>
        <w:suppressAutoHyphens/>
        <w:spacing w:line="360" w:lineRule="auto"/>
        <w:jc w:val="both"/>
        <w:rPr>
          <w:spacing w:val="-3"/>
        </w:rPr>
      </w:pPr>
    </w:p>
    <w:p w14:paraId="22BEF6E9" w14:textId="77777777" w:rsidR="00015B17" w:rsidRDefault="00015B17" w:rsidP="00015B17">
      <w:pPr>
        <w:tabs>
          <w:tab w:val="left" w:pos="-720"/>
        </w:tabs>
        <w:suppressAutoHyphens/>
        <w:spacing w:line="360" w:lineRule="auto"/>
        <w:jc w:val="center"/>
        <w:rPr>
          <w:spacing w:val="-2"/>
        </w:rPr>
      </w:pPr>
      <w:r w:rsidRPr="00190A0C">
        <w:rPr>
          <w:spacing w:val="-3"/>
          <w:position w:val="-14"/>
        </w:rPr>
        <w:object w:dxaOrig="2140" w:dyaOrig="400" w14:anchorId="0BCA77A7">
          <v:shape id="_x0000_i1384" type="#_x0000_t75" style="width:107.55pt;height:19.65pt" o:ole="">
            <v:imagedata r:id="rId695" o:title=""/>
          </v:shape>
          <o:OLEObject Type="Embed" ProgID="Equation.DSMT4" ShapeID="_x0000_i1384" DrawAspect="Content" ObjectID="_1840626950" r:id="rId696"/>
        </w:object>
      </w:r>
      <w:r>
        <w:rPr>
          <w:spacing w:val="-3"/>
        </w:rPr>
        <w:tab/>
      </w:r>
      <w:r>
        <w:rPr>
          <w:spacing w:val="-3"/>
        </w:rPr>
        <w:tab/>
      </w:r>
      <w:r>
        <w:rPr>
          <w:spacing w:val="-2"/>
        </w:rPr>
        <w:t>(</w:t>
      </w:r>
      <w:r w:rsidRPr="00087E69">
        <w:rPr>
          <w:spacing w:val="-2"/>
        </w:rPr>
        <w:t>5.1</w:t>
      </w:r>
      <w:r>
        <w:rPr>
          <w:spacing w:val="-2"/>
        </w:rPr>
        <w:t>3)</w:t>
      </w:r>
    </w:p>
    <w:p w14:paraId="13131047" w14:textId="77777777" w:rsidR="00015B17" w:rsidRDefault="00015B17" w:rsidP="00015B17">
      <w:pPr>
        <w:tabs>
          <w:tab w:val="left" w:pos="-720"/>
        </w:tabs>
        <w:suppressAutoHyphens/>
        <w:spacing w:line="360" w:lineRule="auto"/>
        <w:jc w:val="center"/>
        <w:rPr>
          <w:spacing w:val="-3"/>
        </w:rPr>
      </w:pPr>
    </w:p>
    <w:p w14:paraId="5D644025" w14:textId="500831DA" w:rsidR="00015B17" w:rsidRDefault="00015B17" w:rsidP="00015B17">
      <w:pPr>
        <w:tabs>
          <w:tab w:val="left" w:pos="-720"/>
        </w:tabs>
        <w:suppressAutoHyphens/>
        <w:spacing w:line="360" w:lineRule="auto"/>
        <w:rPr>
          <w:spacing w:val="-3"/>
        </w:rPr>
      </w:pPr>
      <w:r>
        <w:rPr>
          <w:spacing w:val="-3"/>
        </w:rPr>
        <w:t xml:space="preserve">was expressed by Aziz &amp; Boettinger, [1994]. The parameter </w:t>
      </w:r>
      <w:r w:rsidRPr="001103E5">
        <w:rPr>
          <w:spacing w:val="-3"/>
          <w:position w:val="-10"/>
        </w:rPr>
        <w:object w:dxaOrig="240" w:dyaOrig="320" w14:anchorId="715CE87A">
          <v:shape id="_x0000_i1385" type="#_x0000_t75" style="width:12.15pt;height:16.85pt" o:ole="">
            <v:imagedata r:id="rId697" o:title=""/>
          </v:shape>
          <o:OLEObject Type="Embed" ProgID="Equation.DSMT4" ShapeID="_x0000_i1385" DrawAspect="Content" ObjectID="_1840626951" r:id="rId698"/>
        </w:object>
      </w:r>
      <w:r>
        <w:rPr>
          <w:spacing w:val="-3"/>
        </w:rPr>
        <w:t xml:space="preserve"> span</w:t>
      </w:r>
      <w:r w:rsidR="00F6381C">
        <w:rPr>
          <w:spacing w:val="-3"/>
        </w:rPr>
        <w:t>s</w:t>
      </w:r>
      <w:r>
        <w:rPr>
          <w:spacing w:val="-3"/>
        </w:rPr>
        <w:t xml:space="preserve"> the limiting cases with and without solute drag [Hillert, 1999].  Solute drag represents a diminution of the driving energy for insertion into Eqn. (5.3). Using the </w:t>
      </w:r>
      <w:r w:rsidRPr="00BF1B5C">
        <w:rPr>
          <w:spacing w:val="-3"/>
          <w:position w:val="-10"/>
        </w:rPr>
        <w:object w:dxaOrig="240" w:dyaOrig="320" w14:anchorId="144F93F9">
          <v:shape id="_x0000_i1386" type="#_x0000_t75" style="width:12.15pt;height:16.85pt" o:ole="">
            <v:imagedata r:id="rId699" o:title=""/>
          </v:shape>
          <o:OLEObject Type="Embed" ProgID="Equation.DSMT4" ShapeID="_x0000_i1386" DrawAspect="Content" ObjectID="_1840626952" r:id="rId700"/>
        </w:object>
      </w:r>
      <w:r>
        <w:rPr>
          <w:spacing w:val="-3"/>
        </w:rPr>
        <w:t xml:space="preserve"> parameter, Eqn. (3.7) expressed for dilute alloys is </w:t>
      </w:r>
    </w:p>
    <w:p w14:paraId="69FDA8CD" w14:textId="77777777" w:rsidR="00015B17" w:rsidRDefault="00015B17" w:rsidP="00015B17">
      <w:pPr>
        <w:tabs>
          <w:tab w:val="left" w:pos="-720"/>
        </w:tabs>
        <w:suppressAutoHyphens/>
        <w:spacing w:line="360" w:lineRule="auto"/>
        <w:jc w:val="both"/>
        <w:rPr>
          <w:spacing w:val="-3"/>
        </w:rPr>
      </w:pPr>
    </w:p>
    <w:p w14:paraId="4341A6C0" w14:textId="77777777" w:rsidR="00015B17" w:rsidRDefault="00015B17" w:rsidP="00015B17">
      <w:pPr>
        <w:tabs>
          <w:tab w:val="left" w:pos="-720"/>
        </w:tabs>
        <w:suppressAutoHyphens/>
        <w:spacing w:line="360" w:lineRule="auto"/>
        <w:jc w:val="center"/>
        <w:rPr>
          <w:spacing w:val="-2"/>
        </w:rPr>
      </w:pPr>
      <w:r w:rsidRPr="00241B23">
        <w:rPr>
          <w:spacing w:val="-3"/>
          <w:position w:val="-30"/>
        </w:rPr>
        <w:object w:dxaOrig="7860" w:dyaOrig="720" w14:anchorId="4BEC707A">
          <v:shape id="_x0000_i1387" type="#_x0000_t75" style="width:393.65pt;height:36.45pt" o:ole="">
            <v:imagedata r:id="rId701" o:title=""/>
          </v:shape>
          <o:OLEObject Type="Embed" ProgID="Equation.DSMT4" ShapeID="_x0000_i1387" DrawAspect="Content" ObjectID="_1840626953" r:id="rId702"/>
        </w:object>
      </w:r>
      <w:r>
        <w:rPr>
          <w:spacing w:val="-3"/>
        </w:rPr>
        <w:t xml:space="preserve"> </w:t>
      </w:r>
      <w:r w:rsidR="006E6FC2">
        <w:rPr>
          <w:spacing w:val="-3"/>
        </w:rPr>
        <w:t xml:space="preserve">. </w:t>
      </w:r>
      <w:r>
        <w:rPr>
          <w:spacing w:val="-2"/>
        </w:rPr>
        <w:t>(</w:t>
      </w:r>
      <w:r w:rsidRPr="00087E69">
        <w:rPr>
          <w:spacing w:val="-2"/>
        </w:rPr>
        <w:t>5.1</w:t>
      </w:r>
      <w:r>
        <w:rPr>
          <w:spacing w:val="-2"/>
        </w:rPr>
        <w:t>4)</w:t>
      </w:r>
    </w:p>
    <w:p w14:paraId="48A6EB44" w14:textId="77777777" w:rsidR="00015B17" w:rsidRDefault="00015B17" w:rsidP="00015B17">
      <w:pPr>
        <w:tabs>
          <w:tab w:val="left" w:pos="-720"/>
        </w:tabs>
        <w:suppressAutoHyphens/>
        <w:spacing w:line="360" w:lineRule="auto"/>
        <w:jc w:val="center"/>
        <w:rPr>
          <w:spacing w:val="-3"/>
        </w:rPr>
      </w:pPr>
    </w:p>
    <w:p w14:paraId="469C6F89" w14:textId="77777777" w:rsidR="00015B17" w:rsidRDefault="00015B17" w:rsidP="00015B17">
      <w:pPr>
        <w:tabs>
          <w:tab w:val="left" w:pos="-720"/>
        </w:tabs>
        <w:suppressAutoHyphens/>
        <w:spacing w:line="360" w:lineRule="auto"/>
        <w:rPr>
          <w:spacing w:val="-3"/>
        </w:rPr>
      </w:pPr>
      <w:r>
        <w:rPr>
          <w:spacing w:val="-3"/>
        </w:rPr>
        <w:t>One can then write the response function for the interface temperature of a flat interface as follows:</w:t>
      </w:r>
    </w:p>
    <w:p w14:paraId="7A6FC0D2" w14:textId="77777777" w:rsidR="00015B17" w:rsidRDefault="00015B17" w:rsidP="00015B17">
      <w:pPr>
        <w:tabs>
          <w:tab w:val="left" w:pos="-720"/>
        </w:tabs>
        <w:suppressAutoHyphens/>
        <w:spacing w:line="360" w:lineRule="auto"/>
        <w:jc w:val="both"/>
        <w:rPr>
          <w:spacing w:val="-3"/>
        </w:rPr>
      </w:pPr>
    </w:p>
    <w:p w14:paraId="2C452144" w14:textId="77777777" w:rsidR="00015B17" w:rsidRDefault="00935917" w:rsidP="00015B17">
      <w:pPr>
        <w:tabs>
          <w:tab w:val="left" w:pos="-720"/>
        </w:tabs>
        <w:suppressAutoHyphens/>
        <w:spacing w:line="360" w:lineRule="auto"/>
        <w:jc w:val="center"/>
        <w:rPr>
          <w:spacing w:val="-3"/>
        </w:rPr>
      </w:pPr>
      <w:r w:rsidRPr="00034350">
        <w:rPr>
          <w:spacing w:val="-3"/>
          <w:position w:val="-30"/>
        </w:rPr>
        <w:object w:dxaOrig="2940" w:dyaOrig="720" w14:anchorId="48A3DAED">
          <v:shape id="_x0000_i1388" type="#_x0000_t75" style="width:146.8pt;height:36.45pt" o:ole="">
            <v:imagedata r:id="rId703" o:title=""/>
          </v:shape>
          <o:OLEObject Type="Embed" ProgID="Equation.DSMT4" ShapeID="_x0000_i1388" DrawAspect="Content" ObjectID="_1840626954" r:id="rId704"/>
        </w:object>
      </w:r>
      <w:r w:rsidR="006E6FC2">
        <w:rPr>
          <w:spacing w:val="-3"/>
        </w:rPr>
        <w:t>,</w:t>
      </w:r>
      <w:r w:rsidR="00015B17">
        <w:rPr>
          <w:spacing w:val="-3"/>
        </w:rPr>
        <w:tab/>
      </w:r>
      <w:r w:rsidR="00015B17">
        <w:rPr>
          <w:spacing w:val="-3"/>
        </w:rPr>
        <w:tab/>
      </w:r>
      <w:r w:rsidR="00015B17">
        <w:rPr>
          <w:spacing w:val="-2"/>
        </w:rPr>
        <w:t>(</w:t>
      </w:r>
      <w:r w:rsidR="00015B17" w:rsidRPr="00087E69">
        <w:rPr>
          <w:spacing w:val="-2"/>
        </w:rPr>
        <w:t>5.1</w:t>
      </w:r>
      <w:r w:rsidR="00015B17">
        <w:rPr>
          <w:spacing w:val="-2"/>
        </w:rPr>
        <w:t>5)</w:t>
      </w:r>
    </w:p>
    <w:p w14:paraId="7319F39C" w14:textId="77777777" w:rsidR="00015B17" w:rsidRDefault="006E6FC2" w:rsidP="00015B17">
      <w:pPr>
        <w:tabs>
          <w:tab w:val="left" w:pos="-720"/>
        </w:tabs>
        <w:suppressAutoHyphens/>
        <w:spacing w:line="360" w:lineRule="auto"/>
        <w:rPr>
          <w:spacing w:val="-3"/>
        </w:rPr>
      </w:pPr>
      <w:r>
        <w:rPr>
          <w:spacing w:val="-3"/>
        </w:rPr>
        <w:t>w</w:t>
      </w:r>
      <w:r w:rsidR="00015B17">
        <w:rPr>
          <w:spacing w:val="-3"/>
        </w:rPr>
        <w:t>here</w:t>
      </w:r>
      <w:r w:rsidR="00015B17">
        <w:rPr>
          <w:i/>
          <w:iCs/>
          <w:spacing w:val="-3"/>
        </w:rPr>
        <w:t xml:space="preserve"> </w:t>
      </w:r>
      <w:r w:rsidR="00015B17" w:rsidRPr="00C4499A">
        <w:rPr>
          <w:i/>
          <w:iCs/>
          <w:spacing w:val="-3"/>
          <w:position w:val="-14"/>
        </w:rPr>
        <w:object w:dxaOrig="720" w:dyaOrig="400" w14:anchorId="5112916F">
          <v:shape id="_x0000_i1389" type="#_x0000_t75" style="width:36.45pt;height:19.65pt" o:ole="">
            <v:imagedata r:id="rId705" o:title=""/>
          </v:shape>
          <o:OLEObject Type="Embed" ProgID="Equation.DSMT4" ShapeID="_x0000_i1389" DrawAspect="Content" ObjectID="_1840626955" r:id="rId706"/>
        </w:object>
      </w:r>
      <w:r w:rsidR="00015B17">
        <w:rPr>
          <w:i/>
          <w:iCs/>
          <w:spacing w:val="-3"/>
        </w:rPr>
        <w:t xml:space="preserve"> </w:t>
      </w:r>
      <w:r w:rsidR="00015B17">
        <w:rPr>
          <w:spacing w:val="-3"/>
        </w:rPr>
        <w:t>is given by</w:t>
      </w:r>
    </w:p>
    <w:p w14:paraId="45A39392" w14:textId="77777777" w:rsidR="00015B17" w:rsidRDefault="00015B17" w:rsidP="00015B17">
      <w:pPr>
        <w:tabs>
          <w:tab w:val="left" w:pos="-720"/>
        </w:tabs>
        <w:suppressAutoHyphens/>
        <w:spacing w:line="360" w:lineRule="auto"/>
        <w:jc w:val="center"/>
        <w:rPr>
          <w:spacing w:val="-3"/>
        </w:rPr>
      </w:pPr>
    </w:p>
    <w:p w14:paraId="2F611118" w14:textId="77777777" w:rsidR="00015B17" w:rsidRDefault="00015B17" w:rsidP="00015B17">
      <w:pPr>
        <w:tabs>
          <w:tab w:val="left" w:pos="-720"/>
        </w:tabs>
        <w:suppressAutoHyphens/>
        <w:spacing w:line="360" w:lineRule="auto"/>
        <w:jc w:val="center"/>
        <w:rPr>
          <w:spacing w:val="-2"/>
        </w:rPr>
      </w:pPr>
      <w:r w:rsidRPr="00E83B4B">
        <w:rPr>
          <w:spacing w:val="-3"/>
          <w:position w:val="-36"/>
        </w:rPr>
        <w:object w:dxaOrig="4819" w:dyaOrig="840" w14:anchorId="50623946">
          <v:shape id="_x0000_i1390" type="#_x0000_t75" style="width:241.25pt;height:42.1pt" o:ole="">
            <v:imagedata r:id="rId707" o:title=""/>
          </v:shape>
          <o:OLEObject Type="Embed" ProgID="Equation.DSMT4" ShapeID="_x0000_i1390" DrawAspect="Content" ObjectID="_1840626956" r:id="rId708"/>
        </w:object>
      </w:r>
      <w:r>
        <w:rPr>
          <w:spacing w:val="-3"/>
        </w:rPr>
        <w:tab/>
      </w:r>
      <w:r w:rsidR="006E6FC2">
        <w:rPr>
          <w:spacing w:val="-3"/>
        </w:rPr>
        <w:t>.</w:t>
      </w:r>
      <w:r>
        <w:rPr>
          <w:spacing w:val="-3"/>
        </w:rPr>
        <w:tab/>
      </w:r>
      <w:r>
        <w:rPr>
          <w:spacing w:val="-2"/>
        </w:rPr>
        <w:t>(</w:t>
      </w:r>
      <w:r w:rsidRPr="00087E69">
        <w:rPr>
          <w:spacing w:val="-2"/>
        </w:rPr>
        <w:t>5.1</w:t>
      </w:r>
      <w:r>
        <w:rPr>
          <w:spacing w:val="-2"/>
        </w:rPr>
        <w:t>6)</w:t>
      </w:r>
    </w:p>
    <w:p w14:paraId="39D9A361" w14:textId="77777777" w:rsidR="00015B17" w:rsidRDefault="00015B17" w:rsidP="00015B17">
      <w:pPr>
        <w:tabs>
          <w:tab w:val="left" w:pos="-720"/>
        </w:tabs>
        <w:suppressAutoHyphens/>
        <w:spacing w:line="360" w:lineRule="auto"/>
        <w:jc w:val="center"/>
        <w:rPr>
          <w:spacing w:val="-3"/>
        </w:rPr>
      </w:pPr>
    </w:p>
    <w:p w14:paraId="6D5D9C06" w14:textId="77777777" w:rsidR="00015B17" w:rsidRDefault="00015B17" w:rsidP="00015B17">
      <w:pPr>
        <w:tabs>
          <w:tab w:val="left" w:pos="-720"/>
        </w:tabs>
        <w:suppressAutoHyphens/>
        <w:spacing w:line="360" w:lineRule="auto"/>
        <w:rPr>
          <w:spacing w:val="-3"/>
        </w:rPr>
      </w:pPr>
      <w:r>
        <w:rPr>
          <w:spacing w:val="-3"/>
        </w:rPr>
        <w:t>This expression is valid regardless of the particular model chosen for the function</w:t>
      </w:r>
      <w:r w:rsidRPr="00CC4031">
        <w:rPr>
          <w:spacing w:val="-3"/>
          <w:position w:val="-14"/>
        </w:rPr>
        <w:object w:dxaOrig="580" w:dyaOrig="400" w14:anchorId="633C061F">
          <v:shape id="_x0000_i1391" type="#_x0000_t75" style="width:29pt;height:19.65pt" o:ole="">
            <v:imagedata r:id="rId709" o:title=""/>
          </v:shape>
          <o:OLEObject Type="Embed" ProgID="Equation.DSMT4" ShapeID="_x0000_i1391" DrawAspect="Content" ObjectID="_1840626957" r:id="rId710"/>
        </w:object>
      </w:r>
      <w:r>
        <w:rPr>
          <w:spacing w:val="-3"/>
        </w:rPr>
        <w:t xml:space="preserve">.  As </w:t>
      </w:r>
      <w:r w:rsidRPr="00CC4031">
        <w:rPr>
          <w:spacing w:val="-3"/>
          <w:position w:val="-14"/>
        </w:rPr>
        <w:object w:dxaOrig="580" w:dyaOrig="400" w14:anchorId="10C3CF59">
          <v:shape id="_x0000_i1392" type="#_x0000_t75" style="width:29pt;height:19.65pt" o:ole="">
            <v:imagedata r:id="rId709" o:title=""/>
          </v:shape>
          <o:OLEObject Type="Embed" ProgID="Equation.DSMT4" ShapeID="_x0000_i1392" DrawAspect="Content" ObjectID="_1840626958" r:id="rId711"/>
        </w:object>
      </w:r>
      <w:r>
        <w:rPr>
          <w:spacing w:val="-3"/>
        </w:rPr>
        <w:t xml:space="preserve">goes from </w:t>
      </w:r>
      <w:r w:rsidRPr="00284D13">
        <w:rPr>
          <w:spacing w:val="-3"/>
          <w:position w:val="-6"/>
        </w:rPr>
        <w:object w:dxaOrig="320" w:dyaOrig="320" w14:anchorId="42F63504">
          <v:shape id="_x0000_i1393" type="#_x0000_t75" style="width:16.85pt;height:16.85pt" o:ole="">
            <v:imagedata r:id="rId712" o:title=""/>
          </v:shape>
          <o:OLEObject Type="Embed" ProgID="Equation.DSMT4" ShapeID="_x0000_i1393" DrawAspect="Content" ObjectID="_1840626959" r:id="rId713"/>
        </w:object>
      </w:r>
      <w:r>
        <w:rPr>
          <w:spacing w:val="-3"/>
        </w:rPr>
        <w:t xml:space="preserve"> to unity, </w:t>
      </w:r>
      <w:r w:rsidRPr="00480047">
        <w:rPr>
          <w:spacing w:val="-3"/>
          <w:position w:val="-14"/>
        </w:rPr>
        <w:object w:dxaOrig="720" w:dyaOrig="400" w14:anchorId="7A5CB051">
          <v:shape id="_x0000_i1394" type="#_x0000_t75" style="width:36.45pt;height:19.65pt" o:ole="">
            <v:imagedata r:id="rId714" o:title=""/>
          </v:shape>
          <o:OLEObject Type="Embed" ProgID="Equation.DSMT4" ShapeID="_x0000_i1394" DrawAspect="Content" ObjectID="_1840626960" r:id="rId715"/>
        </w:object>
      </w:r>
      <w:r>
        <w:rPr>
          <w:spacing w:val="-3"/>
        </w:rPr>
        <w:t xml:space="preserve"> changes from </w:t>
      </w:r>
      <w:r w:rsidRPr="009E5993">
        <w:rPr>
          <w:i/>
          <w:iCs/>
          <w:spacing w:val="-3"/>
          <w:position w:val="-10"/>
        </w:rPr>
        <w:object w:dxaOrig="360" w:dyaOrig="360" w14:anchorId="50E519C6">
          <v:shape id="_x0000_i1395" type="#_x0000_t75" style="width:17.75pt;height:17.75pt" o:ole="">
            <v:imagedata r:id="rId716" o:title=""/>
          </v:shape>
          <o:OLEObject Type="Embed" ProgID="Equation.DSMT4" ShapeID="_x0000_i1395" DrawAspect="Content" ObjectID="_1840626961" r:id="rId717"/>
        </w:object>
      </w:r>
      <w:r>
        <w:rPr>
          <w:i/>
          <w:iCs/>
          <w:spacing w:val="-3"/>
        </w:rPr>
        <w:t xml:space="preserve"> </w:t>
      </w:r>
      <w:r>
        <w:rPr>
          <w:spacing w:val="-3"/>
        </w:rPr>
        <w:t xml:space="preserve">to </w:t>
      </w:r>
      <w:r w:rsidRPr="00BF1B5C">
        <w:rPr>
          <w:i/>
          <w:iCs/>
          <w:spacing w:val="-3"/>
          <w:position w:val="-12"/>
        </w:rPr>
        <w:object w:dxaOrig="2040" w:dyaOrig="380" w14:anchorId="001A8EA2">
          <v:shape id="_x0000_i1396" type="#_x0000_t75" style="width:101.9pt;height:18.7pt" o:ole="">
            <v:imagedata r:id="rId718" o:title=""/>
          </v:shape>
          <o:OLEObject Type="Embed" ProgID="Equation.DSMT4" ShapeID="_x0000_i1396" DrawAspect="Content" ObjectID="_1840626962" r:id="rId719"/>
        </w:object>
      </w:r>
      <w:r>
        <w:rPr>
          <w:i/>
          <w:iCs/>
          <w:spacing w:val="-3"/>
        </w:rPr>
        <w:t xml:space="preserve">, </w:t>
      </w:r>
      <w:r w:rsidRPr="00480047">
        <w:rPr>
          <w:spacing w:val="-3"/>
        </w:rPr>
        <w:t xml:space="preserve"> </w:t>
      </w:r>
      <w:r>
        <w:rPr>
          <w:spacing w:val="-3"/>
        </w:rPr>
        <w:t xml:space="preserve">which is the slope of the </w:t>
      </w:r>
      <w:r>
        <w:rPr>
          <w:i/>
          <w:iCs/>
          <w:spacing w:val="-3"/>
        </w:rPr>
        <w:t>T</w:t>
      </w:r>
      <w:r w:rsidRPr="00727E8A">
        <w:rPr>
          <w:spacing w:val="-3"/>
          <w:sz w:val="26"/>
          <w:vertAlign w:val="subscript"/>
        </w:rPr>
        <w:t>0</w:t>
      </w:r>
      <w:r>
        <w:rPr>
          <w:spacing w:val="-3"/>
        </w:rPr>
        <w:t xml:space="preserve"> curve.  The last term in Eqn. (5.15) can be identified as the interface kinetic supercooling necessary to drive the formation of the lattice.</w:t>
      </w:r>
      <w:r w:rsidRPr="009E5993">
        <w:rPr>
          <w:spacing w:val="-3"/>
        </w:rPr>
        <w:t xml:space="preserve"> </w:t>
      </w:r>
      <w:r>
        <w:rPr>
          <w:spacing w:val="-3"/>
        </w:rPr>
        <w:t>For a curved interface, Eqn. (5.15) must include an additional term for the Gibbs-Thomson effect.</w:t>
      </w:r>
    </w:p>
    <w:p w14:paraId="3B377F93" w14:textId="77777777" w:rsidR="00015B17" w:rsidRDefault="00015B17" w:rsidP="00015B17">
      <w:pPr>
        <w:tabs>
          <w:tab w:val="left" w:pos="-720"/>
        </w:tabs>
        <w:suppressAutoHyphens/>
        <w:spacing w:line="360" w:lineRule="auto"/>
        <w:rPr>
          <w:spacing w:val="-3"/>
        </w:rPr>
      </w:pPr>
    </w:p>
    <w:p w14:paraId="5B260BBC" w14:textId="230AA33E" w:rsidR="00015B17" w:rsidRPr="00087E69" w:rsidRDefault="00015B17" w:rsidP="00015B17">
      <w:pPr>
        <w:tabs>
          <w:tab w:val="left" w:pos="-720"/>
        </w:tabs>
        <w:suppressAutoHyphens/>
        <w:spacing w:line="360" w:lineRule="auto"/>
        <w:rPr>
          <w:b/>
          <w:spacing w:val="-3"/>
        </w:rPr>
      </w:pPr>
      <w:r w:rsidRPr="00087E69">
        <w:rPr>
          <w:b/>
          <w:spacing w:val="-3"/>
        </w:rPr>
        <w:t>5.2.2 Partition coefficient</w:t>
      </w:r>
      <w:r w:rsidR="00F472BF">
        <w:rPr>
          <w:b/>
          <w:spacing w:val="-3"/>
        </w:rPr>
        <w:t xml:space="preserve"> – Solute trapping</w:t>
      </w:r>
    </w:p>
    <w:p w14:paraId="5D9D0343" w14:textId="77777777" w:rsidR="00015B17" w:rsidRDefault="00015B17" w:rsidP="00015B17">
      <w:pPr>
        <w:tabs>
          <w:tab w:val="left" w:pos="-720"/>
        </w:tabs>
        <w:suppressAutoHyphens/>
        <w:spacing w:line="360" w:lineRule="auto"/>
        <w:rPr>
          <w:spacing w:val="-3"/>
        </w:rPr>
      </w:pPr>
    </w:p>
    <w:p w14:paraId="6B93049E" w14:textId="01D721E0" w:rsidR="00015B17" w:rsidRDefault="00015B17" w:rsidP="00015B17">
      <w:pPr>
        <w:tabs>
          <w:tab w:val="left" w:pos="-720"/>
        </w:tabs>
        <w:suppressAutoHyphens/>
        <w:spacing w:line="360" w:lineRule="auto"/>
        <w:rPr>
          <w:spacing w:val="-3"/>
        </w:rPr>
      </w:pPr>
      <w:r>
        <w:rPr>
          <w:spacing w:val="-3"/>
        </w:rPr>
        <w:tab/>
        <w:t xml:space="preserve">Several models for the dependence of the partition coefficient on velocity, Eqn. (5.12), have been formulated for continuous growth.  The model of BAKER [1970] is quite general permitting the possibility of non-monotonic dependence of </w:t>
      </w:r>
      <w:r w:rsidR="00F6381C" w:rsidRPr="00F6381C">
        <w:rPr>
          <w:spacing w:val="-3"/>
          <w:position w:val="-6"/>
        </w:rPr>
        <w:object w:dxaOrig="200" w:dyaOrig="279" w14:anchorId="15DE9E31">
          <v:shape id="_x0000_i1397" type="#_x0000_t75" style="width:10.3pt;height:14.05pt" o:ole="">
            <v:imagedata r:id="rId720" o:title=""/>
          </v:shape>
          <o:OLEObject Type="Embed" ProgID="Equation.DSMT4" ShapeID="_x0000_i1397" DrawAspect="Content" ObjectID="_1840626963" r:id="rId721"/>
        </w:object>
      </w:r>
      <w:r w:rsidR="00F6381C">
        <w:rPr>
          <w:spacing w:val="-3"/>
        </w:rPr>
        <w:t xml:space="preserve"> on </w:t>
      </w:r>
      <w:r w:rsidR="00F6381C" w:rsidRPr="003E0F31">
        <w:rPr>
          <w:i/>
          <w:spacing w:val="-3"/>
        </w:rPr>
        <w:t>V</w:t>
      </w:r>
      <w:r>
        <w:rPr>
          <w:spacing w:val="-3"/>
        </w:rPr>
        <w:t>.  Other theories predict that the partition coefficient changes monotonically from its equilibrium value to unity as the growth velocity increases.  In these models the interface partition coefficient is significantly changed from the equilibrium value,</w:t>
      </w:r>
      <w:r>
        <w:rPr>
          <w:i/>
          <w:iCs/>
          <w:spacing w:val="-3"/>
        </w:rPr>
        <w:t xml:space="preserve"> </w:t>
      </w:r>
      <w:r w:rsidR="009067EC" w:rsidRPr="00727E8A">
        <w:rPr>
          <w:spacing w:val="-3"/>
          <w:position w:val="-6"/>
          <w:sz w:val="26"/>
          <w:vertAlign w:val="subscript"/>
        </w:rPr>
        <w:object w:dxaOrig="320" w:dyaOrig="320" w14:anchorId="18678044">
          <v:shape id="_x0000_i1398" type="#_x0000_t75" style="width:16.85pt;height:16.85pt" o:ole="">
            <v:imagedata r:id="rId722" o:title=""/>
          </v:shape>
          <o:OLEObject Type="Embed" ProgID="Equation.DSMT4" ShapeID="_x0000_i1398" DrawAspect="Content" ObjectID="_1840626964" r:id="rId723"/>
        </w:object>
      </w:r>
      <w:r>
        <w:rPr>
          <w:spacing w:val="-3"/>
        </w:rPr>
        <w:t xml:space="preserve">, only when a dimensionless growth velocity, </w:t>
      </w:r>
      <w:r>
        <w:rPr>
          <w:i/>
          <w:iCs/>
          <w:spacing w:val="-3"/>
        </w:rPr>
        <w:t>V</w:t>
      </w:r>
      <w:r>
        <w:rPr>
          <w:spacing w:val="-3"/>
        </w:rPr>
        <w:t>/</w:t>
      </w:r>
      <w:r>
        <w:rPr>
          <w:i/>
          <w:iCs/>
          <w:spacing w:val="-3"/>
        </w:rPr>
        <w:t>V</w:t>
      </w:r>
      <w:r w:rsidRPr="00727E8A">
        <w:rPr>
          <w:spacing w:val="-3"/>
          <w:sz w:val="26"/>
          <w:vertAlign w:val="subscript"/>
        </w:rPr>
        <w:t>D</w:t>
      </w:r>
      <w:r>
        <w:rPr>
          <w:spacing w:val="-3"/>
        </w:rPr>
        <w:t xml:space="preserve"> approaches one. Here </w:t>
      </w:r>
      <w:r>
        <w:rPr>
          <w:i/>
          <w:iCs/>
          <w:spacing w:val="-3"/>
        </w:rPr>
        <w:t>V</w:t>
      </w:r>
      <w:r w:rsidRPr="00727E8A">
        <w:rPr>
          <w:spacing w:val="-3"/>
          <w:sz w:val="26"/>
          <w:vertAlign w:val="subscript"/>
        </w:rPr>
        <w:t>D</w:t>
      </w:r>
      <w:r>
        <w:rPr>
          <w:spacing w:val="-3"/>
        </w:rPr>
        <w:t xml:space="preserve"> is the diffusive speed for atom exchange between the crystal and the liquid.  </w:t>
      </w:r>
      <w:r>
        <w:rPr>
          <w:i/>
          <w:iCs/>
          <w:spacing w:val="-3"/>
        </w:rPr>
        <w:t>V</w:t>
      </w:r>
      <w:r w:rsidRPr="00727E8A">
        <w:rPr>
          <w:spacing w:val="-3"/>
          <w:sz w:val="26"/>
          <w:vertAlign w:val="subscript"/>
        </w:rPr>
        <w:t>D</w:t>
      </w:r>
      <w:r>
        <w:rPr>
          <w:spacing w:val="-3"/>
        </w:rPr>
        <w:t xml:space="preserve"> is the ratio of a diffusion coefficient in the interfacial region,</w:t>
      </w:r>
      <w:r w:rsidRPr="00480047">
        <w:rPr>
          <w:i/>
          <w:iCs/>
          <w:spacing w:val="-3"/>
          <w:position w:val="-12"/>
        </w:rPr>
        <w:object w:dxaOrig="300" w:dyaOrig="360" w14:anchorId="55B076F7">
          <v:shape id="_x0000_i1399" type="#_x0000_t75" style="width:14.95pt;height:17.75pt" o:ole="">
            <v:imagedata r:id="rId724" o:title=""/>
          </v:shape>
          <o:OLEObject Type="Embed" ProgID="Equation.DSMT4" ShapeID="_x0000_i1399" DrawAspect="Content" ObjectID="_1840626965" r:id="rId725"/>
        </w:object>
      </w:r>
      <w:r>
        <w:rPr>
          <w:spacing w:val="-3"/>
        </w:rPr>
        <w:t>, for that exchange to the interatomic distance,</w:t>
      </w:r>
      <w:r>
        <w:rPr>
          <w:i/>
          <w:iCs/>
          <w:spacing w:val="-3"/>
        </w:rPr>
        <w:t xml:space="preserve"> a</w:t>
      </w:r>
      <w:r w:rsidRPr="00727E8A">
        <w:rPr>
          <w:spacing w:val="-3"/>
          <w:sz w:val="26"/>
          <w:vertAlign w:val="subscript"/>
        </w:rPr>
        <w:t xml:space="preserve">0 </w:t>
      </w:r>
      <w:r w:rsidRPr="00732B7E">
        <w:rPr>
          <w:spacing w:val="-3"/>
        </w:rPr>
        <w:t>or the interface width</w:t>
      </w:r>
      <w:r>
        <w:rPr>
          <w:spacing w:val="-3"/>
        </w:rPr>
        <w:t>.  The value of this diffusion coefficient is likely bounded by those of the liquid and the solid. Using the liquid value for the interface diffusion coefficient typical of metals (2.5 x 10</w:t>
      </w:r>
      <w:r w:rsidRPr="00883A53">
        <w:rPr>
          <w:spacing w:val="-3"/>
          <w:sz w:val="26"/>
          <w:vertAlign w:val="superscript"/>
        </w:rPr>
        <w:t>-5</w:t>
      </w:r>
      <w:r>
        <w:rPr>
          <w:spacing w:val="-3"/>
        </w:rPr>
        <w:t xml:space="preserve"> cm</w:t>
      </w:r>
      <w:r w:rsidRPr="00883A53">
        <w:rPr>
          <w:spacing w:val="-3"/>
          <w:sz w:val="26"/>
          <w:vertAlign w:val="superscript"/>
        </w:rPr>
        <w:t>2</w:t>
      </w:r>
      <w:r>
        <w:rPr>
          <w:spacing w:val="-3"/>
        </w:rPr>
        <w:t xml:space="preserve">/s) and a length scale of 0.5 nm, </w:t>
      </w:r>
      <w:r>
        <w:rPr>
          <w:i/>
          <w:iCs/>
          <w:spacing w:val="-3"/>
        </w:rPr>
        <w:t>V</w:t>
      </w:r>
      <w:r w:rsidRPr="00727E8A">
        <w:rPr>
          <w:spacing w:val="-3"/>
          <w:sz w:val="26"/>
          <w:vertAlign w:val="subscript"/>
        </w:rPr>
        <w:t>D</w:t>
      </w:r>
      <w:r>
        <w:rPr>
          <w:spacing w:val="-3"/>
        </w:rPr>
        <w:t xml:space="preserve"> should be less than 5 m/s. For ordinary solidification (castings) </w:t>
      </w:r>
      <w:r w:rsidRPr="009A2D89">
        <w:rPr>
          <w:i/>
          <w:iCs/>
          <w:spacing w:val="-3"/>
          <w:position w:val="-6"/>
        </w:rPr>
        <w:object w:dxaOrig="680" w:dyaOrig="279" w14:anchorId="6DD0D1F4">
          <v:shape id="_x0000_i1400" type="#_x0000_t75" style="width:33.65pt;height:14.05pt" o:ole="">
            <v:imagedata r:id="rId726" o:title=""/>
          </v:shape>
          <o:OLEObject Type="Embed" ProgID="Equation.DSMT4" ShapeID="_x0000_i1400" DrawAspect="Content" ObjectID="_1840626966" r:id="rId727"/>
        </w:object>
      </w:r>
      <w:r>
        <w:rPr>
          <w:spacing w:val="-3"/>
        </w:rPr>
        <w:t xml:space="preserve"> m/s and the local equilibrium assumption is valid.</w:t>
      </w:r>
    </w:p>
    <w:p w14:paraId="02251518" w14:textId="77777777" w:rsidR="00015B17" w:rsidRDefault="00015B17" w:rsidP="00015B17">
      <w:pPr>
        <w:tabs>
          <w:tab w:val="left" w:pos="-720"/>
        </w:tabs>
        <w:suppressAutoHyphens/>
        <w:spacing w:line="360" w:lineRule="auto"/>
        <w:rPr>
          <w:spacing w:val="-3"/>
        </w:rPr>
      </w:pPr>
    </w:p>
    <w:p w14:paraId="63A6D836" w14:textId="77777777" w:rsidR="00015B17" w:rsidRDefault="00015B17" w:rsidP="00015B17">
      <w:pPr>
        <w:tabs>
          <w:tab w:val="left" w:pos="-720"/>
        </w:tabs>
        <w:suppressAutoHyphens/>
        <w:spacing w:line="360" w:lineRule="auto"/>
        <w:rPr>
          <w:spacing w:val="-3"/>
        </w:rPr>
      </w:pPr>
      <w:r>
        <w:rPr>
          <w:spacing w:val="-3"/>
        </w:rPr>
        <w:tab/>
        <w:t xml:space="preserve">The functional form of the models of </w:t>
      </w:r>
      <w:r w:rsidR="009067EC">
        <w:rPr>
          <w:spacing w:val="-3"/>
        </w:rPr>
        <w:t>Aziz</w:t>
      </w:r>
      <w:r>
        <w:rPr>
          <w:spacing w:val="-3"/>
        </w:rPr>
        <w:t xml:space="preserve"> [1982] and of </w:t>
      </w:r>
      <w:r w:rsidR="009067EC">
        <w:rPr>
          <w:spacing w:val="-3"/>
        </w:rPr>
        <w:t>Jackson</w:t>
      </w:r>
      <w:r>
        <w:rPr>
          <w:spacing w:val="-3"/>
        </w:rPr>
        <w:t xml:space="preserve"> </w:t>
      </w:r>
      <w:r>
        <w:rPr>
          <w:i/>
          <w:iCs/>
          <w:spacing w:val="-3"/>
        </w:rPr>
        <w:t>et al.</w:t>
      </w:r>
      <w:r>
        <w:rPr>
          <w:spacing w:val="-3"/>
        </w:rPr>
        <w:t xml:space="preserve"> [1980] for non-facetted growth is given by</w:t>
      </w:r>
    </w:p>
    <w:p w14:paraId="12C18D0D" w14:textId="77777777" w:rsidR="00015B17" w:rsidRDefault="00015B17" w:rsidP="00015B17">
      <w:pPr>
        <w:tabs>
          <w:tab w:val="left" w:pos="-720"/>
        </w:tabs>
        <w:suppressAutoHyphens/>
        <w:spacing w:line="360" w:lineRule="auto"/>
        <w:jc w:val="both"/>
        <w:rPr>
          <w:spacing w:val="-3"/>
        </w:rPr>
      </w:pPr>
    </w:p>
    <w:p w14:paraId="264CF8C0" w14:textId="77777777" w:rsidR="00015B17" w:rsidRDefault="009067EC" w:rsidP="00015B17">
      <w:pPr>
        <w:tabs>
          <w:tab w:val="left" w:pos="-720"/>
        </w:tabs>
        <w:suppressAutoHyphens/>
        <w:spacing w:line="360" w:lineRule="auto"/>
        <w:jc w:val="center"/>
        <w:rPr>
          <w:spacing w:val="-3"/>
        </w:rPr>
      </w:pPr>
      <w:r w:rsidRPr="00CC0793">
        <w:rPr>
          <w:spacing w:val="-3"/>
          <w:position w:val="-30"/>
        </w:rPr>
        <w:object w:dxaOrig="1460" w:dyaOrig="720" w14:anchorId="7F136317">
          <v:shape id="_x0000_i1401" type="#_x0000_t75" style="width:72.95pt;height:36.45pt" o:ole="">
            <v:imagedata r:id="rId728" o:title=""/>
          </v:shape>
          <o:OLEObject Type="Embed" ProgID="Equation.DSMT4" ShapeID="_x0000_i1401" DrawAspect="Content" ObjectID="_1840626967" r:id="rId729"/>
        </w:object>
      </w:r>
      <w:r w:rsidR="00015B17">
        <w:rPr>
          <w:spacing w:val="-3"/>
        </w:rPr>
        <w:tab/>
      </w:r>
      <w:r w:rsidR="006E6FC2">
        <w:rPr>
          <w:spacing w:val="-3"/>
        </w:rPr>
        <w:t>.</w:t>
      </w:r>
      <w:r w:rsidR="00015B17">
        <w:rPr>
          <w:spacing w:val="-3"/>
        </w:rPr>
        <w:tab/>
      </w:r>
      <w:r w:rsidR="00015B17">
        <w:rPr>
          <w:spacing w:val="-2"/>
        </w:rPr>
        <w:t>(</w:t>
      </w:r>
      <w:r w:rsidR="00015B17" w:rsidRPr="00087E69">
        <w:rPr>
          <w:spacing w:val="-2"/>
        </w:rPr>
        <w:t>5.1</w:t>
      </w:r>
      <w:r w:rsidR="00015B17">
        <w:rPr>
          <w:spacing w:val="-2"/>
        </w:rPr>
        <w:t>7)</w:t>
      </w:r>
    </w:p>
    <w:p w14:paraId="71EFAD19" w14:textId="77777777" w:rsidR="00015B17" w:rsidRDefault="00015B17" w:rsidP="00015B17">
      <w:pPr>
        <w:tabs>
          <w:tab w:val="left" w:pos="-720"/>
        </w:tabs>
        <w:suppressAutoHyphens/>
        <w:spacing w:line="360" w:lineRule="auto"/>
        <w:jc w:val="center"/>
        <w:rPr>
          <w:spacing w:val="-3"/>
        </w:rPr>
      </w:pPr>
    </w:p>
    <w:p w14:paraId="12D07FA3" w14:textId="77777777" w:rsidR="00015B17" w:rsidRDefault="00015B17" w:rsidP="00015B17">
      <w:pPr>
        <w:tabs>
          <w:tab w:val="left" w:pos="-720"/>
        </w:tabs>
        <w:suppressAutoHyphens/>
        <w:spacing w:line="360" w:lineRule="auto"/>
        <w:rPr>
          <w:spacing w:val="-3"/>
        </w:rPr>
      </w:pPr>
      <w:r>
        <w:rPr>
          <w:spacing w:val="-3"/>
        </w:rPr>
        <w:t xml:space="preserve">At a velocity of </w:t>
      </w:r>
      <w:r>
        <w:rPr>
          <w:i/>
          <w:iCs/>
          <w:spacing w:val="-3"/>
        </w:rPr>
        <w:t>V</w:t>
      </w:r>
      <w:r w:rsidRPr="00727E8A">
        <w:rPr>
          <w:spacing w:val="-3"/>
          <w:sz w:val="26"/>
          <w:vertAlign w:val="subscript"/>
        </w:rPr>
        <w:t>D</w:t>
      </w:r>
      <w:r>
        <w:rPr>
          <w:spacing w:val="-3"/>
        </w:rPr>
        <w:t>, the partition coefficient is the arithmetic mean of the equilibrium partition coefficient and unity (see Fig. 6.6a).  Experimental evidence (</w:t>
      </w:r>
      <w:r w:rsidR="009067EC">
        <w:rPr>
          <w:spacing w:val="-3"/>
        </w:rPr>
        <w:t>Smith</w:t>
      </w:r>
      <w:r>
        <w:rPr>
          <w:spacing w:val="-3"/>
        </w:rPr>
        <w:t xml:space="preserve"> and </w:t>
      </w:r>
      <w:r w:rsidR="009067EC">
        <w:rPr>
          <w:spacing w:val="-3"/>
        </w:rPr>
        <w:t xml:space="preserve">Aziz </w:t>
      </w:r>
      <w:r>
        <w:rPr>
          <w:spacing w:val="-3"/>
        </w:rPr>
        <w:t xml:space="preserve">[1994]) using Eqn. 5.17 suggests that </w:t>
      </w:r>
      <w:r>
        <w:rPr>
          <w:i/>
          <w:iCs/>
          <w:spacing w:val="-3"/>
        </w:rPr>
        <w:t>V</w:t>
      </w:r>
      <w:r w:rsidRPr="00727E8A">
        <w:rPr>
          <w:spacing w:val="-3"/>
          <w:sz w:val="26"/>
          <w:vertAlign w:val="subscript"/>
        </w:rPr>
        <w:t>D</w:t>
      </w:r>
      <w:r>
        <w:rPr>
          <w:spacing w:val="-3"/>
        </w:rPr>
        <w:t xml:space="preserve"> is in the range between 6 and 38 m/s. Because Eqn. </w:t>
      </w:r>
      <w:r>
        <w:rPr>
          <w:spacing w:val="-2"/>
        </w:rPr>
        <w:t>(</w:t>
      </w:r>
      <w:r w:rsidRPr="00087E69">
        <w:rPr>
          <w:spacing w:val="-2"/>
        </w:rPr>
        <w:t>5.</w:t>
      </w:r>
      <w:r w:rsidR="00BB3877" w:rsidRPr="00087E69">
        <w:rPr>
          <w:spacing w:val="-2"/>
        </w:rPr>
        <w:t>1</w:t>
      </w:r>
      <w:r w:rsidR="00BB3877">
        <w:rPr>
          <w:spacing w:val="-2"/>
        </w:rPr>
        <w:t>7</w:t>
      </w:r>
      <w:r>
        <w:rPr>
          <w:spacing w:val="-2"/>
        </w:rPr>
        <w:t>)</w:t>
      </w:r>
      <w:r>
        <w:rPr>
          <w:spacing w:val="-3"/>
        </w:rPr>
        <w:t xml:space="preserve"> has no dependence on composition, it cannot treat the situation shown in Fig. 3.3b, in which partitionless solidification is impossible for some compositions and a non-dilute numerical model is required.  Generalization of Eqn. (5.17) to treat these situations in found in Aziz &amp; Kaplan [1988].</w:t>
      </w:r>
    </w:p>
    <w:p w14:paraId="63BD44E3" w14:textId="77777777" w:rsidR="00015B17" w:rsidRDefault="00015B17" w:rsidP="00015B17">
      <w:pPr>
        <w:tabs>
          <w:tab w:val="left" w:pos="-720"/>
        </w:tabs>
        <w:suppressAutoHyphens/>
        <w:spacing w:line="360" w:lineRule="auto"/>
        <w:rPr>
          <w:spacing w:val="-3"/>
        </w:rPr>
      </w:pPr>
    </w:p>
    <w:p w14:paraId="6F08ACE7" w14:textId="77777777" w:rsidR="00015B17" w:rsidRDefault="00015B17" w:rsidP="00015B17">
      <w:pPr>
        <w:tabs>
          <w:tab w:val="left" w:pos="-720"/>
        </w:tabs>
        <w:suppressAutoHyphens/>
        <w:spacing w:line="360" w:lineRule="auto"/>
        <w:rPr>
          <w:spacing w:val="-3"/>
        </w:rPr>
      </w:pPr>
      <w:r>
        <w:rPr>
          <w:spacing w:val="-3"/>
        </w:rPr>
        <w:tab/>
      </w:r>
      <w:r w:rsidRPr="00FA208D">
        <w:rPr>
          <w:spacing w:val="-3"/>
        </w:rPr>
        <w:t>The local nonequilibrium</w:t>
      </w:r>
      <w:r>
        <w:rPr>
          <w:spacing w:val="-3"/>
        </w:rPr>
        <w:t xml:space="preserve"> </w:t>
      </w:r>
      <w:r w:rsidRPr="00FA208D">
        <w:rPr>
          <w:spacing w:val="-3"/>
        </w:rPr>
        <w:t xml:space="preserve">model (LNM) of Galenko </w:t>
      </w:r>
      <w:r>
        <w:rPr>
          <w:spacing w:val="-3"/>
        </w:rPr>
        <w:t xml:space="preserve">&amp; </w:t>
      </w:r>
      <w:r w:rsidRPr="00FA208D">
        <w:rPr>
          <w:spacing w:val="-3"/>
        </w:rPr>
        <w:t>Sobolev [</w:t>
      </w:r>
      <w:r>
        <w:rPr>
          <w:spacing w:val="-3"/>
        </w:rPr>
        <w:t>1997</w:t>
      </w:r>
      <w:r w:rsidRPr="00FA208D">
        <w:rPr>
          <w:spacing w:val="-3"/>
        </w:rPr>
        <w:t>] makes use of a modified Fick’s law, accounting for</w:t>
      </w:r>
      <w:r>
        <w:rPr>
          <w:spacing w:val="-3"/>
        </w:rPr>
        <w:t xml:space="preserve"> </w:t>
      </w:r>
      <w:r w:rsidRPr="00FA208D">
        <w:rPr>
          <w:spacing w:val="-3"/>
        </w:rPr>
        <w:t>the finite relaxation time of diffusion profiles in the bulk liquid</w:t>
      </w:r>
      <w:r>
        <w:rPr>
          <w:spacing w:val="-3"/>
        </w:rPr>
        <w:t xml:space="preserve"> and adds another critical speed</w:t>
      </w:r>
      <w:r w:rsidRPr="00FA208D">
        <w:rPr>
          <w:spacing w:val="-3"/>
        </w:rPr>
        <w:t>,</w:t>
      </w:r>
      <w:r w:rsidRPr="009A2D89">
        <w:rPr>
          <w:spacing w:val="-3"/>
          <w:position w:val="-10"/>
        </w:rPr>
        <w:object w:dxaOrig="780" w:dyaOrig="340" w14:anchorId="25CD6776">
          <v:shape id="_x0000_i1402" type="#_x0000_t75" style="width:40.2pt;height:16.85pt" o:ole="">
            <v:imagedata r:id="rId730" o:title=""/>
          </v:shape>
          <o:OLEObject Type="Embed" ProgID="Equation.DSMT4" ShapeID="_x0000_i1402" DrawAspect="Content" ObjectID="_1840626968" r:id="rId731"/>
        </w:object>
      </w:r>
      <w:r>
        <w:rPr>
          <w:spacing w:val="-3"/>
        </w:rPr>
        <w:t xml:space="preserve">, </w:t>
      </w:r>
      <w:r w:rsidRPr="00FA208D">
        <w:rPr>
          <w:spacing w:val="-3"/>
        </w:rPr>
        <w:t>giving</w:t>
      </w:r>
    </w:p>
    <w:p w14:paraId="3ADDFE19" w14:textId="77777777" w:rsidR="00015B17" w:rsidRPr="00FA208D" w:rsidRDefault="00015B17" w:rsidP="00015B17">
      <w:pPr>
        <w:tabs>
          <w:tab w:val="left" w:pos="-720"/>
        </w:tabs>
        <w:suppressAutoHyphens/>
        <w:spacing w:line="360" w:lineRule="auto"/>
        <w:rPr>
          <w:spacing w:val="-3"/>
        </w:rPr>
      </w:pPr>
    </w:p>
    <w:p w14:paraId="7169D960" w14:textId="77777777" w:rsidR="00015B17" w:rsidRDefault="009067EC" w:rsidP="00015B17">
      <w:pPr>
        <w:tabs>
          <w:tab w:val="left" w:pos="-720"/>
        </w:tabs>
        <w:suppressAutoHyphens/>
        <w:spacing w:line="360" w:lineRule="auto"/>
        <w:jc w:val="center"/>
        <w:rPr>
          <w:spacing w:val="-3"/>
        </w:rPr>
      </w:pPr>
      <w:r w:rsidRPr="00FA208D">
        <w:rPr>
          <w:spacing w:val="-3"/>
          <w:position w:val="-30"/>
        </w:rPr>
        <w:object w:dxaOrig="3760" w:dyaOrig="720" w14:anchorId="5406E851">
          <v:shape id="_x0000_i1403" type="#_x0000_t75" style="width:187pt;height:36.45pt" o:ole="">
            <v:imagedata r:id="rId732" o:title=""/>
          </v:shape>
          <o:OLEObject Type="Embed" ProgID="Equation.DSMT4" ShapeID="_x0000_i1403" DrawAspect="Content" ObjectID="_1840626969" r:id="rId733"/>
        </w:object>
      </w:r>
      <w:r w:rsidR="006E6FC2">
        <w:rPr>
          <w:spacing w:val="-3"/>
        </w:rPr>
        <w:t>,</w:t>
      </w:r>
      <w:r w:rsidR="00015B17">
        <w:rPr>
          <w:spacing w:val="-3"/>
        </w:rPr>
        <w:tab/>
      </w:r>
      <w:r w:rsidR="00015B17">
        <w:rPr>
          <w:spacing w:val="-3"/>
        </w:rPr>
        <w:tab/>
      </w:r>
      <w:r w:rsidR="00015B17">
        <w:rPr>
          <w:spacing w:val="-2"/>
        </w:rPr>
        <w:t>(</w:t>
      </w:r>
      <w:r w:rsidR="00015B17" w:rsidRPr="00087E69">
        <w:rPr>
          <w:spacing w:val="-2"/>
        </w:rPr>
        <w:t>5.1</w:t>
      </w:r>
      <w:r w:rsidR="00015B17">
        <w:rPr>
          <w:spacing w:val="-2"/>
        </w:rPr>
        <w:t>8)</w:t>
      </w:r>
    </w:p>
    <w:p w14:paraId="04C51EFB" w14:textId="77777777" w:rsidR="00015B17" w:rsidRDefault="00015B17" w:rsidP="00015B17">
      <w:pPr>
        <w:tabs>
          <w:tab w:val="left" w:pos="-720"/>
        </w:tabs>
        <w:suppressAutoHyphens/>
        <w:spacing w:line="360" w:lineRule="auto"/>
        <w:jc w:val="center"/>
        <w:rPr>
          <w:spacing w:val="-3"/>
        </w:rPr>
      </w:pPr>
    </w:p>
    <w:p w14:paraId="19423444" w14:textId="216CF6D7" w:rsidR="00015B17" w:rsidRDefault="00015B17" w:rsidP="00015B17">
      <w:pPr>
        <w:tabs>
          <w:tab w:val="left" w:pos="-720"/>
        </w:tabs>
        <w:suppressAutoHyphens/>
        <w:spacing w:line="360" w:lineRule="auto"/>
        <w:rPr>
          <w:spacing w:val="-3"/>
        </w:rPr>
      </w:pPr>
      <w:r>
        <w:rPr>
          <w:spacing w:val="-3"/>
        </w:rPr>
        <w:t xml:space="preserve">that approaches unity more quickly than the Aziz model. Note that Eqn. (5.17) is recovered if </w:t>
      </w:r>
      <w:r w:rsidRPr="009A2D89">
        <w:rPr>
          <w:spacing w:val="-3"/>
          <w:position w:val="-10"/>
        </w:rPr>
        <w:object w:dxaOrig="820" w:dyaOrig="340" w14:anchorId="280B4C16">
          <v:shape id="_x0000_i1404" type="#_x0000_t75" style="width:40.2pt;height:16.85pt" o:ole="">
            <v:imagedata r:id="rId734" o:title=""/>
          </v:shape>
          <o:OLEObject Type="Embed" ProgID="Equation.DSMT4" ShapeID="_x0000_i1404" DrawAspect="Content" ObjectID="_1840626970" r:id="rId735"/>
        </w:object>
      </w:r>
      <w:r>
        <w:rPr>
          <w:spacing w:val="-3"/>
        </w:rPr>
        <w:t xml:space="preserve">. </w:t>
      </w:r>
      <w:r w:rsidRPr="00FA208D">
        <w:rPr>
          <w:spacing w:val="-3"/>
        </w:rPr>
        <w:t>Finally</w:t>
      </w:r>
      <w:r w:rsidR="009067EC">
        <w:rPr>
          <w:spacing w:val="-3"/>
        </w:rPr>
        <w:t xml:space="preserve"> </w:t>
      </w:r>
      <w:r w:rsidRPr="00FA208D">
        <w:rPr>
          <w:spacing w:val="-3"/>
        </w:rPr>
        <w:t>for rough interfaces</w:t>
      </w:r>
      <w:r w:rsidR="009067EC">
        <w:rPr>
          <w:spacing w:val="-3"/>
        </w:rPr>
        <w:t>,</w:t>
      </w:r>
      <w:r w:rsidRPr="00FA208D">
        <w:rPr>
          <w:spacing w:val="-3"/>
        </w:rPr>
        <w:t xml:space="preserve"> the model due to</w:t>
      </w:r>
      <w:r>
        <w:rPr>
          <w:spacing w:val="-3"/>
        </w:rPr>
        <w:t xml:space="preserve"> </w:t>
      </w:r>
      <w:r w:rsidRPr="00FA208D">
        <w:rPr>
          <w:spacing w:val="-3"/>
        </w:rPr>
        <w:t>Jackson et al. [</w:t>
      </w:r>
      <w:r>
        <w:rPr>
          <w:spacing w:val="-3"/>
        </w:rPr>
        <w:t>2004</w:t>
      </w:r>
      <w:r w:rsidRPr="00FA208D">
        <w:rPr>
          <w:spacing w:val="-3"/>
        </w:rPr>
        <w:t>] reduces to</w:t>
      </w:r>
    </w:p>
    <w:p w14:paraId="1BDBC735" w14:textId="77777777" w:rsidR="00015B17" w:rsidRPr="00FA208D" w:rsidRDefault="00015B17" w:rsidP="00015B17">
      <w:pPr>
        <w:tabs>
          <w:tab w:val="left" w:pos="-720"/>
        </w:tabs>
        <w:suppressAutoHyphens/>
        <w:spacing w:line="360" w:lineRule="auto"/>
        <w:jc w:val="both"/>
        <w:rPr>
          <w:spacing w:val="-3"/>
        </w:rPr>
      </w:pPr>
    </w:p>
    <w:p w14:paraId="59760010" w14:textId="77777777" w:rsidR="00015B17" w:rsidRDefault="009067EC" w:rsidP="00015B17">
      <w:pPr>
        <w:tabs>
          <w:tab w:val="left" w:pos="-720"/>
        </w:tabs>
        <w:suppressAutoHyphens/>
        <w:spacing w:line="360" w:lineRule="auto"/>
        <w:jc w:val="center"/>
        <w:rPr>
          <w:spacing w:val="-3"/>
        </w:rPr>
      </w:pPr>
      <w:r w:rsidRPr="009067EC">
        <w:rPr>
          <w:spacing w:val="-3"/>
          <w:position w:val="-14"/>
        </w:rPr>
        <w:object w:dxaOrig="1760" w:dyaOrig="440" w14:anchorId="5472A79B">
          <v:shape id="_x0000_i1405" type="#_x0000_t75" style="width:88.85pt;height:21.5pt" o:ole="">
            <v:imagedata r:id="rId736" o:title=""/>
          </v:shape>
          <o:OLEObject Type="Embed" ProgID="Equation.DSMT4" ShapeID="_x0000_i1405" DrawAspect="Content" ObjectID="_1840626971" r:id="rId737"/>
        </w:object>
      </w:r>
      <w:r w:rsidR="006E6FC2">
        <w:rPr>
          <w:spacing w:val="-3"/>
        </w:rPr>
        <w:t>.</w:t>
      </w:r>
      <w:r w:rsidR="00015B17">
        <w:rPr>
          <w:spacing w:val="-3"/>
        </w:rPr>
        <w:tab/>
      </w:r>
      <w:r w:rsidR="00015B17">
        <w:rPr>
          <w:spacing w:val="-3"/>
        </w:rPr>
        <w:tab/>
      </w:r>
      <w:r w:rsidR="00015B17">
        <w:rPr>
          <w:spacing w:val="-2"/>
        </w:rPr>
        <w:t>(</w:t>
      </w:r>
      <w:r w:rsidR="00015B17" w:rsidRPr="00087E69">
        <w:rPr>
          <w:spacing w:val="-2"/>
        </w:rPr>
        <w:t>5.1</w:t>
      </w:r>
      <w:r w:rsidR="00015B17">
        <w:rPr>
          <w:spacing w:val="-2"/>
        </w:rPr>
        <w:t>9)</w:t>
      </w:r>
    </w:p>
    <w:p w14:paraId="1EED4E6A" w14:textId="77777777" w:rsidR="00015B17" w:rsidRDefault="008E007B" w:rsidP="003E0F31">
      <w:pPr>
        <w:tabs>
          <w:tab w:val="left" w:pos="-720"/>
        </w:tabs>
        <w:suppressAutoHyphens/>
        <w:spacing w:line="360" w:lineRule="auto"/>
        <w:rPr>
          <w:spacing w:val="-3"/>
        </w:rPr>
      </w:pPr>
      <w:r>
        <w:rPr>
          <w:spacing w:val="-3"/>
        </w:rPr>
        <w:tab/>
        <w:t>Where, A is a constant.</w:t>
      </w:r>
    </w:p>
    <w:p w14:paraId="10E601DE" w14:textId="77777777" w:rsidR="00015B17" w:rsidRDefault="00015B17" w:rsidP="00015B17">
      <w:pPr>
        <w:tabs>
          <w:tab w:val="left" w:pos="-720"/>
        </w:tabs>
        <w:suppressAutoHyphens/>
        <w:spacing w:line="360" w:lineRule="auto"/>
        <w:rPr>
          <w:spacing w:val="-3"/>
        </w:rPr>
      </w:pPr>
      <w:r>
        <w:rPr>
          <w:spacing w:val="-3"/>
        </w:rPr>
        <w:tab/>
        <w:t xml:space="preserve">Fig. 5.4 shows a plot of the response functions obtained using Eqns. (5.15-5.17) superimposed on a phase diagram including the liquidus, solidus, and </w:t>
      </w:r>
      <w:r>
        <w:rPr>
          <w:i/>
          <w:iCs/>
          <w:spacing w:val="-3"/>
        </w:rPr>
        <w:t>T</w:t>
      </w:r>
      <w:r w:rsidRPr="00727E8A">
        <w:rPr>
          <w:spacing w:val="-3"/>
          <w:sz w:val="26"/>
          <w:vertAlign w:val="subscript"/>
        </w:rPr>
        <w:t>0</w:t>
      </w:r>
      <w:r>
        <w:rPr>
          <w:spacing w:val="-3"/>
        </w:rPr>
        <w:t xml:space="preserve"> curves.  The plot gives the liquid composition at the interface and the interface temperature as a function of interface velocity for a fixed solid composition</w:t>
      </w:r>
      <w:r w:rsidR="00CC0793">
        <w:rPr>
          <w:spacing w:val="-3"/>
        </w:rPr>
        <w:t xml:space="preserve"> as would be appropriate for steady state solidification</w:t>
      </w:r>
      <w:r>
        <w:rPr>
          <w:spacing w:val="-3"/>
        </w:rPr>
        <w:t>. This would be the case for directional steady state solidification at different but constant velocities. The figure is based on a phase diagram for Ag</w:t>
      </w:r>
      <w:r w:rsidR="009067EC">
        <w:rPr>
          <w:spacing w:val="-3"/>
        </w:rPr>
        <w:t xml:space="preserve"> </w:t>
      </w:r>
      <w:r>
        <w:rPr>
          <w:spacing w:val="-3"/>
        </w:rPr>
        <w:t>-</w:t>
      </w:r>
      <w:r w:rsidR="009067EC">
        <w:rPr>
          <w:spacing w:val="-3"/>
        </w:rPr>
        <w:t xml:space="preserve"> </w:t>
      </w:r>
      <w:r>
        <w:rPr>
          <w:spacing w:val="-3"/>
        </w:rPr>
        <w:t xml:space="preserve">Cu with  </w:t>
      </w:r>
      <w:r>
        <w:rPr>
          <w:i/>
          <w:iCs/>
          <w:spacing w:val="-3"/>
        </w:rPr>
        <w:t>T</w:t>
      </w:r>
      <w:r w:rsidRPr="00727E8A">
        <w:rPr>
          <w:i/>
          <w:iCs/>
          <w:spacing w:val="-3"/>
          <w:sz w:val="26"/>
          <w:vertAlign w:val="subscript"/>
        </w:rPr>
        <w:t xml:space="preserve">m </w:t>
      </w:r>
      <w:r>
        <w:rPr>
          <w:i/>
          <w:iCs/>
          <w:spacing w:val="-3"/>
        </w:rPr>
        <w:t xml:space="preserve"> =</w:t>
      </w:r>
      <w:r>
        <w:rPr>
          <w:spacing w:val="-3"/>
        </w:rPr>
        <w:t xml:space="preserve"> 960</w:t>
      </w:r>
      <w:r w:rsidR="00CC0793">
        <w:rPr>
          <w:spacing w:val="-3"/>
        </w:rPr>
        <w:t xml:space="preserve"> </w:t>
      </w:r>
      <w:r>
        <w:rPr>
          <w:spacing w:val="-3"/>
        </w:rPr>
        <w:sym w:font="Symbol" w:char="F0B0"/>
      </w:r>
      <w:r>
        <w:rPr>
          <w:spacing w:val="-3"/>
        </w:rPr>
        <w:t>C</w:t>
      </w:r>
      <w:r>
        <w:rPr>
          <w:i/>
          <w:iCs/>
          <w:spacing w:val="-3"/>
        </w:rPr>
        <w:t xml:space="preserve">, </w:t>
      </w:r>
      <w:r w:rsidRPr="00732B7E">
        <w:rPr>
          <w:i/>
          <w:iCs/>
          <w:spacing w:val="-3"/>
          <w:position w:val="-6"/>
        </w:rPr>
        <w:object w:dxaOrig="980" w:dyaOrig="320" w14:anchorId="4D94C750">
          <v:shape id="_x0000_i1406" type="#_x0000_t75" style="width:48.6pt;height:16.85pt" o:ole="">
            <v:imagedata r:id="rId738" o:title=""/>
          </v:shape>
          <o:OLEObject Type="Embed" ProgID="Equation.DSMT4" ShapeID="_x0000_i1406" DrawAspect="Content" ObjectID="_1840626972" r:id="rId739"/>
        </w:object>
      </w:r>
      <w:r>
        <w:rPr>
          <w:spacing w:val="-3"/>
        </w:rPr>
        <w:t xml:space="preserve"> and</w:t>
      </w:r>
      <w:r w:rsidRPr="006D1150">
        <w:rPr>
          <w:spacing w:val="-3"/>
          <w:position w:val="-10"/>
        </w:rPr>
        <w:object w:dxaOrig="360" w:dyaOrig="360" w14:anchorId="5FAF3861">
          <v:shape id="_x0000_i1407" type="#_x0000_t75" style="width:17.75pt;height:17.75pt" o:ole="">
            <v:imagedata r:id="rId740" o:title=""/>
          </v:shape>
          <o:OLEObject Type="Embed" ProgID="Equation.DSMT4" ShapeID="_x0000_i1407" DrawAspect="Content" ObjectID="_1840626973" r:id="rId741"/>
        </w:object>
      </w:r>
      <w:r>
        <w:rPr>
          <w:spacing w:val="-3"/>
        </w:rPr>
        <w:t xml:space="preserve"> = -5.6 K</w:t>
      </w:r>
      <w:r w:rsidR="00CC0793">
        <w:rPr>
          <w:spacing w:val="-3"/>
        </w:rPr>
        <w:t xml:space="preserve"> (</w:t>
      </w:r>
      <w:r w:rsidR="00BD6531">
        <w:rPr>
          <w:spacing w:val="-3"/>
        </w:rPr>
        <w:t>at</w:t>
      </w:r>
      <w:r>
        <w:rPr>
          <w:spacing w:val="-3"/>
        </w:rPr>
        <w:t>%</w:t>
      </w:r>
      <w:r w:rsidR="00CC0793">
        <w:rPr>
          <w:spacing w:val="-3"/>
        </w:rPr>
        <w:t>)</w:t>
      </w:r>
      <w:r w:rsidR="00CC0793" w:rsidRPr="00883A53">
        <w:rPr>
          <w:spacing w:val="-3"/>
          <w:sz w:val="26"/>
          <w:vertAlign w:val="superscript"/>
        </w:rPr>
        <w:t>-1</w:t>
      </w:r>
      <w:r>
        <w:rPr>
          <w:spacing w:val="-3"/>
        </w:rPr>
        <w:t>,</w:t>
      </w:r>
      <w:r>
        <w:rPr>
          <w:i/>
          <w:iCs/>
          <w:spacing w:val="-3"/>
        </w:rPr>
        <w:t xml:space="preserve"> </w:t>
      </w:r>
      <w:r w:rsidRPr="006D1150">
        <w:rPr>
          <w:i/>
          <w:iCs/>
          <w:spacing w:val="-3"/>
          <w:position w:val="-10"/>
        </w:rPr>
        <w:object w:dxaOrig="600" w:dyaOrig="320" w14:anchorId="6012C5CA">
          <v:shape id="_x0000_i1408" type="#_x0000_t75" style="width:29.9pt;height:16.85pt" o:ole="">
            <v:imagedata r:id="rId742" o:title=""/>
          </v:shape>
          <o:OLEObject Type="Embed" ProgID="Equation.DSMT4" ShapeID="_x0000_i1408" DrawAspect="Content" ObjectID="_1840626974" r:id="rId743"/>
        </w:object>
      </w:r>
      <w:r>
        <w:rPr>
          <w:i/>
          <w:iCs/>
          <w:spacing w:val="-3"/>
        </w:rPr>
        <w:t>,C</w:t>
      </w:r>
      <w:r w:rsidRPr="00727E8A">
        <w:rPr>
          <w:spacing w:val="-3"/>
          <w:sz w:val="26"/>
          <w:vertAlign w:val="subscript"/>
        </w:rPr>
        <w:t>S</w:t>
      </w:r>
      <w:r w:rsidRPr="00883A53">
        <w:rPr>
          <w:spacing w:val="-3"/>
          <w:sz w:val="26"/>
          <w:vertAlign w:val="superscript"/>
        </w:rPr>
        <w:t>*</w:t>
      </w:r>
      <w:r>
        <w:rPr>
          <w:spacing w:val="-3"/>
        </w:rPr>
        <w:t xml:space="preserve"> = 5 at% Cu, </w:t>
      </w:r>
      <w:r>
        <w:rPr>
          <w:i/>
          <w:iCs/>
          <w:spacing w:val="-3"/>
        </w:rPr>
        <w:t>V</w:t>
      </w:r>
      <w:r w:rsidRPr="003E0F31">
        <w:rPr>
          <w:i/>
          <w:spacing w:val="-3"/>
          <w:sz w:val="26"/>
          <w:vertAlign w:val="subscript"/>
        </w:rPr>
        <w:t>D</w:t>
      </w:r>
      <w:r>
        <w:rPr>
          <w:spacing w:val="-3"/>
        </w:rPr>
        <w:t xml:space="preserve"> = 5 m</w:t>
      </w:r>
      <w:r w:rsidR="00CC0793" w:rsidRPr="00CC0793">
        <w:rPr>
          <w:spacing w:val="-3"/>
        </w:rPr>
        <w:t xml:space="preserve"> </w:t>
      </w:r>
      <w:r w:rsidR="00CC0793">
        <w:rPr>
          <w:spacing w:val="-3"/>
        </w:rPr>
        <w:t>s</w:t>
      </w:r>
      <w:r w:rsidR="00CC0793" w:rsidRPr="00883A53">
        <w:rPr>
          <w:spacing w:val="-3"/>
          <w:sz w:val="26"/>
          <w:vertAlign w:val="superscript"/>
        </w:rPr>
        <w:t>-1</w:t>
      </w:r>
      <w:r>
        <w:rPr>
          <w:spacing w:val="-3"/>
        </w:rPr>
        <w:t xml:space="preserve">, and </w:t>
      </w:r>
      <w:r w:rsidR="00CC0793">
        <w:rPr>
          <w:i/>
          <w:iCs/>
          <w:spacing w:val="-3"/>
        </w:rPr>
        <w:t>V</w:t>
      </w:r>
      <w:r w:rsidR="00CC0793" w:rsidRPr="00727E8A">
        <w:rPr>
          <w:spacing w:val="-3"/>
          <w:sz w:val="26"/>
          <w:vertAlign w:val="subscript"/>
        </w:rPr>
        <w:t>C</w:t>
      </w:r>
      <w:r w:rsidR="00CC0793">
        <w:rPr>
          <w:spacing w:val="-3"/>
        </w:rPr>
        <w:t xml:space="preserve"> </w:t>
      </w:r>
      <w:r>
        <w:rPr>
          <w:spacing w:val="-3"/>
        </w:rPr>
        <w:t>= 2 x 10</w:t>
      </w:r>
      <w:r w:rsidRPr="00883A53">
        <w:rPr>
          <w:spacing w:val="-3"/>
          <w:sz w:val="26"/>
          <w:vertAlign w:val="superscript"/>
        </w:rPr>
        <w:t>3</w:t>
      </w:r>
      <w:r>
        <w:rPr>
          <w:spacing w:val="-3"/>
        </w:rPr>
        <w:t xml:space="preserve"> m</w:t>
      </w:r>
      <w:r w:rsidR="00CC0793">
        <w:rPr>
          <w:spacing w:val="-3"/>
        </w:rPr>
        <w:t xml:space="preserve"> s</w:t>
      </w:r>
      <w:r w:rsidR="00CC0793" w:rsidRPr="00883A53">
        <w:rPr>
          <w:spacing w:val="-3"/>
          <w:sz w:val="26"/>
          <w:vertAlign w:val="superscript"/>
        </w:rPr>
        <w:t>-1</w:t>
      </w:r>
      <w:r>
        <w:rPr>
          <w:spacing w:val="-3"/>
        </w:rPr>
        <w:t>.  At zero velocity, the composition of the liquid lies on the liquidus curve, a situation that corresponds to local equilibrium.  At intermediate velocities (about 10 cm</w:t>
      </w:r>
      <w:r w:rsidR="00CC0793">
        <w:rPr>
          <w:spacing w:val="-3"/>
        </w:rPr>
        <w:t xml:space="preserve"> s</w:t>
      </w:r>
      <w:r w:rsidR="00CC0793" w:rsidRPr="00883A53">
        <w:rPr>
          <w:spacing w:val="-3"/>
          <w:sz w:val="26"/>
          <w:vertAlign w:val="superscript"/>
        </w:rPr>
        <w:t>-1</w:t>
      </w:r>
      <w:r>
        <w:rPr>
          <w:spacing w:val="-3"/>
        </w:rPr>
        <w:t xml:space="preserve">) the composition of the liquid moves towards the composition of the solid but with an increased interface temperature.  At high velocities the liquid composition is near the solid composition and the interface temperature is near, but slightly below, the </w:t>
      </w:r>
      <w:r>
        <w:rPr>
          <w:i/>
          <w:iCs/>
          <w:spacing w:val="-3"/>
        </w:rPr>
        <w:t>T</w:t>
      </w:r>
      <w:r w:rsidRPr="00727E8A">
        <w:rPr>
          <w:spacing w:val="-3"/>
          <w:sz w:val="26"/>
          <w:vertAlign w:val="subscript"/>
        </w:rPr>
        <w:t>0</w:t>
      </w:r>
      <w:r>
        <w:rPr>
          <w:spacing w:val="-3"/>
        </w:rPr>
        <w:t xml:space="preserve"> curve.  At still higher velocities, where the partition coefficient is essentially unity, the temperature drops with increasing velocity. The increase in temperature with increasing velocity seems strange but is a result of fixing the solid composition</w:t>
      </w:r>
      <w:r w:rsidR="00D979F7">
        <w:rPr>
          <w:spacing w:val="-3"/>
        </w:rPr>
        <w:t xml:space="preserve"> in this discussion</w:t>
      </w:r>
      <w:r>
        <w:rPr>
          <w:spacing w:val="-3"/>
        </w:rPr>
        <w:t>.</w:t>
      </w:r>
    </w:p>
    <w:p w14:paraId="62E24E74" w14:textId="77777777" w:rsidR="00015B17" w:rsidRDefault="00015B17" w:rsidP="00015B17">
      <w:pPr>
        <w:tabs>
          <w:tab w:val="left" w:pos="-720"/>
        </w:tabs>
        <w:suppressAutoHyphens/>
        <w:spacing w:line="360" w:lineRule="auto"/>
        <w:rPr>
          <w:spacing w:val="-3"/>
        </w:rPr>
      </w:pPr>
    </w:p>
    <w:p w14:paraId="1EE8A9CF" w14:textId="12753A45" w:rsidR="00015B17" w:rsidRDefault="00015B17" w:rsidP="00015B17">
      <w:pPr>
        <w:tabs>
          <w:tab w:val="left" w:pos="-720"/>
        </w:tabs>
        <w:suppressAutoHyphens/>
        <w:spacing w:line="360" w:lineRule="auto"/>
        <w:rPr>
          <w:spacing w:val="-3"/>
        </w:rPr>
      </w:pPr>
      <w:r>
        <w:rPr>
          <w:spacing w:val="-3"/>
        </w:rPr>
        <w:tab/>
        <w:t>This analysis provides a pair of thermodynamically consistent response functions for dilute alloys.  For concentrated alloys no analytical expressions can be written because</w:t>
      </w:r>
      <w:r>
        <w:rPr>
          <w:i/>
          <w:iCs/>
          <w:spacing w:val="-3"/>
        </w:rPr>
        <w:t xml:space="preserve"> k</w:t>
      </w:r>
      <w:r w:rsidRPr="00883A53">
        <w:rPr>
          <w:spacing w:val="-3"/>
          <w:sz w:val="26"/>
          <w:vertAlign w:val="superscript"/>
        </w:rPr>
        <w:t xml:space="preserve">E </w:t>
      </w:r>
      <w:r>
        <w:rPr>
          <w:spacing w:val="-3"/>
        </w:rPr>
        <w:t xml:space="preserve">depends on composition.  However, given a thermodynamic description of the liquid and solid phases and values for the two kinetic parameters </w:t>
      </w:r>
      <w:r>
        <w:rPr>
          <w:i/>
          <w:iCs/>
          <w:spacing w:val="-3"/>
        </w:rPr>
        <w:t>V</w:t>
      </w:r>
      <w:r w:rsidRPr="003E0F31">
        <w:rPr>
          <w:i/>
          <w:spacing w:val="-3"/>
          <w:sz w:val="26"/>
          <w:vertAlign w:val="subscript"/>
        </w:rPr>
        <w:t>D</w:t>
      </w:r>
      <w:r>
        <w:rPr>
          <w:spacing w:val="-3"/>
        </w:rPr>
        <w:t xml:space="preserve"> and </w:t>
      </w:r>
      <w:r w:rsidR="009067EC">
        <w:rPr>
          <w:i/>
          <w:iCs/>
          <w:spacing w:val="-3"/>
        </w:rPr>
        <w:t>V</w:t>
      </w:r>
      <w:r w:rsidR="009067EC" w:rsidRPr="003E0F31">
        <w:rPr>
          <w:i/>
          <w:spacing w:val="-3"/>
          <w:sz w:val="26"/>
          <w:vertAlign w:val="subscript"/>
        </w:rPr>
        <w:t>C</w:t>
      </w:r>
      <w:r w:rsidR="009067EC">
        <w:rPr>
          <w:spacing w:val="-3"/>
        </w:rPr>
        <w:t xml:space="preserve"> , </w:t>
      </w:r>
      <w:r>
        <w:rPr>
          <w:spacing w:val="-3"/>
        </w:rPr>
        <w:t xml:space="preserve"> the response functions can be calculated numerically (AZIZ and KAPLAN [1988]).  Fig. 5.5 taken from Aziz and Kaplan [1988] shows the result for all compositions of an ideal binary alloy. The interface response functions can be represented by non-equilibrium liquidus and solidus curves shown for several interface velocities. These curves give the combinations of</w:t>
      </w:r>
      <w:r>
        <w:rPr>
          <w:i/>
          <w:iCs/>
          <w:spacing w:val="-3"/>
        </w:rPr>
        <w:t xml:space="preserve"> </w:t>
      </w:r>
      <w:r w:rsidRPr="00732B7E">
        <w:rPr>
          <w:i/>
          <w:iCs/>
          <w:spacing w:val="-3"/>
        </w:rPr>
        <w:t>C</w:t>
      </w:r>
      <w:r w:rsidRPr="00727E8A">
        <w:rPr>
          <w:i/>
          <w:spacing w:val="-3"/>
          <w:sz w:val="26"/>
          <w:vertAlign w:val="subscript"/>
        </w:rPr>
        <w:t>L</w:t>
      </w:r>
      <w:r w:rsidRPr="00883A53">
        <w:rPr>
          <w:i/>
          <w:spacing w:val="-3"/>
          <w:sz w:val="26"/>
          <w:vertAlign w:val="superscript"/>
        </w:rPr>
        <w:t>*</w:t>
      </w:r>
      <w:r>
        <w:rPr>
          <w:spacing w:val="-3"/>
        </w:rPr>
        <w:t>,</w:t>
      </w:r>
      <w:r>
        <w:rPr>
          <w:i/>
          <w:iCs/>
          <w:spacing w:val="-3"/>
        </w:rPr>
        <w:t xml:space="preserve"> C</w:t>
      </w:r>
      <w:r w:rsidRPr="00727E8A">
        <w:rPr>
          <w:spacing w:val="-3"/>
          <w:sz w:val="26"/>
          <w:vertAlign w:val="subscript"/>
        </w:rPr>
        <w:t>S</w:t>
      </w:r>
      <w:r w:rsidRPr="00883A53">
        <w:rPr>
          <w:spacing w:val="-3"/>
          <w:sz w:val="26"/>
          <w:vertAlign w:val="superscript"/>
        </w:rPr>
        <w:t>*</w:t>
      </w:r>
      <w:r>
        <w:rPr>
          <w:spacing w:val="-3"/>
        </w:rPr>
        <w:t xml:space="preserve">, and </w:t>
      </w:r>
      <w:r>
        <w:rPr>
          <w:i/>
          <w:iCs/>
          <w:spacing w:val="-3"/>
        </w:rPr>
        <w:t>T</w:t>
      </w:r>
      <w:r w:rsidRPr="00883A53">
        <w:rPr>
          <w:i/>
          <w:iCs/>
          <w:spacing w:val="-3"/>
          <w:sz w:val="26"/>
          <w:vertAlign w:val="superscript"/>
        </w:rPr>
        <w:t>*</w:t>
      </w:r>
      <w:r>
        <w:rPr>
          <w:spacing w:val="-3"/>
        </w:rPr>
        <w:t xml:space="preserve"> possible for the indicated velocities. Extensive experimental research has been focused on testing these models (KITTL </w:t>
      </w:r>
      <w:r>
        <w:rPr>
          <w:i/>
          <w:iCs/>
          <w:spacing w:val="-3"/>
        </w:rPr>
        <w:t>et al.</w:t>
      </w:r>
      <w:r>
        <w:rPr>
          <w:spacing w:val="-3"/>
        </w:rPr>
        <w:t xml:space="preserve"> [2000]). They conclude inclusion of the solute drag effect is not necessary.</w:t>
      </w:r>
    </w:p>
    <w:p w14:paraId="5EC732BA" w14:textId="77777777" w:rsidR="00015B17" w:rsidRDefault="00015B17" w:rsidP="00015B17">
      <w:pPr>
        <w:tabs>
          <w:tab w:val="left" w:pos="-720"/>
        </w:tabs>
        <w:suppressAutoHyphens/>
        <w:spacing w:line="360" w:lineRule="auto"/>
        <w:rPr>
          <w:spacing w:val="-3"/>
        </w:rPr>
      </w:pPr>
    </w:p>
    <w:p w14:paraId="1AF2032E" w14:textId="77777777" w:rsidR="00015B17" w:rsidRDefault="00015B17" w:rsidP="00015B17">
      <w:pPr>
        <w:tabs>
          <w:tab w:val="left" w:pos="-720"/>
        </w:tabs>
        <w:suppressAutoHyphens/>
        <w:spacing w:line="360" w:lineRule="auto"/>
        <w:rPr>
          <w:spacing w:val="-3"/>
        </w:rPr>
      </w:pPr>
      <w:r>
        <w:rPr>
          <w:spacing w:val="-3"/>
        </w:rPr>
        <w:lastRenderedPageBreak/>
        <w:tab/>
        <w:t>Ahmad et al. [1998] have compared the results of a phase field model of rapid solidification to Eqns.</w:t>
      </w:r>
      <w:r w:rsidRPr="00715469">
        <w:rPr>
          <w:spacing w:val="-3"/>
        </w:rPr>
        <w:t xml:space="preserve"> </w:t>
      </w:r>
      <w:r>
        <w:rPr>
          <w:spacing w:val="-3"/>
        </w:rPr>
        <w:t xml:space="preserve">(5.15-5.17). For a diffusion coefficient interpolated through the interface according to </w:t>
      </w:r>
      <w:r w:rsidRPr="006D1150">
        <w:rPr>
          <w:spacing w:val="-3"/>
          <w:position w:val="-14"/>
        </w:rPr>
        <w:object w:dxaOrig="2100" w:dyaOrig="400" w14:anchorId="4B3ACD72">
          <v:shape id="_x0000_i1409" type="#_x0000_t75" style="width:104.75pt;height:19.65pt" o:ole="">
            <v:imagedata r:id="rId744" o:title=""/>
          </v:shape>
          <o:OLEObject Type="Embed" ProgID="Equation.DSMT4" ShapeID="_x0000_i1409" DrawAspect="Content" ObjectID="_1840626975" r:id="rId745"/>
        </w:object>
      </w:r>
      <w:r>
        <w:rPr>
          <w:spacing w:val="-3"/>
        </w:rPr>
        <w:t xml:space="preserve">where </w:t>
      </w:r>
      <w:r w:rsidRPr="006D1150">
        <w:rPr>
          <w:spacing w:val="-3"/>
          <w:position w:val="-10"/>
        </w:rPr>
        <w:object w:dxaOrig="200" w:dyaOrig="320" w14:anchorId="29E859F2">
          <v:shape id="_x0000_i1410" type="#_x0000_t75" style="width:10.3pt;height:16.85pt" o:ole="">
            <v:imagedata r:id="rId746" o:title=""/>
          </v:shape>
          <o:OLEObject Type="Embed" ProgID="Equation.DSMT4" ShapeID="_x0000_i1410" DrawAspect="Content" ObjectID="_1840626976" r:id="rId747"/>
        </w:object>
      </w:r>
      <w:r>
        <w:rPr>
          <w:spacing w:val="-3"/>
        </w:rPr>
        <w:t xml:space="preserve">is the phase field, a good fit to the Aziz model and a value of  </w:t>
      </w:r>
      <w:r w:rsidRPr="006D1150">
        <w:rPr>
          <w:spacing w:val="-3"/>
          <w:position w:val="-10"/>
        </w:rPr>
        <w:object w:dxaOrig="1100" w:dyaOrig="320" w14:anchorId="51CF4FFC">
          <v:shape id="_x0000_i1411" type="#_x0000_t75" style="width:55.15pt;height:16.85pt" o:ole="">
            <v:imagedata r:id="rId748" o:title=""/>
          </v:shape>
          <o:OLEObject Type="Embed" ProgID="Equation.DSMT4" ShapeID="_x0000_i1411" DrawAspect="Content" ObjectID="_1840626977" r:id="rId749"/>
        </w:object>
      </w:r>
      <w:r>
        <w:rPr>
          <w:spacing w:val="-3"/>
        </w:rPr>
        <w:t xml:space="preserve"> for the drag coefficient was obtained.  In the limit of high velocity, they obtained the result that </w:t>
      </w:r>
    </w:p>
    <w:p w14:paraId="5170CDFB" w14:textId="77777777" w:rsidR="00015B17" w:rsidRDefault="00015B17" w:rsidP="00015B17">
      <w:pPr>
        <w:tabs>
          <w:tab w:val="left" w:pos="-720"/>
        </w:tabs>
        <w:suppressAutoHyphens/>
        <w:spacing w:line="360" w:lineRule="auto"/>
        <w:jc w:val="both"/>
        <w:rPr>
          <w:spacing w:val="-3"/>
        </w:rPr>
      </w:pPr>
    </w:p>
    <w:p w14:paraId="6F9B00F4" w14:textId="77777777" w:rsidR="00015B17" w:rsidRDefault="00FD7301" w:rsidP="00015B17">
      <w:pPr>
        <w:tabs>
          <w:tab w:val="left" w:pos="-720"/>
        </w:tabs>
        <w:suppressAutoHyphens/>
        <w:spacing w:line="360" w:lineRule="auto"/>
        <w:jc w:val="center"/>
        <w:rPr>
          <w:spacing w:val="-3"/>
        </w:rPr>
      </w:pPr>
      <w:r w:rsidRPr="00D55E53">
        <w:rPr>
          <w:spacing w:val="-3"/>
          <w:position w:val="-32"/>
        </w:rPr>
        <w:object w:dxaOrig="2220" w:dyaOrig="820" w14:anchorId="193C63CC">
          <v:shape id="_x0000_i1412" type="#_x0000_t75" style="width:112.2pt;height:40.2pt" o:ole="">
            <v:imagedata r:id="rId750" o:title=""/>
          </v:shape>
          <o:OLEObject Type="Embed" ProgID="Equation.DSMT4" ShapeID="_x0000_i1412" DrawAspect="Content" ObjectID="_1840626978" r:id="rId751"/>
        </w:object>
      </w:r>
      <w:r w:rsidR="006E6FC2">
        <w:rPr>
          <w:spacing w:val="-3"/>
        </w:rPr>
        <w:t>,</w:t>
      </w:r>
      <w:r w:rsidR="00015B17">
        <w:rPr>
          <w:spacing w:val="-3"/>
        </w:rPr>
        <w:tab/>
      </w:r>
      <w:r w:rsidR="00015B17">
        <w:rPr>
          <w:spacing w:val="-2"/>
        </w:rPr>
        <w:t>(</w:t>
      </w:r>
      <w:r w:rsidR="00015B17" w:rsidRPr="00087E69">
        <w:rPr>
          <w:spacing w:val="-2"/>
        </w:rPr>
        <w:t>5.</w:t>
      </w:r>
      <w:r w:rsidR="00015B17">
        <w:rPr>
          <w:spacing w:val="-2"/>
        </w:rPr>
        <w:t>20)</w:t>
      </w:r>
      <w:r w:rsidR="00015B17">
        <w:rPr>
          <w:spacing w:val="-3"/>
        </w:rPr>
        <w:tab/>
      </w:r>
    </w:p>
    <w:p w14:paraId="28808AA0" w14:textId="77777777" w:rsidR="00015B17" w:rsidRDefault="00015B17" w:rsidP="00015B17">
      <w:pPr>
        <w:tabs>
          <w:tab w:val="left" w:pos="-720"/>
        </w:tabs>
        <w:suppressAutoHyphens/>
        <w:spacing w:line="360" w:lineRule="auto"/>
        <w:jc w:val="both"/>
        <w:rPr>
          <w:spacing w:val="-3"/>
        </w:rPr>
      </w:pPr>
    </w:p>
    <w:p w14:paraId="6652EADF" w14:textId="353B45AC" w:rsidR="00015B17" w:rsidRDefault="00015B17" w:rsidP="00015B17">
      <w:pPr>
        <w:tabs>
          <w:tab w:val="left" w:pos="-720"/>
        </w:tabs>
        <w:suppressAutoHyphens/>
        <w:spacing w:line="360" w:lineRule="auto"/>
        <w:rPr>
          <w:spacing w:val="-3"/>
        </w:rPr>
      </w:pPr>
      <w:r>
        <w:rPr>
          <w:spacing w:val="-3"/>
        </w:rPr>
        <w:t xml:space="preserve">where </w:t>
      </w:r>
      <w:r w:rsidRPr="00D55E53">
        <w:rPr>
          <w:spacing w:val="-3"/>
          <w:position w:val="-10"/>
        </w:rPr>
        <w:object w:dxaOrig="320" w:dyaOrig="340" w14:anchorId="3CCD3624">
          <v:shape id="_x0000_i1413" type="#_x0000_t75" style="width:16.85pt;height:16.85pt" o:ole="">
            <v:imagedata r:id="rId752" o:title=""/>
          </v:shape>
          <o:OLEObject Type="Embed" ProgID="Equation.DSMT4" ShapeID="_x0000_i1413" DrawAspect="Content" ObjectID="_1840626979" r:id="rId753"/>
        </w:object>
      </w:r>
      <w:r>
        <w:rPr>
          <w:spacing w:val="-3"/>
        </w:rPr>
        <w:t xml:space="preserve"> is the solute diffusivity in the diffuse interface and </w:t>
      </w:r>
      <w:r w:rsidRPr="00D55E53">
        <w:rPr>
          <w:spacing w:val="-3"/>
          <w:position w:val="-10"/>
        </w:rPr>
        <w:object w:dxaOrig="240" w:dyaOrig="340" w14:anchorId="27A2E34A">
          <v:shape id="_x0000_i1414" type="#_x0000_t75" style="width:12.15pt;height:16.85pt" o:ole="">
            <v:imagedata r:id="rId754" o:title=""/>
          </v:shape>
          <o:OLEObject Type="Embed" ProgID="Equation.DSMT4" ShapeID="_x0000_i1414" DrawAspect="Content" ObjectID="_1840626980" r:id="rId755"/>
        </w:object>
      </w:r>
      <w:r>
        <w:rPr>
          <w:spacing w:val="-3"/>
        </w:rPr>
        <w:t>is the interface thickness. [Ahmad, 1998] shows a positive correlation</w:t>
      </w:r>
      <w:r w:rsidR="00D979F7">
        <w:rPr>
          <w:spacing w:val="-3"/>
        </w:rPr>
        <w:t xml:space="preserve"> between this expression and</w:t>
      </w:r>
      <w:r>
        <w:rPr>
          <w:spacing w:val="-3"/>
        </w:rPr>
        <w:t xml:space="preserve"> experimental values of </w:t>
      </w:r>
      <w:r w:rsidRPr="00D55E53">
        <w:rPr>
          <w:spacing w:val="-3"/>
          <w:position w:val="-10"/>
        </w:rPr>
        <w:object w:dxaOrig="300" w:dyaOrig="340" w14:anchorId="2EF64A0D">
          <v:shape id="_x0000_i1415" type="#_x0000_t75" style="width:14.95pt;height:16.85pt" o:ole="">
            <v:imagedata r:id="rId756" o:title=""/>
          </v:shape>
          <o:OLEObject Type="Embed" ProgID="Equation.DSMT4" ShapeID="_x0000_i1415" DrawAspect="Content" ObjectID="_1840626981" r:id="rId757"/>
        </w:object>
      </w:r>
      <w:r>
        <w:rPr>
          <w:spacing w:val="-3"/>
        </w:rPr>
        <w:t xml:space="preserve"> obtained by Aziz [1996] for systems with different values of </w:t>
      </w:r>
      <w:r w:rsidRPr="00732B7E">
        <w:rPr>
          <w:spacing w:val="-3"/>
          <w:position w:val="-6"/>
        </w:rPr>
        <w:object w:dxaOrig="320" w:dyaOrig="320" w14:anchorId="3983A918">
          <v:shape id="_x0000_i1416" type="#_x0000_t75" style="width:16.85pt;height:16.85pt" o:ole="">
            <v:imagedata r:id="rId758" o:title=""/>
          </v:shape>
          <o:OLEObject Type="Embed" ProgID="Equation.DSMT4" ShapeID="_x0000_i1416" DrawAspect="Content" ObjectID="_1840626982" r:id="rId759"/>
        </w:object>
      </w:r>
      <w:r>
        <w:rPr>
          <w:spacing w:val="-3"/>
        </w:rPr>
        <w:t xml:space="preserve">. </w:t>
      </w:r>
      <w:r w:rsidR="00963229">
        <w:rPr>
          <w:spacing w:val="-3"/>
        </w:rPr>
        <w:t>However,</w:t>
      </w:r>
      <w:r>
        <w:rPr>
          <w:spacing w:val="-3"/>
        </w:rPr>
        <w:t xml:space="preserve"> it should be noted that other results were obtained with the phase field model if a different interpolation scheme was employed; viz.,</w:t>
      </w:r>
      <w:r w:rsidRPr="003C0EAB">
        <w:rPr>
          <w:spacing w:val="-3"/>
          <w:position w:val="-12"/>
        </w:rPr>
        <w:object w:dxaOrig="1260" w:dyaOrig="380" w14:anchorId="0AFAC56E">
          <v:shape id="_x0000_i1417" type="#_x0000_t75" style="width:62.65pt;height:18.7pt" o:ole="">
            <v:imagedata r:id="rId760" o:title=""/>
          </v:shape>
          <o:OLEObject Type="Embed" ProgID="Equation.DSMT4" ShapeID="_x0000_i1417" DrawAspect="Content" ObjectID="_1840626983" r:id="rId761"/>
        </w:object>
      </w:r>
      <w:r>
        <w:rPr>
          <w:spacing w:val="-3"/>
        </w:rPr>
        <w:t>. Multistep models that approach a phase field model have also bee</w:t>
      </w:r>
      <w:r w:rsidR="009D4ADF">
        <w:rPr>
          <w:spacing w:val="-3"/>
        </w:rPr>
        <w:t>n</w:t>
      </w:r>
      <w:r>
        <w:rPr>
          <w:spacing w:val="-3"/>
        </w:rPr>
        <w:t xml:space="preserve"> considered by Smith &amp; Aziz [1994]. </w:t>
      </w:r>
    </w:p>
    <w:p w14:paraId="1609698C" w14:textId="77777777" w:rsidR="00015B17" w:rsidRDefault="00015B17" w:rsidP="00015B17">
      <w:pPr>
        <w:tabs>
          <w:tab w:val="left" w:pos="-720"/>
        </w:tabs>
        <w:suppressAutoHyphens/>
        <w:spacing w:line="360" w:lineRule="auto"/>
        <w:rPr>
          <w:spacing w:val="-3"/>
        </w:rPr>
      </w:pPr>
    </w:p>
    <w:p w14:paraId="0222CEFE" w14:textId="3CA66277" w:rsidR="00015B17" w:rsidRPr="00E553BD" w:rsidRDefault="00015B17" w:rsidP="00015B17">
      <w:pPr>
        <w:tabs>
          <w:tab w:val="left" w:pos="-720"/>
        </w:tabs>
        <w:suppressAutoHyphens/>
        <w:spacing w:line="360" w:lineRule="auto"/>
        <w:rPr>
          <w:spacing w:val="-3"/>
        </w:rPr>
      </w:pPr>
      <w:r>
        <w:rPr>
          <w:spacing w:val="-3"/>
        </w:rPr>
        <w:tab/>
        <w:t>Yang et al. [2011]</w:t>
      </w:r>
      <w:r w:rsidRPr="00E553BD">
        <w:rPr>
          <w:spacing w:val="-3"/>
        </w:rPr>
        <w:t xml:space="preserve"> have calculated the kinetic properties of atomically-rough </w:t>
      </w:r>
      <w:r>
        <w:rPr>
          <w:spacing w:val="-3"/>
        </w:rPr>
        <w:t xml:space="preserve">liquid-solid </w:t>
      </w:r>
      <w:r w:rsidRPr="00E553BD">
        <w:rPr>
          <w:spacing w:val="-3"/>
        </w:rPr>
        <w:t>interfaces</w:t>
      </w:r>
      <w:r>
        <w:rPr>
          <w:spacing w:val="-3"/>
        </w:rPr>
        <w:t xml:space="preserve"> </w:t>
      </w:r>
      <w:r w:rsidRPr="00E553BD">
        <w:rPr>
          <w:spacing w:val="-3"/>
        </w:rPr>
        <w:t xml:space="preserve">in two model alloy systems with </w:t>
      </w:r>
      <w:r>
        <w:rPr>
          <w:spacing w:val="-3"/>
        </w:rPr>
        <w:t>FCC</w:t>
      </w:r>
      <w:r w:rsidRPr="00E553BD">
        <w:rPr>
          <w:spacing w:val="-3"/>
        </w:rPr>
        <w:t>-based crystal structures</w:t>
      </w:r>
      <w:r>
        <w:rPr>
          <w:spacing w:val="-3"/>
        </w:rPr>
        <w:t xml:space="preserve"> using molecular dynamics with </w:t>
      </w:r>
      <w:r w:rsidR="00CC0793">
        <w:rPr>
          <w:spacing w:val="-3"/>
        </w:rPr>
        <w:t>e</w:t>
      </w:r>
      <w:r>
        <w:rPr>
          <w:spacing w:val="-3"/>
        </w:rPr>
        <w:t>mbedded atom potentials</w:t>
      </w:r>
      <w:r w:rsidRPr="00E553BD">
        <w:rPr>
          <w:spacing w:val="-3"/>
        </w:rPr>
        <w:t>. Results for solute trapping</w:t>
      </w:r>
      <w:r>
        <w:rPr>
          <w:spacing w:val="-3"/>
        </w:rPr>
        <w:t xml:space="preserve"> </w:t>
      </w:r>
      <w:r w:rsidRPr="00E553BD">
        <w:rPr>
          <w:spacing w:val="-3"/>
        </w:rPr>
        <w:t xml:space="preserve">at high </w:t>
      </w:r>
      <w:r w:rsidRPr="00CC0793">
        <w:rPr>
          <w:i/>
          <w:spacing w:val="-3"/>
        </w:rPr>
        <w:t>V</w:t>
      </w:r>
      <w:r w:rsidRPr="00E553BD">
        <w:rPr>
          <w:spacing w:val="-3"/>
        </w:rPr>
        <w:t xml:space="preserve"> are </w:t>
      </w:r>
      <w:r>
        <w:rPr>
          <w:spacing w:val="-3"/>
        </w:rPr>
        <w:t xml:space="preserve">most </w:t>
      </w:r>
      <w:r w:rsidRPr="00E553BD">
        <w:rPr>
          <w:spacing w:val="-3"/>
        </w:rPr>
        <w:t xml:space="preserve">consistent with the </w:t>
      </w:r>
      <w:r w:rsidR="00963229">
        <w:rPr>
          <w:spacing w:val="-3"/>
        </w:rPr>
        <w:t>two-parameter</w:t>
      </w:r>
      <w:r>
        <w:rPr>
          <w:spacing w:val="-3"/>
        </w:rPr>
        <w:t xml:space="preserve"> solute trapping </w:t>
      </w:r>
      <w:r w:rsidRPr="00E553BD">
        <w:rPr>
          <w:spacing w:val="-3"/>
        </w:rPr>
        <w:t xml:space="preserve">theory of </w:t>
      </w:r>
      <w:r w:rsidRPr="00FA208D">
        <w:rPr>
          <w:spacing w:val="-3"/>
        </w:rPr>
        <w:t>Galenko and</w:t>
      </w:r>
      <w:r>
        <w:rPr>
          <w:spacing w:val="-3"/>
        </w:rPr>
        <w:t xml:space="preserve"> </w:t>
      </w:r>
      <w:r w:rsidRPr="00FA208D">
        <w:rPr>
          <w:spacing w:val="-3"/>
        </w:rPr>
        <w:t>Sobolev</w:t>
      </w:r>
      <w:r>
        <w:rPr>
          <w:spacing w:val="-3"/>
        </w:rPr>
        <w:t xml:space="preserve"> [1997] </w:t>
      </w:r>
      <w:r w:rsidR="009067EC">
        <w:rPr>
          <w:spacing w:val="-3"/>
        </w:rPr>
        <w:t xml:space="preserve">and the temperature equation </w:t>
      </w:r>
      <w:r>
        <w:rPr>
          <w:spacing w:val="-3"/>
        </w:rPr>
        <w:t xml:space="preserve">with an intermediate value of </w:t>
      </w:r>
      <w:r w:rsidRPr="00254BC3">
        <w:rPr>
          <w:spacing w:val="-3"/>
          <w:position w:val="-10"/>
        </w:rPr>
        <w:object w:dxaOrig="240" w:dyaOrig="320" w14:anchorId="5174B9EB">
          <v:shape id="_x0000_i1418" type="#_x0000_t75" style="width:12.15pt;height:16.85pt" o:ole="">
            <v:imagedata r:id="rId762" o:title=""/>
          </v:shape>
          <o:OLEObject Type="Embed" ProgID="Equation.DSMT4" ShapeID="_x0000_i1418" DrawAspect="Content" ObjectID="_1840626984" r:id="rId763"/>
        </w:object>
      </w:r>
      <w:r>
        <w:rPr>
          <w:spacing w:val="-3"/>
        </w:rPr>
        <w:t xml:space="preserve">. </w:t>
      </w:r>
    </w:p>
    <w:p w14:paraId="0C6BA36B" w14:textId="77777777" w:rsidR="00015B17" w:rsidRDefault="00015B17" w:rsidP="00015B17">
      <w:pPr>
        <w:tabs>
          <w:tab w:val="left" w:pos="-720"/>
        </w:tabs>
        <w:suppressAutoHyphens/>
        <w:spacing w:line="360" w:lineRule="auto"/>
        <w:jc w:val="both"/>
        <w:rPr>
          <w:spacing w:val="-3"/>
        </w:rPr>
      </w:pPr>
    </w:p>
    <w:p w14:paraId="1868FBBE" w14:textId="6A2542A2" w:rsidR="00015B17" w:rsidRPr="00087E69" w:rsidRDefault="00015B17" w:rsidP="00015B17">
      <w:pPr>
        <w:tabs>
          <w:tab w:val="left" w:pos="-720"/>
        </w:tabs>
        <w:suppressAutoHyphens/>
        <w:spacing w:line="360" w:lineRule="auto"/>
        <w:rPr>
          <w:b/>
          <w:spacing w:val="-3"/>
        </w:rPr>
      </w:pPr>
      <w:r w:rsidRPr="00087E69">
        <w:rPr>
          <w:b/>
          <w:spacing w:val="-3"/>
        </w:rPr>
        <w:t xml:space="preserve">5.2.3 </w:t>
      </w:r>
      <w:r w:rsidR="00F472BF">
        <w:rPr>
          <w:b/>
          <w:spacing w:val="-3"/>
        </w:rPr>
        <w:t>Long range order – disorder trapping</w:t>
      </w:r>
    </w:p>
    <w:p w14:paraId="0E8E7784" w14:textId="77777777" w:rsidR="00015B17" w:rsidRDefault="00015B17" w:rsidP="00015B17">
      <w:pPr>
        <w:tabs>
          <w:tab w:val="left" w:pos="-720"/>
        </w:tabs>
        <w:suppressAutoHyphens/>
        <w:spacing w:line="360" w:lineRule="auto"/>
        <w:rPr>
          <w:spacing w:val="-3"/>
        </w:rPr>
      </w:pPr>
    </w:p>
    <w:p w14:paraId="0A8BC2D5" w14:textId="050FB7E9" w:rsidR="00015B17" w:rsidRDefault="00015B17" w:rsidP="00015B17">
      <w:pPr>
        <w:tabs>
          <w:tab w:val="left" w:pos="-720"/>
        </w:tabs>
        <w:suppressAutoHyphens/>
        <w:spacing w:line="360" w:lineRule="auto"/>
        <w:rPr>
          <w:spacing w:val="-3"/>
        </w:rPr>
      </w:pPr>
      <w:r>
        <w:rPr>
          <w:spacing w:val="-3"/>
        </w:rPr>
        <w:tab/>
        <w:t xml:space="preserve">Solute trapping ideas were extended to chemically ordered intermetallic phases by </w:t>
      </w:r>
      <w:r w:rsidR="009067EC">
        <w:rPr>
          <w:spacing w:val="-3"/>
        </w:rPr>
        <w:t>Boettinger</w:t>
      </w:r>
      <w:r>
        <w:rPr>
          <w:spacing w:val="-3"/>
        </w:rPr>
        <w:t xml:space="preserve"> </w:t>
      </w:r>
      <w:r w:rsidR="009067EC">
        <w:rPr>
          <w:spacing w:val="-3"/>
        </w:rPr>
        <w:t xml:space="preserve">&amp; Aziz </w:t>
      </w:r>
      <w:r>
        <w:rPr>
          <w:spacing w:val="-3"/>
        </w:rPr>
        <w:t>[1989]. Rapid solidification experiments indicate that some compounds, which are normally ordered at the solidus, can be forced to solidify into the chemically disordered form of the crystal structure for example B2</w:t>
      </w:r>
      <w:r w:rsidR="009067EC">
        <w:rPr>
          <w:spacing w:val="-3"/>
        </w:rPr>
        <w:t xml:space="preserve"> </w:t>
      </w:r>
      <w:r>
        <w:rPr>
          <w:spacing w:val="-3"/>
        </w:rPr>
        <w:sym w:font="Symbol" w:char="F0AE"/>
      </w:r>
      <w:r w:rsidR="009067EC">
        <w:rPr>
          <w:spacing w:val="-3"/>
        </w:rPr>
        <w:t xml:space="preserve"> </w:t>
      </w:r>
      <w:r>
        <w:rPr>
          <w:spacing w:val="-3"/>
        </w:rPr>
        <w:t>BCC or L1</w:t>
      </w:r>
      <w:r w:rsidRPr="00727E8A">
        <w:rPr>
          <w:spacing w:val="-3"/>
          <w:sz w:val="26"/>
          <w:vertAlign w:val="subscript"/>
        </w:rPr>
        <w:t>2</w:t>
      </w:r>
      <w:r w:rsidR="009067EC" w:rsidRPr="00727E8A">
        <w:rPr>
          <w:spacing w:val="-3"/>
          <w:sz w:val="26"/>
          <w:vertAlign w:val="subscript"/>
        </w:rPr>
        <w:t xml:space="preserve"> </w:t>
      </w:r>
      <w:r>
        <w:rPr>
          <w:spacing w:val="-3"/>
        </w:rPr>
        <w:sym w:font="Symbol" w:char="F0AE"/>
      </w:r>
      <w:r w:rsidR="009067EC">
        <w:rPr>
          <w:spacing w:val="-3"/>
        </w:rPr>
        <w:t xml:space="preserve"> </w:t>
      </w:r>
      <w:r>
        <w:rPr>
          <w:spacing w:val="-3"/>
        </w:rPr>
        <w:t xml:space="preserve">FCC. Examples are found in </w:t>
      </w:r>
      <w:r w:rsidR="008251A6">
        <w:rPr>
          <w:spacing w:val="-3"/>
        </w:rPr>
        <w:t>Inoue</w:t>
      </w:r>
      <w:r>
        <w:rPr>
          <w:spacing w:val="-3"/>
        </w:rPr>
        <w:t xml:space="preserve">, </w:t>
      </w:r>
      <w:r>
        <w:rPr>
          <w:i/>
          <w:iCs/>
          <w:spacing w:val="-3"/>
        </w:rPr>
        <w:t>et al.</w:t>
      </w:r>
      <w:r>
        <w:rPr>
          <w:spacing w:val="-3"/>
        </w:rPr>
        <w:t xml:space="preserve"> [1984], </w:t>
      </w:r>
      <w:r w:rsidR="008251A6">
        <w:rPr>
          <w:spacing w:val="-3"/>
        </w:rPr>
        <w:t>Huang</w:t>
      </w:r>
      <w:r>
        <w:rPr>
          <w:spacing w:val="-3"/>
        </w:rPr>
        <w:t xml:space="preserve"> </w:t>
      </w:r>
      <w:r>
        <w:rPr>
          <w:i/>
          <w:iCs/>
          <w:spacing w:val="-3"/>
        </w:rPr>
        <w:t>et al.</w:t>
      </w:r>
      <w:r w:rsidR="008251A6">
        <w:rPr>
          <w:i/>
          <w:iCs/>
          <w:spacing w:val="-3"/>
        </w:rPr>
        <w:t xml:space="preserve"> </w:t>
      </w:r>
      <w:r>
        <w:rPr>
          <w:spacing w:val="-3"/>
        </w:rPr>
        <w:t xml:space="preserve">[1986], </w:t>
      </w:r>
      <w:r w:rsidR="008251A6">
        <w:rPr>
          <w:spacing w:val="-3"/>
        </w:rPr>
        <w:t>Boettinger</w:t>
      </w:r>
      <w:r>
        <w:rPr>
          <w:spacing w:val="-3"/>
        </w:rPr>
        <w:t xml:space="preserve"> </w:t>
      </w:r>
      <w:r>
        <w:rPr>
          <w:i/>
          <w:iCs/>
          <w:spacing w:val="-3"/>
        </w:rPr>
        <w:t>et al.</w:t>
      </w:r>
      <w:r>
        <w:rPr>
          <w:spacing w:val="-3"/>
        </w:rPr>
        <w:t xml:space="preserve"> [1988a)], </w:t>
      </w:r>
      <w:r w:rsidR="008251A6">
        <w:rPr>
          <w:spacing w:val="-3"/>
        </w:rPr>
        <w:t>Huang</w:t>
      </w:r>
      <w:r>
        <w:rPr>
          <w:spacing w:val="-3"/>
        </w:rPr>
        <w:t xml:space="preserve"> and </w:t>
      </w:r>
      <w:r w:rsidR="008251A6">
        <w:rPr>
          <w:spacing w:val="-3"/>
        </w:rPr>
        <w:lastRenderedPageBreak/>
        <w:t xml:space="preserve">Hall </w:t>
      </w:r>
      <w:r>
        <w:rPr>
          <w:spacing w:val="-3"/>
        </w:rPr>
        <w:t xml:space="preserve">[1989]). </w:t>
      </w:r>
      <w:r w:rsidR="008251A6">
        <w:rPr>
          <w:spacing w:val="-3"/>
        </w:rPr>
        <w:t xml:space="preserve">Assadi </w:t>
      </w:r>
      <w:r>
        <w:rPr>
          <w:spacing w:val="-3"/>
        </w:rPr>
        <w:t>et al. [1998]</w:t>
      </w:r>
      <w:r w:rsidRPr="00D47DFE">
        <w:rPr>
          <w:spacing w:val="-3"/>
        </w:rPr>
        <w:t xml:space="preserve"> </w:t>
      </w:r>
      <w:r>
        <w:rPr>
          <w:spacing w:val="-3"/>
        </w:rPr>
        <w:t>has applied the model of Boettinger and Aziz [1989] to the rapid solidifi</w:t>
      </w:r>
      <w:r w:rsidRPr="00D47DFE">
        <w:rPr>
          <w:spacing w:val="-3"/>
        </w:rPr>
        <w:t>cation kinetics of the L1</w:t>
      </w:r>
      <w:r w:rsidRPr="00727E8A">
        <w:rPr>
          <w:spacing w:val="-3"/>
          <w:sz w:val="26"/>
          <w:vertAlign w:val="subscript"/>
        </w:rPr>
        <w:t>2</w:t>
      </w:r>
      <w:r w:rsidRPr="00D47DFE">
        <w:rPr>
          <w:spacing w:val="-3"/>
        </w:rPr>
        <w:t xml:space="preserve"> and B2 phases</w:t>
      </w:r>
      <w:r>
        <w:rPr>
          <w:spacing w:val="-3"/>
        </w:rPr>
        <w:t xml:space="preserve"> </w:t>
      </w:r>
      <w:r w:rsidRPr="00D47DFE">
        <w:rPr>
          <w:spacing w:val="-3"/>
        </w:rPr>
        <w:t>in the Ni-rich part of the Ni</w:t>
      </w:r>
      <w:r>
        <w:rPr>
          <w:spacing w:val="-3"/>
        </w:rPr>
        <w:t>-</w:t>
      </w:r>
      <w:r w:rsidRPr="00D47DFE">
        <w:rPr>
          <w:spacing w:val="-3"/>
        </w:rPr>
        <w:t xml:space="preserve">Al alloy system. </w:t>
      </w:r>
      <w:r>
        <w:rPr>
          <w:spacing w:val="-3"/>
        </w:rPr>
        <w:t>E</w:t>
      </w:r>
      <w:r w:rsidRPr="00D47DFE">
        <w:rPr>
          <w:spacing w:val="-3"/>
        </w:rPr>
        <w:t>xcellent agreement with the modeling</w:t>
      </w:r>
      <w:r>
        <w:rPr>
          <w:spacing w:val="-3"/>
        </w:rPr>
        <w:t xml:space="preserve"> is found with their </w:t>
      </w:r>
      <w:r w:rsidRPr="00D47DFE">
        <w:rPr>
          <w:spacing w:val="-3"/>
        </w:rPr>
        <w:t>experimental studies</w:t>
      </w:r>
      <w:r w:rsidR="009D4ADF">
        <w:rPr>
          <w:spacing w:val="-3"/>
        </w:rPr>
        <w:t>.</w:t>
      </w:r>
    </w:p>
    <w:p w14:paraId="2EBE263B" w14:textId="77777777" w:rsidR="00015B17" w:rsidRDefault="00015B17" w:rsidP="00015B17">
      <w:pPr>
        <w:tabs>
          <w:tab w:val="left" w:pos="-720"/>
        </w:tabs>
        <w:suppressAutoHyphens/>
        <w:spacing w:line="360" w:lineRule="auto"/>
        <w:rPr>
          <w:spacing w:val="-3"/>
        </w:rPr>
      </w:pPr>
    </w:p>
    <w:p w14:paraId="4FCD7425" w14:textId="561C477F" w:rsidR="00015B17" w:rsidRDefault="00015B17" w:rsidP="00015B17">
      <w:pPr>
        <w:tabs>
          <w:tab w:val="left" w:pos="-720"/>
        </w:tabs>
        <w:suppressAutoHyphens/>
        <w:spacing w:line="360" w:lineRule="auto"/>
        <w:rPr>
          <w:spacing w:val="-3"/>
        </w:rPr>
      </w:pPr>
      <w:r>
        <w:rPr>
          <w:spacing w:val="-3"/>
        </w:rPr>
        <w:tab/>
        <w:t xml:space="preserve">The theory treats the trapping of disorder by a consideration of solute trapping on each sublattice of the chemically ordered phase. At high rates, there is insufficient time to proportion the solute onto each sublattice and a chemically disordered crystal with the same lattice can be formed. Often however, this chemically disordered phase reverts to the equilibrium ordered phase during solid state cooling with a resultant microstructure consisting of a high density of antiphase domains. An approximate expression giving the solidification velocity at which the </w:t>
      </w:r>
      <w:r w:rsidR="00963229">
        <w:rPr>
          <w:spacing w:val="-3"/>
        </w:rPr>
        <w:t>long-range</w:t>
      </w:r>
      <w:r>
        <w:rPr>
          <w:spacing w:val="-3"/>
        </w:rPr>
        <w:t xml:space="preserve"> order parameter,</w:t>
      </w:r>
      <w:r w:rsidR="008251A6">
        <w:rPr>
          <w:spacing w:val="-3"/>
        </w:rPr>
        <w:t xml:space="preserve"> </w:t>
      </w:r>
      <w:r w:rsidRPr="00381CB3">
        <w:rPr>
          <w:i/>
          <w:iCs/>
          <w:spacing w:val="-3"/>
          <w:position w:val="-10"/>
        </w:rPr>
        <w:object w:dxaOrig="200" w:dyaOrig="260" w14:anchorId="060D459D">
          <v:shape id="_x0000_i1419" type="#_x0000_t75" style="width:10.3pt;height:13.1pt" o:ole="">
            <v:imagedata r:id="rId764" o:title=""/>
          </v:shape>
          <o:OLEObject Type="Embed" ProgID="Equation.DSMT4" ShapeID="_x0000_i1419" DrawAspect="Content" ObjectID="_1840626985" r:id="rId765"/>
        </w:object>
      </w:r>
      <w:r w:rsidR="008251A6">
        <w:rPr>
          <w:spacing w:val="-3"/>
        </w:rPr>
        <w:t xml:space="preserve">, </w:t>
      </w:r>
      <w:r>
        <w:rPr>
          <w:spacing w:val="-3"/>
        </w:rPr>
        <w:t xml:space="preserve">at the </w:t>
      </w:r>
      <w:r w:rsidR="00CC0793">
        <w:rPr>
          <w:spacing w:val="-3"/>
        </w:rPr>
        <w:t>L-S</w:t>
      </w:r>
      <w:r>
        <w:rPr>
          <w:spacing w:val="-3"/>
        </w:rPr>
        <w:t xml:space="preserve"> interface goes to zero is given by</w:t>
      </w:r>
    </w:p>
    <w:p w14:paraId="17ED954F" w14:textId="77777777" w:rsidR="00015B17" w:rsidRDefault="00015B17" w:rsidP="00015B17">
      <w:pPr>
        <w:tabs>
          <w:tab w:val="left" w:pos="-720"/>
        </w:tabs>
        <w:suppressAutoHyphens/>
        <w:spacing w:line="360" w:lineRule="auto"/>
        <w:rPr>
          <w:spacing w:val="-3"/>
        </w:rPr>
      </w:pPr>
    </w:p>
    <w:p w14:paraId="1085BC09" w14:textId="77777777" w:rsidR="00015B17" w:rsidRDefault="00015B17" w:rsidP="00015B17">
      <w:pPr>
        <w:tabs>
          <w:tab w:val="left" w:pos="-720"/>
        </w:tabs>
        <w:suppressAutoHyphens/>
        <w:spacing w:line="360" w:lineRule="auto"/>
        <w:jc w:val="center"/>
        <w:rPr>
          <w:spacing w:val="-2"/>
        </w:rPr>
      </w:pPr>
      <w:r w:rsidRPr="00381CB3">
        <w:rPr>
          <w:spacing w:val="-3"/>
          <w:position w:val="-30"/>
        </w:rPr>
        <w:object w:dxaOrig="1939" w:dyaOrig="720" w14:anchorId="46345853">
          <v:shape id="_x0000_i1420" type="#_x0000_t75" style="width:97.25pt;height:36.45pt" o:ole="">
            <v:imagedata r:id="rId766" o:title=""/>
          </v:shape>
          <o:OLEObject Type="Embed" ProgID="Equation.DSMT4" ShapeID="_x0000_i1420" DrawAspect="Content" ObjectID="_1840626986" r:id="rId767"/>
        </w:object>
      </w:r>
      <w:r w:rsidR="006E6FC2">
        <w:rPr>
          <w:spacing w:val="-3"/>
        </w:rPr>
        <w:t>,</w:t>
      </w:r>
      <w:r>
        <w:rPr>
          <w:spacing w:val="-3"/>
        </w:rPr>
        <w:tab/>
      </w:r>
      <w:r>
        <w:rPr>
          <w:spacing w:val="-3"/>
        </w:rPr>
        <w:tab/>
      </w:r>
      <w:r>
        <w:rPr>
          <w:spacing w:val="-2"/>
        </w:rPr>
        <w:t>(</w:t>
      </w:r>
      <w:r w:rsidRPr="00087E69">
        <w:rPr>
          <w:spacing w:val="-2"/>
        </w:rPr>
        <w:t>5.</w:t>
      </w:r>
      <w:r>
        <w:rPr>
          <w:spacing w:val="-2"/>
        </w:rPr>
        <w:t>21)</w:t>
      </w:r>
    </w:p>
    <w:p w14:paraId="758B71EB" w14:textId="77777777" w:rsidR="00015B17" w:rsidRDefault="00015B17" w:rsidP="00015B17">
      <w:pPr>
        <w:tabs>
          <w:tab w:val="left" w:pos="-720"/>
        </w:tabs>
        <w:suppressAutoHyphens/>
        <w:spacing w:line="360" w:lineRule="auto"/>
        <w:jc w:val="center"/>
        <w:rPr>
          <w:spacing w:val="-3"/>
        </w:rPr>
      </w:pPr>
    </w:p>
    <w:p w14:paraId="019E3D9C" w14:textId="470F15F9" w:rsidR="00015B17" w:rsidRDefault="00015B17" w:rsidP="00D979F7">
      <w:pPr>
        <w:tabs>
          <w:tab w:val="left" w:pos="-720"/>
        </w:tabs>
        <w:suppressAutoHyphens/>
        <w:spacing w:line="360" w:lineRule="auto"/>
        <w:rPr>
          <w:spacing w:val="-3"/>
        </w:rPr>
      </w:pPr>
      <w:r>
        <w:rPr>
          <w:spacing w:val="-3"/>
        </w:rPr>
        <w:t xml:space="preserve">where </w:t>
      </w:r>
      <w:r>
        <w:rPr>
          <w:i/>
          <w:iCs/>
          <w:spacing w:val="-3"/>
        </w:rPr>
        <w:t>T</w:t>
      </w:r>
      <w:r w:rsidRPr="00727E8A">
        <w:rPr>
          <w:spacing w:val="-3"/>
          <w:sz w:val="26"/>
          <w:vertAlign w:val="subscript"/>
        </w:rPr>
        <w:t>m</w:t>
      </w:r>
      <w:r>
        <w:rPr>
          <w:spacing w:val="-3"/>
        </w:rPr>
        <w:t xml:space="preserve"> is the melting point of the ordered phase and </w:t>
      </w:r>
      <w:r>
        <w:rPr>
          <w:i/>
          <w:iCs/>
          <w:spacing w:val="-3"/>
        </w:rPr>
        <w:t>T</w:t>
      </w:r>
      <w:r w:rsidRPr="00727E8A">
        <w:rPr>
          <w:spacing w:val="-3"/>
          <w:sz w:val="26"/>
          <w:vertAlign w:val="subscript"/>
        </w:rPr>
        <w:t>C</w:t>
      </w:r>
      <w:r>
        <w:rPr>
          <w:spacing w:val="-3"/>
        </w:rPr>
        <w:t xml:space="preserve"> is the temperature where the solid phase would disorder during heating if melting could be prevented; i.e. the metastable critical temperature for the order-disorder reaction. Clearly the closer </w:t>
      </w:r>
      <w:r>
        <w:rPr>
          <w:i/>
          <w:iCs/>
          <w:spacing w:val="-3"/>
        </w:rPr>
        <w:t>T</w:t>
      </w:r>
      <w:r w:rsidRPr="00727E8A">
        <w:rPr>
          <w:spacing w:val="-3"/>
          <w:sz w:val="26"/>
          <w:vertAlign w:val="subscript"/>
        </w:rPr>
        <w:t>C</w:t>
      </w:r>
      <w:r>
        <w:rPr>
          <w:spacing w:val="-3"/>
        </w:rPr>
        <w:t xml:space="preserve"> is to the melting point, the lower is the velocity to obtain disorder trapping. Strongly ordered compounds cannot usually be disordered by rapid solidification techniques</w:t>
      </w:r>
      <w:r w:rsidR="008251A6">
        <w:rPr>
          <w:spacing w:val="-3"/>
        </w:rPr>
        <w:t xml:space="preserve"> because </w:t>
      </w:r>
      <m:oMath>
        <m:sSub>
          <m:sSubPr>
            <m:ctrlPr>
              <w:rPr>
                <w:rFonts w:ascii="Cambria Math" w:hAnsi="Cambria Math"/>
                <w:i/>
                <w:spacing w:val="-3"/>
              </w:rPr>
            </m:ctrlPr>
          </m:sSubPr>
          <m:e>
            <m:r>
              <w:rPr>
                <w:rFonts w:ascii="Cambria Math"/>
                <w:spacing w:val="-3"/>
              </w:rPr>
              <m:t>T</m:t>
            </m:r>
          </m:e>
          <m:sub>
            <m:r>
              <w:rPr>
                <w:rFonts w:ascii="Cambria Math"/>
                <w:spacing w:val="-3"/>
              </w:rPr>
              <m:t>C</m:t>
            </m:r>
          </m:sub>
        </m:sSub>
        <m:r>
          <w:rPr>
            <w:rFonts w:ascii="Cambria Math" w:hAnsi="Cambria Math" w:cs="Cambria Math"/>
            <w:spacing w:val="-3"/>
          </w:rPr>
          <m:t>≫</m:t>
        </m:r>
        <m:sSub>
          <m:sSubPr>
            <m:ctrlPr>
              <w:rPr>
                <w:rFonts w:ascii="Cambria Math" w:hAnsi="Cambria Math"/>
                <w:i/>
                <w:spacing w:val="-3"/>
              </w:rPr>
            </m:ctrlPr>
          </m:sSubPr>
          <m:e>
            <m:r>
              <w:rPr>
                <w:rFonts w:ascii="Cambria Math"/>
                <w:spacing w:val="-3"/>
              </w:rPr>
              <m:t>T</m:t>
            </m:r>
          </m:e>
          <m:sub>
            <m:r>
              <w:rPr>
                <w:rFonts w:ascii="Cambria Math"/>
                <w:spacing w:val="-3"/>
              </w:rPr>
              <m:t>m</m:t>
            </m:r>
          </m:sub>
        </m:sSub>
      </m:oMath>
      <w:r>
        <w:rPr>
          <w:spacing w:val="-3"/>
        </w:rPr>
        <w:t xml:space="preserve">. </w:t>
      </w:r>
    </w:p>
    <w:p w14:paraId="2EAE3941" w14:textId="77777777" w:rsidR="00015B17" w:rsidRDefault="00015B17" w:rsidP="00015B17">
      <w:pPr>
        <w:tabs>
          <w:tab w:val="left" w:pos="-720"/>
        </w:tabs>
        <w:suppressAutoHyphens/>
        <w:spacing w:line="360" w:lineRule="auto"/>
        <w:jc w:val="both"/>
        <w:rPr>
          <w:spacing w:val="-3"/>
        </w:rPr>
      </w:pPr>
    </w:p>
    <w:p w14:paraId="6CD73333" w14:textId="77777777" w:rsidR="00015B17" w:rsidRPr="00DA1F76" w:rsidRDefault="00015B17" w:rsidP="00015B17">
      <w:pPr>
        <w:suppressAutoHyphens/>
        <w:spacing w:line="360" w:lineRule="auto"/>
        <w:jc w:val="center"/>
        <w:rPr>
          <w:sz w:val="28"/>
          <w:szCs w:val="28"/>
        </w:rPr>
      </w:pPr>
      <w:r>
        <w:rPr>
          <w:bCs/>
          <w:spacing w:val="-3"/>
        </w:rPr>
        <w:br w:type="page"/>
      </w:r>
      <w:r w:rsidRPr="00DA1F76">
        <w:rPr>
          <w:b/>
          <w:bCs/>
          <w:i/>
          <w:iCs/>
          <w:sz w:val="28"/>
          <w:szCs w:val="28"/>
        </w:rPr>
        <w:lastRenderedPageBreak/>
        <w:t>6. Solidifica</w:t>
      </w:r>
      <w:r>
        <w:rPr>
          <w:b/>
          <w:bCs/>
          <w:i/>
          <w:iCs/>
          <w:sz w:val="28"/>
          <w:szCs w:val="28"/>
        </w:rPr>
        <w:t xml:space="preserve">tion of Alloys with Planar and </w:t>
      </w:r>
      <w:r w:rsidRPr="00DA1F76">
        <w:rPr>
          <w:b/>
          <w:bCs/>
          <w:i/>
          <w:iCs/>
          <w:sz w:val="28"/>
          <w:szCs w:val="28"/>
        </w:rPr>
        <w:t xml:space="preserve">Nearly Planar </w:t>
      </w:r>
      <w:r w:rsidR="004201E7">
        <w:rPr>
          <w:b/>
          <w:bCs/>
          <w:i/>
          <w:iCs/>
          <w:sz w:val="28"/>
          <w:szCs w:val="28"/>
        </w:rPr>
        <w:t>L-S</w:t>
      </w:r>
      <w:r w:rsidRPr="00DA1F76">
        <w:rPr>
          <w:b/>
          <w:bCs/>
          <w:i/>
          <w:iCs/>
          <w:sz w:val="28"/>
          <w:szCs w:val="28"/>
        </w:rPr>
        <w:t xml:space="preserve"> Interfaces</w:t>
      </w:r>
    </w:p>
    <w:p w14:paraId="16D426E6" w14:textId="77777777" w:rsidR="00015B17" w:rsidRPr="00DA1F76" w:rsidRDefault="00015B17" w:rsidP="00015B17">
      <w:pPr>
        <w:suppressAutoHyphens/>
        <w:spacing w:line="360" w:lineRule="auto"/>
        <w:jc w:val="center"/>
        <w:rPr>
          <w:sz w:val="28"/>
          <w:szCs w:val="28"/>
        </w:rPr>
      </w:pPr>
    </w:p>
    <w:p w14:paraId="63E50F0F" w14:textId="28CAD15E" w:rsidR="00015B17" w:rsidRDefault="00015B17" w:rsidP="00015B17">
      <w:pPr>
        <w:suppressAutoHyphens/>
        <w:spacing w:line="360" w:lineRule="auto"/>
        <w:rPr>
          <w:spacing w:val="-3"/>
        </w:rPr>
      </w:pPr>
      <w:r w:rsidRPr="00DA1F76">
        <w:rPr>
          <w:spacing w:val="-3"/>
        </w:rPr>
        <w:tab/>
        <w:t xml:space="preserve">The analysis of the shape of the </w:t>
      </w:r>
      <w:r w:rsidR="004201E7">
        <w:rPr>
          <w:spacing w:val="-3"/>
        </w:rPr>
        <w:t>L-S</w:t>
      </w:r>
      <w:r w:rsidRPr="00DA1F76">
        <w:rPr>
          <w:spacing w:val="-3"/>
        </w:rPr>
        <w:t xml:space="preserve"> interface on a scale larger than atomic dimensions begins with a consideration of plane front growth. </w:t>
      </w:r>
      <w:r>
        <w:rPr>
          <w:spacing w:val="-3"/>
        </w:rPr>
        <w:t xml:space="preserve">Plane front growth </w:t>
      </w:r>
      <w:r w:rsidRPr="00DA1F76">
        <w:rPr>
          <w:spacing w:val="-3"/>
        </w:rPr>
        <w:t xml:space="preserve">is </w:t>
      </w:r>
      <w:r>
        <w:rPr>
          <w:spacing w:val="-3"/>
        </w:rPr>
        <w:t>assumed in simple analytical models that treat cases of segregation with different sets of assumptions about solute diffusion</w:t>
      </w:r>
      <w:r w:rsidR="009D3AD0">
        <w:rPr>
          <w:spacing w:val="-3"/>
        </w:rPr>
        <w:t xml:space="preserve"> in the solid</w:t>
      </w:r>
      <w:r>
        <w:rPr>
          <w:spacing w:val="-3"/>
        </w:rPr>
        <w:t xml:space="preserve">. Consideration of plane front growth is also used as </w:t>
      </w:r>
      <w:r w:rsidRPr="00DA1F76">
        <w:rPr>
          <w:spacing w:val="-3"/>
        </w:rPr>
        <w:t xml:space="preserve">a starting point to understand the more complex interface shapes </w:t>
      </w:r>
      <w:r>
        <w:rPr>
          <w:spacing w:val="-3"/>
        </w:rPr>
        <w:t>and non-uniform solid composition that accompany</w:t>
      </w:r>
      <w:r w:rsidRPr="00DA1F76">
        <w:rPr>
          <w:spacing w:val="-3"/>
        </w:rPr>
        <w:t xml:space="preserve"> cellular and dendrite growth</w:t>
      </w:r>
      <w:r>
        <w:rPr>
          <w:spacing w:val="-3"/>
        </w:rPr>
        <w:t xml:space="preserve"> most common in castings</w:t>
      </w:r>
      <w:r w:rsidRPr="00DA1F76">
        <w:rPr>
          <w:spacing w:val="-3"/>
        </w:rPr>
        <w:t>.</w:t>
      </w:r>
      <w:r>
        <w:rPr>
          <w:spacing w:val="-3"/>
        </w:rPr>
        <w:t xml:space="preserve"> In actual practice, p</w:t>
      </w:r>
      <w:r w:rsidRPr="00DA1F76">
        <w:rPr>
          <w:spacing w:val="-3"/>
        </w:rPr>
        <w:t xml:space="preserve">lane front growth is </w:t>
      </w:r>
      <w:r>
        <w:rPr>
          <w:spacing w:val="-3"/>
        </w:rPr>
        <w:t xml:space="preserve">necessary for </w:t>
      </w:r>
      <w:r w:rsidRPr="00DA1F76">
        <w:rPr>
          <w:spacing w:val="-3"/>
        </w:rPr>
        <w:t>crystal growth of materials for electronic applications</w:t>
      </w:r>
      <w:r>
        <w:rPr>
          <w:spacing w:val="-3"/>
        </w:rPr>
        <w:t xml:space="preserve"> to achieve best properties and for zone refining to achieve high purity</w:t>
      </w:r>
      <w:r w:rsidRPr="00DA1F76">
        <w:rPr>
          <w:spacing w:val="-3"/>
        </w:rPr>
        <w:t xml:space="preserve">.  To </w:t>
      </w:r>
      <w:r>
        <w:rPr>
          <w:spacing w:val="-3"/>
        </w:rPr>
        <w:t xml:space="preserve">experimentally </w:t>
      </w:r>
      <w:r w:rsidRPr="00DA1F76">
        <w:rPr>
          <w:spacing w:val="-3"/>
        </w:rPr>
        <w:t xml:space="preserve">achieve planar growth, it is necessary to obtain a </w:t>
      </w:r>
      <w:r w:rsidR="004201E7">
        <w:rPr>
          <w:spacing w:val="-3"/>
        </w:rPr>
        <w:t>L-S</w:t>
      </w:r>
      <w:r w:rsidRPr="00DA1F76">
        <w:rPr>
          <w:spacing w:val="-3"/>
        </w:rPr>
        <w:t xml:space="preserve"> interface that is both macroscopically and microscopically planar. </w:t>
      </w:r>
      <w:r>
        <w:rPr>
          <w:spacing w:val="-3"/>
        </w:rPr>
        <w:t>Macroscopic planarity</w:t>
      </w:r>
      <w:r w:rsidRPr="00DA1F76">
        <w:rPr>
          <w:spacing w:val="-3"/>
        </w:rPr>
        <w:t xml:space="preserve"> is achieved by </w:t>
      </w:r>
      <w:r>
        <w:rPr>
          <w:spacing w:val="-3"/>
        </w:rPr>
        <w:t xml:space="preserve">heat and fluid flow management to produce a one dimensional temperature profile near the location of the liquid solid interface. This is called </w:t>
      </w:r>
      <w:r w:rsidRPr="00DA1F76">
        <w:rPr>
          <w:spacing w:val="-3"/>
        </w:rPr>
        <w:t>directional solidification</w:t>
      </w:r>
      <w:r>
        <w:rPr>
          <w:spacing w:val="-3"/>
        </w:rPr>
        <w:t xml:space="preserve"> and requires </w:t>
      </w:r>
      <w:r w:rsidRPr="00DA1F76">
        <w:rPr>
          <w:spacing w:val="-3"/>
        </w:rPr>
        <w:t>good furnace des</w:t>
      </w:r>
      <w:r>
        <w:rPr>
          <w:spacing w:val="-3"/>
        </w:rPr>
        <w:t xml:space="preserve">ign and avoiding </w:t>
      </w:r>
      <w:r w:rsidRPr="00DA1F76">
        <w:rPr>
          <w:spacing w:val="-3"/>
        </w:rPr>
        <w:t xml:space="preserve">convection in the melt. </w:t>
      </w:r>
      <w:r>
        <w:rPr>
          <w:spacing w:val="-3"/>
        </w:rPr>
        <w:t xml:space="preserve">Microscopic planarity </w:t>
      </w:r>
      <w:r w:rsidRPr="00DA1F76">
        <w:rPr>
          <w:spacing w:val="-3"/>
        </w:rPr>
        <w:t>is achieved by avoiding interface instabilities due to</w:t>
      </w:r>
      <w:r>
        <w:rPr>
          <w:spacing w:val="-3"/>
        </w:rPr>
        <w:t xml:space="preserve"> constitutional supercooling</w:t>
      </w:r>
      <w:r w:rsidRPr="00DA1F76">
        <w:rPr>
          <w:spacing w:val="-3"/>
        </w:rPr>
        <w:t>.</w:t>
      </w:r>
    </w:p>
    <w:p w14:paraId="657F938E" w14:textId="77777777" w:rsidR="00015B17" w:rsidRDefault="00015B17" w:rsidP="00015B17">
      <w:pPr>
        <w:suppressAutoHyphens/>
        <w:spacing w:line="360" w:lineRule="auto"/>
        <w:rPr>
          <w:spacing w:val="-3"/>
        </w:rPr>
      </w:pPr>
    </w:p>
    <w:p w14:paraId="6A4C9802" w14:textId="77777777" w:rsidR="00015B17" w:rsidRPr="00DA1F76" w:rsidRDefault="00015B17" w:rsidP="00015B17">
      <w:pPr>
        <w:suppressAutoHyphens/>
        <w:spacing w:line="360" w:lineRule="auto"/>
        <w:rPr>
          <w:spacing w:val="-3"/>
        </w:rPr>
      </w:pPr>
      <w:r w:rsidRPr="00DA1F76">
        <w:rPr>
          <w:spacing w:val="-3"/>
        </w:rPr>
        <w:tab/>
      </w:r>
    </w:p>
    <w:p w14:paraId="1770745F" w14:textId="327A3B23" w:rsidR="00015B17" w:rsidRPr="00DA1F76" w:rsidRDefault="00015B17" w:rsidP="00015B17">
      <w:pPr>
        <w:tabs>
          <w:tab w:val="left" w:pos="-720"/>
        </w:tabs>
        <w:suppressAutoHyphens/>
        <w:spacing w:line="360" w:lineRule="auto"/>
        <w:rPr>
          <w:spacing w:val="-3"/>
        </w:rPr>
      </w:pPr>
      <w:r w:rsidRPr="00DA1F76">
        <w:rPr>
          <w:spacing w:val="-3"/>
        </w:rPr>
        <w:fldChar w:fldCharType="begin"/>
      </w:r>
      <w:r w:rsidRPr="00DA1F76">
        <w:rPr>
          <w:spacing w:val="-3"/>
        </w:rPr>
        <w:instrText xml:space="preserve">PRIVATE </w:instrText>
      </w:r>
      <w:r w:rsidRPr="00DA1F76">
        <w:rPr>
          <w:spacing w:val="-3"/>
        </w:rPr>
        <w:fldChar w:fldCharType="end"/>
      </w:r>
      <w:r w:rsidRPr="00DA1F76">
        <w:rPr>
          <w:b/>
          <w:bCs/>
          <w:spacing w:val="-3"/>
        </w:rPr>
        <w:t xml:space="preserve">6.1. General Formulation of </w:t>
      </w:r>
      <w:r>
        <w:rPr>
          <w:b/>
          <w:bCs/>
          <w:spacing w:val="-3"/>
        </w:rPr>
        <w:t>One Dimensional</w:t>
      </w:r>
      <w:r w:rsidRPr="00DA1F76">
        <w:rPr>
          <w:b/>
          <w:bCs/>
          <w:spacing w:val="-3"/>
        </w:rPr>
        <w:t xml:space="preserve"> Growth</w:t>
      </w:r>
      <w:r w:rsidRPr="00DA1F76">
        <w:rPr>
          <w:b/>
          <w:bCs/>
          <w:spacing w:val="-3"/>
        </w:rPr>
        <w:fldChar w:fldCharType="begin"/>
      </w:r>
      <w:r w:rsidRPr="00DA1F76">
        <w:rPr>
          <w:spacing w:val="-3"/>
        </w:rPr>
        <w:instrText>tc  \l 2 "</w:instrText>
      </w:r>
      <w:r w:rsidRPr="00DA1F76">
        <w:rPr>
          <w:b/>
          <w:bCs/>
          <w:spacing w:val="-3"/>
        </w:rPr>
        <w:tab/>
        <w:instrText>6.1. General Formulation of Diffusion Controlled Growth</w:instrText>
      </w:r>
      <w:r w:rsidRPr="00DA1F76">
        <w:rPr>
          <w:spacing w:val="-3"/>
        </w:rPr>
        <w:instrText>"</w:instrText>
      </w:r>
      <w:r w:rsidRPr="00DA1F76">
        <w:rPr>
          <w:b/>
          <w:bCs/>
          <w:spacing w:val="-3"/>
        </w:rPr>
        <w:fldChar w:fldCharType="end"/>
      </w:r>
    </w:p>
    <w:p w14:paraId="502D2CB7" w14:textId="77777777" w:rsidR="00015B17" w:rsidRPr="00DA1F76" w:rsidRDefault="00015B17" w:rsidP="00015B17">
      <w:pPr>
        <w:tabs>
          <w:tab w:val="left" w:pos="-720"/>
        </w:tabs>
        <w:suppressAutoHyphens/>
        <w:spacing w:line="360" w:lineRule="auto"/>
        <w:rPr>
          <w:spacing w:val="-3"/>
        </w:rPr>
      </w:pPr>
    </w:p>
    <w:p w14:paraId="701937E7" w14:textId="77777777" w:rsidR="00015B17" w:rsidRDefault="00015B17" w:rsidP="00015B17">
      <w:pPr>
        <w:tabs>
          <w:tab w:val="left" w:pos="-720"/>
        </w:tabs>
        <w:suppressAutoHyphens/>
        <w:spacing w:line="360" w:lineRule="auto"/>
        <w:rPr>
          <w:spacing w:val="-3"/>
        </w:rPr>
      </w:pPr>
      <w:r w:rsidRPr="00DA1F76">
        <w:rPr>
          <w:spacing w:val="-3"/>
        </w:rPr>
        <w:tab/>
        <w:t xml:space="preserve">In general, the transport of </w:t>
      </w:r>
      <w:r>
        <w:rPr>
          <w:spacing w:val="-3"/>
        </w:rPr>
        <w:t xml:space="preserve">heat and </w:t>
      </w:r>
      <w:r w:rsidRPr="00DA1F76">
        <w:rPr>
          <w:spacing w:val="-3"/>
        </w:rPr>
        <w:t xml:space="preserve">solute during directional solidification in the absence of convection with a planar </w:t>
      </w:r>
      <w:r w:rsidR="004201E7">
        <w:rPr>
          <w:spacing w:val="-3"/>
        </w:rPr>
        <w:t>L-S</w:t>
      </w:r>
      <w:r w:rsidRPr="00DA1F76">
        <w:rPr>
          <w:spacing w:val="-3"/>
        </w:rPr>
        <w:t xml:space="preserve"> interface growing in the</w:t>
      </w:r>
      <w:r w:rsidRPr="00DA1F76">
        <w:rPr>
          <w:i/>
          <w:iCs/>
          <w:spacing w:val="-3"/>
        </w:rPr>
        <w:t xml:space="preserve"> z</w:t>
      </w:r>
      <w:r>
        <w:rPr>
          <w:spacing w:val="-3"/>
        </w:rPr>
        <w:t xml:space="preserve">-direction </w:t>
      </w:r>
      <w:r w:rsidRPr="00DA1F76">
        <w:rPr>
          <w:spacing w:val="-3"/>
        </w:rPr>
        <w:t>is descri</w:t>
      </w:r>
      <w:r>
        <w:rPr>
          <w:spacing w:val="-3"/>
        </w:rPr>
        <w:t>bed by the one dimensional</w:t>
      </w:r>
      <w:r w:rsidRPr="00DA1F76">
        <w:rPr>
          <w:spacing w:val="-3"/>
        </w:rPr>
        <w:t xml:space="preserve"> </w:t>
      </w:r>
      <w:r>
        <w:rPr>
          <w:spacing w:val="-3"/>
        </w:rPr>
        <w:t xml:space="preserve">thermal and solute </w:t>
      </w:r>
      <w:r w:rsidRPr="00DA1F76">
        <w:rPr>
          <w:spacing w:val="-3"/>
        </w:rPr>
        <w:t>diffusion equation</w:t>
      </w:r>
      <w:r>
        <w:rPr>
          <w:spacing w:val="-3"/>
        </w:rPr>
        <w:t>s. The simplest forms are obtained from Eqns. 2.2 and 2.1</w:t>
      </w:r>
      <w:r w:rsidR="00A66E08">
        <w:rPr>
          <w:spacing w:val="-3"/>
        </w:rPr>
        <w:t>1</w:t>
      </w:r>
      <w:r>
        <w:rPr>
          <w:spacing w:val="-3"/>
        </w:rPr>
        <w:t xml:space="preserve"> for </w:t>
      </w:r>
      <w:r w:rsidRPr="00DA1F76">
        <w:rPr>
          <w:spacing w:val="-3"/>
        </w:rPr>
        <w:t>constant and equal solid and liquid densities</w:t>
      </w:r>
      <w:r>
        <w:rPr>
          <w:spacing w:val="-3"/>
        </w:rPr>
        <w:t>,</w:t>
      </w:r>
    </w:p>
    <w:p w14:paraId="12828771" w14:textId="77777777" w:rsidR="00015B17" w:rsidRDefault="00015B17" w:rsidP="00015B17">
      <w:pPr>
        <w:tabs>
          <w:tab w:val="left" w:pos="-720"/>
        </w:tabs>
        <w:suppressAutoHyphens/>
        <w:spacing w:line="360" w:lineRule="auto"/>
        <w:jc w:val="both"/>
        <w:rPr>
          <w:spacing w:val="-3"/>
        </w:rPr>
      </w:pPr>
    </w:p>
    <w:p w14:paraId="3492AA88" w14:textId="77777777" w:rsidR="00015B17" w:rsidRDefault="00015B17" w:rsidP="00015B17">
      <w:pPr>
        <w:tabs>
          <w:tab w:val="left" w:pos="-720"/>
        </w:tabs>
        <w:suppressAutoHyphens/>
        <w:spacing w:line="360" w:lineRule="auto"/>
        <w:jc w:val="center"/>
        <w:rPr>
          <w:spacing w:val="-3"/>
        </w:rPr>
      </w:pPr>
      <w:r w:rsidRPr="004A616F">
        <w:rPr>
          <w:position w:val="-24"/>
        </w:rPr>
        <w:object w:dxaOrig="1219" w:dyaOrig="660" w14:anchorId="62B785BE">
          <v:shape id="_x0000_i1421" type="#_x0000_t75" style="width:61.7pt;height:31.8pt" o:ole="">
            <v:imagedata r:id="rId768" o:title=""/>
          </v:shape>
          <o:OLEObject Type="Embed" ProgID="Equation.DSMT4" ShapeID="_x0000_i1421" DrawAspect="Content" ObjectID="_1840626987" r:id="rId769"/>
        </w:object>
      </w:r>
      <w:r>
        <w:tab/>
      </w:r>
      <w:r>
        <w:tab/>
      </w:r>
      <w:r w:rsidRPr="004A616F">
        <w:t>(6.1)</w:t>
      </w:r>
    </w:p>
    <w:p w14:paraId="79A4EAE2" w14:textId="77777777" w:rsidR="00015B17" w:rsidRDefault="00015B17" w:rsidP="00015B17">
      <w:pPr>
        <w:tabs>
          <w:tab w:val="left" w:pos="-720"/>
        </w:tabs>
        <w:suppressAutoHyphens/>
        <w:spacing w:line="360" w:lineRule="auto"/>
        <w:jc w:val="center"/>
      </w:pPr>
      <w:r w:rsidRPr="004A616F">
        <w:rPr>
          <w:position w:val="-24"/>
        </w:rPr>
        <w:object w:dxaOrig="1280" w:dyaOrig="660" w14:anchorId="3592C249">
          <v:shape id="_x0000_i1422" type="#_x0000_t75" style="width:63.6pt;height:31.8pt" o:ole="">
            <v:imagedata r:id="rId770" o:title=""/>
          </v:shape>
          <o:OLEObject Type="Embed" ProgID="Equation.DSMT4" ShapeID="_x0000_i1422" DrawAspect="Content" ObjectID="_1840626988" r:id="rId771"/>
        </w:object>
      </w:r>
      <w:r>
        <w:tab/>
      </w:r>
      <w:r w:rsidR="006E6FC2">
        <w:t>,</w:t>
      </w:r>
      <w:r>
        <w:tab/>
      </w:r>
      <w:r w:rsidRPr="009F069C">
        <w:t>(6.2)</w:t>
      </w:r>
    </w:p>
    <w:p w14:paraId="46D3EB3E" w14:textId="77777777" w:rsidR="00015B17" w:rsidRDefault="00015B17" w:rsidP="00015B17">
      <w:pPr>
        <w:tabs>
          <w:tab w:val="left" w:pos="-720"/>
        </w:tabs>
        <w:suppressAutoHyphens/>
        <w:spacing w:line="360" w:lineRule="auto"/>
        <w:jc w:val="center"/>
        <w:rPr>
          <w:spacing w:val="-3"/>
        </w:rPr>
      </w:pPr>
    </w:p>
    <w:p w14:paraId="4AF48F33" w14:textId="2320C8B1" w:rsidR="00015B17" w:rsidRDefault="00015B17" w:rsidP="00015B17">
      <w:pPr>
        <w:tabs>
          <w:tab w:val="left" w:pos="-720"/>
        </w:tabs>
        <w:suppressAutoHyphens/>
        <w:spacing w:line="360" w:lineRule="auto"/>
        <w:rPr>
          <w:spacing w:val="-3"/>
        </w:rPr>
      </w:pPr>
      <w:r>
        <w:rPr>
          <w:spacing w:val="-3"/>
        </w:rPr>
        <w:lastRenderedPageBreak/>
        <w:t xml:space="preserve">where </w:t>
      </w:r>
      <w:r w:rsidRPr="0091299B">
        <w:rPr>
          <w:spacing w:val="-3"/>
          <w:position w:val="-6"/>
        </w:rPr>
        <w:object w:dxaOrig="240" w:dyaOrig="220" w14:anchorId="5A343273">
          <v:shape id="_x0000_i1423" type="#_x0000_t75" style="width:12.15pt;height:10.3pt" o:ole="">
            <v:imagedata r:id="rId772" o:title=""/>
          </v:shape>
          <o:OLEObject Type="Embed" ProgID="Equation.DSMT4" ShapeID="_x0000_i1423" DrawAspect="Content" ObjectID="_1840626989" r:id="rId773"/>
        </w:object>
      </w:r>
      <w:r>
        <w:rPr>
          <w:spacing w:val="-3"/>
        </w:rPr>
        <w:t xml:space="preserve"> and </w:t>
      </w:r>
      <w:r w:rsidRPr="0091299B">
        <w:rPr>
          <w:spacing w:val="-3"/>
          <w:position w:val="-4"/>
        </w:rPr>
        <w:object w:dxaOrig="260" w:dyaOrig="260" w14:anchorId="1F804E01">
          <v:shape id="_x0000_i1424" type="#_x0000_t75" style="width:13.1pt;height:13.1pt" o:ole="">
            <v:imagedata r:id="rId774" o:title=""/>
          </v:shape>
          <o:OLEObject Type="Embed" ProgID="Equation.DSMT4" ShapeID="_x0000_i1424" DrawAspect="Content" ObjectID="_1840626990" r:id="rId775"/>
        </w:object>
      </w:r>
      <w:r>
        <w:rPr>
          <w:spacing w:val="-3"/>
        </w:rPr>
        <w:t xml:space="preserve"> take on different values in the liquid and solid. If we place the origin of the spatial coordinate system at the moving interface and assume it is moving at constant speed, the diffusion equations become</w:t>
      </w:r>
    </w:p>
    <w:p w14:paraId="23268407" w14:textId="77777777" w:rsidR="00015B17" w:rsidRDefault="00015B17" w:rsidP="00015B17">
      <w:pPr>
        <w:tabs>
          <w:tab w:val="left" w:pos="-720"/>
        </w:tabs>
        <w:suppressAutoHyphens/>
        <w:spacing w:line="360" w:lineRule="auto"/>
        <w:rPr>
          <w:spacing w:val="-3"/>
        </w:rPr>
      </w:pPr>
    </w:p>
    <w:p w14:paraId="17A3B49F" w14:textId="77777777" w:rsidR="00015B17" w:rsidRPr="006A45D7" w:rsidRDefault="00015B17" w:rsidP="00015B17">
      <w:pPr>
        <w:tabs>
          <w:tab w:val="left" w:pos="-720"/>
        </w:tabs>
        <w:suppressAutoHyphens/>
        <w:spacing w:line="360" w:lineRule="auto"/>
        <w:jc w:val="center"/>
        <w:rPr>
          <w:spacing w:val="-3"/>
        </w:rPr>
      </w:pPr>
      <w:r w:rsidRPr="004A616F">
        <w:rPr>
          <w:position w:val="-24"/>
        </w:rPr>
        <w:object w:dxaOrig="1939" w:dyaOrig="660" w14:anchorId="183D493E">
          <v:shape id="_x0000_i1425" type="#_x0000_t75" style="width:97.25pt;height:31.8pt" o:ole="">
            <v:imagedata r:id="rId776" o:title=""/>
          </v:shape>
          <o:OLEObject Type="Embed" ProgID="Equation.DSMT4" ShapeID="_x0000_i1425" DrawAspect="Content" ObjectID="_1840626991" r:id="rId777"/>
        </w:object>
      </w:r>
      <w:r>
        <w:tab/>
      </w:r>
      <w:r w:rsidR="000B0A1A">
        <w:t>,</w:t>
      </w:r>
      <w:r>
        <w:tab/>
      </w:r>
      <w:r>
        <w:tab/>
      </w:r>
      <w:r w:rsidRPr="009F069C">
        <w:t>(6.3)</w:t>
      </w:r>
    </w:p>
    <w:p w14:paraId="7E54F473" w14:textId="77777777" w:rsidR="00015B17" w:rsidRDefault="00015B17" w:rsidP="00015B17">
      <w:pPr>
        <w:tabs>
          <w:tab w:val="left" w:pos="-720"/>
        </w:tabs>
        <w:suppressAutoHyphens/>
        <w:spacing w:line="360" w:lineRule="auto"/>
        <w:jc w:val="center"/>
        <w:rPr>
          <w:spacing w:val="-3"/>
        </w:rPr>
      </w:pPr>
      <w:r w:rsidRPr="004A616F">
        <w:rPr>
          <w:position w:val="-24"/>
        </w:rPr>
        <w:object w:dxaOrig="2020" w:dyaOrig="660" w14:anchorId="022F90F1">
          <v:shape id="_x0000_i1426" type="#_x0000_t75" style="width:100.05pt;height:31.8pt" o:ole="">
            <v:imagedata r:id="rId778" o:title=""/>
          </v:shape>
          <o:OLEObject Type="Embed" ProgID="Equation.DSMT4" ShapeID="_x0000_i1426" DrawAspect="Content" ObjectID="_1840626992" r:id="rId779"/>
        </w:object>
      </w:r>
      <w:r>
        <w:tab/>
      </w:r>
      <w:r w:rsidR="000B0A1A">
        <w:t>.</w:t>
      </w:r>
      <w:r>
        <w:tab/>
      </w:r>
      <w:r>
        <w:tab/>
      </w:r>
      <w:r w:rsidRPr="00144B31">
        <w:t>(6.4)</w:t>
      </w:r>
    </w:p>
    <w:p w14:paraId="1C32E4ED" w14:textId="77777777" w:rsidR="00015B17" w:rsidRDefault="00015B17" w:rsidP="00015B17">
      <w:pPr>
        <w:tabs>
          <w:tab w:val="left" w:pos="-720"/>
        </w:tabs>
        <w:suppressAutoHyphens/>
        <w:spacing w:line="360" w:lineRule="auto"/>
        <w:jc w:val="both"/>
        <w:rPr>
          <w:spacing w:val="-3"/>
        </w:rPr>
      </w:pPr>
    </w:p>
    <w:p w14:paraId="67852965" w14:textId="4E1400A2" w:rsidR="00015B17" w:rsidRDefault="00015B17" w:rsidP="009D3AD0">
      <w:pPr>
        <w:tabs>
          <w:tab w:val="left" w:pos="-720"/>
        </w:tabs>
        <w:suppressAutoHyphens/>
        <w:spacing w:line="360" w:lineRule="auto"/>
        <w:rPr>
          <w:spacing w:val="-3"/>
        </w:rPr>
      </w:pPr>
      <w:r>
        <w:rPr>
          <w:spacing w:val="-3"/>
        </w:rPr>
        <w:t xml:space="preserve">These equations </w:t>
      </w:r>
      <w:r w:rsidRPr="00DA1F76">
        <w:rPr>
          <w:spacing w:val="-3"/>
        </w:rPr>
        <w:t xml:space="preserve">must be solved for the </w:t>
      </w:r>
      <w:r>
        <w:rPr>
          <w:spacing w:val="-3"/>
        </w:rPr>
        <w:t xml:space="preserve">temperature and </w:t>
      </w:r>
      <w:r w:rsidRPr="00DA1F76">
        <w:rPr>
          <w:spacing w:val="-3"/>
        </w:rPr>
        <w:t>composition</w:t>
      </w:r>
      <w:r>
        <w:rPr>
          <w:spacing w:val="-3"/>
        </w:rPr>
        <w:t xml:space="preserve"> profiles </w:t>
      </w:r>
      <m:oMath>
        <m:r>
          <w:rPr>
            <w:rFonts w:ascii="Cambria Math"/>
            <w:spacing w:val="-3"/>
          </w:rPr>
          <m:t>T</m:t>
        </m:r>
        <m:d>
          <m:dPr>
            <m:ctrlPr>
              <w:rPr>
                <w:rFonts w:ascii="Cambria Math" w:hAnsi="Cambria Math"/>
                <w:i/>
                <w:spacing w:val="-3"/>
              </w:rPr>
            </m:ctrlPr>
          </m:dPr>
          <m:e>
            <m:r>
              <w:rPr>
                <w:rFonts w:ascii="Cambria Math"/>
                <w:spacing w:val="-3"/>
              </w:rPr>
              <m:t>z, t</m:t>
            </m:r>
          </m:e>
        </m:d>
      </m:oMath>
      <w:r w:rsidRPr="00722E99">
        <w:rPr>
          <w:spacing w:val="-3"/>
        </w:rPr>
        <w:fldChar w:fldCharType="begin"/>
      </w:r>
      <w:r w:rsidRPr="00722E99">
        <w:rPr>
          <w:spacing w:val="-3"/>
        </w:rPr>
        <w:instrText xml:space="preserve"> QUOTE </w:instrText>
      </w:r>
      <m:oMath>
        <m:r>
          <m:rPr>
            <m:sty m:val="p"/>
          </m:rPr>
          <w:rPr>
            <w:rFonts w:ascii="Cambria Math" w:hAnsi="Cambria Math"/>
            <w:spacing w:val="-3"/>
          </w:rPr>
          <m:t>T</m:t>
        </m:r>
        <m:d>
          <m:dPr>
            <m:ctrlPr>
              <w:rPr>
                <w:rFonts w:ascii="Cambria Math" w:hAnsi="Cambria Math"/>
                <w:i/>
                <w:spacing w:val="-3"/>
              </w:rPr>
            </m:ctrlPr>
          </m:dPr>
          <m:e>
            <m:r>
              <m:rPr>
                <m:sty m:val="p"/>
              </m:rPr>
              <w:rPr>
                <w:rFonts w:ascii="Cambria Math" w:hAnsi="Cambria Math"/>
                <w:spacing w:val="-3"/>
              </w:rPr>
              <m:t>z</m:t>
            </m:r>
          </m:e>
        </m:d>
        <m:r>
          <m:rPr>
            <m:sty m:val="p"/>
          </m:rPr>
          <w:rPr>
            <w:rFonts w:ascii="Cambria Math" w:hAnsi="Cambria Math"/>
            <w:spacing w:val="-3"/>
          </w:rPr>
          <m:t xml:space="preserve"> </m:t>
        </m:r>
      </m:oMath>
      <w:r w:rsidRPr="00722E99">
        <w:rPr>
          <w:spacing w:val="-3"/>
        </w:rPr>
        <w:instrText xml:space="preserve"> </w:instrText>
      </w:r>
      <w:r w:rsidRPr="00722E99">
        <w:rPr>
          <w:spacing w:val="-3"/>
        </w:rPr>
        <w:fldChar w:fldCharType="separate"/>
      </w:r>
      <w:r w:rsidRPr="00722E99">
        <w:rPr>
          <w:spacing w:val="-3"/>
        </w:rPr>
        <w:fldChar w:fldCharType="end"/>
      </w:r>
      <w:r>
        <w:rPr>
          <w:spacing w:val="-3"/>
        </w:rPr>
        <w:t xml:space="preserve">and </w:t>
      </w:r>
      <w:r w:rsidRPr="00722E99">
        <w:rPr>
          <w:spacing w:val="-3"/>
        </w:rPr>
        <w:fldChar w:fldCharType="begin"/>
      </w:r>
      <w:r w:rsidRPr="00722E99">
        <w:rPr>
          <w:spacing w:val="-3"/>
        </w:rPr>
        <w:instrText xml:space="preserve"> QUOTE </w:instrText>
      </w:r>
      <m:oMath>
        <m:r>
          <m:rPr>
            <m:sty m:val="p"/>
          </m:rPr>
          <w:rPr>
            <w:rFonts w:ascii="Cambria Math" w:hAnsi="Cambria Math"/>
            <w:spacing w:val="-3"/>
          </w:rPr>
          <m:t>C</m:t>
        </m:r>
        <m:d>
          <m:dPr>
            <m:ctrlPr>
              <w:rPr>
                <w:rFonts w:ascii="Cambria Math" w:hAnsi="Cambria Math"/>
                <w:i/>
                <w:spacing w:val="-3"/>
              </w:rPr>
            </m:ctrlPr>
          </m:dPr>
          <m:e>
            <m:r>
              <m:rPr>
                <m:sty m:val="p"/>
              </m:rPr>
              <w:rPr>
                <w:rFonts w:ascii="Cambria Math" w:hAnsi="Cambria Math"/>
                <w:spacing w:val="-3"/>
              </w:rPr>
              <m:t>z</m:t>
            </m:r>
          </m:e>
        </m:d>
        <m:r>
          <m:rPr>
            <m:sty m:val="p"/>
          </m:rPr>
          <w:rPr>
            <w:rFonts w:ascii="Cambria Math" w:hAnsi="Cambria Math"/>
            <w:spacing w:val="-3"/>
          </w:rPr>
          <m:t xml:space="preserve"> </m:t>
        </m:r>
      </m:oMath>
      <w:r w:rsidRPr="00722E99">
        <w:rPr>
          <w:spacing w:val="-3"/>
        </w:rPr>
        <w:instrText xml:space="preserve"> </w:instrText>
      </w:r>
      <w:r w:rsidRPr="00722E99">
        <w:rPr>
          <w:spacing w:val="-3"/>
        </w:rPr>
        <w:fldChar w:fldCharType="separate"/>
      </w:r>
      <w:r w:rsidRPr="00722E99">
        <w:rPr>
          <w:spacing w:val="-3"/>
        </w:rPr>
        <w:fldChar w:fldCharType="end"/>
      </w:r>
      <m:oMath>
        <m:r>
          <w:rPr>
            <w:rFonts w:ascii="Cambria Math"/>
            <w:spacing w:val="-3"/>
          </w:rPr>
          <m:t>C</m:t>
        </m:r>
        <m:d>
          <m:dPr>
            <m:ctrlPr>
              <w:rPr>
                <w:rFonts w:ascii="Cambria Math" w:hAnsi="Cambria Math"/>
                <w:i/>
                <w:spacing w:val="-3"/>
              </w:rPr>
            </m:ctrlPr>
          </m:dPr>
          <m:e>
            <m:r>
              <w:rPr>
                <w:rFonts w:ascii="Cambria Math"/>
                <w:spacing w:val="-3"/>
              </w:rPr>
              <m:t>z, t</m:t>
            </m:r>
          </m:e>
        </m:d>
      </m:oMath>
      <w:r>
        <w:rPr>
          <w:spacing w:val="-3"/>
        </w:rPr>
        <w:t xml:space="preserve">in </w:t>
      </w:r>
      <w:r w:rsidRPr="00DA1F76">
        <w:rPr>
          <w:spacing w:val="-3"/>
        </w:rPr>
        <w:t xml:space="preserve">the liquid and solid subject to </w:t>
      </w:r>
      <w:r>
        <w:rPr>
          <w:spacing w:val="-3"/>
        </w:rPr>
        <w:t xml:space="preserve">local equilibrium </w:t>
      </w:r>
      <w:r w:rsidRPr="00DA1F76">
        <w:rPr>
          <w:spacing w:val="-3"/>
        </w:rPr>
        <w:t>conditions at the interface given by</w:t>
      </w:r>
    </w:p>
    <w:p w14:paraId="7A91E499" w14:textId="77777777" w:rsidR="00015B17" w:rsidRDefault="00015B17" w:rsidP="00015B17">
      <w:pPr>
        <w:tabs>
          <w:tab w:val="left" w:pos="-720"/>
        </w:tabs>
        <w:suppressAutoHyphens/>
        <w:spacing w:line="360" w:lineRule="auto"/>
        <w:jc w:val="both"/>
        <w:rPr>
          <w:spacing w:val="-3"/>
        </w:rPr>
      </w:pPr>
      <w:r w:rsidRPr="00DA1F76">
        <w:rPr>
          <w:spacing w:val="-3"/>
        </w:rPr>
        <w:tab/>
        <w:t xml:space="preserve">     </w:t>
      </w:r>
    </w:p>
    <w:p w14:paraId="49FBCAC7" w14:textId="66728599" w:rsidR="00015B17" w:rsidRDefault="00015B17" w:rsidP="00015B17">
      <w:pPr>
        <w:tabs>
          <w:tab w:val="left" w:pos="-720"/>
        </w:tabs>
        <w:suppressAutoHyphens/>
        <w:spacing w:line="360" w:lineRule="auto"/>
        <w:jc w:val="center"/>
        <w:rPr>
          <w:spacing w:val="-3"/>
        </w:rPr>
      </w:pPr>
      <w:r w:rsidRPr="00DA1F76">
        <w:rPr>
          <w:spacing w:val="-3"/>
        </w:rPr>
        <w:t xml:space="preserve">  </w:t>
      </w:r>
      <w:r w:rsidRPr="00722E99">
        <w:rPr>
          <w:spacing w:val="-3"/>
        </w:rPr>
        <w:fldChar w:fldCharType="begin"/>
      </w:r>
      <w:r w:rsidRPr="00722E99">
        <w:rPr>
          <w:spacing w:val="-3"/>
        </w:rPr>
        <w:instrText xml:space="preserve"> QUOTE </w:instrText>
      </w:r>
      <m:oMath>
        <m:sSub>
          <m:sSubPr>
            <m:ctrlPr>
              <w:rPr>
                <w:rFonts w:ascii="Cambria Math" w:hAnsi="Cambria Math"/>
                <w:i/>
                <w:spacing w:val="-3"/>
              </w:rPr>
            </m:ctrlPr>
          </m:sSubPr>
          <m:e>
            <m:r>
              <m:rPr>
                <m:sty m:val="p"/>
              </m:rPr>
              <w:rPr>
                <w:rFonts w:ascii="Cambria Math" w:hAnsi="Cambria Math"/>
                <w:spacing w:val="-3"/>
              </w:rPr>
              <m:t>T</m:t>
            </m:r>
          </m:e>
          <m:sub>
            <m:r>
              <m:rPr>
                <m:sty m:val="p"/>
              </m:rPr>
              <w:rPr>
                <w:rFonts w:ascii="Cambria Math" w:hAnsi="Cambria Math"/>
                <w:spacing w:val="-3"/>
              </w:rPr>
              <m:t>S</m:t>
            </m:r>
          </m:sub>
        </m:sSub>
        <m:r>
          <m:rPr>
            <m:sty m:val="p"/>
          </m:rPr>
          <w:rPr>
            <w:rFonts w:ascii="Cambria Math" w:hAnsi="Cambria Math"/>
            <w:spacing w:val="-3"/>
          </w:rPr>
          <m:t>=</m:t>
        </m:r>
        <m:sSub>
          <m:sSubPr>
            <m:ctrlPr>
              <w:rPr>
                <w:rFonts w:ascii="Cambria Math" w:hAnsi="Cambria Math"/>
                <w:i/>
                <w:spacing w:val="-3"/>
              </w:rPr>
            </m:ctrlPr>
          </m:sSubPr>
          <m:e>
            <m:r>
              <m:rPr>
                <m:sty m:val="p"/>
              </m:rPr>
              <w:rPr>
                <w:rFonts w:ascii="Cambria Math" w:hAnsi="Cambria Math"/>
                <w:spacing w:val="-3"/>
              </w:rPr>
              <m:t>T</m:t>
            </m:r>
          </m:e>
          <m:sub>
            <m:r>
              <m:rPr>
                <m:sty m:val="p"/>
              </m:rPr>
              <w:rPr>
                <w:rFonts w:ascii="Cambria Math" w:hAnsi="Cambria Math"/>
                <w:spacing w:val="-3"/>
              </w:rPr>
              <m:t>L</m:t>
            </m:r>
          </m:sub>
        </m:sSub>
        <m:r>
          <m:rPr>
            <m:sty m:val="p"/>
          </m:rPr>
          <w:rPr>
            <w:rFonts w:ascii="Cambria Math" w:hAnsi="Cambria Math"/>
            <w:spacing w:val="-3"/>
          </w:rPr>
          <m:t>=</m:t>
        </m:r>
        <m:sSub>
          <m:sSubPr>
            <m:ctrlPr>
              <w:rPr>
                <w:rFonts w:ascii="Cambria Math" w:hAnsi="Cambria Math"/>
                <w:i/>
                <w:spacing w:val="-3"/>
              </w:rPr>
            </m:ctrlPr>
          </m:sSubPr>
          <m:e>
            <m:r>
              <m:rPr>
                <m:sty m:val="p"/>
              </m:rPr>
              <w:rPr>
                <w:rFonts w:ascii="Cambria Math" w:hAnsi="Cambria Math"/>
                <w:spacing w:val="-3"/>
              </w:rPr>
              <m:t>T</m:t>
            </m:r>
          </m:e>
          <m:sub>
            <m:r>
              <m:rPr>
                <m:sty m:val="p"/>
              </m:rPr>
              <w:rPr>
                <w:rFonts w:ascii="Cambria Math" w:hAnsi="Cambria Math"/>
                <w:spacing w:val="-3"/>
              </w:rPr>
              <m:t>m</m:t>
            </m:r>
          </m:sub>
        </m:sSub>
        <m:r>
          <m:rPr>
            <m:sty m:val="p"/>
          </m:rPr>
          <w:rPr>
            <w:rFonts w:ascii="Cambria Math" w:hAnsi="Cambria Math"/>
            <w:spacing w:val="-3"/>
          </w:rPr>
          <m:t>+</m:t>
        </m:r>
        <m:sSub>
          <m:sSubPr>
            <m:ctrlPr>
              <w:rPr>
                <w:rFonts w:ascii="Cambria Math" w:hAnsi="Cambria Math"/>
                <w:i/>
                <w:spacing w:val="-3"/>
              </w:rPr>
            </m:ctrlPr>
          </m:sSubPr>
          <m:e>
            <m:r>
              <m:rPr>
                <m:sty m:val="p"/>
              </m:rPr>
              <w:rPr>
                <w:rFonts w:ascii="Cambria Math" w:hAnsi="Cambria Math"/>
                <w:spacing w:val="-3"/>
              </w:rPr>
              <m:t>m</m:t>
            </m:r>
          </m:e>
          <m:sub>
            <m:r>
              <m:rPr>
                <m:sty m:val="p"/>
              </m:rPr>
              <w:rPr>
                <w:rFonts w:ascii="Cambria Math" w:hAnsi="Cambria Math"/>
                <w:spacing w:val="-3"/>
              </w:rPr>
              <m:t>L</m:t>
            </m:r>
          </m:sub>
        </m:sSub>
        <m:sSub>
          <m:sSubPr>
            <m:ctrlPr>
              <w:rPr>
                <w:rFonts w:ascii="Cambria Math" w:hAnsi="Cambria Math"/>
                <w:i/>
                <w:spacing w:val="-3"/>
              </w:rPr>
            </m:ctrlPr>
          </m:sSubPr>
          <m:e>
            <m:r>
              <m:rPr>
                <m:sty m:val="p"/>
              </m:rPr>
              <w:rPr>
                <w:rFonts w:ascii="Cambria Math" w:hAnsi="Cambria Math"/>
                <w:spacing w:val="-3"/>
              </w:rPr>
              <m:t>C</m:t>
            </m:r>
          </m:e>
          <m:sub>
            <m:r>
              <m:rPr>
                <m:sty m:val="p"/>
              </m:rPr>
              <w:rPr>
                <w:rFonts w:ascii="Cambria Math" w:hAnsi="Cambria Math"/>
                <w:spacing w:val="-3"/>
              </w:rPr>
              <m:t>L</m:t>
            </m:r>
          </m:sub>
        </m:sSub>
      </m:oMath>
      <w:r w:rsidRPr="00722E99">
        <w:rPr>
          <w:spacing w:val="-3"/>
        </w:rPr>
        <w:instrText xml:space="preserve"> </w:instrText>
      </w:r>
      <w:r w:rsidRPr="00722E99">
        <w:rPr>
          <w:spacing w:val="-3"/>
        </w:rPr>
        <w:fldChar w:fldCharType="separate"/>
      </w:r>
      <w:r w:rsidRPr="00722E99">
        <w:rPr>
          <w:spacing w:val="-3"/>
        </w:rPr>
        <w:fldChar w:fldCharType="end"/>
      </w:r>
      <w:r w:rsidRPr="004A616F">
        <w:rPr>
          <w:spacing w:val="-3"/>
          <w:position w:val="-12"/>
        </w:rPr>
        <w:object w:dxaOrig="2020" w:dyaOrig="380" w14:anchorId="1DA8D087">
          <v:shape id="_x0000_i1427" type="#_x0000_t75" style="width:100.05pt;height:18.7pt" o:ole="">
            <v:imagedata r:id="rId780" o:title=""/>
          </v:shape>
          <o:OLEObject Type="Embed" ProgID="Equation.DSMT4" ShapeID="_x0000_i1427" DrawAspect="Content" ObjectID="_1840626993" r:id="rId781"/>
        </w:object>
      </w:r>
      <w:r>
        <w:rPr>
          <w:spacing w:val="-3"/>
        </w:rPr>
        <w:tab/>
      </w:r>
      <w:r>
        <w:rPr>
          <w:spacing w:val="-3"/>
        </w:rPr>
        <w:tab/>
      </w:r>
      <w:r>
        <w:rPr>
          <w:spacing w:val="-3"/>
        </w:rPr>
        <w:tab/>
        <w:t>(6.5)</w:t>
      </w:r>
    </w:p>
    <w:p w14:paraId="5B9EFE3F" w14:textId="77777777" w:rsidR="00015B17" w:rsidRPr="00DA1F76" w:rsidRDefault="00015B17" w:rsidP="00015B17">
      <w:pPr>
        <w:tabs>
          <w:tab w:val="left" w:pos="-720"/>
        </w:tabs>
        <w:suppressAutoHyphens/>
        <w:spacing w:line="360" w:lineRule="auto"/>
        <w:rPr>
          <w:spacing w:val="-3"/>
        </w:rPr>
      </w:pPr>
      <w:r>
        <w:rPr>
          <w:spacing w:val="-3"/>
        </w:rPr>
        <w:t>and</w:t>
      </w:r>
    </w:p>
    <w:p w14:paraId="7D8C9B70" w14:textId="77777777" w:rsidR="00015B17" w:rsidRPr="00144B31" w:rsidRDefault="00015B17" w:rsidP="00015B17">
      <w:pPr>
        <w:tabs>
          <w:tab w:val="left" w:pos="-720"/>
        </w:tabs>
        <w:suppressAutoHyphens/>
        <w:spacing w:line="360" w:lineRule="auto"/>
        <w:jc w:val="center"/>
        <w:rPr>
          <w:spacing w:val="-3"/>
        </w:rPr>
      </w:pPr>
      <w:r w:rsidRPr="009F069C">
        <w:rPr>
          <w:position w:val="-12"/>
        </w:rPr>
        <w:object w:dxaOrig="1060" w:dyaOrig="380" w14:anchorId="70549837">
          <v:shape id="_x0000_i1428" type="#_x0000_t75" style="width:53.3pt;height:18.7pt" o:ole="">
            <v:imagedata r:id="rId782" o:title=""/>
          </v:shape>
          <o:OLEObject Type="Embed" ProgID="Equation.DSMT4" ShapeID="_x0000_i1428" DrawAspect="Content" ObjectID="_1840626994" r:id="rId783"/>
        </w:object>
      </w:r>
      <w:r>
        <w:tab/>
      </w:r>
      <w:r w:rsidR="006E6FC2">
        <w:t>,</w:t>
      </w:r>
      <w:r>
        <w:tab/>
      </w:r>
      <w:r>
        <w:tab/>
      </w:r>
      <w:r>
        <w:tab/>
      </w:r>
      <w:r w:rsidRPr="00144B31">
        <w:t>(6.6)</w:t>
      </w:r>
    </w:p>
    <w:p w14:paraId="16340EC0" w14:textId="77777777" w:rsidR="00015B17" w:rsidRDefault="00015B17" w:rsidP="00015B17">
      <w:pPr>
        <w:tabs>
          <w:tab w:val="left" w:pos="-720"/>
        </w:tabs>
        <w:suppressAutoHyphens/>
        <w:spacing w:line="360" w:lineRule="auto"/>
        <w:jc w:val="both"/>
        <w:rPr>
          <w:spacing w:val="-3"/>
        </w:rPr>
      </w:pPr>
    </w:p>
    <w:p w14:paraId="6626A75A" w14:textId="0CDB6F2F" w:rsidR="00015B17" w:rsidRDefault="000B0A1A" w:rsidP="00015B17">
      <w:pPr>
        <w:tabs>
          <w:tab w:val="left" w:pos="-720"/>
        </w:tabs>
        <w:suppressAutoHyphens/>
        <w:spacing w:line="360" w:lineRule="auto"/>
        <w:rPr>
          <w:spacing w:val="-3"/>
        </w:rPr>
      </w:pPr>
      <w:r>
        <w:rPr>
          <w:spacing w:val="-3"/>
        </w:rPr>
        <w:t>w</w:t>
      </w:r>
      <w:r w:rsidR="00015B17">
        <w:rPr>
          <w:spacing w:val="-3"/>
        </w:rPr>
        <w:t xml:space="preserve">here the subscripts </w:t>
      </w:r>
      <w:r w:rsidR="00015B17" w:rsidRPr="006A45D7">
        <w:rPr>
          <w:i/>
          <w:spacing w:val="-3"/>
        </w:rPr>
        <w:t>L</w:t>
      </w:r>
      <w:r w:rsidR="00015B17">
        <w:rPr>
          <w:spacing w:val="-3"/>
        </w:rPr>
        <w:t xml:space="preserve"> and </w:t>
      </w:r>
      <w:r w:rsidR="00015B17" w:rsidRPr="006A45D7">
        <w:rPr>
          <w:i/>
          <w:spacing w:val="-3"/>
        </w:rPr>
        <w:t>S</w:t>
      </w:r>
      <w:r w:rsidR="00015B17">
        <w:rPr>
          <w:spacing w:val="-3"/>
        </w:rPr>
        <w:t xml:space="preserve"> of </w:t>
      </w:r>
      <w:r w:rsidR="006E6FC2">
        <w:rPr>
          <w:spacing w:val="-3"/>
        </w:rPr>
        <w:t xml:space="preserve">the variables </w:t>
      </w:r>
      <w:r w:rsidR="00015B17" w:rsidRPr="006A45D7">
        <w:rPr>
          <w:spacing w:val="-3"/>
          <w:position w:val="-4"/>
        </w:rPr>
        <w:object w:dxaOrig="220" w:dyaOrig="260" w14:anchorId="786079A0">
          <v:shape id="_x0000_i1429" type="#_x0000_t75" style="width:10.3pt;height:13.1pt" o:ole="">
            <v:imagedata r:id="rId784" o:title=""/>
          </v:shape>
          <o:OLEObject Type="Embed" ProgID="Equation.DSMT4" ShapeID="_x0000_i1429" DrawAspect="Content" ObjectID="_1840626995" r:id="rId785"/>
        </w:object>
      </w:r>
      <w:r w:rsidR="00015B17">
        <w:rPr>
          <w:spacing w:val="-3"/>
        </w:rPr>
        <w:t xml:space="preserve">and </w:t>
      </w:r>
      <w:r w:rsidR="00015B17" w:rsidRPr="006A45D7">
        <w:rPr>
          <w:spacing w:val="-3"/>
          <w:position w:val="-6"/>
        </w:rPr>
        <w:object w:dxaOrig="240" w:dyaOrig="279" w14:anchorId="2826F4E0">
          <v:shape id="_x0000_i1430" type="#_x0000_t75" style="width:12.15pt;height:14.05pt" o:ole="">
            <v:imagedata r:id="rId786" o:title=""/>
          </v:shape>
          <o:OLEObject Type="Embed" ProgID="Equation.DSMT4" ShapeID="_x0000_i1430" DrawAspect="Content" ObjectID="_1840626996" r:id="rId787"/>
        </w:object>
      </w:r>
      <w:r w:rsidR="00015B17">
        <w:rPr>
          <w:spacing w:val="-3"/>
        </w:rPr>
        <w:t xml:space="preserve">denote values in the liquid of solid sides respectively and the asterisk denotes vales at the interface. A balance of heat and solute fluxes at the interface also requires </w:t>
      </w:r>
    </w:p>
    <w:p w14:paraId="73EF0C19" w14:textId="77777777" w:rsidR="00015B17" w:rsidRDefault="00015B17" w:rsidP="00015B17">
      <w:pPr>
        <w:tabs>
          <w:tab w:val="left" w:pos="-720"/>
        </w:tabs>
        <w:suppressAutoHyphens/>
        <w:spacing w:line="360" w:lineRule="auto"/>
        <w:jc w:val="both"/>
        <w:rPr>
          <w:spacing w:val="-3"/>
        </w:rPr>
      </w:pPr>
    </w:p>
    <w:p w14:paraId="34B00435" w14:textId="77777777" w:rsidR="00015B17" w:rsidRPr="00DA1F76" w:rsidRDefault="000B0A1A" w:rsidP="00015B17">
      <w:pPr>
        <w:tabs>
          <w:tab w:val="left" w:pos="-720"/>
        </w:tabs>
        <w:suppressAutoHyphens/>
        <w:spacing w:line="360" w:lineRule="auto"/>
        <w:jc w:val="center"/>
        <w:rPr>
          <w:spacing w:val="-3"/>
        </w:rPr>
      </w:pPr>
      <w:r w:rsidRPr="005C7164">
        <w:rPr>
          <w:spacing w:val="-3"/>
          <w:position w:val="-28"/>
        </w:rPr>
        <w:object w:dxaOrig="2500" w:dyaOrig="740" w14:anchorId="798CF1B0">
          <v:shape id="_x0000_i1431" type="#_x0000_t75" style="width:125.3pt;height:36.45pt" o:ole="">
            <v:imagedata r:id="rId788" o:title=""/>
          </v:shape>
          <o:OLEObject Type="Embed" ProgID="Equation.DSMT4" ShapeID="_x0000_i1431" DrawAspect="Content" ObjectID="_1840626997" r:id="rId789"/>
        </w:object>
      </w:r>
      <w:r w:rsidR="00015B17">
        <w:rPr>
          <w:spacing w:val="-3"/>
          <w:position w:val="-24"/>
        </w:rPr>
        <w:tab/>
      </w:r>
      <w:r w:rsidR="00015B17">
        <w:rPr>
          <w:spacing w:val="-3"/>
          <w:position w:val="-24"/>
        </w:rPr>
        <w:tab/>
        <w:t>(6.7)</w:t>
      </w:r>
    </w:p>
    <w:p w14:paraId="5F9E3919" w14:textId="77777777" w:rsidR="00015B17" w:rsidRPr="00DA1F76" w:rsidRDefault="00015B17" w:rsidP="00015B17">
      <w:pPr>
        <w:tabs>
          <w:tab w:val="left" w:pos="-720"/>
        </w:tabs>
        <w:suppressAutoHyphens/>
        <w:spacing w:line="360" w:lineRule="auto"/>
        <w:rPr>
          <w:spacing w:val="-3"/>
        </w:rPr>
      </w:pPr>
      <w:r w:rsidRPr="00DA1F76">
        <w:rPr>
          <w:spacing w:val="-3"/>
        </w:rPr>
        <w:t>and</w:t>
      </w:r>
      <w:r w:rsidRPr="00DA1F76">
        <w:rPr>
          <w:spacing w:val="-3"/>
        </w:rPr>
        <w:tab/>
        <w:t xml:space="preserve">                                                        </w:t>
      </w:r>
    </w:p>
    <w:p w14:paraId="540157BC" w14:textId="77777777" w:rsidR="00015B17" w:rsidRDefault="00015B17" w:rsidP="00015B17">
      <w:pPr>
        <w:tabs>
          <w:tab w:val="left" w:pos="-720"/>
        </w:tabs>
        <w:suppressAutoHyphens/>
        <w:spacing w:line="360" w:lineRule="auto"/>
        <w:jc w:val="center"/>
        <w:rPr>
          <w:spacing w:val="-3"/>
          <w:position w:val="-24"/>
        </w:rPr>
      </w:pPr>
      <w:r w:rsidRPr="005C7164">
        <w:rPr>
          <w:spacing w:val="-3"/>
          <w:position w:val="-28"/>
        </w:rPr>
        <w:object w:dxaOrig="3379" w:dyaOrig="740" w14:anchorId="2F20F59C">
          <v:shape id="_x0000_i1432" type="#_x0000_t75" style="width:169.25pt;height:36.45pt" o:ole="">
            <v:imagedata r:id="rId790" o:title=""/>
          </v:shape>
          <o:OLEObject Type="Embed" ProgID="Equation.DSMT4" ShapeID="_x0000_i1432" DrawAspect="Content" ObjectID="_1840626998" r:id="rId791"/>
        </w:object>
      </w:r>
      <w:r>
        <w:rPr>
          <w:spacing w:val="-3"/>
          <w:position w:val="-24"/>
        </w:rPr>
        <w:tab/>
      </w:r>
      <w:r>
        <w:rPr>
          <w:spacing w:val="-3"/>
          <w:position w:val="-24"/>
        </w:rPr>
        <w:tab/>
        <w:t>(6.8)</w:t>
      </w:r>
    </w:p>
    <w:p w14:paraId="528FB777" w14:textId="77777777" w:rsidR="00015B17" w:rsidRPr="00DA1F76" w:rsidRDefault="00015B17" w:rsidP="00015B17">
      <w:pPr>
        <w:tabs>
          <w:tab w:val="left" w:pos="-720"/>
        </w:tabs>
        <w:suppressAutoHyphens/>
        <w:spacing w:line="360" w:lineRule="auto"/>
        <w:jc w:val="center"/>
        <w:rPr>
          <w:spacing w:val="-3"/>
        </w:rPr>
      </w:pPr>
      <w:r w:rsidRPr="00DA1F76">
        <w:rPr>
          <w:rStyle w:val="EquationCaption"/>
          <w:vanish/>
          <w:spacing w:val="-2"/>
        </w:rPr>
        <w:fldChar w:fldCharType="begin"/>
      </w:r>
      <w:r w:rsidRPr="00DA1F76">
        <w:rPr>
          <w:rStyle w:val="EquationCaption"/>
          <w:vanish/>
          <w:spacing w:val="-2"/>
        </w:rPr>
        <w:instrText>seq Equation  \* Arabic  \r0</w:instrText>
      </w:r>
      <w:r w:rsidRPr="00DA1F76">
        <w:rPr>
          <w:rStyle w:val="EquationCaption"/>
          <w:vanish/>
          <w:spacing w:val="-2"/>
        </w:rPr>
        <w:fldChar w:fldCharType="separate"/>
      </w:r>
      <w:r w:rsidRPr="00DA1F76">
        <w:rPr>
          <w:rStyle w:val="EquationCaption"/>
          <w:vanish/>
          <w:spacing w:val="-2"/>
        </w:rPr>
        <w:t>0</w:t>
      </w:r>
      <w:r w:rsidRPr="00DA1F76">
        <w:rPr>
          <w:rStyle w:val="EquationCaption"/>
          <w:vanish/>
          <w:spacing w:val="-2"/>
        </w:rPr>
        <w:fldChar w:fldCharType="end"/>
      </w:r>
    </w:p>
    <w:p w14:paraId="6E7E26D8" w14:textId="77777777" w:rsidR="00015B17" w:rsidRDefault="00015B17" w:rsidP="00015B17">
      <w:pPr>
        <w:tabs>
          <w:tab w:val="left" w:pos="-720"/>
        </w:tabs>
        <w:suppressAutoHyphens/>
        <w:spacing w:line="360" w:lineRule="auto"/>
        <w:rPr>
          <w:spacing w:val="-3"/>
        </w:rPr>
      </w:pPr>
      <w:r>
        <w:rPr>
          <w:spacing w:val="-3"/>
        </w:rPr>
        <w:t>For rapid solidification, non-equilibrium interface conditions at the interface can replace Eqns. (6.5) and (6.6).</w:t>
      </w:r>
      <w:r w:rsidRPr="00DA1F76">
        <w:rPr>
          <w:spacing w:val="-3"/>
        </w:rPr>
        <w:t xml:space="preserve"> </w:t>
      </w:r>
    </w:p>
    <w:p w14:paraId="78A52BC5" w14:textId="77777777" w:rsidR="00015B17" w:rsidRDefault="00015B17" w:rsidP="00015B17">
      <w:pPr>
        <w:tabs>
          <w:tab w:val="left" w:pos="-720"/>
        </w:tabs>
        <w:suppressAutoHyphens/>
        <w:spacing w:line="360" w:lineRule="auto"/>
        <w:rPr>
          <w:spacing w:val="-3"/>
        </w:rPr>
      </w:pPr>
    </w:p>
    <w:p w14:paraId="738D15C8" w14:textId="77777777" w:rsidR="00015B17" w:rsidRDefault="00015B17" w:rsidP="00015B17">
      <w:pPr>
        <w:tabs>
          <w:tab w:val="left" w:pos="-720"/>
        </w:tabs>
        <w:suppressAutoHyphens/>
        <w:spacing w:line="360" w:lineRule="auto"/>
        <w:rPr>
          <w:spacing w:val="-3"/>
        </w:rPr>
      </w:pPr>
      <w:r>
        <w:rPr>
          <w:spacing w:val="-3"/>
        </w:rPr>
        <w:lastRenderedPageBreak/>
        <w:tab/>
        <w:t xml:space="preserve">If one uses a characteristic length, </w:t>
      </w:r>
      <w:r w:rsidRPr="0091299B">
        <w:rPr>
          <w:spacing w:val="-3"/>
          <w:position w:val="-12"/>
        </w:rPr>
        <w:object w:dxaOrig="279" w:dyaOrig="360" w14:anchorId="1E7B2123">
          <v:shape id="_x0000_i1433" type="#_x0000_t75" style="width:14.05pt;height:17.75pt" o:ole="">
            <v:imagedata r:id="rId792" o:title=""/>
          </v:shape>
          <o:OLEObject Type="Embed" ProgID="Equation.DSMT4" ShapeID="_x0000_i1433" DrawAspect="Content" ObjectID="_1840626999" r:id="rId793"/>
        </w:object>
      </w:r>
      <w:r>
        <w:rPr>
          <w:spacing w:val="-3"/>
        </w:rPr>
        <w:t xml:space="preserve"> and a characteristic time </w:t>
      </w:r>
      <w:r w:rsidRPr="00BB2AE6">
        <w:rPr>
          <w:spacing w:val="-3"/>
          <w:position w:val="-12"/>
        </w:rPr>
        <w:object w:dxaOrig="220" w:dyaOrig="360" w14:anchorId="74B30FC8">
          <v:shape id="_x0000_i1434" type="#_x0000_t75" style="width:10.3pt;height:17.75pt" o:ole="">
            <v:imagedata r:id="rId794" o:title=""/>
          </v:shape>
          <o:OLEObject Type="Embed" ProgID="Equation.DSMT4" ShapeID="_x0000_i1434" DrawAspect="Content" ObjectID="_1840627000" r:id="rId795"/>
        </w:object>
      </w:r>
      <w:r>
        <w:rPr>
          <w:spacing w:val="-3"/>
        </w:rPr>
        <w:t xml:space="preserve"> and defines </w:t>
      </w:r>
      <w:r w:rsidRPr="002703B9">
        <w:rPr>
          <w:spacing w:val="-3"/>
          <w:position w:val="-12"/>
        </w:rPr>
        <w:object w:dxaOrig="940" w:dyaOrig="360" w14:anchorId="14716438">
          <v:shape id="_x0000_i1435" type="#_x0000_t75" style="width:46.75pt;height:17.75pt" o:ole="">
            <v:imagedata r:id="rId796" o:title=""/>
          </v:shape>
          <o:OLEObject Type="Embed" ProgID="Equation.DSMT4" ShapeID="_x0000_i1435" DrawAspect="Content" ObjectID="_1840627001" r:id="rId797"/>
        </w:object>
      </w:r>
      <w:r>
        <w:rPr>
          <w:spacing w:val="-3"/>
        </w:rPr>
        <w:t xml:space="preserve"> and </w:t>
      </w:r>
      <w:r w:rsidRPr="002703B9">
        <w:rPr>
          <w:spacing w:val="-3"/>
          <w:position w:val="-12"/>
        </w:rPr>
        <w:object w:dxaOrig="800" w:dyaOrig="360" w14:anchorId="5D1E75DC">
          <v:shape id="_x0000_i1436" type="#_x0000_t75" style="width:40.2pt;height:17.75pt" o:ole="">
            <v:imagedata r:id="rId798" o:title=""/>
          </v:shape>
          <o:OLEObject Type="Embed" ProgID="Equation.DSMT4" ShapeID="_x0000_i1436" DrawAspect="Content" ObjectID="_1840627002" r:id="rId799"/>
        </w:object>
      </w:r>
      <w:r>
        <w:rPr>
          <w:spacing w:val="-3"/>
        </w:rPr>
        <w:t xml:space="preserve"> Eqns. 6.3 and 6.4 become</w:t>
      </w:r>
    </w:p>
    <w:p w14:paraId="0689852F" w14:textId="77777777" w:rsidR="00015B17" w:rsidRDefault="00015B17" w:rsidP="00015B17">
      <w:pPr>
        <w:tabs>
          <w:tab w:val="left" w:pos="-720"/>
        </w:tabs>
        <w:suppressAutoHyphens/>
        <w:spacing w:line="360" w:lineRule="auto"/>
        <w:jc w:val="both"/>
        <w:rPr>
          <w:spacing w:val="-3"/>
        </w:rPr>
      </w:pPr>
    </w:p>
    <w:p w14:paraId="64C7025C" w14:textId="77777777" w:rsidR="00015B17" w:rsidRDefault="00015B17" w:rsidP="00015B17">
      <w:pPr>
        <w:tabs>
          <w:tab w:val="left" w:pos="-720"/>
        </w:tabs>
        <w:suppressAutoHyphens/>
        <w:spacing w:line="360" w:lineRule="auto"/>
        <w:jc w:val="center"/>
        <w:rPr>
          <w:spacing w:val="-3"/>
        </w:rPr>
      </w:pPr>
      <w:r w:rsidRPr="00BB2AE6">
        <w:rPr>
          <w:position w:val="-32"/>
        </w:rPr>
        <w:object w:dxaOrig="2840" w:dyaOrig="760" w14:anchorId="749C57A1">
          <v:shape id="_x0000_i1437" type="#_x0000_t75" style="width:142.15pt;height:38.35pt" o:ole="">
            <v:imagedata r:id="rId800" o:title=""/>
          </v:shape>
          <o:OLEObject Type="Embed" ProgID="Equation.DSMT4" ShapeID="_x0000_i1437" DrawAspect="Content" ObjectID="_1840627003" r:id="rId801"/>
        </w:object>
      </w:r>
      <w:r>
        <w:tab/>
      </w:r>
      <w:r>
        <w:tab/>
      </w:r>
      <w:r>
        <w:tab/>
      </w:r>
      <w:r w:rsidRPr="00BB676C">
        <w:t>(6.</w:t>
      </w:r>
      <w:r>
        <w:t>9</w:t>
      </w:r>
      <w:r w:rsidRPr="00BB676C">
        <w:t>)</w:t>
      </w:r>
    </w:p>
    <w:p w14:paraId="41B27CA8" w14:textId="77777777" w:rsidR="00015B17" w:rsidRDefault="00015B17" w:rsidP="00015B17">
      <w:pPr>
        <w:tabs>
          <w:tab w:val="left" w:pos="-720"/>
        </w:tabs>
        <w:suppressAutoHyphens/>
        <w:spacing w:line="360" w:lineRule="auto"/>
        <w:jc w:val="center"/>
        <w:rPr>
          <w:spacing w:val="-3"/>
        </w:rPr>
      </w:pPr>
      <w:r w:rsidRPr="00BB2AE6">
        <w:rPr>
          <w:position w:val="-32"/>
        </w:rPr>
        <w:object w:dxaOrig="2900" w:dyaOrig="760" w14:anchorId="2CDAAC1B">
          <v:shape id="_x0000_i1438" type="#_x0000_t75" style="width:144.95pt;height:38.35pt" o:ole="">
            <v:imagedata r:id="rId802" o:title=""/>
          </v:shape>
          <o:OLEObject Type="Embed" ProgID="Equation.DSMT4" ShapeID="_x0000_i1438" DrawAspect="Content" ObjectID="_1840627004" r:id="rId803"/>
        </w:object>
      </w:r>
      <w:r>
        <w:tab/>
      </w:r>
      <w:r w:rsidR="006E6FC2">
        <w:t>.</w:t>
      </w:r>
      <w:r>
        <w:tab/>
      </w:r>
      <w:r w:rsidRPr="00BB676C">
        <w:t>(6.1</w:t>
      </w:r>
      <w:r>
        <w:t>0</w:t>
      </w:r>
      <w:r w:rsidRPr="00BB676C">
        <w:t>)</w:t>
      </w:r>
    </w:p>
    <w:p w14:paraId="77650ED2" w14:textId="77777777" w:rsidR="00015B17" w:rsidRDefault="00015B17" w:rsidP="00015B17">
      <w:pPr>
        <w:tabs>
          <w:tab w:val="left" w:pos="-720"/>
        </w:tabs>
        <w:suppressAutoHyphens/>
        <w:spacing w:line="360" w:lineRule="auto"/>
        <w:jc w:val="both"/>
        <w:rPr>
          <w:spacing w:val="-3"/>
        </w:rPr>
      </w:pPr>
    </w:p>
    <w:p w14:paraId="7AF68DAA" w14:textId="58353F13" w:rsidR="00015B17" w:rsidRDefault="00015B17" w:rsidP="00015B17">
      <w:pPr>
        <w:tabs>
          <w:tab w:val="left" w:pos="-720"/>
        </w:tabs>
        <w:suppressAutoHyphens/>
        <w:spacing w:line="360" w:lineRule="auto"/>
        <w:rPr>
          <w:spacing w:val="-3"/>
        </w:rPr>
      </w:pPr>
      <w:r>
        <w:rPr>
          <w:spacing w:val="-3"/>
        </w:rPr>
        <w:t xml:space="preserve">Four </w:t>
      </w:r>
      <w:r w:rsidRPr="004E4797">
        <w:rPr>
          <w:spacing w:val="-3"/>
        </w:rPr>
        <w:t xml:space="preserve">dimensionless </w:t>
      </w:r>
      <w:r>
        <w:rPr>
          <w:spacing w:val="-3"/>
        </w:rPr>
        <w:t xml:space="preserve">numbers </w:t>
      </w:r>
      <w:r w:rsidRPr="00A33F9C">
        <w:rPr>
          <w:spacing w:val="-3"/>
          <w:position w:val="-30"/>
        </w:rPr>
        <w:object w:dxaOrig="1980" w:dyaOrig="720" w14:anchorId="5C0961F2">
          <v:shape id="_x0000_i1439" type="#_x0000_t75" style="width:99.1pt;height:36.45pt" o:ole="">
            <v:imagedata r:id="rId804" o:title=""/>
          </v:shape>
          <o:OLEObject Type="Embed" ProgID="Equation.DSMT4" ShapeID="_x0000_i1439" DrawAspect="Content" ObjectID="_1840627005" r:id="rId805"/>
        </w:object>
      </w:r>
      <w:r>
        <w:rPr>
          <w:spacing w:val="-3"/>
        </w:rPr>
        <w:t xml:space="preserve"> are apparent. To within a </w:t>
      </w:r>
      <w:r w:rsidR="00E678A7">
        <w:rPr>
          <w:spacing w:val="-3"/>
        </w:rPr>
        <w:t xml:space="preserve">numerical </w:t>
      </w:r>
      <w:r>
        <w:rPr>
          <w:spacing w:val="-3"/>
        </w:rPr>
        <w:t>factor</w:t>
      </w:r>
      <w:r w:rsidR="00E678A7">
        <w:rPr>
          <w:spacing w:val="-3"/>
        </w:rPr>
        <w:t xml:space="preserve">, </w:t>
      </w:r>
      <w:r>
        <w:rPr>
          <w:spacing w:val="-3"/>
        </w:rPr>
        <w:t xml:space="preserve">these are common dimensionless numbers </w:t>
      </w:r>
      <w:r w:rsidR="00E678A7">
        <w:rPr>
          <w:spacing w:val="-3"/>
        </w:rPr>
        <w:t>defined</w:t>
      </w:r>
      <w:r>
        <w:rPr>
          <w:spacing w:val="-3"/>
        </w:rPr>
        <w:t xml:space="preserve"> in </w:t>
      </w:r>
      <w:r w:rsidR="00E678A7">
        <w:rPr>
          <w:spacing w:val="-3"/>
        </w:rPr>
        <w:t xml:space="preserve">many </w:t>
      </w:r>
      <w:r>
        <w:rPr>
          <w:spacing w:val="-3"/>
        </w:rPr>
        <w:t xml:space="preserve">heat and solute diffusion problems. The first two are called thermal and solute </w:t>
      </w:r>
      <w:r w:rsidRPr="004E4797">
        <w:rPr>
          <w:i/>
          <w:spacing w:val="-3"/>
        </w:rPr>
        <w:t>Peclet</w:t>
      </w:r>
      <w:r>
        <w:rPr>
          <w:spacing w:val="-3"/>
        </w:rPr>
        <w:t xml:space="preserve"> numbers. The reciprocals of the last two are called </w:t>
      </w:r>
      <w:r w:rsidRPr="00CF3531">
        <w:rPr>
          <w:i/>
          <w:spacing w:val="-3"/>
        </w:rPr>
        <w:t>Fourier</w:t>
      </w:r>
      <w:r>
        <w:rPr>
          <w:spacing w:val="-3"/>
        </w:rPr>
        <w:t xml:space="preserve"> numbers. In the liquid and solid phases, the corresponding values of the thermal diffusion and solute diffusion coefficients are employed for analysis of processes in the liquid or solid respectively. Fourier numbers are most important for unsteady processes and Peclet numbers are important for steady state (constant </w:t>
      </w:r>
      <w:r w:rsidRPr="003364BE">
        <w:rPr>
          <w:i/>
          <w:spacing w:val="-3"/>
        </w:rPr>
        <w:t>V</w:t>
      </w:r>
      <w:r>
        <w:rPr>
          <w:spacing w:val="-3"/>
        </w:rPr>
        <w:t xml:space="preserve">) </w:t>
      </w:r>
      <w:r w:rsidRPr="003364BE">
        <w:rPr>
          <w:spacing w:val="-3"/>
        </w:rPr>
        <w:t>pro</w:t>
      </w:r>
      <w:r>
        <w:rPr>
          <w:spacing w:val="-3"/>
        </w:rPr>
        <w:t>cesses. These parameters arise in many models of solidification. In this section we consider events on the scale of the liquid-solid interface and treat mostly steady processes (</w:t>
      </w:r>
      <w:r w:rsidRPr="00D40932">
        <w:rPr>
          <w:spacing w:val="-3"/>
          <w:position w:val="-6"/>
        </w:rPr>
        <w:object w:dxaOrig="900" w:dyaOrig="279" w14:anchorId="6EFF6E75">
          <v:shape id="_x0000_i1440" type="#_x0000_t75" style="width:44.9pt;height:14.05pt" o:ole="">
            <v:imagedata r:id="rId806" o:title=""/>
          </v:shape>
          <o:OLEObject Type="Embed" ProgID="Equation.DSMT4" ShapeID="_x0000_i1440" DrawAspect="Content" ObjectID="_1840627006" r:id="rId807"/>
        </w:object>
      </w:r>
      <w:r>
        <w:rPr>
          <w:spacing w:val="-3"/>
        </w:rPr>
        <w:t>)</w:t>
      </w:r>
      <w:r w:rsidR="009D3AD0">
        <w:rPr>
          <w:spacing w:val="-3"/>
        </w:rPr>
        <w:t xml:space="preserve">, i.e., </w:t>
      </w:r>
      <w:r w:rsidR="009D3AD0" w:rsidRPr="003E0F31">
        <w:rPr>
          <w:i/>
          <w:iCs/>
          <w:spacing w:val="-3"/>
        </w:rPr>
        <w:t>T(z)</w:t>
      </w:r>
      <w:r w:rsidR="009D3AD0">
        <w:rPr>
          <w:spacing w:val="-3"/>
        </w:rPr>
        <w:t xml:space="preserve"> and </w:t>
      </w:r>
      <w:r w:rsidR="009D3AD0" w:rsidRPr="003E0F31">
        <w:rPr>
          <w:i/>
          <w:iCs/>
          <w:spacing w:val="-3"/>
        </w:rPr>
        <w:t>C(z)</w:t>
      </w:r>
      <w:r w:rsidR="009D3AD0">
        <w:rPr>
          <w:spacing w:val="-3"/>
        </w:rPr>
        <w:t xml:space="preserve"> only</w:t>
      </w:r>
      <w:r>
        <w:rPr>
          <w:spacing w:val="-3"/>
        </w:rPr>
        <w:t xml:space="preserve">. Thus the </w:t>
      </w:r>
      <w:r w:rsidRPr="00D40932">
        <w:rPr>
          <w:i/>
          <w:spacing w:val="-3"/>
        </w:rPr>
        <w:t>Peclet</w:t>
      </w:r>
      <w:r>
        <w:rPr>
          <w:spacing w:val="-3"/>
        </w:rPr>
        <w:t xml:space="preserve"> numbers take on prime importance. However we will employ Fourier numbers in the models of microsegregation described in Section 7.3.</w:t>
      </w:r>
    </w:p>
    <w:p w14:paraId="5FA5AADE" w14:textId="77777777" w:rsidR="00015B17" w:rsidRDefault="00015B17" w:rsidP="00015B17">
      <w:pPr>
        <w:tabs>
          <w:tab w:val="left" w:pos="-720"/>
        </w:tabs>
        <w:suppressAutoHyphens/>
        <w:spacing w:line="360" w:lineRule="auto"/>
        <w:jc w:val="both"/>
        <w:rPr>
          <w:spacing w:val="-3"/>
        </w:rPr>
      </w:pPr>
    </w:p>
    <w:p w14:paraId="7198E714" w14:textId="361CEF83" w:rsidR="00015B17" w:rsidRDefault="00015B17" w:rsidP="00015B17">
      <w:pPr>
        <w:tabs>
          <w:tab w:val="left" w:pos="-720"/>
        </w:tabs>
        <w:suppressAutoHyphens/>
        <w:spacing w:line="360" w:lineRule="auto"/>
        <w:rPr>
          <w:spacing w:val="-3"/>
        </w:rPr>
      </w:pPr>
      <w:r>
        <w:rPr>
          <w:spacing w:val="-3"/>
        </w:rPr>
        <w:tab/>
        <w:t>Typical values (in</w:t>
      </w:r>
      <w:r w:rsidR="00E678A7">
        <w:rPr>
          <w:spacing w:val="-3"/>
        </w:rPr>
        <w:t xml:space="preserve"> </w:t>
      </w:r>
      <w:r w:rsidRPr="00A33F9C">
        <w:rPr>
          <w:spacing w:val="-3"/>
          <w:position w:val="-6"/>
        </w:rPr>
        <w:object w:dxaOrig="580" w:dyaOrig="320" w14:anchorId="583D6DC5">
          <v:shape id="_x0000_i1441" type="#_x0000_t75" style="width:29pt;height:16.85pt" o:ole="">
            <v:imagedata r:id="rId808" o:title=""/>
          </v:shape>
          <o:OLEObject Type="Embed" ProgID="Equation.DSMT4" ShapeID="_x0000_i1441" DrawAspect="Content" ObjectID="_1840627007" r:id="rId809"/>
        </w:object>
      </w:r>
      <w:r w:rsidRPr="00722E99">
        <w:rPr>
          <w:spacing w:val="-3"/>
        </w:rPr>
        <w:fldChar w:fldCharType="begin"/>
      </w:r>
      <w:r w:rsidRPr="00722E99">
        <w:rPr>
          <w:spacing w:val="-3"/>
        </w:rPr>
        <w:instrText xml:space="preserve"> QUOTE </w:instrText>
      </w:r>
      <m:oMath>
        <m:sSup>
          <m:sSupPr>
            <m:ctrlPr>
              <w:rPr>
                <w:rFonts w:ascii="Cambria Math" w:hAnsi="Cambria Math"/>
                <w:i/>
                <w:spacing w:val="-3"/>
              </w:rPr>
            </m:ctrlPr>
          </m:sSupPr>
          <m:e>
            <m:r>
              <m:rPr>
                <m:sty m:val="p"/>
              </m:rPr>
              <w:rPr>
                <w:rFonts w:ascii="Cambria Math" w:hAnsi="Cambria Math"/>
                <w:spacing w:val="-3"/>
              </w:rPr>
              <m:t>m</m:t>
            </m:r>
          </m:e>
          <m:sup>
            <m:r>
              <m:rPr>
                <m:sty m:val="p"/>
              </m:rPr>
              <w:rPr>
                <w:rFonts w:ascii="Cambria Math" w:hAnsi="Cambria Math"/>
                <w:spacing w:val="-3"/>
              </w:rPr>
              <m:t>2</m:t>
            </m:r>
          </m:sup>
        </m:sSup>
        <m:sSup>
          <m:sSupPr>
            <m:ctrlPr>
              <w:rPr>
                <w:rFonts w:ascii="Cambria Math" w:hAnsi="Cambria Math"/>
                <w:i/>
                <w:spacing w:val="-3"/>
              </w:rPr>
            </m:ctrlPr>
          </m:sSupPr>
          <m:e>
            <m:r>
              <m:rPr>
                <m:sty m:val="p"/>
              </m:rPr>
              <w:rPr>
                <w:rFonts w:ascii="Cambria Math" w:hAnsi="Cambria Math"/>
                <w:spacing w:val="-3"/>
              </w:rPr>
              <m:t>s</m:t>
            </m:r>
          </m:e>
          <m:sup>
            <m:r>
              <m:rPr>
                <m:sty m:val="p"/>
              </m:rPr>
              <w:rPr>
                <w:rFonts w:ascii="Cambria Math" w:hAnsi="Cambria Math"/>
                <w:spacing w:val="-3"/>
              </w:rPr>
              <m:t>-1</m:t>
            </m:r>
          </m:sup>
        </m:sSup>
      </m:oMath>
      <w:r w:rsidRPr="00722E99">
        <w:rPr>
          <w:spacing w:val="-3"/>
        </w:rPr>
        <w:instrText xml:space="preserve"> </w:instrText>
      </w:r>
      <w:r w:rsidRPr="00722E99">
        <w:rPr>
          <w:spacing w:val="-3"/>
        </w:rPr>
        <w:fldChar w:fldCharType="separate"/>
      </w:r>
      <w:r w:rsidRPr="00722E99">
        <w:rPr>
          <w:spacing w:val="-3"/>
        </w:rPr>
        <w:fldChar w:fldCharType="end"/>
      </w:r>
      <w:r>
        <w:rPr>
          <w:spacing w:val="-3"/>
        </w:rPr>
        <w:t xml:space="preserve">) for the thermal and solute diffusivity for alloys </w:t>
      </w:r>
      <w:r w:rsidR="00E678A7">
        <w:rPr>
          <w:spacing w:val="-3"/>
        </w:rPr>
        <w:t>are</w:t>
      </w:r>
      <w:r w:rsidRPr="00722E99">
        <w:rPr>
          <w:spacing w:val="-3"/>
        </w:rPr>
        <w:fldChar w:fldCharType="begin"/>
      </w:r>
      <w:r w:rsidRPr="00722E99">
        <w:rPr>
          <w:spacing w:val="-3"/>
        </w:rPr>
        <w:instrText xml:space="preserve"> QUOTE </w:instrText>
      </w:r>
      <m:oMath>
        <m:sSub>
          <m:sSubPr>
            <m:ctrlPr>
              <w:rPr>
                <w:rFonts w:ascii="Cambria Math" w:hAnsi="Cambria Math"/>
                <w:i/>
                <w:spacing w:val="-3"/>
              </w:rPr>
            </m:ctrlPr>
          </m:sSubPr>
          <m:e>
            <m:r>
              <m:rPr>
                <m:sty m:val="p"/>
              </m:rPr>
              <w:rPr>
                <w:rFonts w:ascii="Cambria Math" w:hAnsi="Cambria Math"/>
                <w:spacing w:val="-3"/>
              </w:rPr>
              <m:t>α</m:t>
            </m:r>
          </m:e>
          <m:sub>
            <m:r>
              <m:rPr>
                <m:sty m:val="p"/>
              </m:rPr>
              <w:rPr>
                <w:rFonts w:ascii="Cambria Math" w:hAnsi="Cambria Math"/>
                <w:spacing w:val="-3"/>
              </w:rPr>
              <m:t>S</m:t>
            </m:r>
          </m:sub>
        </m:sSub>
        <m:r>
          <m:rPr>
            <m:sty m:val="p"/>
          </m:rPr>
          <w:rPr>
            <w:rFonts w:ascii="Cambria Math" w:hAnsi="Cambria Math"/>
            <w:spacing w:val="-3"/>
          </w:rPr>
          <m:t>=</m:t>
        </m:r>
        <m:sSub>
          <m:sSubPr>
            <m:ctrlPr>
              <w:rPr>
                <w:rFonts w:ascii="Cambria Math" w:hAnsi="Cambria Math"/>
                <w:i/>
                <w:spacing w:val="-3"/>
              </w:rPr>
            </m:ctrlPr>
          </m:sSubPr>
          <m:e>
            <m:r>
              <m:rPr>
                <m:sty m:val="p"/>
              </m:rPr>
              <w:rPr>
                <w:rFonts w:ascii="Cambria Math" w:hAnsi="Cambria Math"/>
                <w:spacing w:val="-3"/>
              </w:rPr>
              <m:t>α</m:t>
            </m:r>
          </m:e>
          <m:sub>
            <m:r>
              <m:rPr>
                <m:sty m:val="p"/>
              </m:rPr>
              <w:rPr>
                <w:rFonts w:ascii="Cambria Math" w:hAnsi="Cambria Math"/>
                <w:spacing w:val="-3"/>
              </w:rPr>
              <m:t>L</m:t>
            </m:r>
          </m:sub>
        </m:sSub>
        <m:r>
          <m:rPr>
            <m:sty m:val="p"/>
          </m:rPr>
          <w:rPr>
            <w:rFonts w:ascii="Cambria Math" w:hAnsi="Cambria Math"/>
            <w:spacing w:val="-3"/>
          </w:rPr>
          <m:t>=</m:t>
        </m:r>
        <m:sSup>
          <m:sSupPr>
            <m:ctrlPr>
              <w:rPr>
                <w:rFonts w:ascii="Cambria Math" w:hAnsi="Cambria Math"/>
                <w:i/>
                <w:spacing w:val="-3"/>
              </w:rPr>
            </m:ctrlPr>
          </m:sSupPr>
          <m:e>
            <m:r>
              <m:rPr>
                <m:sty m:val="p"/>
              </m:rPr>
              <w:rPr>
                <w:rFonts w:ascii="Cambria Math" w:hAnsi="Cambria Math"/>
                <w:spacing w:val="-3"/>
              </w:rPr>
              <m:t>10</m:t>
            </m:r>
          </m:e>
          <m:sup>
            <m:r>
              <m:rPr>
                <m:sty m:val="p"/>
              </m:rPr>
              <w:rPr>
                <w:rFonts w:ascii="Cambria Math" w:hAnsi="Cambria Math"/>
                <w:spacing w:val="-3"/>
              </w:rPr>
              <m:t>-3</m:t>
            </m:r>
          </m:sup>
        </m:sSup>
      </m:oMath>
      <w:r w:rsidRPr="00722E99">
        <w:rPr>
          <w:spacing w:val="-3"/>
        </w:rPr>
        <w:instrText xml:space="preserve"> </w:instrText>
      </w:r>
      <w:r w:rsidRPr="00722E99">
        <w:rPr>
          <w:spacing w:val="-3"/>
        </w:rPr>
        <w:fldChar w:fldCharType="separate"/>
      </w:r>
      <w:r w:rsidRPr="00722E99">
        <w:rPr>
          <w:spacing w:val="-3"/>
        </w:rPr>
        <w:fldChar w:fldCharType="end"/>
      </w:r>
      <w:r w:rsidRPr="00A33F9C">
        <w:rPr>
          <w:spacing w:val="-3"/>
          <w:position w:val="-12"/>
        </w:rPr>
        <w:object w:dxaOrig="1440" w:dyaOrig="380" w14:anchorId="0A74B934">
          <v:shape id="_x0000_i1442" type="#_x0000_t75" style="width:1in;height:18.7pt" o:ole="">
            <v:imagedata r:id="rId810" o:title=""/>
          </v:shape>
          <o:OLEObject Type="Embed" ProgID="Equation.DSMT4" ShapeID="_x0000_i1442" DrawAspect="Content" ObjectID="_1840627008" r:id="rId811"/>
        </w:object>
      </w:r>
      <w:r>
        <w:rPr>
          <w:spacing w:val="-3"/>
        </w:rPr>
        <w:t xml:space="preserve">, </w:t>
      </w:r>
      <w:r w:rsidRPr="00A33F9C">
        <w:rPr>
          <w:spacing w:val="-3"/>
          <w:position w:val="-12"/>
        </w:rPr>
        <w:object w:dxaOrig="960" w:dyaOrig="380" w14:anchorId="3AF1C247">
          <v:shape id="_x0000_i1443" type="#_x0000_t75" style="width:47.7pt;height:18.7pt" o:ole="">
            <v:imagedata r:id="rId812" o:title=""/>
          </v:shape>
          <o:OLEObject Type="Embed" ProgID="Equation.DSMT4" ShapeID="_x0000_i1443" DrawAspect="Content" ObjectID="_1840627009" r:id="rId813"/>
        </w:object>
      </w:r>
      <w:r w:rsidRPr="00722E99">
        <w:rPr>
          <w:spacing w:val="-3"/>
        </w:rPr>
        <w:fldChar w:fldCharType="begin"/>
      </w:r>
      <w:r w:rsidRPr="00722E99">
        <w:rPr>
          <w:spacing w:val="-3"/>
        </w:rPr>
        <w:instrText xml:space="preserve"> QUOTE </w:instrText>
      </w:r>
      <m:oMath>
        <m:sSub>
          <m:sSubPr>
            <m:ctrlPr>
              <w:rPr>
                <w:rFonts w:ascii="Cambria Math" w:hAnsi="Cambria Math"/>
                <w:i/>
                <w:spacing w:val="-3"/>
              </w:rPr>
            </m:ctrlPr>
          </m:sSubPr>
          <m:e>
            <m:r>
              <m:rPr>
                <m:sty m:val="p"/>
              </m:rPr>
              <w:rPr>
                <w:rFonts w:ascii="Cambria Math" w:hAnsi="Cambria Math"/>
                <w:spacing w:val="-3"/>
              </w:rPr>
              <m:t>D</m:t>
            </m:r>
          </m:e>
          <m:sub>
            <m:r>
              <m:rPr>
                <m:sty m:val="p"/>
              </m:rPr>
              <w:rPr>
                <w:rFonts w:ascii="Cambria Math" w:hAnsi="Cambria Math"/>
                <w:spacing w:val="-3"/>
              </w:rPr>
              <m:t>L</m:t>
            </m:r>
          </m:sub>
        </m:sSub>
        <m:r>
          <m:rPr>
            <m:sty m:val="p"/>
          </m:rPr>
          <w:rPr>
            <w:rFonts w:ascii="Cambria Math" w:hAnsi="Cambria Math"/>
            <w:spacing w:val="-3"/>
          </w:rPr>
          <m:t>=</m:t>
        </m:r>
        <m:sSup>
          <m:sSupPr>
            <m:ctrlPr>
              <w:rPr>
                <w:rFonts w:ascii="Cambria Math" w:hAnsi="Cambria Math"/>
                <w:i/>
                <w:spacing w:val="-3"/>
              </w:rPr>
            </m:ctrlPr>
          </m:sSupPr>
          <m:e>
            <m:r>
              <m:rPr>
                <m:sty m:val="p"/>
              </m:rPr>
              <w:rPr>
                <w:rFonts w:ascii="Cambria Math" w:hAnsi="Cambria Math"/>
                <w:spacing w:val="-3"/>
              </w:rPr>
              <m:t>10</m:t>
            </m:r>
          </m:e>
          <m:sup>
            <m:r>
              <m:rPr>
                <m:sty m:val="p"/>
              </m:rPr>
              <w:rPr>
                <w:rFonts w:ascii="Cambria Math" w:hAnsi="Cambria Math"/>
                <w:spacing w:val="-3"/>
              </w:rPr>
              <m:t>-9</m:t>
            </m:r>
          </m:sup>
        </m:sSup>
      </m:oMath>
      <w:r w:rsidRPr="00722E99">
        <w:rPr>
          <w:spacing w:val="-3"/>
        </w:rPr>
        <w:instrText xml:space="preserve"> </w:instrText>
      </w:r>
      <w:r w:rsidRPr="00722E99">
        <w:rPr>
          <w:spacing w:val="-3"/>
        </w:rPr>
        <w:fldChar w:fldCharType="separate"/>
      </w:r>
      <w:r w:rsidRPr="00722E99">
        <w:rPr>
          <w:spacing w:val="-3"/>
        </w:rPr>
        <w:fldChar w:fldCharType="end"/>
      </w:r>
      <w:r>
        <w:rPr>
          <w:spacing w:val="-3"/>
        </w:rPr>
        <w:t xml:space="preserve"> </w:t>
      </w:r>
      <w:r w:rsidR="00E678A7">
        <w:rPr>
          <w:spacing w:val="-3"/>
        </w:rPr>
        <w:t xml:space="preserve">and </w:t>
      </w:r>
      <w:r w:rsidRPr="00A33F9C">
        <w:rPr>
          <w:spacing w:val="-3"/>
          <w:position w:val="-12"/>
        </w:rPr>
        <w:object w:dxaOrig="1040" w:dyaOrig="380" w14:anchorId="70E517EB">
          <v:shape id="_x0000_i1444" type="#_x0000_t75" style="width:52.35pt;height:18.7pt" o:ole="">
            <v:imagedata r:id="rId814" o:title=""/>
          </v:shape>
          <o:OLEObject Type="Embed" ProgID="Equation.DSMT4" ShapeID="_x0000_i1444" DrawAspect="Content" ObjectID="_1840627010" r:id="rId815"/>
        </w:object>
      </w:r>
      <w:r w:rsidRPr="00722E99">
        <w:rPr>
          <w:spacing w:val="-3"/>
        </w:rPr>
        <w:fldChar w:fldCharType="begin"/>
      </w:r>
      <w:r w:rsidRPr="00722E99">
        <w:rPr>
          <w:spacing w:val="-3"/>
        </w:rPr>
        <w:instrText xml:space="preserve"> QUOTE </w:instrText>
      </w:r>
      <m:oMath>
        <m:sSub>
          <m:sSubPr>
            <m:ctrlPr>
              <w:rPr>
                <w:rFonts w:ascii="Cambria Math" w:hAnsi="Cambria Math"/>
                <w:i/>
                <w:spacing w:val="-3"/>
              </w:rPr>
            </m:ctrlPr>
          </m:sSubPr>
          <m:e>
            <m:r>
              <m:rPr>
                <m:sty m:val="p"/>
              </m:rPr>
              <w:rPr>
                <w:rFonts w:ascii="Cambria Math" w:hAnsi="Cambria Math"/>
                <w:spacing w:val="-3"/>
              </w:rPr>
              <m:t>D</m:t>
            </m:r>
          </m:e>
          <m:sub>
            <m:r>
              <m:rPr>
                <m:sty m:val="p"/>
              </m:rPr>
              <w:rPr>
                <w:rFonts w:ascii="Cambria Math" w:hAnsi="Cambria Math"/>
                <w:spacing w:val="-3"/>
              </w:rPr>
              <m:t>S</m:t>
            </m:r>
          </m:sub>
        </m:sSub>
        <m:r>
          <m:rPr>
            <m:sty m:val="p"/>
          </m:rPr>
          <w:rPr>
            <w:rFonts w:ascii="Cambria Math" w:hAnsi="Cambria Math"/>
            <w:spacing w:val="-3"/>
          </w:rPr>
          <m:t>=</m:t>
        </m:r>
        <m:sSup>
          <m:sSupPr>
            <m:ctrlPr>
              <w:rPr>
                <w:rFonts w:ascii="Cambria Math" w:hAnsi="Cambria Math"/>
                <w:i/>
                <w:spacing w:val="-3"/>
              </w:rPr>
            </m:ctrlPr>
          </m:sSupPr>
          <m:e>
            <m:r>
              <m:rPr>
                <m:sty m:val="p"/>
              </m:rPr>
              <w:rPr>
                <w:rFonts w:ascii="Cambria Math" w:hAnsi="Cambria Math"/>
                <w:spacing w:val="-3"/>
              </w:rPr>
              <m:t>10</m:t>
            </m:r>
          </m:e>
          <m:sup>
            <m:r>
              <m:rPr>
                <m:sty m:val="p"/>
              </m:rPr>
              <w:rPr>
                <w:rFonts w:ascii="Cambria Math" w:hAnsi="Cambria Math"/>
                <w:spacing w:val="-3"/>
              </w:rPr>
              <m:t>-14</m:t>
            </m:r>
          </m:sup>
        </m:sSup>
      </m:oMath>
      <w:r w:rsidRPr="00722E99">
        <w:rPr>
          <w:spacing w:val="-3"/>
        </w:rPr>
        <w:instrText xml:space="preserve"> </w:instrText>
      </w:r>
      <w:r w:rsidRPr="00722E99">
        <w:rPr>
          <w:spacing w:val="-3"/>
        </w:rPr>
        <w:fldChar w:fldCharType="separate"/>
      </w:r>
      <w:r w:rsidRPr="00722E99">
        <w:rPr>
          <w:spacing w:val="-3"/>
        </w:rPr>
        <w:fldChar w:fldCharType="end"/>
      </w:r>
      <w:r>
        <w:rPr>
          <w:spacing w:val="-3"/>
        </w:rPr>
        <w:t>.</w:t>
      </w:r>
      <w:r w:rsidR="0051677B">
        <w:rPr>
          <w:spacing w:val="-3"/>
        </w:rPr>
        <w:t xml:space="preserve"> </w:t>
      </w:r>
      <w:r>
        <w:rPr>
          <w:spacing w:val="-3"/>
        </w:rPr>
        <w:t>For</w:t>
      </w:r>
      <w:r w:rsidR="0051677B">
        <w:rPr>
          <w:spacing w:val="-3"/>
        </w:rPr>
        <w:t xml:space="preserve"> </w:t>
      </w:r>
      <w:r>
        <w:rPr>
          <w:spacing w:val="-3"/>
        </w:rPr>
        <w:t xml:space="preserve">a </w:t>
      </w:r>
      <w:r w:rsidR="0051677B">
        <w:rPr>
          <w:spacing w:val="-3"/>
        </w:rPr>
        <w:t xml:space="preserve">conventional </w:t>
      </w:r>
      <w:r>
        <w:rPr>
          <w:spacing w:val="-3"/>
        </w:rPr>
        <w:t xml:space="preserve">solidification </w:t>
      </w:r>
      <w:r w:rsidR="0051677B">
        <w:rPr>
          <w:spacing w:val="-3"/>
        </w:rPr>
        <w:t>process</w:t>
      </w:r>
      <w:r>
        <w:rPr>
          <w:spacing w:val="-3"/>
        </w:rPr>
        <w:t xml:space="preserve">, </w:t>
      </w:r>
      <w:r w:rsidRPr="00A33F9C">
        <w:rPr>
          <w:spacing w:val="-3"/>
          <w:position w:val="-10"/>
        </w:rPr>
        <w:object w:dxaOrig="1420" w:dyaOrig="360" w14:anchorId="1099FAF3">
          <v:shape id="_x0000_i1445" type="#_x0000_t75" style="width:71.05pt;height:17.75pt" o:ole="">
            <v:imagedata r:id="rId816" o:title=""/>
          </v:shape>
          <o:OLEObject Type="Embed" ProgID="Equation.DSMT4" ShapeID="_x0000_i1445" DrawAspect="Content" ObjectID="_1840627011" r:id="rId817"/>
        </w:object>
      </w:r>
      <w:r w:rsidRPr="00722E99">
        <w:rPr>
          <w:spacing w:val="-3"/>
        </w:rPr>
        <w:fldChar w:fldCharType="begin"/>
      </w:r>
      <w:r w:rsidRPr="00722E99">
        <w:rPr>
          <w:spacing w:val="-3"/>
        </w:rPr>
        <w:instrText xml:space="preserve"> QUOTE </w:instrText>
      </w:r>
      <m:oMath>
        <m:r>
          <m:rPr>
            <m:sty m:val="p"/>
          </m:rPr>
          <w:rPr>
            <w:rFonts w:ascii="Cambria Math" w:hAnsi="Cambria Math"/>
            <w:spacing w:val="-3"/>
          </w:rPr>
          <m:t>V=</m:t>
        </m:r>
        <m:sSup>
          <m:sSupPr>
            <m:ctrlPr>
              <w:rPr>
                <w:rFonts w:ascii="Cambria Math" w:hAnsi="Cambria Math"/>
                <w:i/>
                <w:spacing w:val="-3"/>
              </w:rPr>
            </m:ctrlPr>
          </m:sSupPr>
          <m:e>
            <m:r>
              <m:rPr>
                <m:sty m:val="p"/>
              </m:rPr>
              <w:rPr>
                <w:rFonts w:ascii="Cambria Math" w:hAnsi="Cambria Math"/>
                <w:spacing w:val="-3"/>
              </w:rPr>
              <m:t>10</m:t>
            </m:r>
          </m:e>
          <m:sup>
            <m:r>
              <m:rPr>
                <m:sty m:val="p"/>
              </m:rPr>
              <w:rPr>
                <w:rFonts w:ascii="Cambria Math" w:hAnsi="Cambria Math"/>
                <w:spacing w:val="-3"/>
              </w:rPr>
              <m:t>-4</m:t>
            </m:r>
          </m:sup>
        </m:sSup>
        <m:r>
          <m:rPr>
            <m:sty m:val="p"/>
          </m:rPr>
          <w:rPr>
            <w:rFonts w:ascii="Cambria Math" w:hAnsi="Cambria Math"/>
            <w:spacing w:val="-3"/>
          </w:rPr>
          <m:t xml:space="preserve"> m</m:t>
        </m:r>
        <m:sSup>
          <m:sSupPr>
            <m:ctrlPr>
              <w:rPr>
                <w:rFonts w:ascii="Cambria Math" w:hAnsi="Cambria Math"/>
                <w:i/>
                <w:spacing w:val="-3"/>
              </w:rPr>
            </m:ctrlPr>
          </m:sSupPr>
          <m:e>
            <m:r>
              <m:rPr>
                <m:sty m:val="p"/>
              </m:rPr>
              <w:rPr>
                <w:rFonts w:ascii="Cambria Math" w:hAnsi="Cambria Math"/>
                <w:spacing w:val="-3"/>
              </w:rPr>
              <m:t>s</m:t>
            </m:r>
          </m:e>
          <m:sup>
            <m:r>
              <m:rPr>
                <m:sty m:val="p"/>
              </m:rPr>
              <w:rPr>
                <w:rFonts w:ascii="Cambria Math" w:hAnsi="Cambria Math"/>
                <w:spacing w:val="-3"/>
              </w:rPr>
              <m:t>-1</m:t>
            </m:r>
          </m:sup>
        </m:sSup>
      </m:oMath>
      <w:r w:rsidRPr="00722E99">
        <w:rPr>
          <w:spacing w:val="-3"/>
        </w:rPr>
        <w:instrText xml:space="preserve"> </w:instrText>
      </w:r>
      <w:r w:rsidRPr="00722E99">
        <w:rPr>
          <w:spacing w:val="-3"/>
        </w:rPr>
        <w:fldChar w:fldCharType="separate"/>
      </w:r>
      <w:r w:rsidRPr="00722E99">
        <w:rPr>
          <w:spacing w:val="-3"/>
        </w:rPr>
        <w:fldChar w:fldCharType="end"/>
      </w:r>
      <w:r>
        <w:rPr>
          <w:spacing w:val="-3"/>
        </w:rPr>
        <w:t xml:space="preserve"> and </w:t>
      </w:r>
      <w:r w:rsidR="0051677B">
        <w:rPr>
          <w:spacing w:val="-3"/>
        </w:rPr>
        <w:t xml:space="preserve">a length scale typical of the L-S mushy zone is </w:t>
      </w:r>
      <w:r w:rsidR="0051677B" w:rsidRPr="00A33F9C">
        <w:rPr>
          <w:spacing w:val="-3"/>
          <w:position w:val="-12"/>
        </w:rPr>
        <w:object w:dxaOrig="1160" w:dyaOrig="380" w14:anchorId="0267B50F">
          <v:shape id="_x0000_i1446" type="#_x0000_t75" style="width:57.95pt;height:18.7pt" o:ole="">
            <v:imagedata r:id="rId818" o:title=""/>
          </v:shape>
          <o:OLEObject Type="Embed" ProgID="Equation.DSMT4" ShapeID="_x0000_i1446" DrawAspect="Content" ObjectID="_1840627012" r:id="rId819"/>
        </w:object>
      </w:r>
      <w:r w:rsidR="0051677B">
        <w:rPr>
          <w:spacing w:val="-3"/>
        </w:rPr>
        <w:t xml:space="preserve">. Hence, </w:t>
      </w:r>
      <w:r w:rsidRPr="00722E99">
        <w:rPr>
          <w:spacing w:val="-3"/>
        </w:rPr>
        <w:fldChar w:fldCharType="begin"/>
      </w:r>
      <w:r w:rsidRPr="00722E99">
        <w:rPr>
          <w:spacing w:val="-3"/>
        </w:rPr>
        <w:instrText xml:space="preserve"> QUOTE </w:instrText>
      </w:r>
      <m:oMath>
        <m:sSub>
          <m:sSubPr>
            <m:ctrlPr>
              <w:rPr>
                <w:rFonts w:ascii="Cambria Math" w:hAnsi="Cambria Math"/>
                <w:i/>
                <w:spacing w:val="-3"/>
              </w:rPr>
            </m:ctrlPr>
          </m:sSubPr>
          <m:e>
            <m:r>
              <m:rPr>
                <m:sty m:val="p"/>
              </m:rPr>
              <w:rPr>
                <w:rFonts w:ascii="Cambria Math" w:hAnsi="Cambria Math"/>
                <w:spacing w:val="-3"/>
              </w:rPr>
              <m:t>L</m:t>
            </m:r>
          </m:e>
          <m:sub>
            <m:r>
              <m:rPr>
                <m:sty m:val="p"/>
              </m:rPr>
              <w:rPr>
                <w:rFonts w:ascii="Cambria Math" w:hAnsi="Cambria Math"/>
                <w:spacing w:val="-3"/>
              </w:rPr>
              <m:t>0</m:t>
            </m:r>
          </m:sub>
        </m:sSub>
        <m:r>
          <m:rPr>
            <m:sty m:val="p"/>
          </m:rPr>
          <w:rPr>
            <w:rFonts w:ascii="Cambria Math" w:hAnsi="Cambria Math"/>
            <w:spacing w:val="-3"/>
          </w:rPr>
          <m:t>=</m:t>
        </m:r>
        <m:sSup>
          <m:sSupPr>
            <m:ctrlPr>
              <w:rPr>
                <w:rFonts w:ascii="Cambria Math" w:hAnsi="Cambria Math"/>
                <w:i/>
                <w:spacing w:val="-3"/>
              </w:rPr>
            </m:ctrlPr>
          </m:sSupPr>
          <m:e>
            <m:r>
              <m:rPr>
                <m:sty m:val="p"/>
              </m:rPr>
              <w:rPr>
                <w:rFonts w:ascii="Cambria Math" w:hAnsi="Cambria Math"/>
                <w:spacing w:val="-3"/>
              </w:rPr>
              <m:t>10</m:t>
            </m:r>
          </m:e>
          <m:sup>
            <m:r>
              <m:rPr>
                <m:sty m:val="p"/>
              </m:rPr>
              <w:rPr>
                <w:rFonts w:ascii="Cambria Math" w:hAnsi="Cambria Math"/>
                <w:spacing w:val="-3"/>
              </w:rPr>
              <m:t>-1</m:t>
            </m:r>
          </m:sup>
        </m:sSup>
        <m:r>
          <m:rPr>
            <m:sty m:val="p"/>
          </m:rPr>
          <w:rPr>
            <w:rFonts w:ascii="Cambria Math" w:hAnsi="Cambria Math"/>
            <w:spacing w:val="-3"/>
          </w:rPr>
          <m:t>m</m:t>
        </m:r>
      </m:oMath>
      <w:r w:rsidRPr="00722E99">
        <w:rPr>
          <w:spacing w:val="-3"/>
        </w:rPr>
        <w:instrText xml:space="preserve"> </w:instrText>
      </w:r>
      <w:r w:rsidRPr="00722E99">
        <w:rPr>
          <w:spacing w:val="-3"/>
        </w:rPr>
        <w:fldChar w:fldCharType="separate"/>
      </w:r>
      <w:r w:rsidRPr="00722E99">
        <w:rPr>
          <w:spacing w:val="-3"/>
        </w:rPr>
        <w:fldChar w:fldCharType="end"/>
      </w:r>
      <w:r w:rsidR="0051677B">
        <w:rPr>
          <w:spacing w:val="-3"/>
        </w:rPr>
        <w:t>t</w:t>
      </w:r>
      <w:r>
        <w:rPr>
          <w:spacing w:val="-3"/>
        </w:rPr>
        <w:t xml:space="preserve">he thermal Peclet numbers </w:t>
      </w:r>
      <w:r w:rsidR="0051677B">
        <w:rPr>
          <w:spacing w:val="-3"/>
        </w:rPr>
        <w:t xml:space="preserve">(for liquid and solid) </w:t>
      </w:r>
      <w:r>
        <w:rPr>
          <w:spacing w:val="-3"/>
        </w:rPr>
        <w:t xml:space="preserve">are much smaller than unity and </w:t>
      </w:r>
      <w:r w:rsidR="0051677B">
        <w:rPr>
          <w:spacing w:val="-3"/>
        </w:rPr>
        <w:t xml:space="preserve">therefore, </w:t>
      </w:r>
      <w:r>
        <w:rPr>
          <w:spacing w:val="-3"/>
        </w:rPr>
        <w:t xml:space="preserve">the thermal diffusion equation in the liquid and solid can be approximated </w:t>
      </w:r>
      <w:r w:rsidR="0051677B">
        <w:rPr>
          <w:spacing w:val="-3"/>
        </w:rPr>
        <w:t>for steady state process</w:t>
      </w:r>
      <w:r w:rsidR="00E678A7">
        <w:rPr>
          <w:spacing w:val="-3"/>
        </w:rPr>
        <w:t>es</w:t>
      </w:r>
      <w:r w:rsidR="0051677B">
        <w:rPr>
          <w:spacing w:val="-3"/>
        </w:rPr>
        <w:t xml:space="preserve"> as </w:t>
      </w:r>
    </w:p>
    <w:p w14:paraId="11E5E1B4" w14:textId="77777777" w:rsidR="00015B17" w:rsidRDefault="00015B17" w:rsidP="00015B17">
      <w:pPr>
        <w:tabs>
          <w:tab w:val="left" w:pos="-720"/>
        </w:tabs>
        <w:suppressAutoHyphens/>
        <w:spacing w:line="360" w:lineRule="auto"/>
        <w:jc w:val="both"/>
        <w:rPr>
          <w:spacing w:val="-3"/>
        </w:rPr>
      </w:pPr>
    </w:p>
    <w:p w14:paraId="3B107E8C" w14:textId="77777777" w:rsidR="00015B17" w:rsidRDefault="00015B17" w:rsidP="00015B17">
      <w:pPr>
        <w:tabs>
          <w:tab w:val="left" w:pos="-720"/>
        </w:tabs>
        <w:suppressAutoHyphens/>
        <w:spacing w:line="360" w:lineRule="auto"/>
        <w:jc w:val="center"/>
        <w:rPr>
          <w:spacing w:val="-3"/>
        </w:rPr>
      </w:pPr>
      <w:r w:rsidRPr="00BB676C">
        <w:rPr>
          <w:spacing w:val="-3"/>
          <w:position w:val="-24"/>
        </w:rPr>
        <w:object w:dxaOrig="840" w:dyaOrig="660" w14:anchorId="23EC3B8E">
          <v:shape id="_x0000_i1447" type="#_x0000_t75" style="width:42.1pt;height:31.8pt" o:ole="">
            <v:imagedata r:id="rId820" o:title=""/>
          </v:shape>
          <o:OLEObject Type="Embed" ProgID="Equation.DSMT4" ShapeID="_x0000_i1447" DrawAspect="Content" ObjectID="_1840627013" r:id="rId821"/>
        </w:object>
      </w:r>
      <w:r>
        <w:rPr>
          <w:spacing w:val="-3"/>
        </w:rPr>
        <w:t xml:space="preserve"> </w:t>
      </w:r>
      <w:r>
        <w:rPr>
          <w:spacing w:val="-3"/>
        </w:rPr>
        <w:tab/>
      </w:r>
      <w:r w:rsidR="006E6FC2">
        <w:rPr>
          <w:spacing w:val="-3"/>
        </w:rPr>
        <w:t>.</w:t>
      </w:r>
      <w:r>
        <w:rPr>
          <w:spacing w:val="-3"/>
        </w:rPr>
        <w:tab/>
        <w:t>(6.11)</w:t>
      </w:r>
    </w:p>
    <w:p w14:paraId="02D397A1" w14:textId="77777777" w:rsidR="00015B17" w:rsidRDefault="00015B17" w:rsidP="00015B17">
      <w:pPr>
        <w:tabs>
          <w:tab w:val="left" w:pos="-720"/>
        </w:tabs>
        <w:suppressAutoHyphens/>
        <w:spacing w:line="360" w:lineRule="auto"/>
        <w:jc w:val="center"/>
        <w:rPr>
          <w:spacing w:val="-3"/>
        </w:rPr>
      </w:pPr>
    </w:p>
    <w:p w14:paraId="0A6CBC01" w14:textId="77777777" w:rsidR="00015B17" w:rsidRDefault="00015B17" w:rsidP="00015B17">
      <w:pPr>
        <w:tabs>
          <w:tab w:val="left" w:pos="-720"/>
        </w:tabs>
        <w:suppressAutoHyphens/>
        <w:spacing w:line="360" w:lineRule="auto"/>
        <w:rPr>
          <w:spacing w:val="-3"/>
        </w:rPr>
      </w:pPr>
      <w:r>
        <w:rPr>
          <w:spacing w:val="-3"/>
        </w:rPr>
        <w:t>This implies that the temperature profile for one dimensional heat flow has a linear profile</w:t>
      </w:r>
      <w:r w:rsidR="00E678A7">
        <w:rPr>
          <w:spacing w:val="-3"/>
        </w:rPr>
        <w:t xml:space="preserve"> in each phase with gradients</w:t>
      </w:r>
      <w:r>
        <w:rPr>
          <w:spacing w:val="-3"/>
        </w:rPr>
        <w:t xml:space="preserve"> that satisfies Eqns. 6.5 and 6.7 at the L-S interface. The solute Peclet numbers are not small and Eqn. 6.10 must be used to determine how the concentration varies in the z-direction. Thus in the analysis of solidification microstructure, one often views the heat flow and the solidification velocity rather trivially, as for example might be obtained in a directional solidification furnace and under the control (or imagination) of the investigator. In complex castings, often the local liquidus isotherm velocity </w:t>
      </w:r>
      <w:r w:rsidR="00E678A7">
        <w:rPr>
          <w:spacing w:val="-3"/>
        </w:rPr>
        <w:t xml:space="preserve">computed by a macroscopic heat flow code </w:t>
      </w:r>
      <w:r>
        <w:rPr>
          <w:spacing w:val="-3"/>
        </w:rPr>
        <w:t>is used as an approximation to the solidification velocity for the purposes of microstructure analysis</w:t>
      </w:r>
      <w:r w:rsidR="00E678A7">
        <w:rPr>
          <w:spacing w:val="-3"/>
        </w:rPr>
        <w:t>. In either case we often consider the microstructure as having been formed under an “imposed” solidification velocity</w:t>
      </w:r>
      <w:r>
        <w:rPr>
          <w:spacing w:val="-3"/>
        </w:rPr>
        <w:t xml:space="preserve"> as presented in subsequent sections on dendrites and eutectics. </w:t>
      </w:r>
    </w:p>
    <w:p w14:paraId="087534E8" w14:textId="77777777" w:rsidR="00015B17" w:rsidRPr="00DA1F76" w:rsidRDefault="00015B17" w:rsidP="00015B17">
      <w:pPr>
        <w:tabs>
          <w:tab w:val="left" w:pos="-720"/>
        </w:tabs>
        <w:suppressAutoHyphens/>
        <w:spacing w:line="360" w:lineRule="auto"/>
        <w:rPr>
          <w:spacing w:val="-3"/>
        </w:rPr>
      </w:pPr>
    </w:p>
    <w:p w14:paraId="137B57C8" w14:textId="163B71FA" w:rsidR="00015B17" w:rsidRPr="00DA1F76" w:rsidRDefault="00015B17" w:rsidP="00015B17">
      <w:pPr>
        <w:tabs>
          <w:tab w:val="left" w:pos="-720"/>
        </w:tabs>
        <w:suppressAutoHyphens/>
        <w:spacing w:line="360" w:lineRule="auto"/>
        <w:jc w:val="both"/>
        <w:rPr>
          <w:spacing w:val="-3"/>
        </w:rPr>
      </w:pPr>
      <w:r w:rsidRPr="00DA1F76">
        <w:rPr>
          <w:b/>
          <w:bCs/>
          <w:spacing w:val="-3"/>
        </w:rPr>
        <w:t xml:space="preserve">6.2. Solute Redistribution </w:t>
      </w:r>
      <w:r w:rsidR="00E678A7">
        <w:rPr>
          <w:b/>
          <w:bCs/>
          <w:spacing w:val="-3"/>
        </w:rPr>
        <w:t>during</w:t>
      </w:r>
      <w:r w:rsidRPr="00DA1F76">
        <w:rPr>
          <w:b/>
          <w:bCs/>
          <w:spacing w:val="-3"/>
        </w:rPr>
        <w:t xml:space="preserve"> One Dimensional Solidification</w:t>
      </w:r>
    </w:p>
    <w:p w14:paraId="7DE33E04" w14:textId="77777777" w:rsidR="00015B17" w:rsidRPr="00DA1F76" w:rsidRDefault="00015B17" w:rsidP="00015B17">
      <w:pPr>
        <w:tabs>
          <w:tab w:val="left" w:pos="-720"/>
        </w:tabs>
        <w:suppressAutoHyphens/>
        <w:spacing w:line="360" w:lineRule="auto"/>
        <w:jc w:val="both"/>
        <w:rPr>
          <w:spacing w:val="-3"/>
        </w:rPr>
      </w:pPr>
    </w:p>
    <w:p w14:paraId="11CF18C4" w14:textId="26A3864E" w:rsidR="00015B17" w:rsidRPr="00DA1F76" w:rsidRDefault="00015B17" w:rsidP="00015B17">
      <w:pPr>
        <w:tabs>
          <w:tab w:val="left" w:pos="-720"/>
        </w:tabs>
        <w:suppressAutoHyphens/>
        <w:spacing w:line="360" w:lineRule="auto"/>
        <w:rPr>
          <w:spacing w:val="-3"/>
        </w:rPr>
      </w:pPr>
      <w:r>
        <w:rPr>
          <w:spacing w:val="-3"/>
        </w:rPr>
        <w:tab/>
      </w:r>
      <w:r w:rsidR="009D3AD0">
        <w:rPr>
          <w:spacing w:val="-3"/>
        </w:rPr>
        <w:t>Four cases</w:t>
      </w:r>
      <w:r>
        <w:rPr>
          <w:spacing w:val="-3"/>
        </w:rPr>
        <w:t xml:space="preserve"> </w:t>
      </w:r>
      <w:r w:rsidRPr="00DA1F76">
        <w:rPr>
          <w:spacing w:val="-3"/>
        </w:rPr>
        <w:t>of the diffusion</w:t>
      </w:r>
      <w:r>
        <w:rPr>
          <w:spacing w:val="-3"/>
        </w:rPr>
        <w:t xml:space="preserve">al transport of solute and the resultant </w:t>
      </w:r>
      <w:r w:rsidRPr="00DA1F76">
        <w:rPr>
          <w:spacing w:val="-3"/>
        </w:rPr>
        <w:t xml:space="preserve">solute distribution </w:t>
      </w:r>
      <w:r>
        <w:rPr>
          <w:spacing w:val="-3"/>
        </w:rPr>
        <w:t xml:space="preserve">in the frozen solid </w:t>
      </w:r>
      <w:r w:rsidRPr="00DA1F76">
        <w:rPr>
          <w:spacing w:val="-3"/>
        </w:rPr>
        <w:t xml:space="preserve">can </w:t>
      </w:r>
      <w:r>
        <w:rPr>
          <w:spacing w:val="-3"/>
        </w:rPr>
        <w:t xml:space="preserve">be distinguished for </w:t>
      </w:r>
      <w:r w:rsidRPr="00DA1F76">
        <w:rPr>
          <w:spacing w:val="-3"/>
        </w:rPr>
        <w:t xml:space="preserve">solidification of a </w:t>
      </w:r>
      <w:r>
        <w:rPr>
          <w:spacing w:val="-3"/>
        </w:rPr>
        <w:t>1-D sample</w:t>
      </w:r>
      <w:r w:rsidRPr="00DA1F76">
        <w:rPr>
          <w:spacing w:val="-3"/>
        </w:rPr>
        <w:t xml:space="preserve"> (Fig.</w:t>
      </w:r>
      <w:r>
        <w:rPr>
          <w:spacing w:val="-3"/>
        </w:rPr>
        <w:t xml:space="preserve">6.1):  </w:t>
      </w:r>
      <w:r w:rsidR="009D3AD0">
        <w:rPr>
          <w:spacing w:val="-3"/>
        </w:rPr>
        <w:t xml:space="preserve">1) </w:t>
      </w:r>
      <w:r w:rsidRPr="00F63C75">
        <w:rPr>
          <w:i/>
          <w:spacing w:val="-3"/>
        </w:rPr>
        <w:t>Equilibrium</w:t>
      </w:r>
      <w:r>
        <w:rPr>
          <w:spacing w:val="-3"/>
        </w:rPr>
        <w:t xml:space="preserve"> freezing (global equilibrium assumed), </w:t>
      </w:r>
      <w:r w:rsidR="009D3AD0">
        <w:rPr>
          <w:spacing w:val="-3"/>
        </w:rPr>
        <w:t xml:space="preserve">2) </w:t>
      </w:r>
      <w:r w:rsidRPr="00F63C75">
        <w:rPr>
          <w:i/>
          <w:spacing w:val="-3"/>
        </w:rPr>
        <w:t>Scheil</w:t>
      </w:r>
      <w:r>
        <w:rPr>
          <w:spacing w:val="-3"/>
        </w:rPr>
        <w:t xml:space="preserve"> freezing, </w:t>
      </w:r>
      <w:r w:rsidR="009D3AD0">
        <w:rPr>
          <w:spacing w:val="-3"/>
        </w:rPr>
        <w:t xml:space="preserve">3) </w:t>
      </w:r>
      <w:r w:rsidRPr="00F63C75">
        <w:rPr>
          <w:i/>
          <w:spacing w:val="-3"/>
        </w:rPr>
        <w:t>steady state</w:t>
      </w:r>
      <w:r>
        <w:rPr>
          <w:spacing w:val="-3"/>
        </w:rPr>
        <w:t xml:space="preserve"> </w:t>
      </w:r>
      <w:r w:rsidR="00C24A0D">
        <w:rPr>
          <w:spacing w:val="-3"/>
        </w:rPr>
        <w:t>freezing, and</w:t>
      </w:r>
      <w:r>
        <w:rPr>
          <w:spacing w:val="-3"/>
        </w:rPr>
        <w:t xml:space="preserve"> </w:t>
      </w:r>
      <w:r w:rsidR="009D3AD0">
        <w:rPr>
          <w:spacing w:val="-3"/>
        </w:rPr>
        <w:t xml:space="preserve">4) </w:t>
      </w:r>
      <w:r>
        <w:rPr>
          <w:spacing w:val="-3"/>
        </w:rPr>
        <w:t>freezing with partially stirred liquid</w:t>
      </w:r>
      <w:r w:rsidRPr="00F63C75">
        <w:rPr>
          <w:spacing w:val="-3"/>
        </w:rPr>
        <w:t xml:space="preserve"> </w:t>
      </w:r>
      <w:r>
        <w:rPr>
          <w:spacing w:val="-3"/>
        </w:rPr>
        <w:t xml:space="preserve">where local interface equilibrium is assumed. </w:t>
      </w:r>
      <w:r w:rsidR="009D3AD0">
        <w:rPr>
          <w:spacing w:val="-3"/>
        </w:rPr>
        <w:t xml:space="preserve">Finally, we describe zone melting. </w:t>
      </w:r>
      <w:r>
        <w:rPr>
          <w:spacing w:val="-3"/>
        </w:rPr>
        <w:t xml:space="preserve">Equilibrium and Scheil freezing will constitute limiting cases of dendritic microsegregation to be described in section 7.3. Steady state freezing provides the starting point for the description of interface shape stability theory that explains why cells and dendrites are so common in cast structure. </w:t>
      </w:r>
      <w:r w:rsidR="00E678A7">
        <w:rPr>
          <w:spacing w:val="-3"/>
        </w:rPr>
        <w:t xml:space="preserve">We note that the term Scheil freezing is sometimes referred to as Scheil-Gulliver freezing to more properly reflect historical contributions. </w:t>
      </w:r>
      <w:r>
        <w:rPr>
          <w:spacing w:val="-3"/>
        </w:rPr>
        <w:t xml:space="preserve"> </w:t>
      </w:r>
    </w:p>
    <w:p w14:paraId="50F5CDAD" w14:textId="77777777" w:rsidR="00015B17" w:rsidRPr="00DA1F76" w:rsidRDefault="00015B17" w:rsidP="00015B17">
      <w:pPr>
        <w:tabs>
          <w:tab w:val="left" w:pos="-720"/>
        </w:tabs>
        <w:suppressAutoHyphens/>
        <w:spacing w:line="360" w:lineRule="auto"/>
        <w:rPr>
          <w:spacing w:val="-3"/>
        </w:rPr>
      </w:pPr>
    </w:p>
    <w:p w14:paraId="00E041B7" w14:textId="01904982" w:rsidR="00015B17" w:rsidRPr="00DA1F76" w:rsidRDefault="00015B17" w:rsidP="00015B17">
      <w:pPr>
        <w:tabs>
          <w:tab w:val="left" w:pos="-720"/>
        </w:tabs>
        <w:suppressAutoHyphens/>
        <w:spacing w:line="360" w:lineRule="auto"/>
        <w:rPr>
          <w:spacing w:val="-3"/>
        </w:rPr>
      </w:pPr>
      <w:r>
        <w:rPr>
          <w:b/>
          <w:bCs/>
          <w:spacing w:val="-3"/>
        </w:rPr>
        <w:t xml:space="preserve">6.2.1. </w:t>
      </w:r>
      <w:r w:rsidRPr="00DA1F76">
        <w:rPr>
          <w:b/>
          <w:bCs/>
          <w:spacing w:val="-3"/>
        </w:rPr>
        <w:t>Equilibrium Freezing</w:t>
      </w:r>
    </w:p>
    <w:p w14:paraId="3645B11E" w14:textId="77777777" w:rsidR="00015B17" w:rsidRPr="00DA1F76" w:rsidRDefault="00015B17" w:rsidP="00015B17">
      <w:pPr>
        <w:tabs>
          <w:tab w:val="left" w:pos="-720"/>
        </w:tabs>
        <w:suppressAutoHyphens/>
        <w:spacing w:line="360" w:lineRule="auto"/>
        <w:rPr>
          <w:spacing w:val="-3"/>
        </w:rPr>
      </w:pPr>
    </w:p>
    <w:p w14:paraId="2AA8A91D" w14:textId="0FC1AF75" w:rsidR="00015B17" w:rsidRPr="00DA1F76" w:rsidRDefault="00015B17" w:rsidP="00015B17">
      <w:pPr>
        <w:tabs>
          <w:tab w:val="left" w:pos="-720"/>
        </w:tabs>
        <w:suppressAutoHyphens/>
        <w:spacing w:line="360" w:lineRule="auto"/>
        <w:rPr>
          <w:spacing w:val="-3"/>
        </w:rPr>
      </w:pPr>
      <w:r w:rsidRPr="00DA1F76">
        <w:rPr>
          <w:spacing w:val="-3"/>
        </w:rPr>
        <w:tab/>
        <w:t xml:space="preserve">Here the </w:t>
      </w:r>
      <w:r w:rsidR="004201E7">
        <w:rPr>
          <w:spacing w:val="-3"/>
        </w:rPr>
        <w:t>L-S</w:t>
      </w:r>
      <w:r w:rsidRPr="00DA1F76">
        <w:rPr>
          <w:spacing w:val="-3"/>
        </w:rPr>
        <w:t xml:space="preserve"> interface advances so slowly that </w:t>
      </w:r>
      <w:r>
        <w:rPr>
          <w:spacing w:val="-3"/>
        </w:rPr>
        <w:t xml:space="preserve">solute </w:t>
      </w:r>
      <w:r w:rsidRPr="00DA1F76">
        <w:rPr>
          <w:spacing w:val="-3"/>
        </w:rPr>
        <w:t xml:space="preserve">diffusion maintains </w:t>
      </w:r>
      <w:r>
        <w:rPr>
          <w:spacing w:val="-3"/>
        </w:rPr>
        <w:t>spatial</w:t>
      </w:r>
      <w:r w:rsidR="0051677B">
        <w:rPr>
          <w:spacing w:val="-3"/>
        </w:rPr>
        <w:t xml:space="preserve"> </w:t>
      </w:r>
      <w:r>
        <w:rPr>
          <w:spacing w:val="-3"/>
        </w:rPr>
        <w:t xml:space="preserve">uniformity but slow temporal changes of composition </w:t>
      </w:r>
      <w:r w:rsidRPr="00DA1F76">
        <w:rPr>
          <w:spacing w:val="-3"/>
        </w:rPr>
        <w:t xml:space="preserve">in both </w:t>
      </w:r>
      <w:r>
        <w:rPr>
          <w:spacing w:val="-3"/>
        </w:rPr>
        <w:t xml:space="preserve">the liquid and solid </w:t>
      </w:r>
      <w:r w:rsidRPr="00DA1F76">
        <w:rPr>
          <w:spacing w:val="-3"/>
        </w:rPr>
        <w:t>(global equilibrium</w:t>
      </w:r>
      <w:r>
        <w:rPr>
          <w:spacing w:val="-3"/>
        </w:rPr>
        <w:t>,</w:t>
      </w:r>
      <w:r w:rsidRPr="00DA1F76">
        <w:rPr>
          <w:spacing w:val="-3"/>
        </w:rPr>
        <w:t xml:space="preserve"> see § 3). </w:t>
      </w:r>
      <w:r>
        <w:rPr>
          <w:spacing w:val="-3"/>
        </w:rPr>
        <w:t xml:space="preserve">The phase compositions follow the liquidus and solidus of </w:t>
      </w:r>
      <w:r w:rsidRPr="00DA1F76">
        <w:rPr>
          <w:spacing w:val="-3"/>
        </w:rPr>
        <w:t xml:space="preserve">the phase </w:t>
      </w:r>
      <w:r w:rsidRPr="00DA1F76">
        <w:rPr>
          <w:spacing w:val="-3"/>
        </w:rPr>
        <w:lastRenderedPageBreak/>
        <w:t>diagram</w:t>
      </w:r>
      <w:r>
        <w:rPr>
          <w:spacing w:val="-3"/>
        </w:rPr>
        <w:t xml:space="preserve"> during cooling. If the phase diagram</w:t>
      </w:r>
      <w:r w:rsidRPr="00DA1F76">
        <w:rPr>
          <w:spacing w:val="-3"/>
        </w:rPr>
        <w:t xml:space="preserve"> predicts a single phase solid structure for the bulk alloy </w:t>
      </w:r>
      <w:r>
        <w:rPr>
          <w:spacing w:val="-3"/>
        </w:rPr>
        <w:t xml:space="preserve">composition after cooling to low temperatures, the difference in </w:t>
      </w:r>
      <w:r w:rsidRPr="00DA1F76">
        <w:rPr>
          <w:spacing w:val="-3"/>
        </w:rPr>
        <w:t xml:space="preserve">solid and liquid composition occurring during the solidification process will disappear after solidification is complete (Fig. </w:t>
      </w:r>
      <w:r>
        <w:rPr>
          <w:spacing w:val="-3"/>
        </w:rPr>
        <w:t>6.1</w:t>
      </w:r>
      <w:r w:rsidRPr="00DA1F76">
        <w:rPr>
          <w:spacing w:val="-3"/>
        </w:rPr>
        <w:t>a).  In more quantitative terms</w:t>
      </w:r>
      <w:r>
        <w:rPr>
          <w:spacing w:val="-3"/>
        </w:rPr>
        <w:t xml:space="preserve">, for this case to be applicable, the solute </w:t>
      </w:r>
      <w:r w:rsidRPr="00DA1F76">
        <w:rPr>
          <w:i/>
          <w:iCs/>
          <w:spacing w:val="-3"/>
        </w:rPr>
        <w:t>Peclet number</w:t>
      </w:r>
      <w:r>
        <w:rPr>
          <w:i/>
          <w:iCs/>
          <w:spacing w:val="-3"/>
        </w:rPr>
        <w:t>s</w:t>
      </w:r>
      <w:r w:rsidRPr="00DA1F76">
        <w:rPr>
          <w:spacing w:val="-3"/>
        </w:rPr>
        <w:t xml:space="preserve"> for each phase, must be much </w:t>
      </w:r>
      <w:r>
        <w:rPr>
          <w:spacing w:val="-3"/>
        </w:rPr>
        <w:t xml:space="preserve">be </w:t>
      </w:r>
      <w:r w:rsidRPr="00DA1F76">
        <w:rPr>
          <w:spacing w:val="-3"/>
        </w:rPr>
        <w:t>small</w:t>
      </w:r>
      <w:r>
        <w:rPr>
          <w:spacing w:val="-3"/>
        </w:rPr>
        <w:t xml:space="preserve"> and tend toward zero.</w:t>
      </w:r>
      <w:r w:rsidRPr="00DA1F76">
        <w:rPr>
          <w:spacing w:val="-3"/>
        </w:rPr>
        <w:t xml:space="preserve"> Only under unusual circumstances</w:t>
      </w:r>
      <w:r>
        <w:rPr>
          <w:spacing w:val="-3"/>
        </w:rPr>
        <w:t>,</w:t>
      </w:r>
      <w:r w:rsidRPr="00DA1F76">
        <w:rPr>
          <w:spacing w:val="-3"/>
        </w:rPr>
        <w:t xml:space="preserve"> </w:t>
      </w:r>
      <w:r>
        <w:rPr>
          <w:spacing w:val="-3"/>
        </w:rPr>
        <w:t xml:space="preserve">extremely small </w:t>
      </w:r>
      <w:r w:rsidRPr="00313A5A">
        <w:rPr>
          <w:i/>
          <w:spacing w:val="-3"/>
        </w:rPr>
        <w:t>V</w:t>
      </w:r>
      <w:r>
        <w:rPr>
          <w:spacing w:val="-3"/>
        </w:rPr>
        <w:t xml:space="preserve"> and small sample length </w:t>
      </w:r>
      <w:r w:rsidRPr="00313A5A">
        <w:rPr>
          <w:i/>
          <w:spacing w:val="-3"/>
        </w:rPr>
        <w:t>L</w:t>
      </w:r>
      <w:r w:rsidRPr="00727E8A">
        <w:rPr>
          <w:i/>
          <w:spacing w:val="-3"/>
          <w:sz w:val="26"/>
          <w:vertAlign w:val="subscript"/>
        </w:rPr>
        <w:t>0</w:t>
      </w:r>
      <w:r>
        <w:rPr>
          <w:spacing w:val="-3"/>
        </w:rPr>
        <w:t xml:space="preserve">, might this </w:t>
      </w:r>
      <w:r w:rsidRPr="00DA1F76">
        <w:rPr>
          <w:spacing w:val="-3"/>
        </w:rPr>
        <w:t>be expected to apply during solidification.</w:t>
      </w:r>
      <w:r>
        <w:rPr>
          <w:spacing w:val="-3"/>
        </w:rPr>
        <w:t xml:space="preserve"> One such case is Fe-C growing </w:t>
      </w:r>
      <w:r w:rsidRPr="00DA1F76">
        <w:rPr>
          <w:spacing w:val="-3"/>
        </w:rPr>
        <w:t xml:space="preserve">at very low velocity because of the high solid state diffusivity of </w:t>
      </w:r>
      <w:r>
        <w:rPr>
          <w:spacing w:val="-3"/>
        </w:rPr>
        <w:t xml:space="preserve">interstitial </w:t>
      </w:r>
      <w:r w:rsidRPr="0051677B">
        <w:rPr>
          <w:iCs/>
          <w:spacing w:val="-3"/>
        </w:rPr>
        <w:t>C</w:t>
      </w:r>
      <w:r w:rsidRPr="0051677B">
        <w:rPr>
          <w:spacing w:val="-3"/>
        </w:rPr>
        <w:t xml:space="preserve"> </w:t>
      </w:r>
      <w:r w:rsidRPr="00DA1F76">
        <w:rPr>
          <w:spacing w:val="-3"/>
        </w:rPr>
        <w:t>in Fe. In substitutional alloys, equilibrium freezing does not occur in any practical casting or crystal growth situations.</w:t>
      </w:r>
      <w:r>
        <w:rPr>
          <w:spacing w:val="-3"/>
        </w:rPr>
        <w:t xml:space="preserve"> Only for these cases where the solid and liquid compositions are spatially uniform at each instant is the lever rule expected to yield correct results for </w:t>
      </w:r>
      <w:r w:rsidR="00E678A7">
        <w:rPr>
          <w:spacing w:val="-3"/>
        </w:rPr>
        <w:t xml:space="preserve">during the  </w:t>
      </w:r>
      <w:r>
        <w:rPr>
          <w:spacing w:val="-3"/>
        </w:rPr>
        <w:t xml:space="preserve">freezing </w:t>
      </w:r>
      <w:r w:rsidR="00E678A7">
        <w:rPr>
          <w:spacing w:val="-3"/>
        </w:rPr>
        <w:t>process</w:t>
      </w:r>
      <w:r>
        <w:rPr>
          <w:spacing w:val="-3"/>
        </w:rPr>
        <w:t>.</w:t>
      </w:r>
    </w:p>
    <w:p w14:paraId="236C7AFA" w14:textId="77777777" w:rsidR="00015B17" w:rsidRPr="00DA1F76" w:rsidRDefault="00015B17" w:rsidP="00015B17">
      <w:pPr>
        <w:tabs>
          <w:tab w:val="left" w:pos="-720"/>
        </w:tabs>
        <w:suppressAutoHyphens/>
        <w:spacing w:line="360" w:lineRule="auto"/>
        <w:rPr>
          <w:spacing w:val="-3"/>
        </w:rPr>
      </w:pPr>
    </w:p>
    <w:p w14:paraId="13B6A090" w14:textId="1760B0DC" w:rsidR="00015B17" w:rsidRPr="00DA1F76" w:rsidRDefault="00015B17" w:rsidP="00015B17">
      <w:pPr>
        <w:tabs>
          <w:tab w:val="left" w:pos="-720"/>
        </w:tabs>
        <w:suppressAutoHyphens/>
        <w:spacing w:line="360" w:lineRule="auto"/>
        <w:rPr>
          <w:spacing w:val="-3"/>
        </w:rPr>
      </w:pPr>
      <w:r w:rsidRPr="00DA1F76">
        <w:rPr>
          <w:b/>
          <w:bCs/>
          <w:spacing w:val="-3"/>
        </w:rPr>
        <w:t>6.2.2</w:t>
      </w:r>
      <w:r>
        <w:rPr>
          <w:b/>
          <w:bCs/>
          <w:spacing w:val="-3"/>
        </w:rPr>
        <w:t xml:space="preserve">. Complete Liquid Mixing, with </w:t>
      </w:r>
      <w:r w:rsidRPr="00DA1F76">
        <w:rPr>
          <w:b/>
          <w:bCs/>
          <w:spacing w:val="-3"/>
        </w:rPr>
        <w:t>No Solid Diffusion</w:t>
      </w:r>
      <w:r w:rsidR="00CB3C34">
        <w:rPr>
          <w:b/>
          <w:bCs/>
          <w:spacing w:val="-3"/>
        </w:rPr>
        <w:t xml:space="preserve"> (Scheil freezing)</w:t>
      </w:r>
    </w:p>
    <w:p w14:paraId="603A82B0" w14:textId="77777777" w:rsidR="00015B17" w:rsidRPr="00DA1F76" w:rsidRDefault="00015B17" w:rsidP="00015B17">
      <w:pPr>
        <w:tabs>
          <w:tab w:val="left" w:pos="-720"/>
        </w:tabs>
        <w:suppressAutoHyphens/>
        <w:spacing w:line="360" w:lineRule="auto"/>
        <w:rPr>
          <w:spacing w:val="-3"/>
        </w:rPr>
      </w:pPr>
      <w:r w:rsidRPr="00DA1F76">
        <w:rPr>
          <w:spacing w:val="-3"/>
        </w:rPr>
        <w:tab/>
      </w:r>
    </w:p>
    <w:p w14:paraId="3FB473A1" w14:textId="6A6424B1" w:rsidR="00015B17" w:rsidRDefault="00015B17" w:rsidP="00015B17">
      <w:pPr>
        <w:tabs>
          <w:tab w:val="left" w:pos="-720"/>
        </w:tabs>
        <w:suppressAutoHyphens/>
        <w:spacing w:line="360" w:lineRule="auto"/>
        <w:rPr>
          <w:spacing w:val="-3"/>
        </w:rPr>
      </w:pPr>
      <w:r w:rsidRPr="00DA1F76">
        <w:rPr>
          <w:spacing w:val="-3"/>
        </w:rPr>
        <w:tab/>
        <w:t xml:space="preserve">The conditions considered in this limiting case are: i) </w:t>
      </w:r>
      <w:r>
        <w:rPr>
          <w:spacing w:val="-3"/>
        </w:rPr>
        <w:t>complete mixing of the liquid; ii) no solid state diffusion;</w:t>
      </w:r>
      <w:r w:rsidRPr="00DA1F76">
        <w:rPr>
          <w:spacing w:val="-3"/>
        </w:rPr>
        <w:t xml:space="preserve"> </w:t>
      </w:r>
      <w:r>
        <w:rPr>
          <w:spacing w:val="-3"/>
        </w:rPr>
        <w:t>iii</w:t>
      </w:r>
      <w:r w:rsidRPr="00DA1F76">
        <w:rPr>
          <w:spacing w:val="-3"/>
        </w:rPr>
        <w:t xml:space="preserve">) local equilibrium at the </w:t>
      </w:r>
      <w:r w:rsidR="004201E7">
        <w:rPr>
          <w:spacing w:val="-3"/>
        </w:rPr>
        <w:t>L-S</w:t>
      </w:r>
      <w:r w:rsidRPr="00DA1F76">
        <w:rPr>
          <w:spacing w:val="-3"/>
        </w:rPr>
        <w:t xml:space="preserve"> interface. The assumption of complete liquid mixing and no solid diffusion is often made because diffusion in the liquid is typically orders of magnitude faster than in the solid</w:t>
      </w:r>
      <w:r w:rsidR="0051677B">
        <w:rPr>
          <w:spacing w:val="-3"/>
        </w:rPr>
        <w:t xml:space="preserve"> (Scheil </w:t>
      </w:r>
      <w:r w:rsidR="003F345B">
        <w:rPr>
          <w:spacing w:val="-3"/>
        </w:rPr>
        <w:t>f</w:t>
      </w:r>
      <w:r w:rsidR="0051677B">
        <w:rPr>
          <w:spacing w:val="-3"/>
        </w:rPr>
        <w:t>reezing)</w:t>
      </w:r>
      <w:r w:rsidRPr="00DA1F76">
        <w:rPr>
          <w:spacing w:val="-3"/>
        </w:rPr>
        <w:t xml:space="preserve">. </w:t>
      </w:r>
      <w:r>
        <w:rPr>
          <w:spacing w:val="-3"/>
        </w:rPr>
        <w:t xml:space="preserve">One may consider that the solute Peclet number for the liquid </w:t>
      </w:r>
      <w:r w:rsidR="003238B5">
        <w:rPr>
          <w:spacing w:val="-3"/>
        </w:rPr>
        <w:t xml:space="preserve">to </w:t>
      </w:r>
      <w:r>
        <w:rPr>
          <w:spacing w:val="-3"/>
        </w:rPr>
        <w:t xml:space="preserve">be extremely small but the solute Peclet number for the solid </w:t>
      </w:r>
      <w:r w:rsidR="003238B5">
        <w:rPr>
          <w:spacing w:val="-3"/>
        </w:rPr>
        <w:t xml:space="preserve">to </w:t>
      </w:r>
      <w:r>
        <w:rPr>
          <w:spacing w:val="-3"/>
        </w:rPr>
        <w:t xml:space="preserve">be near infinity. </w:t>
      </w:r>
      <w:r w:rsidRPr="00DA1F76">
        <w:rPr>
          <w:spacing w:val="-3"/>
        </w:rPr>
        <w:t>In this case</w:t>
      </w:r>
      <w:r>
        <w:rPr>
          <w:spacing w:val="-3"/>
        </w:rPr>
        <w:t xml:space="preserve"> there is no need to solve the diffusion equation, E</w:t>
      </w:r>
      <w:r w:rsidRPr="00DA1F76">
        <w:rPr>
          <w:spacing w:val="-3"/>
        </w:rPr>
        <w:t>q</w:t>
      </w:r>
      <w:r>
        <w:rPr>
          <w:spacing w:val="-3"/>
        </w:rPr>
        <w:t>n</w:t>
      </w:r>
      <w:r w:rsidRPr="00DA1F76">
        <w:rPr>
          <w:spacing w:val="-3"/>
        </w:rPr>
        <w:t>. (</w:t>
      </w:r>
      <w:r>
        <w:rPr>
          <w:spacing w:val="-3"/>
        </w:rPr>
        <w:t>6.10</w:t>
      </w:r>
      <w:r w:rsidRPr="00DA1F76">
        <w:rPr>
          <w:spacing w:val="-3"/>
        </w:rPr>
        <w:t>)</w:t>
      </w:r>
      <w:r>
        <w:rPr>
          <w:spacing w:val="-3"/>
        </w:rPr>
        <w:t xml:space="preserve">. Only </w:t>
      </w:r>
      <w:r w:rsidRPr="00DA1F76">
        <w:rPr>
          <w:spacing w:val="-3"/>
        </w:rPr>
        <w:t>a statement of solute conservation</w:t>
      </w:r>
      <w:r>
        <w:rPr>
          <w:spacing w:val="-3"/>
        </w:rPr>
        <w:t xml:space="preserve"> is necessary</w:t>
      </w:r>
      <w:r w:rsidRPr="00DA1F76">
        <w:rPr>
          <w:spacing w:val="-3"/>
        </w:rPr>
        <w:t xml:space="preserve">. When a fraction of the </w:t>
      </w:r>
      <w:r>
        <w:rPr>
          <w:spacing w:val="-3"/>
        </w:rPr>
        <w:t>sample</w:t>
      </w:r>
      <w:r w:rsidRPr="00DA1F76">
        <w:rPr>
          <w:spacing w:val="-3"/>
        </w:rPr>
        <w:t>,</w:t>
      </w:r>
      <w:r w:rsidRPr="00DA1F76">
        <w:rPr>
          <w:i/>
          <w:iCs/>
          <w:spacing w:val="-3"/>
        </w:rPr>
        <w:t xml:space="preserve"> f</w:t>
      </w:r>
      <w:r w:rsidRPr="00727E8A">
        <w:rPr>
          <w:spacing w:val="-3"/>
          <w:sz w:val="26"/>
          <w:vertAlign w:val="subscript"/>
        </w:rPr>
        <w:t>S</w:t>
      </w:r>
      <w:r w:rsidRPr="00DA1F76">
        <w:rPr>
          <w:spacing w:val="-3"/>
        </w:rPr>
        <w:t>, is solidified, the concentration of the remaining liquid is found to obey the following differential equation</w:t>
      </w:r>
    </w:p>
    <w:p w14:paraId="08C4AB3A" w14:textId="77777777" w:rsidR="00015B17" w:rsidRDefault="00015B17" w:rsidP="00015B17">
      <w:pPr>
        <w:tabs>
          <w:tab w:val="left" w:pos="-720"/>
        </w:tabs>
        <w:suppressAutoHyphens/>
        <w:spacing w:line="360" w:lineRule="auto"/>
        <w:rPr>
          <w:spacing w:val="-3"/>
        </w:rPr>
      </w:pPr>
    </w:p>
    <w:p w14:paraId="7BE98B56" w14:textId="77777777" w:rsidR="00015B17" w:rsidRDefault="00015B17" w:rsidP="00015B17">
      <w:pPr>
        <w:tabs>
          <w:tab w:val="left" w:pos="-720"/>
        </w:tabs>
        <w:suppressAutoHyphens/>
        <w:spacing w:line="360" w:lineRule="auto"/>
        <w:jc w:val="center"/>
        <w:rPr>
          <w:spacing w:val="-3"/>
          <w:position w:val="-30"/>
        </w:rPr>
      </w:pPr>
      <w:r w:rsidRPr="005A53D5">
        <w:rPr>
          <w:spacing w:val="-3"/>
          <w:position w:val="-84"/>
        </w:rPr>
        <w:object w:dxaOrig="3200" w:dyaOrig="1719" w14:anchorId="38B56FFB">
          <v:shape id="_x0000_i1448" type="#_x0000_t75" style="width:159.9pt;height:86.05pt" o:ole="">
            <v:imagedata r:id="rId822" o:title=""/>
          </v:shape>
          <o:OLEObject Type="Embed" ProgID="Equation.DSMT4" ShapeID="_x0000_i1448" DrawAspect="Content" ObjectID="_1840627014" r:id="rId823"/>
        </w:object>
      </w:r>
      <w:r>
        <w:rPr>
          <w:spacing w:val="-3"/>
          <w:position w:val="-30"/>
        </w:rPr>
        <w:tab/>
      </w:r>
      <w:r w:rsidR="006E6FC2">
        <w:rPr>
          <w:spacing w:val="-3"/>
          <w:position w:val="-30"/>
        </w:rPr>
        <w:t>,</w:t>
      </w:r>
      <w:r>
        <w:rPr>
          <w:spacing w:val="-3"/>
          <w:position w:val="-30"/>
        </w:rPr>
        <w:tab/>
      </w:r>
      <w:r>
        <w:rPr>
          <w:spacing w:val="-3"/>
          <w:position w:val="-30"/>
        </w:rPr>
        <w:tab/>
        <w:t>(6.12)</w:t>
      </w:r>
    </w:p>
    <w:p w14:paraId="49935615" w14:textId="77777777" w:rsidR="00015B17" w:rsidRDefault="00015B17" w:rsidP="00015B17">
      <w:pPr>
        <w:tabs>
          <w:tab w:val="left" w:pos="-720"/>
        </w:tabs>
        <w:suppressAutoHyphens/>
        <w:spacing w:line="360" w:lineRule="auto"/>
        <w:jc w:val="center"/>
        <w:rPr>
          <w:spacing w:val="-3"/>
        </w:rPr>
      </w:pPr>
    </w:p>
    <w:p w14:paraId="345A3693" w14:textId="1474E490" w:rsidR="00015B17" w:rsidRDefault="0051677B" w:rsidP="00015B17">
      <w:pPr>
        <w:tabs>
          <w:tab w:val="left" w:pos="-720"/>
        </w:tabs>
        <w:suppressAutoHyphens/>
        <w:spacing w:line="360" w:lineRule="auto"/>
        <w:rPr>
          <w:spacing w:val="-3"/>
        </w:rPr>
      </w:pPr>
      <w:r>
        <w:rPr>
          <w:spacing w:val="-3"/>
        </w:rPr>
        <w:lastRenderedPageBreak/>
        <w:t>w</w:t>
      </w:r>
      <w:r w:rsidR="00015B17">
        <w:rPr>
          <w:spacing w:val="-3"/>
        </w:rPr>
        <w:t xml:space="preserve">here the asterisk is dropped because the liquid is spatially uniform in composition. The later equation </w:t>
      </w:r>
      <w:r w:rsidR="00015B17" w:rsidRPr="00DA1F76">
        <w:rPr>
          <w:spacing w:val="-3"/>
        </w:rPr>
        <w:t xml:space="preserve">is </w:t>
      </w:r>
      <w:r w:rsidR="00015B17">
        <w:rPr>
          <w:spacing w:val="-3"/>
        </w:rPr>
        <w:t xml:space="preserve">directly </w:t>
      </w:r>
      <w:r w:rsidR="00015B17" w:rsidRPr="00DA1F76">
        <w:rPr>
          <w:spacing w:val="-3"/>
        </w:rPr>
        <w:t>integrated for constant</w:t>
      </w:r>
      <w:r w:rsidR="00015B17" w:rsidRPr="00DA1F76">
        <w:rPr>
          <w:i/>
          <w:iCs/>
          <w:spacing w:val="-3"/>
        </w:rPr>
        <w:t xml:space="preserve"> </w:t>
      </w:r>
      <w:r w:rsidR="00015B17">
        <w:rPr>
          <w:i/>
          <w:iCs/>
          <w:spacing w:val="-3"/>
        </w:rPr>
        <w:t>k</w:t>
      </w:r>
      <w:r w:rsidR="00015B17" w:rsidRPr="00883A53">
        <w:rPr>
          <w:i/>
          <w:iCs/>
          <w:spacing w:val="-3"/>
          <w:sz w:val="26"/>
          <w:vertAlign w:val="superscript"/>
        </w:rPr>
        <w:t>E</w:t>
      </w:r>
      <w:r w:rsidR="00015B17" w:rsidRPr="00DA1F76">
        <w:rPr>
          <w:spacing w:val="-3"/>
        </w:rPr>
        <w:t xml:space="preserve"> to</w:t>
      </w:r>
      <w:r w:rsidR="00015B17">
        <w:rPr>
          <w:spacing w:val="-3"/>
        </w:rPr>
        <w:t xml:space="preserve"> give</w:t>
      </w:r>
    </w:p>
    <w:p w14:paraId="03EC822B" w14:textId="77777777" w:rsidR="00015B17" w:rsidRDefault="00015B17" w:rsidP="00015B17">
      <w:pPr>
        <w:tabs>
          <w:tab w:val="left" w:pos="-720"/>
        </w:tabs>
        <w:suppressAutoHyphens/>
        <w:spacing w:line="360" w:lineRule="auto"/>
        <w:jc w:val="both"/>
        <w:rPr>
          <w:spacing w:val="-3"/>
        </w:rPr>
      </w:pPr>
    </w:p>
    <w:p w14:paraId="234A5A27" w14:textId="77777777" w:rsidR="00015B17" w:rsidRDefault="00015B17" w:rsidP="00015B17">
      <w:pPr>
        <w:tabs>
          <w:tab w:val="left" w:pos="-720"/>
        </w:tabs>
        <w:suppressAutoHyphens/>
        <w:spacing w:before="240" w:line="360" w:lineRule="auto"/>
        <w:jc w:val="center"/>
        <w:rPr>
          <w:spacing w:val="-3"/>
          <w:position w:val="-12"/>
        </w:rPr>
      </w:pPr>
      <w:r w:rsidRPr="00DA1F76">
        <w:rPr>
          <w:spacing w:val="-3"/>
          <w:position w:val="-12"/>
        </w:rPr>
        <w:object w:dxaOrig="2120" w:dyaOrig="420" w14:anchorId="2395CF45">
          <v:shape id="_x0000_i1449" type="#_x0000_t75" style="width:106.6pt;height:20.55pt" o:ole="">
            <v:imagedata r:id="rId824" o:title=""/>
          </v:shape>
          <o:OLEObject Type="Embed" ProgID="Equation.DSMT4" ShapeID="_x0000_i1449" DrawAspect="Content" ObjectID="_1840627015" r:id="rId825"/>
        </w:object>
      </w:r>
      <w:r>
        <w:rPr>
          <w:spacing w:val="-3"/>
          <w:position w:val="-12"/>
        </w:rPr>
        <w:tab/>
      </w:r>
      <w:r>
        <w:rPr>
          <w:spacing w:val="-3"/>
          <w:position w:val="-12"/>
        </w:rPr>
        <w:tab/>
      </w:r>
      <w:r>
        <w:rPr>
          <w:spacing w:val="-3"/>
          <w:position w:val="-12"/>
        </w:rPr>
        <w:tab/>
        <w:t>(6.13)</w:t>
      </w:r>
    </w:p>
    <w:p w14:paraId="76715C49" w14:textId="77777777" w:rsidR="00015B17" w:rsidRDefault="00015B17" w:rsidP="00015B17">
      <w:pPr>
        <w:tabs>
          <w:tab w:val="left" w:pos="-720"/>
        </w:tabs>
        <w:suppressAutoHyphens/>
        <w:spacing w:line="360" w:lineRule="auto"/>
        <w:jc w:val="both"/>
        <w:rPr>
          <w:spacing w:val="-3"/>
        </w:rPr>
      </w:pPr>
    </w:p>
    <w:p w14:paraId="75EE5FB7" w14:textId="77777777" w:rsidR="00015B17" w:rsidRPr="00DA1F76" w:rsidRDefault="00015B17" w:rsidP="00015B17">
      <w:pPr>
        <w:tabs>
          <w:tab w:val="left" w:pos="-720"/>
        </w:tabs>
        <w:suppressAutoHyphens/>
        <w:spacing w:line="360" w:lineRule="auto"/>
        <w:rPr>
          <w:spacing w:val="-3"/>
        </w:rPr>
      </w:pPr>
      <w:r w:rsidRPr="00DA1F76">
        <w:rPr>
          <w:spacing w:val="-3"/>
        </w:rPr>
        <w:t xml:space="preserve">where </w:t>
      </w:r>
      <w:r w:rsidRPr="00DA1F76">
        <w:rPr>
          <w:i/>
          <w:iCs/>
          <w:spacing w:val="-3"/>
        </w:rPr>
        <w:t>C</w:t>
      </w:r>
      <w:r w:rsidRPr="00727E8A">
        <w:rPr>
          <w:spacing w:val="-3"/>
          <w:sz w:val="26"/>
          <w:vertAlign w:val="subscript"/>
        </w:rPr>
        <w:t>0</w:t>
      </w:r>
      <w:r w:rsidRPr="00DA1F76">
        <w:rPr>
          <w:spacing w:val="-3"/>
        </w:rPr>
        <w:t xml:space="preserve"> is the nominal alloy composition. The temperature of the interface </w:t>
      </w:r>
      <w:r>
        <w:rPr>
          <w:spacing w:val="-3"/>
        </w:rPr>
        <w:t xml:space="preserve">as the interface progresses </w:t>
      </w:r>
      <w:r w:rsidRPr="00DA1F76">
        <w:rPr>
          <w:spacing w:val="-3"/>
        </w:rPr>
        <w:t xml:space="preserve">can be simply obtained by substituting </w:t>
      </w:r>
      <w:r>
        <w:rPr>
          <w:spacing w:val="-3"/>
        </w:rPr>
        <w:t>E</w:t>
      </w:r>
      <w:r w:rsidRPr="00DA1F76">
        <w:rPr>
          <w:spacing w:val="-3"/>
        </w:rPr>
        <w:t>q</w:t>
      </w:r>
      <w:r>
        <w:rPr>
          <w:spacing w:val="-3"/>
        </w:rPr>
        <w:t>n</w:t>
      </w:r>
      <w:r w:rsidRPr="00DA1F76">
        <w:rPr>
          <w:spacing w:val="-3"/>
        </w:rPr>
        <w:t>. (</w:t>
      </w:r>
      <w:r>
        <w:rPr>
          <w:spacing w:val="-3"/>
        </w:rPr>
        <w:t>6.13</w:t>
      </w:r>
      <w:r w:rsidRPr="00DA1F76">
        <w:rPr>
          <w:spacing w:val="-3"/>
        </w:rPr>
        <w:t xml:space="preserve">) into </w:t>
      </w:r>
      <w:r>
        <w:rPr>
          <w:spacing w:val="-3"/>
        </w:rPr>
        <w:t>E</w:t>
      </w:r>
      <w:r w:rsidRPr="00DA1F76">
        <w:rPr>
          <w:spacing w:val="-3"/>
        </w:rPr>
        <w:t>q</w:t>
      </w:r>
      <w:r>
        <w:rPr>
          <w:spacing w:val="-3"/>
        </w:rPr>
        <w:t>n</w:t>
      </w:r>
      <w:r w:rsidRPr="00DA1F76">
        <w:rPr>
          <w:spacing w:val="-3"/>
        </w:rPr>
        <w:t>. (</w:t>
      </w:r>
      <w:r>
        <w:rPr>
          <w:spacing w:val="-3"/>
        </w:rPr>
        <w:t>6.5</w:t>
      </w:r>
      <w:r w:rsidRPr="00DA1F76">
        <w:rPr>
          <w:spacing w:val="-3"/>
        </w:rPr>
        <w:t>).</w:t>
      </w:r>
    </w:p>
    <w:p w14:paraId="54DAF1C8" w14:textId="77777777" w:rsidR="00015B17" w:rsidRDefault="00015B17" w:rsidP="00015B17">
      <w:pPr>
        <w:tabs>
          <w:tab w:val="left" w:pos="-720"/>
        </w:tabs>
        <w:suppressAutoHyphens/>
        <w:spacing w:line="360" w:lineRule="auto"/>
        <w:jc w:val="both"/>
        <w:rPr>
          <w:spacing w:val="-3"/>
        </w:rPr>
      </w:pPr>
    </w:p>
    <w:p w14:paraId="6E7A5AB3" w14:textId="77777777" w:rsidR="00015B17" w:rsidRDefault="00015B17" w:rsidP="00015B17">
      <w:pPr>
        <w:tabs>
          <w:tab w:val="left" w:pos="-720"/>
        </w:tabs>
        <w:suppressAutoHyphens/>
        <w:spacing w:line="360" w:lineRule="auto"/>
        <w:jc w:val="center"/>
        <w:rPr>
          <w:spacing w:val="-3"/>
        </w:rPr>
      </w:pPr>
      <w:r w:rsidRPr="00B53EFF">
        <w:rPr>
          <w:position w:val="-14"/>
        </w:rPr>
        <w:object w:dxaOrig="2580" w:dyaOrig="440" w14:anchorId="453D50CC">
          <v:shape id="_x0000_i1450" type="#_x0000_t75" style="width:129.05pt;height:21.5pt" o:ole="">
            <v:imagedata r:id="rId826" o:title=""/>
          </v:shape>
          <o:OLEObject Type="Embed" ProgID="Equation.DSMT4" ShapeID="_x0000_i1450" DrawAspect="Content" ObjectID="_1840627016" r:id="rId827"/>
        </w:object>
      </w:r>
      <w:r>
        <w:tab/>
      </w:r>
      <w:r w:rsidR="006E6FC2">
        <w:t>.</w:t>
      </w:r>
      <w:r>
        <w:tab/>
      </w:r>
      <w:r w:rsidRPr="00BB676C">
        <w:t>(6.1</w:t>
      </w:r>
      <w:r>
        <w:t>4</w:t>
      </w:r>
      <w:r w:rsidRPr="00BB676C">
        <w:t>)</w:t>
      </w:r>
    </w:p>
    <w:p w14:paraId="66F66515" w14:textId="77777777" w:rsidR="00015B17" w:rsidRDefault="00015B17" w:rsidP="00015B17">
      <w:pPr>
        <w:tabs>
          <w:tab w:val="left" w:pos="-720"/>
        </w:tabs>
        <w:suppressAutoHyphens/>
        <w:spacing w:line="360" w:lineRule="auto"/>
        <w:jc w:val="both"/>
        <w:rPr>
          <w:spacing w:val="-3"/>
        </w:rPr>
      </w:pPr>
    </w:p>
    <w:p w14:paraId="1590D1BD" w14:textId="77777777" w:rsidR="00015B17" w:rsidRPr="00DA1F76" w:rsidRDefault="00015B17" w:rsidP="00015B17">
      <w:pPr>
        <w:tabs>
          <w:tab w:val="left" w:pos="-720"/>
        </w:tabs>
        <w:suppressAutoHyphens/>
        <w:spacing w:line="360" w:lineRule="auto"/>
        <w:rPr>
          <w:spacing w:val="-3"/>
        </w:rPr>
      </w:pPr>
      <w:r w:rsidRPr="00DA1F76">
        <w:rPr>
          <w:spacing w:val="-3"/>
        </w:rPr>
        <w:t>After freezing is complete, this process leaves a solute distribution in the solid (Fig.</w:t>
      </w:r>
      <w:r>
        <w:rPr>
          <w:spacing w:val="-3"/>
        </w:rPr>
        <w:t xml:space="preserve"> 6. 1</w:t>
      </w:r>
      <w:r w:rsidRPr="00DA1F76">
        <w:rPr>
          <w:spacing w:val="-3"/>
        </w:rPr>
        <w:t>b) given by</w:t>
      </w:r>
    </w:p>
    <w:p w14:paraId="6FCB03D8" w14:textId="77777777" w:rsidR="00015B17" w:rsidRDefault="00015B17" w:rsidP="00015B17">
      <w:pPr>
        <w:tabs>
          <w:tab w:val="left" w:pos="-720"/>
        </w:tabs>
        <w:suppressAutoHyphens/>
        <w:spacing w:line="360" w:lineRule="auto"/>
        <w:jc w:val="center"/>
        <w:rPr>
          <w:spacing w:val="-3"/>
          <w:position w:val="-12"/>
        </w:rPr>
      </w:pPr>
      <w:r w:rsidRPr="00DA1F76">
        <w:rPr>
          <w:spacing w:val="-3"/>
          <w:position w:val="-12"/>
        </w:rPr>
        <w:object w:dxaOrig="2140" w:dyaOrig="420" w14:anchorId="5C518DEE">
          <v:shape id="_x0000_i1451" type="#_x0000_t75" style="width:105.65pt;height:20.55pt" o:ole="">
            <v:imagedata r:id="rId828" o:title=""/>
          </v:shape>
          <o:OLEObject Type="Embed" ProgID="Equation.DSMT4" ShapeID="_x0000_i1451" DrawAspect="Content" ObjectID="_1840627017" r:id="rId829"/>
        </w:object>
      </w:r>
      <w:r>
        <w:rPr>
          <w:spacing w:val="-3"/>
          <w:position w:val="-12"/>
        </w:rPr>
        <w:tab/>
      </w:r>
      <w:r>
        <w:rPr>
          <w:spacing w:val="-3"/>
          <w:position w:val="-12"/>
        </w:rPr>
        <w:tab/>
        <w:t>(6.15)</w:t>
      </w:r>
    </w:p>
    <w:p w14:paraId="5A5F5A8C" w14:textId="77777777" w:rsidR="00015B17" w:rsidRDefault="00015B17" w:rsidP="00015B17">
      <w:pPr>
        <w:tabs>
          <w:tab w:val="left" w:pos="-720"/>
        </w:tabs>
        <w:suppressAutoHyphens/>
        <w:spacing w:line="360" w:lineRule="auto"/>
        <w:jc w:val="center"/>
        <w:rPr>
          <w:spacing w:val="-3"/>
        </w:rPr>
      </w:pPr>
    </w:p>
    <w:p w14:paraId="1721880D" w14:textId="77777777" w:rsidR="00015B17" w:rsidRDefault="00015B17" w:rsidP="00015B17">
      <w:pPr>
        <w:tabs>
          <w:tab w:val="left" w:pos="-720"/>
        </w:tabs>
        <w:suppressAutoHyphens/>
        <w:spacing w:line="360" w:lineRule="auto"/>
        <w:rPr>
          <w:spacing w:val="-3"/>
        </w:rPr>
      </w:pPr>
      <w:r w:rsidRPr="00DA1F76">
        <w:rPr>
          <w:spacing w:val="-3"/>
        </w:rPr>
        <w:t>where now</w:t>
      </w:r>
      <w:r w:rsidRPr="00DA1F76">
        <w:rPr>
          <w:i/>
          <w:iCs/>
          <w:spacing w:val="-3"/>
        </w:rPr>
        <w:t xml:space="preserve"> f</w:t>
      </w:r>
      <w:r w:rsidRPr="00727E8A">
        <w:rPr>
          <w:spacing w:val="-3"/>
          <w:sz w:val="26"/>
          <w:vertAlign w:val="subscript"/>
        </w:rPr>
        <w:t>S</w:t>
      </w:r>
      <w:r w:rsidRPr="00DA1F76">
        <w:rPr>
          <w:spacing w:val="-3"/>
        </w:rPr>
        <w:t xml:space="preserve"> is taken as the fractional distance down the </w:t>
      </w:r>
      <w:r>
        <w:rPr>
          <w:spacing w:val="-3"/>
        </w:rPr>
        <w:t>1-D sample</w:t>
      </w:r>
      <w:r w:rsidRPr="00DA1F76">
        <w:rPr>
          <w:spacing w:val="-3"/>
        </w:rPr>
        <w:t xml:space="preserve">. </w:t>
      </w:r>
      <w:r>
        <w:rPr>
          <w:spacing w:val="-3"/>
        </w:rPr>
        <w:t xml:space="preserve">Because we have generally neglected density differences in this simple discussion, we have been careless about the definition of </w:t>
      </w:r>
      <w:r w:rsidRPr="00A85598">
        <w:rPr>
          <w:spacing w:val="-3"/>
          <w:position w:val="-12"/>
        </w:rPr>
        <w:object w:dxaOrig="279" w:dyaOrig="360" w14:anchorId="3FBECBE9">
          <v:shape id="_x0000_i1452" type="#_x0000_t75" style="width:14.05pt;height:17.75pt" o:ole="">
            <v:imagedata r:id="rId830" o:title=""/>
          </v:shape>
          <o:OLEObject Type="Embed" ProgID="Equation.DSMT4" ShapeID="_x0000_i1452" DrawAspect="Content" ObjectID="_1840627018" r:id="rId831"/>
        </w:object>
      </w:r>
      <w:r>
        <w:rPr>
          <w:spacing w:val="-3"/>
        </w:rPr>
        <w:t xml:space="preserve">. We note that if </w:t>
      </w:r>
      <w:r w:rsidR="0051677B">
        <w:rPr>
          <w:spacing w:val="-3"/>
        </w:rPr>
        <w:t xml:space="preserve">the concentration variable </w:t>
      </w:r>
      <w:r w:rsidRPr="008778D4">
        <w:rPr>
          <w:i/>
          <w:spacing w:val="-3"/>
        </w:rPr>
        <w:t>C</w:t>
      </w:r>
      <w:r>
        <w:rPr>
          <w:spacing w:val="-3"/>
        </w:rPr>
        <w:t xml:space="preserve"> is described in mass fraction, then </w:t>
      </w:r>
      <w:r w:rsidRPr="00DA1F76">
        <w:rPr>
          <w:i/>
          <w:iCs/>
          <w:spacing w:val="-3"/>
        </w:rPr>
        <w:t>f</w:t>
      </w:r>
      <w:r w:rsidRPr="00727E8A">
        <w:rPr>
          <w:spacing w:val="-3"/>
          <w:sz w:val="26"/>
          <w:vertAlign w:val="subscript"/>
        </w:rPr>
        <w:t>S</w:t>
      </w:r>
      <w:r>
        <w:rPr>
          <w:spacing w:val="-3"/>
        </w:rPr>
        <w:t xml:space="preserve"> is actually mass fraction. If </w:t>
      </w:r>
      <w:r w:rsidRPr="008778D4">
        <w:rPr>
          <w:i/>
          <w:spacing w:val="-3"/>
        </w:rPr>
        <w:t>C</w:t>
      </w:r>
      <w:r>
        <w:rPr>
          <w:spacing w:val="-3"/>
        </w:rPr>
        <w:t xml:space="preserve"> is described in atomic fraction then </w:t>
      </w:r>
      <w:r w:rsidRPr="00DA1F76">
        <w:rPr>
          <w:i/>
          <w:iCs/>
          <w:spacing w:val="-3"/>
        </w:rPr>
        <w:t>f</w:t>
      </w:r>
      <w:r w:rsidRPr="00727E8A">
        <w:rPr>
          <w:spacing w:val="-3"/>
          <w:sz w:val="26"/>
          <w:vertAlign w:val="subscript"/>
        </w:rPr>
        <w:t>S</w:t>
      </w:r>
      <w:r w:rsidR="0051677B" w:rsidRPr="00727E8A">
        <w:rPr>
          <w:spacing w:val="-3"/>
          <w:sz w:val="26"/>
          <w:vertAlign w:val="subscript"/>
        </w:rPr>
        <w:t xml:space="preserve"> </w:t>
      </w:r>
      <w:r>
        <w:rPr>
          <w:spacing w:val="-3"/>
        </w:rPr>
        <w:t>is atomic fraction.</w:t>
      </w:r>
    </w:p>
    <w:p w14:paraId="7C6D105E" w14:textId="77777777" w:rsidR="00015B17" w:rsidRDefault="00015B17" w:rsidP="00015B17">
      <w:pPr>
        <w:tabs>
          <w:tab w:val="left" w:pos="-720"/>
        </w:tabs>
        <w:suppressAutoHyphens/>
        <w:spacing w:line="360" w:lineRule="auto"/>
        <w:rPr>
          <w:spacing w:val="-3"/>
        </w:rPr>
      </w:pPr>
    </w:p>
    <w:p w14:paraId="7F19E872" w14:textId="77777777" w:rsidR="00015B17" w:rsidRPr="00DA1F76" w:rsidRDefault="00015B17" w:rsidP="00015B17">
      <w:pPr>
        <w:tabs>
          <w:tab w:val="left" w:pos="-720"/>
        </w:tabs>
        <w:suppressAutoHyphens/>
        <w:spacing w:line="360" w:lineRule="auto"/>
        <w:rPr>
          <w:spacing w:val="-3"/>
        </w:rPr>
      </w:pPr>
      <w:r>
        <w:rPr>
          <w:spacing w:val="-3"/>
        </w:rPr>
        <w:tab/>
        <w:t xml:space="preserve">The Scheil approach will be applied as an approximation to the description of microsegregation produced by dendritic solidification in section 7.3. </w:t>
      </w:r>
      <w:r w:rsidRPr="00DA1F76">
        <w:rPr>
          <w:spacing w:val="-3"/>
        </w:rPr>
        <w:t xml:space="preserve">Indeed the rod geometry with a planar interface is not a necessary assumption if the Gibbs-Thomson effect can be neglected, and the equations are valid for any interface shape </w:t>
      </w:r>
      <w:r>
        <w:rPr>
          <w:spacing w:val="-3"/>
        </w:rPr>
        <w:t xml:space="preserve">but </w:t>
      </w:r>
      <w:r w:rsidRPr="00DA1F76">
        <w:rPr>
          <w:i/>
          <w:iCs/>
          <w:spacing w:val="-3"/>
        </w:rPr>
        <w:t>f</w:t>
      </w:r>
      <w:r w:rsidRPr="00727E8A">
        <w:rPr>
          <w:spacing w:val="-3"/>
          <w:sz w:val="26"/>
          <w:vertAlign w:val="subscript"/>
        </w:rPr>
        <w:t>S</w:t>
      </w:r>
      <w:r w:rsidRPr="00DA1F76">
        <w:rPr>
          <w:spacing w:val="-3"/>
        </w:rPr>
        <w:t xml:space="preserve"> </w:t>
      </w:r>
      <w:r>
        <w:rPr>
          <w:spacing w:val="-3"/>
        </w:rPr>
        <w:t xml:space="preserve">will not be a linear distance fraction. </w:t>
      </w:r>
    </w:p>
    <w:p w14:paraId="1FF758D3" w14:textId="77777777" w:rsidR="00015B17" w:rsidRPr="003E0F31" w:rsidRDefault="00015B17" w:rsidP="00015B17">
      <w:pPr>
        <w:tabs>
          <w:tab w:val="left" w:pos="-720"/>
        </w:tabs>
        <w:suppressAutoHyphens/>
        <w:spacing w:line="360" w:lineRule="auto"/>
        <w:rPr>
          <w:spacing w:val="-3"/>
        </w:rPr>
      </w:pPr>
    </w:p>
    <w:p w14:paraId="6F17506B" w14:textId="63711F9C" w:rsidR="00015B17" w:rsidRDefault="00015B17" w:rsidP="00015B17">
      <w:pPr>
        <w:tabs>
          <w:tab w:val="left" w:pos="-720"/>
        </w:tabs>
        <w:suppressAutoHyphens/>
        <w:spacing w:line="360" w:lineRule="auto"/>
        <w:rPr>
          <w:spacing w:val="-3"/>
        </w:rPr>
      </w:pPr>
      <w:r>
        <w:rPr>
          <w:spacing w:val="-3"/>
        </w:rPr>
        <w:tab/>
      </w:r>
      <w:r w:rsidRPr="00DA1F76">
        <w:rPr>
          <w:spacing w:val="-3"/>
        </w:rPr>
        <w:t xml:space="preserve">GULLIVER [1922], HAYES and CHIPMAN [1938], SCHEIL [1942] and PFANN [1952] all developed </w:t>
      </w:r>
      <w:r>
        <w:rPr>
          <w:spacing w:val="-3"/>
        </w:rPr>
        <w:t>this</w:t>
      </w:r>
      <w:r w:rsidRPr="00DA1F76">
        <w:rPr>
          <w:spacing w:val="-3"/>
        </w:rPr>
        <w:t xml:space="preserve"> equation, also called the "</w:t>
      </w:r>
      <w:r w:rsidRPr="00DA1F76">
        <w:rPr>
          <w:i/>
          <w:iCs/>
          <w:spacing w:val="-3"/>
        </w:rPr>
        <w:t>nonequilibrium lever rule</w:t>
      </w:r>
      <w:r w:rsidRPr="00DA1F76">
        <w:rPr>
          <w:spacing w:val="-3"/>
        </w:rPr>
        <w:t>". Eq</w:t>
      </w:r>
      <w:r>
        <w:rPr>
          <w:spacing w:val="-3"/>
        </w:rPr>
        <w:t>n.</w:t>
      </w:r>
      <w:r w:rsidRPr="00DA1F76">
        <w:rPr>
          <w:spacing w:val="-3"/>
        </w:rPr>
        <w:t xml:space="preserve"> (</w:t>
      </w:r>
      <w:r>
        <w:rPr>
          <w:spacing w:val="-3"/>
        </w:rPr>
        <w:t>6.13</w:t>
      </w:r>
      <w:r w:rsidRPr="00DA1F76">
        <w:rPr>
          <w:spacing w:val="-3"/>
        </w:rPr>
        <w:t xml:space="preserve">) can only be considered a limiting case since most real systems have at least some solid state </w:t>
      </w:r>
      <w:r w:rsidRPr="00DA1F76">
        <w:rPr>
          <w:spacing w:val="-3"/>
        </w:rPr>
        <w:lastRenderedPageBreak/>
        <w:t>diffusion and some level of incomplete liquid mixing. For alloys containing a eutectic (See §8) the liquid composition may reach the eutectic composition</w:t>
      </w:r>
      <w:r w:rsidR="007D4668">
        <w:rPr>
          <w:spacing w:val="-3"/>
        </w:rPr>
        <w:t xml:space="preserve"> before freezing is complete</w:t>
      </w:r>
      <w:r w:rsidRPr="00DA1F76">
        <w:rPr>
          <w:spacing w:val="-3"/>
        </w:rPr>
        <w:t xml:space="preserve">. </w:t>
      </w:r>
      <w:r w:rsidR="007D4668">
        <w:rPr>
          <w:spacing w:val="-3"/>
        </w:rPr>
        <w:t>At this point</w:t>
      </w:r>
      <w:r w:rsidRPr="00DA1F76">
        <w:rPr>
          <w:spacing w:val="-3"/>
        </w:rPr>
        <w:t>, the rem</w:t>
      </w:r>
      <w:r>
        <w:rPr>
          <w:spacing w:val="-3"/>
        </w:rPr>
        <w:t xml:space="preserve">aining liquid will freeze as a </w:t>
      </w:r>
      <w:r w:rsidRPr="00DA1F76">
        <w:rPr>
          <w:spacing w:val="-3"/>
        </w:rPr>
        <w:t>eutectic mixture. For cases when</w:t>
      </w:r>
      <w:r w:rsidRPr="00DA1F76">
        <w:rPr>
          <w:i/>
          <w:iCs/>
          <w:spacing w:val="-3"/>
        </w:rPr>
        <w:t xml:space="preserve"> k</w:t>
      </w:r>
      <w:r w:rsidRPr="00883A53">
        <w:rPr>
          <w:i/>
          <w:iCs/>
          <w:spacing w:val="-3"/>
          <w:sz w:val="26"/>
          <w:vertAlign w:val="superscript"/>
        </w:rPr>
        <w:t>E</w:t>
      </w:r>
      <w:r w:rsidRPr="00883A53">
        <w:rPr>
          <w:spacing w:val="-3"/>
          <w:sz w:val="26"/>
          <w:vertAlign w:val="superscript"/>
        </w:rPr>
        <w:t xml:space="preserve"> </w:t>
      </w:r>
      <w:r>
        <w:rPr>
          <w:spacing w:val="-3"/>
        </w:rPr>
        <w:t>depends on composition, E</w:t>
      </w:r>
      <w:r w:rsidRPr="00DA1F76">
        <w:rPr>
          <w:spacing w:val="-3"/>
        </w:rPr>
        <w:t>q</w:t>
      </w:r>
      <w:r>
        <w:rPr>
          <w:spacing w:val="-3"/>
        </w:rPr>
        <w:t>n</w:t>
      </w:r>
      <w:r w:rsidRPr="00DA1F76">
        <w:rPr>
          <w:spacing w:val="-3"/>
        </w:rPr>
        <w:t xml:space="preserve">. </w:t>
      </w:r>
      <w:r>
        <w:rPr>
          <w:spacing w:val="-3"/>
        </w:rPr>
        <w:t>6.12</w:t>
      </w:r>
      <w:r w:rsidRPr="00DA1F76">
        <w:rPr>
          <w:spacing w:val="-3"/>
        </w:rPr>
        <w:t xml:space="preserve"> can be numerically integrated.</w:t>
      </w:r>
    </w:p>
    <w:p w14:paraId="6C751ACB" w14:textId="77777777" w:rsidR="00015B17" w:rsidRPr="00DA1F76" w:rsidRDefault="00015B17" w:rsidP="00015B17">
      <w:pPr>
        <w:tabs>
          <w:tab w:val="left" w:pos="-720"/>
        </w:tabs>
        <w:suppressAutoHyphens/>
        <w:spacing w:line="360" w:lineRule="auto"/>
        <w:rPr>
          <w:spacing w:val="-3"/>
        </w:rPr>
      </w:pPr>
    </w:p>
    <w:p w14:paraId="6391DCBF" w14:textId="736D96FA" w:rsidR="00015B17" w:rsidRPr="00DA1F76" w:rsidRDefault="00015B17" w:rsidP="00015B17">
      <w:pPr>
        <w:tabs>
          <w:tab w:val="left" w:pos="-720"/>
        </w:tabs>
        <w:suppressAutoHyphens/>
        <w:spacing w:line="360" w:lineRule="auto"/>
        <w:rPr>
          <w:spacing w:val="-3"/>
        </w:rPr>
      </w:pPr>
      <w:r w:rsidRPr="00DA1F76">
        <w:rPr>
          <w:b/>
          <w:bCs/>
          <w:spacing w:val="-3"/>
        </w:rPr>
        <w:t>6.2.</w:t>
      </w:r>
      <w:r w:rsidR="003F2790">
        <w:rPr>
          <w:b/>
          <w:bCs/>
          <w:spacing w:val="-3"/>
        </w:rPr>
        <w:t>3</w:t>
      </w:r>
      <w:r w:rsidRPr="00DA1F76">
        <w:rPr>
          <w:b/>
          <w:bCs/>
          <w:spacing w:val="-3"/>
        </w:rPr>
        <w:t>. Steady State Diffusion Controlled Freezing</w:t>
      </w:r>
    </w:p>
    <w:p w14:paraId="6DCE8717" w14:textId="77777777" w:rsidR="00015B17" w:rsidRPr="00DA1F76" w:rsidRDefault="00015B17" w:rsidP="00015B17">
      <w:pPr>
        <w:tabs>
          <w:tab w:val="left" w:pos="-720"/>
        </w:tabs>
        <w:suppressAutoHyphens/>
        <w:spacing w:line="360" w:lineRule="auto"/>
        <w:rPr>
          <w:spacing w:val="-3"/>
        </w:rPr>
      </w:pPr>
      <w:r w:rsidRPr="00DA1F76">
        <w:rPr>
          <w:spacing w:val="-3"/>
        </w:rPr>
        <w:tab/>
      </w:r>
    </w:p>
    <w:p w14:paraId="2721794A" w14:textId="2CCA90E3" w:rsidR="00015B17" w:rsidRDefault="00015B17" w:rsidP="00015B17">
      <w:pPr>
        <w:tabs>
          <w:tab w:val="left" w:pos="-720"/>
        </w:tabs>
        <w:suppressAutoHyphens/>
        <w:spacing w:line="360" w:lineRule="auto"/>
        <w:rPr>
          <w:spacing w:val="-3"/>
        </w:rPr>
      </w:pPr>
      <w:r w:rsidRPr="00DA1F76">
        <w:rPr>
          <w:spacing w:val="-3"/>
        </w:rPr>
        <w:tab/>
        <w:t>Another practica</w:t>
      </w:r>
      <w:r>
        <w:rPr>
          <w:spacing w:val="-3"/>
        </w:rPr>
        <w:t xml:space="preserve">lly important limiting case of </w:t>
      </w:r>
      <w:r w:rsidRPr="00DA1F76">
        <w:rPr>
          <w:spacing w:val="-3"/>
        </w:rPr>
        <w:t>one dimensional solidification occurs when all the assumpti</w:t>
      </w:r>
      <w:r>
        <w:rPr>
          <w:spacing w:val="-3"/>
        </w:rPr>
        <w:t>ons described in § 6.2.2 apply</w:t>
      </w:r>
      <w:r w:rsidRPr="00DA1F76">
        <w:rPr>
          <w:spacing w:val="-3"/>
        </w:rPr>
        <w:t xml:space="preserve">, except item i). In this case mixing in the liquid is not complete and is governed by </w:t>
      </w:r>
      <w:r>
        <w:rPr>
          <w:spacing w:val="-3"/>
        </w:rPr>
        <w:t>Eqn. 6.10</w:t>
      </w:r>
      <w:r w:rsidRPr="00DA1F76">
        <w:rPr>
          <w:spacing w:val="-3"/>
        </w:rPr>
        <w:t>. Fig.</w:t>
      </w:r>
      <w:r>
        <w:rPr>
          <w:spacing w:val="-3"/>
        </w:rPr>
        <w:t>6.1</w:t>
      </w:r>
      <w:r w:rsidRPr="00DA1F76">
        <w:rPr>
          <w:spacing w:val="-3"/>
        </w:rPr>
        <w:t>c shows the resulting sol</w:t>
      </w:r>
      <w:r>
        <w:rPr>
          <w:spacing w:val="-3"/>
        </w:rPr>
        <w:t xml:space="preserve">ute distribution along the rod </w:t>
      </w:r>
      <w:r w:rsidRPr="00DA1F76">
        <w:rPr>
          <w:spacing w:val="-3"/>
        </w:rPr>
        <w:t xml:space="preserve">after solidification. </w:t>
      </w:r>
      <w:r>
        <w:rPr>
          <w:spacing w:val="-3"/>
        </w:rPr>
        <w:t>If the full time dependent diffusion equation Eqn. 6.2 is solved, t</w:t>
      </w:r>
      <w:r w:rsidRPr="00DA1F76">
        <w:rPr>
          <w:spacing w:val="-3"/>
        </w:rPr>
        <w:t xml:space="preserve">hree distinct regions occur: an initial transient, a steady-state region and a terminal transient. The first is required to establish the steady state boundary layer of solute ahead of the interface and the third arises from the interaction of the boundary layer with the end of the specimen. The diffusion boundary layer in the liquid ahead of the </w:t>
      </w:r>
      <w:r w:rsidR="004201E7">
        <w:rPr>
          <w:spacing w:val="-3"/>
        </w:rPr>
        <w:t>L-S</w:t>
      </w:r>
      <w:r w:rsidRPr="00DA1F76">
        <w:rPr>
          <w:spacing w:val="-3"/>
        </w:rPr>
        <w:t xml:space="preserve"> interface is a region of the system that transports the solute missing from the initial transient in the solid and maintains a constant solid composition in the central region of the rod. The moving boundary layer changes the liquid interface composition from </w:t>
      </w:r>
      <w:r w:rsidRPr="00DA1F76">
        <w:rPr>
          <w:i/>
          <w:iCs/>
          <w:spacing w:val="-3"/>
        </w:rPr>
        <w:t>C</w:t>
      </w:r>
      <w:r w:rsidRPr="00727E8A">
        <w:rPr>
          <w:spacing w:val="-3"/>
          <w:sz w:val="26"/>
          <w:vertAlign w:val="subscript"/>
        </w:rPr>
        <w:t>0</w:t>
      </w:r>
      <w:r w:rsidRPr="00DA1F76">
        <w:rPr>
          <w:spacing w:val="-3"/>
        </w:rPr>
        <w:t xml:space="preserve"> to </w:t>
      </w:r>
      <w:r w:rsidRPr="00DA1F76">
        <w:rPr>
          <w:i/>
          <w:iCs/>
          <w:spacing w:val="-3"/>
        </w:rPr>
        <w:t>C</w:t>
      </w:r>
      <w:r w:rsidRPr="00727E8A">
        <w:rPr>
          <w:spacing w:val="-3"/>
          <w:sz w:val="26"/>
          <w:vertAlign w:val="subscript"/>
        </w:rPr>
        <w:t>0</w:t>
      </w:r>
      <w:r w:rsidRPr="00DA1F76">
        <w:rPr>
          <w:i/>
          <w:iCs/>
          <w:spacing w:val="-3"/>
        </w:rPr>
        <w:t>/k</w:t>
      </w:r>
      <w:r w:rsidRPr="00883A53">
        <w:rPr>
          <w:i/>
          <w:iCs/>
          <w:spacing w:val="-3"/>
          <w:sz w:val="26"/>
          <w:vertAlign w:val="superscript"/>
        </w:rPr>
        <w:t>E</w:t>
      </w:r>
      <w:r w:rsidRPr="00DA1F76">
        <w:rPr>
          <w:spacing w:val="-3"/>
        </w:rPr>
        <w:t xml:space="preserve">, and disappears at the end of solidification by "depositing" its solute in the final transient.  Fig. </w:t>
      </w:r>
      <w:r>
        <w:rPr>
          <w:spacing w:val="-3"/>
        </w:rPr>
        <w:t>6.2</w:t>
      </w:r>
      <w:r w:rsidRPr="00DA1F76">
        <w:rPr>
          <w:spacing w:val="-3"/>
        </w:rPr>
        <w:t xml:space="preserve"> (</w:t>
      </w:r>
      <w:r w:rsidR="007D4668" w:rsidRPr="00DA1F76">
        <w:rPr>
          <w:spacing w:val="-3"/>
        </w:rPr>
        <w:t>K</w:t>
      </w:r>
      <w:r w:rsidR="007D4668">
        <w:rPr>
          <w:spacing w:val="-3"/>
        </w:rPr>
        <w:t>urz</w:t>
      </w:r>
      <w:r w:rsidR="007D4668" w:rsidRPr="00DA1F76">
        <w:rPr>
          <w:spacing w:val="-3"/>
        </w:rPr>
        <w:t xml:space="preserve"> </w:t>
      </w:r>
      <w:r w:rsidRPr="00DA1F76">
        <w:rPr>
          <w:spacing w:val="-3"/>
        </w:rPr>
        <w:t xml:space="preserve">and </w:t>
      </w:r>
      <w:r w:rsidR="007D4668" w:rsidRPr="00DA1F76">
        <w:rPr>
          <w:spacing w:val="-3"/>
        </w:rPr>
        <w:t>F</w:t>
      </w:r>
      <w:r w:rsidR="007D4668">
        <w:rPr>
          <w:spacing w:val="-3"/>
        </w:rPr>
        <w:t>isher</w:t>
      </w:r>
      <w:r w:rsidR="007D4668" w:rsidRPr="00DA1F76">
        <w:rPr>
          <w:spacing w:val="-3"/>
        </w:rPr>
        <w:t xml:space="preserve"> </w:t>
      </w:r>
      <w:r w:rsidRPr="00DA1F76">
        <w:rPr>
          <w:spacing w:val="-3"/>
        </w:rPr>
        <w:t>[1989]) shows the distribution of solute in the liquid and solid along the rod during unidirectional solidification.</w:t>
      </w:r>
    </w:p>
    <w:p w14:paraId="4A36D024" w14:textId="77777777" w:rsidR="00015B17" w:rsidRPr="00DA1F76" w:rsidRDefault="00015B17" w:rsidP="00015B17">
      <w:pPr>
        <w:tabs>
          <w:tab w:val="left" w:pos="-720"/>
        </w:tabs>
        <w:suppressAutoHyphens/>
        <w:spacing w:line="360" w:lineRule="auto"/>
        <w:rPr>
          <w:spacing w:val="-3"/>
        </w:rPr>
      </w:pPr>
    </w:p>
    <w:p w14:paraId="33DBE120" w14:textId="77777777" w:rsidR="00015B17" w:rsidRDefault="00015B17" w:rsidP="00015B17">
      <w:pPr>
        <w:tabs>
          <w:tab w:val="left" w:pos="-720"/>
        </w:tabs>
        <w:suppressAutoHyphens/>
        <w:spacing w:line="360" w:lineRule="auto"/>
        <w:rPr>
          <w:spacing w:val="-3"/>
        </w:rPr>
      </w:pPr>
      <w:r w:rsidRPr="00DA1F76">
        <w:rPr>
          <w:spacing w:val="-3"/>
        </w:rPr>
        <w:tab/>
        <w:t>When the steady state condition has been reached in the central region of the bar</w:t>
      </w:r>
      <w:r>
        <w:rPr>
          <w:spacing w:val="-3"/>
        </w:rPr>
        <w:t xml:space="preserve"> (Fig. 6.1c)</w:t>
      </w:r>
      <w:r w:rsidRPr="00DA1F76">
        <w:rPr>
          <w:spacing w:val="-3"/>
        </w:rPr>
        <w:t xml:space="preserve">, the </w:t>
      </w:r>
      <w:r>
        <w:rPr>
          <w:spacing w:val="-3"/>
        </w:rPr>
        <w:t xml:space="preserve">solution to Eqn. 6.4 for </w:t>
      </w:r>
      <w:r w:rsidRPr="00DA1F76">
        <w:rPr>
          <w:spacing w:val="-3"/>
        </w:rPr>
        <w:t>sol</w:t>
      </w:r>
      <w:r>
        <w:rPr>
          <w:spacing w:val="-3"/>
        </w:rPr>
        <w:t xml:space="preserve">ute distribution in the liquid </w:t>
      </w:r>
      <w:r w:rsidRPr="00DA1F76">
        <w:rPr>
          <w:spacing w:val="-3"/>
        </w:rPr>
        <w:t>in front of the interface is given by</w:t>
      </w:r>
    </w:p>
    <w:p w14:paraId="15585F9F" w14:textId="77777777" w:rsidR="00015B17" w:rsidRDefault="00015B17" w:rsidP="00015B17">
      <w:pPr>
        <w:tabs>
          <w:tab w:val="left" w:pos="-720"/>
        </w:tabs>
        <w:suppressAutoHyphens/>
        <w:spacing w:line="360" w:lineRule="auto"/>
        <w:jc w:val="both"/>
        <w:rPr>
          <w:spacing w:val="-3"/>
        </w:rPr>
      </w:pPr>
    </w:p>
    <w:p w14:paraId="7A5905D0" w14:textId="77777777" w:rsidR="00015B17" w:rsidRDefault="00015B17" w:rsidP="00015B17">
      <w:pPr>
        <w:tabs>
          <w:tab w:val="left" w:pos="-720"/>
        </w:tabs>
        <w:suppressAutoHyphens/>
        <w:spacing w:line="360" w:lineRule="auto"/>
        <w:jc w:val="center"/>
        <w:rPr>
          <w:spacing w:val="-3"/>
          <w:position w:val="-30"/>
        </w:rPr>
      </w:pPr>
      <w:r w:rsidRPr="00347A95">
        <w:rPr>
          <w:spacing w:val="-3"/>
          <w:position w:val="-30"/>
        </w:rPr>
        <w:object w:dxaOrig="3080" w:dyaOrig="720" w14:anchorId="15A18B6E">
          <v:shape id="_x0000_i1453" type="#_x0000_t75" style="width:153.35pt;height:36.45pt" o:ole="">
            <v:imagedata r:id="rId832" o:title=""/>
          </v:shape>
          <o:OLEObject Type="Embed" ProgID="Equation.DSMT4" ShapeID="_x0000_i1453" DrawAspect="Content" ObjectID="_1840627019" r:id="rId833"/>
        </w:object>
      </w:r>
      <w:r>
        <w:rPr>
          <w:spacing w:val="-3"/>
          <w:position w:val="-30"/>
        </w:rPr>
        <w:tab/>
      </w:r>
      <w:r>
        <w:rPr>
          <w:spacing w:val="-3"/>
          <w:position w:val="-30"/>
        </w:rPr>
        <w:tab/>
        <w:t>(6.16)</w:t>
      </w:r>
    </w:p>
    <w:p w14:paraId="4440FF76" w14:textId="77777777" w:rsidR="00015B17" w:rsidRPr="00DA1F76" w:rsidRDefault="00015B17" w:rsidP="00015B17">
      <w:pPr>
        <w:tabs>
          <w:tab w:val="left" w:pos="-720"/>
        </w:tabs>
        <w:suppressAutoHyphens/>
        <w:spacing w:line="360" w:lineRule="auto"/>
        <w:jc w:val="center"/>
        <w:rPr>
          <w:spacing w:val="-3"/>
        </w:rPr>
      </w:pPr>
    </w:p>
    <w:p w14:paraId="0C95384C" w14:textId="77777777" w:rsidR="00015B17" w:rsidRPr="00DA1F76" w:rsidRDefault="0051677B" w:rsidP="00015B17">
      <w:pPr>
        <w:tabs>
          <w:tab w:val="left" w:pos="-720"/>
        </w:tabs>
        <w:suppressAutoHyphens/>
        <w:spacing w:line="360" w:lineRule="auto"/>
        <w:jc w:val="both"/>
        <w:rPr>
          <w:spacing w:val="-3"/>
        </w:rPr>
      </w:pPr>
      <w:r>
        <w:rPr>
          <w:spacing w:val="-3"/>
        </w:rPr>
        <w:lastRenderedPageBreak/>
        <w:t>w</w:t>
      </w:r>
      <w:r w:rsidR="00015B17" w:rsidRPr="00DA1F76">
        <w:rPr>
          <w:spacing w:val="-3"/>
        </w:rPr>
        <w:t>here</w:t>
      </w:r>
      <w:r w:rsidR="00015B17" w:rsidRPr="00DA1F76">
        <w:rPr>
          <w:i/>
          <w:iCs/>
          <w:spacing w:val="-3"/>
        </w:rPr>
        <w:t xml:space="preserve"> D</w:t>
      </w:r>
      <w:r w:rsidR="00015B17" w:rsidRPr="00727E8A">
        <w:rPr>
          <w:spacing w:val="-3"/>
          <w:sz w:val="26"/>
          <w:vertAlign w:val="subscript"/>
        </w:rPr>
        <w:t>L</w:t>
      </w:r>
      <w:r w:rsidR="00015B17" w:rsidRPr="00DA1F76">
        <w:rPr>
          <w:spacing w:val="-3"/>
        </w:rPr>
        <w:t xml:space="preserve"> is the solute diffusion coefficient in the liquid and </w:t>
      </w:r>
      <w:r w:rsidR="00015B17" w:rsidRPr="00DA1F76">
        <w:rPr>
          <w:i/>
          <w:iCs/>
          <w:spacing w:val="-3"/>
        </w:rPr>
        <w:t>z</w:t>
      </w:r>
      <w:r w:rsidR="00015B17" w:rsidRPr="00DA1F76">
        <w:rPr>
          <w:spacing w:val="-3"/>
        </w:rPr>
        <w:t xml:space="preserve"> the distance from the interface. Note that the liquid concentration at the interface</w:t>
      </w:r>
      <w:r w:rsidR="00015B17">
        <w:rPr>
          <w:spacing w:val="-3"/>
        </w:rPr>
        <w:t xml:space="preserve"> </w:t>
      </w:r>
      <w:r w:rsidR="00015B17" w:rsidRPr="00A316C5">
        <w:rPr>
          <w:spacing w:val="-3"/>
          <w:position w:val="-14"/>
        </w:rPr>
        <w:object w:dxaOrig="720" w:dyaOrig="400" w14:anchorId="716EB002">
          <v:shape id="_x0000_i1454" type="#_x0000_t75" style="width:36.45pt;height:19.65pt" o:ole="">
            <v:imagedata r:id="rId834" o:title=""/>
          </v:shape>
          <o:OLEObject Type="Embed" ProgID="Equation.DSMT4" ShapeID="_x0000_i1454" DrawAspect="Content" ObjectID="_1840627020" r:id="rId835"/>
        </w:object>
      </w:r>
      <w:r w:rsidR="00015B17" w:rsidRPr="00DA1F76">
        <w:rPr>
          <w:spacing w:val="-3"/>
        </w:rPr>
        <w:t xml:space="preserve"> is</w:t>
      </w:r>
      <w:r w:rsidR="00015B17" w:rsidRPr="00DA1F76">
        <w:rPr>
          <w:i/>
          <w:iCs/>
          <w:spacing w:val="-3"/>
        </w:rPr>
        <w:t xml:space="preserve"> C</w:t>
      </w:r>
      <w:r w:rsidR="00015B17" w:rsidRPr="00727E8A">
        <w:rPr>
          <w:spacing w:val="-3"/>
          <w:sz w:val="26"/>
          <w:vertAlign w:val="subscript"/>
        </w:rPr>
        <w:t>0</w:t>
      </w:r>
      <w:r w:rsidR="00015B17" w:rsidRPr="00DA1F76">
        <w:rPr>
          <w:i/>
          <w:iCs/>
          <w:spacing w:val="-3"/>
        </w:rPr>
        <w:t>/k</w:t>
      </w:r>
      <w:r w:rsidR="00015B17" w:rsidRPr="00883A53">
        <w:rPr>
          <w:i/>
          <w:iCs/>
          <w:spacing w:val="-3"/>
          <w:sz w:val="26"/>
          <w:vertAlign w:val="superscript"/>
        </w:rPr>
        <w:t>E</w:t>
      </w:r>
      <w:r w:rsidR="00015B17">
        <w:rPr>
          <w:spacing w:val="-3"/>
        </w:rPr>
        <w:t xml:space="preserve"> producing </w:t>
      </w:r>
      <w:r w:rsidR="00015B17" w:rsidRPr="00DA1F76">
        <w:rPr>
          <w:spacing w:val="-3"/>
        </w:rPr>
        <w:t xml:space="preserve">a solid composition </w:t>
      </w:r>
      <w:r w:rsidR="00015B17" w:rsidRPr="00DA1F76">
        <w:rPr>
          <w:i/>
          <w:iCs/>
          <w:spacing w:val="-3"/>
        </w:rPr>
        <w:t>C</w:t>
      </w:r>
      <w:r w:rsidR="00015B17" w:rsidRPr="00727E8A">
        <w:rPr>
          <w:spacing w:val="-3"/>
          <w:sz w:val="26"/>
          <w:vertAlign w:val="subscript"/>
        </w:rPr>
        <w:t>0</w:t>
      </w:r>
      <w:r w:rsidR="00015B17">
        <w:rPr>
          <w:spacing w:val="-3"/>
        </w:rPr>
        <w:t>. In E</w:t>
      </w:r>
      <w:r w:rsidR="00015B17" w:rsidRPr="00DA1F76">
        <w:rPr>
          <w:spacing w:val="-3"/>
        </w:rPr>
        <w:t>q</w:t>
      </w:r>
      <w:r w:rsidR="00015B17">
        <w:rPr>
          <w:spacing w:val="-3"/>
        </w:rPr>
        <w:t xml:space="preserve">n. </w:t>
      </w:r>
      <w:r w:rsidR="00015B17" w:rsidRPr="00DA1F76">
        <w:rPr>
          <w:spacing w:val="-3"/>
        </w:rPr>
        <w:t>6</w:t>
      </w:r>
      <w:r w:rsidR="00015B17">
        <w:rPr>
          <w:spacing w:val="-3"/>
        </w:rPr>
        <w:t>.16,</w:t>
      </w:r>
      <w:r w:rsidR="00015B17" w:rsidRPr="00DA1F76">
        <w:rPr>
          <w:spacing w:val="-3"/>
        </w:rPr>
        <w:t xml:space="preserve"> the thickness of the solute rich layer is given by the characteristic distance, </w:t>
      </w:r>
      <w:r w:rsidR="00015B17" w:rsidRPr="00DA1F76">
        <w:rPr>
          <w:i/>
          <w:iCs/>
          <w:spacing w:val="-3"/>
        </w:rPr>
        <w:t>D</w:t>
      </w:r>
      <w:r w:rsidR="00015B17" w:rsidRPr="00727E8A">
        <w:rPr>
          <w:spacing w:val="-3"/>
          <w:sz w:val="26"/>
          <w:vertAlign w:val="subscript"/>
        </w:rPr>
        <w:t>L</w:t>
      </w:r>
      <w:r w:rsidR="00015B17" w:rsidRPr="00DA1F76">
        <w:rPr>
          <w:spacing w:val="-3"/>
        </w:rPr>
        <w:t>/</w:t>
      </w:r>
      <w:r w:rsidR="00015B17" w:rsidRPr="00DA1F76">
        <w:rPr>
          <w:i/>
          <w:iCs/>
          <w:spacing w:val="-3"/>
        </w:rPr>
        <w:t>V.</w:t>
      </w:r>
      <w:r w:rsidR="00015B17" w:rsidRPr="00DA1F76">
        <w:rPr>
          <w:spacing w:val="-3"/>
        </w:rPr>
        <w:t xml:space="preserve"> </w:t>
      </w:r>
      <w:r w:rsidR="00015B17" w:rsidRPr="00DA1F76">
        <w:rPr>
          <w:spacing w:val="-3"/>
        </w:rPr>
        <w:tab/>
        <w:t>It is quite important to know the extent of each of the three regions shown in Fig.</w:t>
      </w:r>
      <w:r w:rsidR="00015B17">
        <w:rPr>
          <w:spacing w:val="-3"/>
        </w:rPr>
        <w:t xml:space="preserve"> 6.1c The reader is referred to </w:t>
      </w:r>
      <w:r w:rsidR="00015B17" w:rsidRPr="00DA1F76">
        <w:rPr>
          <w:spacing w:val="-3"/>
        </w:rPr>
        <w:t xml:space="preserve">VERHOEVEN </w:t>
      </w:r>
      <w:r w:rsidR="00015B17" w:rsidRPr="00DA1F76">
        <w:rPr>
          <w:i/>
          <w:iCs/>
          <w:spacing w:val="-3"/>
        </w:rPr>
        <w:t>et al.</w:t>
      </w:r>
      <w:r w:rsidR="00015B17" w:rsidRPr="00DA1F76">
        <w:rPr>
          <w:spacing w:val="-3"/>
        </w:rPr>
        <w:t xml:space="preserve"> [1988], [1989] for a summary of analysis of the initial and final transients.</w:t>
      </w:r>
    </w:p>
    <w:p w14:paraId="539D7AB3" w14:textId="77777777" w:rsidR="00015B17" w:rsidRPr="00DA1F76" w:rsidRDefault="00015B17" w:rsidP="00015B17">
      <w:pPr>
        <w:tabs>
          <w:tab w:val="left" w:pos="-720"/>
        </w:tabs>
        <w:suppressAutoHyphens/>
        <w:spacing w:line="360" w:lineRule="auto"/>
        <w:jc w:val="both"/>
        <w:rPr>
          <w:spacing w:val="-3"/>
        </w:rPr>
      </w:pPr>
    </w:p>
    <w:p w14:paraId="5B78FC9E" w14:textId="4E45DCDC" w:rsidR="00015B17" w:rsidRPr="00BA5F71" w:rsidRDefault="00015B17" w:rsidP="00015B17">
      <w:pPr>
        <w:tabs>
          <w:tab w:val="left" w:pos="-720"/>
        </w:tabs>
        <w:suppressAutoHyphens/>
        <w:spacing w:line="360" w:lineRule="auto"/>
        <w:jc w:val="both"/>
        <w:rPr>
          <w:spacing w:val="-3"/>
        </w:rPr>
      </w:pPr>
      <w:r w:rsidRPr="00DA1F76">
        <w:rPr>
          <w:b/>
          <w:bCs/>
          <w:spacing w:val="-3"/>
        </w:rPr>
        <w:t>6.2.</w:t>
      </w:r>
      <w:r w:rsidR="003F2790">
        <w:rPr>
          <w:b/>
          <w:bCs/>
          <w:spacing w:val="-3"/>
        </w:rPr>
        <w:t>4</w:t>
      </w:r>
      <w:r w:rsidRPr="00DA1F76">
        <w:rPr>
          <w:b/>
          <w:bCs/>
          <w:spacing w:val="-3"/>
        </w:rPr>
        <w:t>. Convection effects. Freezing with Partial mixing in the liquid (Boundary Layer Approach)</w:t>
      </w:r>
    </w:p>
    <w:p w14:paraId="4B802033" w14:textId="77777777" w:rsidR="00015B17" w:rsidRPr="00DA1F76" w:rsidRDefault="00015B17" w:rsidP="00015B17">
      <w:pPr>
        <w:tabs>
          <w:tab w:val="left" w:pos="-720"/>
        </w:tabs>
        <w:suppressAutoHyphens/>
        <w:spacing w:line="360" w:lineRule="auto"/>
        <w:jc w:val="both"/>
        <w:rPr>
          <w:spacing w:val="-3"/>
        </w:rPr>
      </w:pPr>
    </w:p>
    <w:p w14:paraId="0D602676" w14:textId="101CE2C3" w:rsidR="00015B17" w:rsidRDefault="00015B17" w:rsidP="00015B17">
      <w:pPr>
        <w:tabs>
          <w:tab w:val="left" w:pos="-720"/>
        </w:tabs>
        <w:suppressAutoHyphens/>
        <w:spacing w:line="360" w:lineRule="auto"/>
        <w:jc w:val="both"/>
        <w:rPr>
          <w:spacing w:val="-3"/>
        </w:rPr>
      </w:pPr>
      <w:r w:rsidRPr="00DA1F76">
        <w:rPr>
          <w:spacing w:val="-3"/>
        </w:rPr>
        <w:tab/>
        <w:t>Free convection, due to solute or thermal gradients in the liquid, or forced convection, due to crystal rotation or el</w:t>
      </w:r>
      <w:r>
        <w:rPr>
          <w:spacing w:val="-3"/>
        </w:rPr>
        <w:t xml:space="preserve">ectromagnetic forces, strongly </w:t>
      </w:r>
      <w:r w:rsidRPr="00DA1F76">
        <w:rPr>
          <w:spacing w:val="-3"/>
        </w:rPr>
        <w:t xml:space="preserve">influence segregation. This subject has been reviewed by various authors: </w:t>
      </w:r>
      <w:r w:rsidR="007D4668" w:rsidRPr="00DA1F76">
        <w:rPr>
          <w:spacing w:val="-3"/>
        </w:rPr>
        <w:t>H</w:t>
      </w:r>
      <w:r w:rsidR="007D4668">
        <w:rPr>
          <w:spacing w:val="-3"/>
        </w:rPr>
        <w:t>urle</w:t>
      </w:r>
      <w:r w:rsidR="007D4668" w:rsidRPr="00DA1F76">
        <w:rPr>
          <w:spacing w:val="-3"/>
        </w:rPr>
        <w:t xml:space="preserve"> </w:t>
      </w:r>
      <w:r w:rsidRPr="00DA1F76">
        <w:rPr>
          <w:spacing w:val="-3"/>
        </w:rPr>
        <w:t xml:space="preserve">[1972], </w:t>
      </w:r>
      <w:r w:rsidR="007D4668" w:rsidRPr="00DA1F76">
        <w:rPr>
          <w:spacing w:val="-3"/>
        </w:rPr>
        <w:t>C</w:t>
      </w:r>
      <w:r w:rsidR="007D4668">
        <w:rPr>
          <w:spacing w:val="-3"/>
        </w:rPr>
        <w:t>arruthers</w:t>
      </w:r>
      <w:r w:rsidR="007D4668" w:rsidRPr="00DA1F76">
        <w:rPr>
          <w:spacing w:val="-3"/>
        </w:rPr>
        <w:t xml:space="preserve"> </w:t>
      </w:r>
      <w:r w:rsidRPr="00DA1F76">
        <w:rPr>
          <w:spacing w:val="-3"/>
        </w:rPr>
        <w:t>[1976]</w:t>
      </w:r>
      <w:r>
        <w:rPr>
          <w:spacing w:val="-3"/>
        </w:rPr>
        <w:t>,</w:t>
      </w:r>
      <w:r w:rsidRPr="00DA1F76">
        <w:rPr>
          <w:spacing w:val="-3"/>
        </w:rPr>
        <w:t xml:space="preserve"> G</w:t>
      </w:r>
      <w:r w:rsidR="007D4668" w:rsidRPr="00DA1F76">
        <w:rPr>
          <w:spacing w:val="-3"/>
        </w:rPr>
        <w:t>licksman</w:t>
      </w:r>
      <w:r w:rsidRPr="00DA1F76">
        <w:rPr>
          <w:spacing w:val="-3"/>
        </w:rPr>
        <w:t xml:space="preserve"> </w:t>
      </w:r>
      <w:r w:rsidRPr="00DA1F76">
        <w:rPr>
          <w:i/>
          <w:iCs/>
          <w:spacing w:val="-3"/>
        </w:rPr>
        <w:t>et al</w:t>
      </w:r>
      <w:r w:rsidRPr="00DA1F76">
        <w:rPr>
          <w:spacing w:val="-3"/>
        </w:rPr>
        <w:t xml:space="preserve">. [1986], </w:t>
      </w:r>
      <w:r w:rsidR="007D4668" w:rsidRPr="00DA1F76">
        <w:rPr>
          <w:spacing w:val="-3"/>
        </w:rPr>
        <w:t>B</w:t>
      </w:r>
      <w:r w:rsidR="007D4668">
        <w:rPr>
          <w:spacing w:val="-3"/>
        </w:rPr>
        <w:t>rown</w:t>
      </w:r>
      <w:r w:rsidR="007D4668" w:rsidRPr="00DA1F76">
        <w:rPr>
          <w:spacing w:val="-3"/>
        </w:rPr>
        <w:t xml:space="preserve"> </w:t>
      </w:r>
      <w:r w:rsidRPr="00DA1F76">
        <w:rPr>
          <w:spacing w:val="-3"/>
        </w:rPr>
        <w:t xml:space="preserve">[1988], </w:t>
      </w:r>
      <w:r w:rsidR="007D4668" w:rsidRPr="00DA1F76">
        <w:rPr>
          <w:spacing w:val="-3"/>
        </w:rPr>
        <w:t>F</w:t>
      </w:r>
      <w:r w:rsidR="007D4668">
        <w:rPr>
          <w:spacing w:val="-3"/>
        </w:rPr>
        <w:t>avier</w:t>
      </w:r>
      <w:r w:rsidR="007D4668" w:rsidRPr="00DA1F76">
        <w:rPr>
          <w:spacing w:val="-3"/>
        </w:rPr>
        <w:t xml:space="preserve"> </w:t>
      </w:r>
      <w:r w:rsidRPr="00DA1F76">
        <w:rPr>
          <w:spacing w:val="-3"/>
        </w:rPr>
        <w:t>[1990]. Fluid flow has import</w:t>
      </w:r>
      <w:r>
        <w:rPr>
          <w:spacing w:val="-3"/>
        </w:rPr>
        <w:t xml:space="preserve">ant technological consequences </w:t>
      </w:r>
      <w:r w:rsidRPr="00DA1F76">
        <w:rPr>
          <w:spacing w:val="-3"/>
        </w:rPr>
        <w:t xml:space="preserve">for the processing of electronic materials where the solute distribution </w:t>
      </w:r>
      <w:r>
        <w:rPr>
          <w:spacing w:val="-3"/>
        </w:rPr>
        <w:t xml:space="preserve">during nominally planar growth conditions </w:t>
      </w:r>
      <w:r w:rsidRPr="00DA1F76">
        <w:rPr>
          <w:spacing w:val="-3"/>
        </w:rPr>
        <w:t>determines the quality of the devices.</w:t>
      </w:r>
      <w:r>
        <w:rPr>
          <w:spacing w:val="-3"/>
        </w:rPr>
        <w:t xml:space="preserve"> Complex fluid flow within the mushy zone during dendritic solidification</w:t>
      </w:r>
      <w:r w:rsidRPr="00D063A2">
        <w:rPr>
          <w:spacing w:val="-3"/>
        </w:rPr>
        <w:t xml:space="preserve"> </w:t>
      </w:r>
      <w:r w:rsidR="007408CD">
        <w:rPr>
          <w:spacing w:val="-3"/>
        </w:rPr>
        <w:t xml:space="preserve">is </w:t>
      </w:r>
      <w:r>
        <w:rPr>
          <w:spacing w:val="-3"/>
        </w:rPr>
        <w:t xml:space="preserve">also important. This topic is </w:t>
      </w:r>
      <w:r w:rsidRPr="00DA1F76">
        <w:rPr>
          <w:spacing w:val="-3"/>
        </w:rPr>
        <w:t>defer</w:t>
      </w:r>
      <w:r>
        <w:rPr>
          <w:spacing w:val="-3"/>
        </w:rPr>
        <w:t>red</w:t>
      </w:r>
      <w:r w:rsidRPr="00DA1F76">
        <w:rPr>
          <w:spacing w:val="-3"/>
        </w:rPr>
        <w:t xml:space="preserve"> </w:t>
      </w:r>
      <w:r>
        <w:rPr>
          <w:spacing w:val="-3"/>
        </w:rPr>
        <w:t xml:space="preserve">until </w:t>
      </w:r>
      <w:r w:rsidR="007D4668">
        <w:rPr>
          <w:spacing w:val="-3"/>
        </w:rPr>
        <w:t>§</w:t>
      </w:r>
      <w:r>
        <w:rPr>
          <w:spacing w:val="-3"/>
        </w:rPr>
        <w:t xml:space="preserve"> 9.</w:t>
      </w:r>
    </w:p>
    <w:p w14:paraId="3CB03FDB" w14:textId="77777777" w:rsidR="00015B17" w:rsidRPr="00DA1F76" w:rsidRDefault="00015B17" w:rsidP="00015B17">
      <w:pPr>
        <w:tabs>
          <w:tab w:val="left" w:pos="-720"/>
        </w:tabs>
        <w:suppressAutoHyphens/>
        <w:spacing w:line="360" w:lineRule="auto"/>
        <w:jc w:val="both"/>
        <w:rPr>
          <w:spacing w:val="-3"/>
        </w:rPr>
      </w:pPr>
    </w:p>
    <w:p w14:paraId="508E76DF" w14:textId="77777777" w:rsidR="00015B17" w:rsidRDefault="00015B17" w:rsidP="00015B17">
      <w:pPr>
        <w:tabs>
          <w:tab w:val="left" w:pos="-720"/>
        </w:tabs>
        <w:suppressAutoHyphens/>
        <w:spacing w:line="360" w:lineRule="auto"/>
        <w:jc w:val="both"/>
        <w:rPr>
          <w:spacing w:val="-3"/>
        </w:rPr>
      </w:pPr>
      <w:r w:rsidRPr="00DA1F76">
        <w:rPr>
          <w:spacing w:val="-3"/>
        </w:rPr>
        <w:tab/>
      </w:r>
      <w:r>
        <w:rPr>
          <w:spacing w:val="-3"/>
        </w:rPr>
        <w:t>For planar growth, t</w:t>
      </w:r>
      <w:r w:rsidRPr="00DA1F76">
        <w:rPr>
          <w:spacing w:val="-3"/>
        </w:rPr>
        <w:t xml:space="preserve">he interval between the extreme cases of complete mixing and diffusion controlled freezing </w:t>
      </w:r>
      <w:r>
        <w:rPr>
          <w:spacing w:val="-3"/>
        </w:rPr>
        <w:t xml:space="preserve">for planar growth </w:t>
      </w:r>
      <w:r w:rsidRPr="00DA1F76">
        <w:rPr>
          <w:spacing w:val="-3"/>
        </w:rPr>
        <w:t>was bridged by the pioneering work of B</w:t>
      </w:r>
      <w:r>
        <w:rPr>
          <w:spacing w:val="-3"/>
        </w:rPr>
        <w:t xml:space="preserve">urton, Prim and Schlichter </w:t>
      </w:r>
      <w:r w:rsidRPr="00DA1F76">
        <w:rPr>
          <w:spacing w:val="-3"/>
        </w:rPr>
        <w:t>[1953]</w:t>
      </w:r>
      <w:r>
        <w:rPr>
          <w:spacing w:val="-3"/>
        </w:rPr>
        <w:t xml:space="preserve"> (BPS)</w:t>
      </w:r>
      <w:r w:rsidRPr="00DA1F76">
        <w:rPr>
          <w:spacing w:val="-3"/>
        </w:rPr>
        <w:t xml:space="preserve">. In this simple approach, a diffusion layer of thickness </w:t>
      </w:r>
      <w:r w:rsidRPr="0049171D">
        <w:rPr>
          <w:i/>
          <w:spacing w:val="-3"/>
        </w:rPr>
        <w:t>δ</w:t>
      </w:r>
      <w:r w:rsidRPr="00727E8A">
        <w:rPr>
          <w:i/>
          <w:spacing w:val="-3"/>
          <w:sz w:val="26"/>
          <w:vertAlign w:val="subscript"/>
        </w:rPr>
        <w:t>F</w:t>
      </w:r>
      <w:r w:rsidRPr="00DA1F76">
        <w:rPr>
          <w:spacing w:val="-3"/>
        </w:rPr>
        <w:t xml:space="preserve"> is assumed near the interface outside of which the liquid composition is maintained uniform by convection.  A</w:t>
      </w:r>
      <w:r w:rsidR="00525B34">
        <w:rPr>
          <w:spacing w:val="-3"/>
        </w:rPr>
        <w:t>n</w:t>
      </w:r>
      <w:r w:rsidRPr="00DA1F76">
        <w:rPr>
          <w:spacing w:val="-3"/>
        </w:rPr>
        <w:t xml:space="preserve"> expression for </w:t>
      </w:r>
      <w:r>
        <w:rPr>
          <w:spacing w:val="-3"/>
        </w:rPr>
        <w:t xml:space="preserve">solute distribution </w:t>
      </w:r>
      <w:r w:rsidRPr="00DA1F76">
        <w:rPr>
          <w:spacing w:val="-3"/>
        </w:rPr>
        <w:t>(Fig.</w:t>
      </w:r>
      <w:r>
        <w:rPr>
          <w:spacing w:val="-3"/>
        </w:rPr>
        <w:t xml:space="preserve"> 6.1</w:t>
      </w:r>
      <w:r w:rsidRPr="00DA1F76">
        <w:rPr>
          <w:spacing w:val="-3"/>
        </w:rPr>
        <w:t xml:space="preserve">d) </w:t>
      </w:r>
      <w:r>
        <w:rPr>
          <w:spacing w:val="-3"/>
        </w:rPr>
        <w:t>in the sample is</w:t>
      </w:r>
    </w:p>
    <w:p w14:paraId="04731957" w14:textId="77777777" w:rsidR="00015B17" w:rsidRDefault="00015B17" w:rsidP="00015B17">
      <w:pPr>
        <w:tabs>
          <w:tab w:val="left" w:pos="-720"/>
        </w:tabs>
        <w:suppressAutoHyphens/>
        <w:spacing w:line="360" w:lineRule="auto"/>
        <w:jc w:val="both"/>
        <w:rPr>
          <w:spacing w:val="-3"/>
        </w:rPr>
      </w:pPr>
    </w:p>
    <w:p w14:paraId="4E9FC74A" w14:textId="77777777" w:rsidR="00015B17" w:rsidRDefault="00015B17" w:rsidP="00015B17">
      <w:pPr>
        <w:tabs>
          <w:tab w:val="left" w:pos="-720"/>
        </w:tabs>
        <w:suppressAutoHyphens/>
        <w:spacing w:before="240" w:line="360" w:lineRule="auto"/>
        <w:jc w:val="center"/>
        <w:rPr>
          <w:spacing w:val="-3"/>
          <w:position w:val="-14"/>
        </w:rPr>
      </w:pPr>
      <w:r w:rsidRPr="00347A95">
        <w:rPr>
          <w:spacing w:val="-3"/>
          <w:position w:val="-14"/>
        </w:rPr>
        <w:object w:dxaOrig="2220" w:dyaOrig="420" w14:anchorId="3E632DA5">
          <v:shape id="_x0000_i1455" type="#_x0000_t75" style="width:112.2pt;height:20.55pt" o:ole="">
            <v:imagedata r:id="rId836" o:title=""/>
          </v:shape>
          <o:OLEObject Type="Embed" ProgID="Equation.DSMT4" ShapeID="_x0000_i1455" DrawAspect="Content" ObjectID="_1840627021" r:id="rId837"/>
        </w:object>
      </w:r>
      <w:r>
        <w:rPr>
          <w:spacing w:val="-3"/>
          <w:position w:val="-14"/>
        </w:rPr>
        <w:tab/>
      </w:r>
      <w:r>
        <w:rPr>
          <w:spacing w:val="-3"/>
          <w:position w:val="-14"/>
        </w:rPr>
        <w:tab/>
      </w:r>
      <w:r>
        <w:rPr>
          <w:spacing w:val="-3"/>
          <w:position w:val="-14"/>
        </w:rPr>
        <w:tab/>
        <w:t>(6.17)</w:t>
      </w:r>
    </w:p>
    <w:p w14:paraId="62AD53EC" w14:textId="77777777" w:rsidR="00015B17" w:rsidRDefault="00015B17" w:rsidP="00015B17">
      <w:pPr>
        <w:tabs>
          <w:tab w:val="left" w:pos="-720"/>
        </w:tabs>
        <w:suppressAutoHyphens/>
        <w:spacing w:line="360" w:lineRule="auto"/>
        <w:jc w:val="both"/>
        <w:rPr>
          <w:spacing w:val="-3"/>
          <w:position w:val="-14"/>
        </w:rPr>
      </w:pPr>
    </w:p>
    <w:p w14:paraId="2E79701C" w14:textId="77777777" w:rsidR="00015B17" w:rsidRDefault="00015B17" w:rsidP="00015B17">
      <w:pPr>
        <w:tabs>
          <w:tab w:val="left" w:pos="-720"/>
        </w:tabs>
        <w:suppressAutoHyphens/>
        <w:spacing w:line="360" w:lineRule="auto"/>
        <w:jc w:val="both"/>
        <w:rPr>
          <w:spacing w:val="-3"/>
        </w:rPr>
      </w:pPr>
      <w:r>
        <w:rPr>
          <w:spacing w:val="-3"/>
        </w:rPr>
        <w:t xml:space="preserve">with </w:t>
      </w:r>
      <w:r w:rsidRPr="00DA1F76">
        <w:rPr>
          <w:spacing w:val="-3"/>
        </w:rPr>
        <w:t xml:space="preserve">an effective distribution coefficient </w:t>
      </w:r>
      <w:r>
        <w:rPr>
          <w:spacing w:val="-3"/>
        </w:rPr>
        <w:t>given by</w:t>
      </w:r>
    </w:p>
    <w:p w14:paraId="03CEA0D1" w14:textId="77777777" w:rsidR="00015B17" w:rsidRPr="00DA1F76" w:rsidRDefault="00015B17" w:rsidP="00015B17">
      <w:pPr>
        <w:tabs>
          <w:tab w:val="left" w:pos="-720"/>
        </w:tabs>
        <w:suppressAutoHyphens/>
        <w:spacing w:line="360" w:lineRule="auto"/>
        <w:jc w:val="both"/>
        <w:rPr>
          <w:spacing w:val="-3"/>
        </w:rPr>
      </w:pPr>
    </w:p>
    <w:p w14:paraId="28FC1FB5" w14:textId="77777777" w:rsidR="00015B17" w:rsidRDefault="00015B17" w:rsidP="00015B17">
      <w:pPr>
        <w:tabs>
          <w:tab w:val="left" w:pos="-720"/>
        </w:tabs>
        <w:suppressAutoHyphens/>
        <w:spacing w:line="360" w:lineRule="auto"/>
        <w:jc w:val="center"/>
        <w:rPr>
          <w:spacing w:val="-3"/>
        </w:rPr>
      </w:pPr>
      <w:r>
        <w:rPr>
          <w:spacing w:val="-3"/>
          <w:position w:val="-70"/>
        </w:rPr>
        <w:lastRenderedPageBreak/>
        <w:tab/>
      </w:r>
      <w:r w:rsidRPr="0049171D">
        <w:rPr>
          <w:spacing w:val="-3"/>
          <w:position w:val="-72"/>
        </w:rPr>
        <w:object w:dxaOrig="3660" w:dyaOrig="1140" w14:anchorId="7DDAE296">
          <v:shape id="_x0000_i1456" type="#_x0000_t75" style="width:183.25pt;height:57.05pt" o:ole="">
            <v:imagedata r:id="rId838" o:title=""/>
          </v:shape>
          <o:OLEObject Type="Embed" ProgID="Equation.DSMT4" ShapeID="_x0000_i1456" DrawAspect="Content" ObjectID="_1840627022" r:id="rId839"/>
        </w:object>
      </w:r>
      <w:r>
        <w:rPr>
          <w:spacing w:val="-3"/>
          <w:position w:val="-70"/>
        </w:rPr>
        <w:tab/>
      </w:r>
      <w:r w:rsidR="006E6FC2">
        <w:rPr>
          <w:spacing w:val="-3"/>
          <w:position w:val="-70"/>
        </w:rPr>
        <w:t>.</w:t>
      </w:r>
      <w:r>
        <w:rPr>
          <w:spacing w:val="-3"/>
          <w:position w:val="-70"/>
        </w:rPr>
        <w:tab/>
      </w:r>
      <w:r>
        <w:rPr>
          <w:spacing w:val="-3"/>
          <w:position w:val="-14"/>
        </w:rPr>
        <w:t>(6.18)</w:t>
      </w:r>
      <w:r>
        <w:rPr>
          <w:spacing w:val="-3"/>
          <w:position w:val="-70"/>
        </w:rPr>
        <w:tab/>
      </w:r>
    </w:p>
    <w:p w14:paraId="6B593BEB" w14:textId="77777777" w:rsidR="00015B17" w:rsidRPr="00DA1F76" w:rsidRDefault="00015B17" w:rsidP="00015B17">
      <w:pPr>
        <w:tabs>
          <w:tab w:val="left" w:pos="-720"/>
        </w:tabs>
        <w:suppressAutoHyphens/>
        <w:spacing w:line="360" w:lineRule="auto"/>
        <w:jc w:val="center"/>
        <w:rPr>
          <w:spacing w:val="-3"/>
        </w:rPr>
      </w:pPr>
    </w:p>
    <w:p w14:paraId="595C860E" w14:textId="77777777" w:rsidR="00015B17" w:rsidRDefault="00015B17" w:rsidP="00015B17">
      <w:pPr>
        <w:tabs>
          <w:tab w:val="left" w:pos="-720"/>
        </w:tabs>
        <w:suppressAutoHyphens/>
        <w:spacing w:line="360" w:lineRule="auto"/>
        <w:rPr>
          <w:spacing w:val="-3"/>
        </w:rPr>
      </w:pPr>
      <w:r w:rsidRPr="00DA1F76">
        <w:rPr>
          <w:spacing w:val="-3"/>
        </w:rPr>
        <w:t>Fluid flow affects the solute distribution through the parameter</w:t>
      </w:r>
      <w:r w:rsidRPr="00DA1F76">
        <w:rPr>
          <w:i/>
          <w:iCs/>
          <w:spacing w:val="-3"/>
        </w:rPr>
        <w:t xml:space="preserve"> </w:t>
      </w:r>
      <w:r w:rsidRPr="00A316C5">
        <w:rPr>
          <w:i/>
          <w:iCs/>
          <w:spacing w:val="-3"/>
          <w:position w:val="-10"/>
        </w:rPr>
        <w:object w:dxaOrig="880" w:dyaOrig="340" w14:anchorId="513397EA">
          <v:shape id="_x0000_i1457" type="#_x0000_t75" style="width:43.95pt;height:16.85pt" o:ole="">
            <v:imagedata r:id="rId840" o:title=""/>
          </v:shape>
          <o:OLEObject Type="Embed" ProgID="Equation.DSMT4" ShapeID="_x0000_i1457" DrawAspect="Content" ObjectID="_1840627023" r:id="rId841"/>
        </w:object>
      </w:r>
      <w:r w:rsidRPr="00DA1F76">
        <w:rPr>
          <w:spacing w:val="-3"/>
        </w:rPr>
        <w:t xml:space="preserve">in </w:t>
      </w:r>
      <w:r>
        <w:rPr>
          <w:spacing w:val="-3"/>
        </w:rPr>
        <w:t>Eqn</w:t>
      </w:r>
      <w:r w:rsidRPr="00DA1F76">
        <w:rPr>
          <w:spacing w:val="-3"/>
        </w:rPr>
        <w:t>.</w:t>
      </w:r>
      <w:r>
        <w:rPr>
          <w:spacing w:val="-3"/>
        </w:rPr>
        <w:t xml:space="preserve"> 6.18</w:t>
      </w:r>
      <w:r w:rsidRPr="00DA1F76">
        <w:rPr>
          <w:spacing w:val="-3"/>
        </w:rPr>
        <w:t xml:space="preserve">. For vigorous convection in the liquid, </w:t>
      </w:r>
      <w:r w:rsidRPr="00A316C5">
        <w:rPr>
          <w:spacing w:val="-3"/>
          <w:position w:val="-10"/>
        </w:rPr>
        <w:object w:dxaOrig="780" w:dyaOrig="340" w14:anchorId="4357DCED">
          <v:shape id="_x0000_i1458" type="#_x0000_t75" style="width:40.2pt;height:16.85pt" o:ole="">
            <v:imagedata r:id="rId842" o:title=""/>
          </v:shape>
          <o:OLEObject Type="Embed" ProgID="Equation.DSMT4" ShapeID="_x0000_i1458" DrawAspect="Content" ObjectID="_1840627024" r:id="rId843"/>
        </w:object>
      </w:r>
      <w:r w:rsidRPr="00DA1F76">
        <w:rPr>
          <w:spacing w:val="-3"/>
        </w:rPr>
        <w:t>,</w:t>
      </w:r>
      <w:r w:rsidRPr="00DA1F76">
        <w:rPr>
          <w:i/>
          <w:iCs/>
          <w:spacing w:val="-3"/>
        </w:rPr>
        <w:t xml:space="preserve"> </w:t>
      </w:r>
      <w:r w:rsidRPr="00A316C5">
        <w:rPr>
          <w:i/>
          <w:iCs/>
          <w:spacing w:val="-3"/>
          <w:position w:val="-14"/>
        </w:rPr>
        <w:object w:dxaOrig="960" w:dyaOrig="400" w14:anchorId="1CC33FAD">
          <v:shape id="_x0000_i1459" type="#_x0000_t75" style="width:47.7pt;height:19.65pt" o:ole="">
            <v:imagedata r:id="rId844" o:title=""/>
          </v:shape>
          <o:OLEObject Type="Embed" ProgID="Equation.DSMT4" ShapeID="_x0000_i1459" DrawAspect="Content" ObjectID="_1840627025" r:id="rId845"/>
        </w:object>
      </w:r>
      <w:r w:rsidRPr="00DA1F76">
        <w:rPr>
          <w:spacing w:val="-3"/>
        </w:rPr>
        <w:t xml:space="preserve">, and </w:t>
      </w:r>
      <w:r>
        <w:rPr>
          <w:spacing w:val="-3"/>
        </w:rPr>
        <w:t>E</w:t>
      </w:r>
      <w:r w:rsidRPr="00DA1F76">
        <w:rPr>
          <w:spacing w:val="-3"/>
        </w:rPr>
        <w:t>q</w:t>
      </w:r>
      <w:r>
        <w:rPr>
          <w:spacing w:val="-3"/>
        </w:rPr>
        <w:t>n</w:t>
      </w:r>
      <w:r w:rsidRPr="00DA1F76">
        <w:rPr>
          <w:spacing w:val="-3"/>
        </w:rPr>
        <w:t xml:space="preserve">. </w:t>
      </w:r>
      <w:r>
        <w:rPr>
          <w:spacing w:val="-3"/>
        </w:rPr>
        <w:t>6.18</w:t>
      </w:r>
      <w:r w:rsidRPr="00DA1F76">
        <w:rPr>
          <w:spacing w:val="-3"/>
        </w:rPr>
        <w:t xml:space="preserve"> is the same as the Sch</w:t>
      </w:r>
      <w:r>
        <w:rPr>
          <w:spacing w:val="-3"/>
        </w:rPr>
        <w:t>ei</w:t>
      </w:r>
      <w:r w:rsidRPr="00DA1F76">
        <w:rPr>
          <w:spacing w:val="-3"/>
        </w:rPr>
        <w:t>l result. For negligible convection,</w:t>
      </w:r>
      <w:r>
        <w:rPr>
          <w:spacing w:val="-3"/>
        </w:rPr>
        <w:t xml:space="preserve"> </w:t>
      </w:r>
      <w:r w:rsidRPr="00A316C5">
        <w:rPr>
          <w:spacing w:val="-3"/>
          <w:position w:val="-10"/>
        </w:rPr>
        <w:object w:dxaOrig="840" w:dyaOrig="340" w14:anchorId="096E7F95">
          <v:shape id="_x0000_i1460" type="#_x0000_t75" style="width:42.1pt;height:16.85pt" o:ole="">
            <v:imagedata r:id="rId846" o:title=""/>
          </v:shape>
          <o:OLEObject Type="Embed" ProgID="Equation.DSMT4" ShapeID="_x0000_i1460" DrawAspect="Content" ObjectID="_1840627026" r:id="rId847"/>
        </w:object>
      </w:r>
      <w:r w:rsidRPr="00DA1F76">
        <w:rPr>
          <w:spacing w:val="-3"/>
        </w:rPr>
        <w:t>,</w:t>
      </w:r>
      <w:r w:rsidRPr="00DA1F76">
        <w:rPr>
          <w:i/>
          <w:iCs/>
          <w:spacing w:val="-3"/>
        </w:rPr>
        <w:t xml:space="preserve"> </w:t>
      </w:r>
      <w:r w:rsidRPr="00A316C5">
        <w:rPr>
          <w:i/>
          <w:iCs/>
          <w:spacing w:val="-3"/>
          <w:position w:val="-14"/>
        </w:rPr>
        <w:object w:dxaOrig="800" w:dyaOrig="380" w14:anchorId="6F211F4A">
          <v:shape id="_x0000_i1461" type="#_x0000_t75" style="width:40.2pt;height:18.7pt" o:ole="">
            <v:imagedata r:id="rId848" o:title=""/>
          </v:shape>
          <o:OLEObject Type="Embed" ProgID="Equation.DSMT4" ShapeID="_x0000_i1461" DrawAspect="Content" ObjectID="_1840627027" r:id="rId849"/>
        </w:object>
      </w:r>
      <w:r w:rsidRPr="00DA1F76">
        <w:rPr>
          <w:spacing w:val="-3"/>
        </w:rPr>
        <w:t xml:space="preserve">, and </w:t>
      </w:r>
      <w:r>
        <w:rPr>
          <w:spacing w:val="-3"/>
        </w:rPr>
        <w:t>E</w:t>
      </w:r>
      <w:r w:rsidRPr="00DA1F76">
        <w:rPr>
          <w:spacing w:val="-3"/>
        </w:rPr>
        <w:t>q</w:t>
      </w:r>
      <w:r>
        <w:rPr>
          <w:spacing w:val="-3"/>
        </w:rPr>
        <w:t>n</w:t>
      </w:r>
      <w:r w:rsidRPr="00DA1F76">
        <w:rPr>
          <w:spacing w:val="-3"/>
        </w:rPr>
        <w:t xml:space="preserve">. </w:t>
      </w:r>
      <w:r>
        <w:rPr>
          <w:spacing w:val="-3"/>
        </w:rPr>
        <w:t>6.17</w:t>
      </w:r>
      <w:r w:rsidRPr="00DA1F76">
        <w:rPr>
          <w:spacing w:val="-3"/>
        </w:rPr>
        <w:t xml:space="preserve"> gives a constant solute profile.  The model has been quite successful in </w:t>
      </w:r>
      <w:r>
        <w:rPr>
          <w:spacing w:val="-3"/>
        </w:rPr>
        <w:t xml:space="preserve">describing 1-D </w:t>
      </w:r>
      <w:r w:rsidRPr="00DA1F76">
        <w:rPr>
          <w:spacing w:val="-3"/>
        </w:rPr>
        <w:t>segregation in the presence of laminar and turbulent convection during plane-front growth.</w:t>
      </w:r>
      <w:r>
        <w:rPr>
          <w:spacing w:val="-3"/>
        </w:rPr>
        <w:t xml:space="preserve"> The parameter </w:t>
      </w:r>
      <w:r w:rsidRPr="00D90F3D">
        <w:rPr>
          <w:spacing w:val="-3"/>
          <w:position w:val="-14"/>
        </w:rPr>
        <w:object w:dxaOrig="360" w:dyaOrig="380" w14:anchorId="64BA4182">
          <v:shape id="_x0000_i1462" type="#_x0000_t75" style="width:17.75pt;height:18.7pt" o:ole="">
            <v:imagedata r:id="rId850" o:title=""/>
          </v:shape>
          <o:OLEObject Type="Embed" ProgID="Equation.DSMT4" ShapeID="_x0000_i1462" DrawAspect="Content" ObjectID="_1840627028" r:id="rId851"/>
        </w:object>
      </w:r>
      <w:r>
        <w:rPr>
          <w:spacing w:val="-3"/>
        </w:rPr>
        <w:t xml:space="preserve">should not be confused with the function </w:t>
      </w:r>
      <w:r w:rsidRPr="00D90F3D">
        <w:rPr>
          <w:spacing w:val="-3"/>
          <w:position w:val="-14"/>
        </w:rPr>
        <w:object w:dxaOrig="580" w:dyaOrig="400" w14:anchorId="586FFA28">
          <v:shape id="_x0000_i1463" type="#_x0000_t75" style="width:29pt;height:19.65pt" o:ole="">
            <v:imagedata r:id="rId852" o:title=""/>
          </v:shape>
          <o:OLEObject Type="Embed" ProgID="Equation.DSMT4" ShapeID="_x0000_i1463" DrawAspect="Content" ObjectID="_1840627029" r:id="rId853"/>
        </w:object>
      </w:r>
      <w:r>
        <w:rPr>
          <w:spacing w:val="-3"/>
        </w:rPr>
        <w:t xml:space="preserve"> that describes solute trapping at high solidification velocity. </w:t>
      </w:r>
    </w:p>
    <w:p w14:paraId="4D8F9F47" w14:textId="77777777" w:rsidR="00015B17" w:rsidRDefault="00015B17" w:rsidP="00015B17">
      <w:pPr>
        <w:tabs>
          <w:tab w:val="left" w:pos="-720"/>
        </w:tabs>
        <w:suppressAutoHyphens/>
        <w:spacing w:line="360" w:lineRule="auto"/>
        <w:jc w:val="both"/>
        <w:rPr>
          <w:spacing w:val="-3"/>
        </w:rPr>
      </w:pPr>
    </w:p>
    <w:p w14:paraId="19DE389E" w14:textId="3F34015F" w:rsidR="00015B17" w:rsidRDefault="00015B17" w:rsidP="00015B17">
      <w:pPr>
        <w:tabs>
          <w:tab w:val="left" w:pos="-720"/>
        </w:tabs>
        <w:suppressAutoHyphens/>
        <w:spacing w:line="360" w:lineRule="auto"/>
        <w:rPr>
          <w:spacing w:val="-3"/>
        </w:rPr>
      </w:pPr>
      <w:r>
        <w:rPr>
          <w:spacing w:val="-3"/>
        </w:rPr>
        <w:tab/>
        <w:t>In the metallurgical context, macrosegregation produced during directional dendritic solidification can sometimes be interpreted following the BPS approach. On</w:t>
      </w:r>
      <w:r w:rsidR="0051677B">
        <w:rPr>
          <w:spacing w:val="-3"/>
        </w:rPr>
        <w:t>e</w:t>
      </w:r>
      <w:r>
        <w:rPr>
          <w:spacing w:val="-3"/>
        </w:rPr>
        <w:t xml:space="preserve"> example is found in Dupouy et al. [1989], who measured the macrosegregation produced during dendritic solidification for upward and downward (with respect to gravity) solidification. Boettinger et al. [1981] observed similar macrosegregation down the length of a directionally solidified sample when convection disrupts the </w:t>
      </w:r>
      <w:r w:rsidRPr="00D90F3D">
        <w:rPr>
          <w:spacing w:val="-3"/>
          <w:position w:val="-10"/>
        </w:rPr>
        <w:object w:dxaOrig="660" w:dyaOrig="340" w14:anchorId="5ADCB9E1">
          <v:shape id="_x0000_i1464" type="#_x0000_t75" style="width:31.8pt;height:16.85pt" o:ole="">
            <v:imagedata r:id="rId854" o:title=""/>
          </v:shape>
          <o:OLEObject Type="Embed" ProgID="Equation.DSMT4" ShapeID="_x0000_i1464" DrawAspect="Content" ObjectID="_1840627030" r:id="rId855"/>
        </w:object>
      </w:r>
      <w:r>
        <w:rPr>
          <w:spacing w:val="-3"/>
        </w:rPr>
        <w:t xml:space="preserve">solute boundary layer required to support off-eutectic planar growth (see </w:t>
      </w:r>
      <w:r w:rsidR="007D4668">
        <w:rPr>
          <w:spacing w:val="-3"/>
        </w:rPr>
        <w:t>§</w:t>
      </w:r>
      <w:r>
        <w:rPr>
          <w:spacing w:val="-3"/>
        </w:rPr>
        <w:t xml:space="preserve"> 8).</w:t>
      </w:r>
    </w:p>
    <w:p w14:paraId="7D2EC65C" w14:textId="77777777" w:rsidR="00015B17" w:rsidRPr="00DA1F76" w:rsidRDefault="00015B17" w:rsidP="00015B17">
      <w:pPr>
        <w:tabs>
          <w:tab w:val="left" w:pos="-720"/>
        </w:tabs>
        <w:suppressAutoHyphens/>
        <w:spacing w:line="360" w:lineRule="auto"/>
        <w:rPr>
          <w:spacing w:val="-3"/>
        </w:rPr>
      </w:pPr>
    </w:p>
    <w:p w14:paraId="067CA3C6" w14:textId="1EE089A6" w:rsidR="00015B17" w:rsidRPr="00DA1F76" w:rsidRDefault="00015B17" w:rsidP="00015B17">
      <w:pPr>
        <w:tabs>
          <w:tab w:val="left" w:pos="-720"/>
        </w:tabs>
        <w:suppressAutoHyphens/>
        <w:spacing w:line="360" w:lineRule="auto"/>
        <w:rPr>
          <w:spacing w:val="-3"/>
        </w:rPr>
      </w:pPr>
      <w:r w:rsidRPr="00DA1F76">
        <w:rPr>
          <w:spacing w:val="-3"/>
        </w:rPr>
        <w:tab/>
        <w:t>Th</w:t>
      </w:r>
      <w:r>
        <w:rPr>
          <w:spacing w:val="-3"/>
        </w:rPr>
        <w:t>e BPS</w:t>
      </w:r>
      <w:r w:rsidRPr="00DA1F76">
        <w:rPr>
          <w:spacing w:val="-3"/>
        </w:rPr>
        <w:t xml:space="preserve"> approach, while particularly easy to use, neglects many factors which have been </w:t>
      </w:r>
      <w:r w:rsidR="00916419">
        <w:rPr>
          <w:spacing w:val="-3"/>
        </w:rPr>
        <w:t>subsequently</w:t>
      </w:r>
      <w:r w:rsidRPr="00DA1F76">
        <w:rPr>
          <w:spacing w:val="-3"/>
        </w:rPr>
        <w:t xml:space="preserve"> considered. A major effort has been made to include time dependence in the </w:t>
      </w:r>
      <w:r w:rsidR="007D4668">
        <w:rPr>
          <w:spacing w:val="-3"/>
        </w:rPr>
        <w:t xml:space="preserve">BPS </w:t>
      </w:r>
      <w:r w:rsidRPr="00DA1F76">
        <w:rPr>
          <w:spacing w:val="-3"/>
        </w:rPr>
        <w:t>model when Czochralski and Bridgman crystal growth is considered (</w:t>
      </w:r>
      <w:r w:rsidR="007D4668" w:rsidRPr="00DA1F76">
        <w:rPr>
          <w:spacing w:val="-3"/>
        </w:rPr>
        <w:t>W</w:t>
      </w:r>
      <w:r w:rsidR="007D4668">
        <w:rPr>
          <w:spacing w:val="-3"/>
        </w:rPr>
        <w:t>ilson</w:t>
      </w:r>
      <w:r w:rsidR="007D4668" w:rsidRPr="00DA1F76">
        <w:rPr>
          <w:spacing w:val="-3"/>
        </w:rPr>
        <w:t xml:space="preserve"> </w:t>
      </w:r>
      <w:r w:rsidRPr="00DA1F76">
        <w:rPr>
          <w:spacing w:val="-3"/>
        </w:rPr>
        <w:t>[1978], [1980]), (</w:t>
      </w:r>
      <w:r w:rsidR="007D4668" w:rsidRPr="00DA1F76">
        <w:rPr>
          <w:spacing w:val="-3"/>
        </w:rPr>
        <w:t>F</w:t>
      </w:r>
      <w:r w:rsidR="007D4668">
        <w:rPr>
          <w:spacing w:val="-3"/>
        </w:rPr>
        <w:t>avier</w:t>
      </w:r>
      <w:r w:rsidR="007D4668" w:rsidRPr="00DA1F76">
        <w:rPr>
          <w:spacing w:val="-3"/>
        </w:rPr>
        <w:t xml:space="preserve"> </w:t>
      </w:r>
      <w:r w:rsidRPr="00DA1F76">
        <w:rPr>
          <w:spacing w:val="-3"/>
        </w:rPr>
        <w:t>[1981a], [1981b)], (</w:t>
      </w:r>
      <w:r w:rsidR="007D4668" w:rsidRPr="00DA1F76">
        <w:rPr>
          <w:spacing w:val="-3"/>
        </w:rPr>
        <w:t>F</w:t>
      </w:r>
      <w:r w:rsidR="007D4668">
        <w:rPr>
          <w:spacing w:val="-3"/>
        </w:rPr>
        <w:t>avier</w:t>
      </w:r>
      <w:r w:rsidR="007D4668" w:rsidRPr="00DA1F76">
        <w:rPr>
          <w:spacing w:val="-3"/>
        </w:rPr>
        <w:t xml:space="preserve"> </w:t>
      </w:r>
      <w:r w:rsidRPr="00DA1F76">
        <w:rPr>
          <w:spacing w:val="-3"/>
        </w:rPr>
        <w:t xml:space="preserve">and </w:t>
      </w:r>
      <w:r w:rsidR="007D4668" w:rsidRPr="00DA1F76">
        <w:rPr>
          <w:spacing w:val="-3"/>
        </w:rPr>
        <w:t>W</w:t>
      </w:r>
      <w:r w:rsidR="007D4668">
        <w:rPr>
          <w:spacing w:val="-3"/>
        </w:rPr>
        <w:t>ilson</w:t>
      </w:r>
      <w:r w:rsidR="007D4668" w:rsidRPr="00DA1F76">
        <w:rPr>
          <w:spacing w:val="-3"/>
        </w:rPr>
        <w:t xml:space="preserve"> </w:t>
      </w:r>
      <w:r w:rsidRPr="00DA1F76">
        <w:rPr>
          <w:spacing w:val="-3"/>
        </w:rPr>
        <w:t xml:space="preserve">[1982]).  </w:t>
      </w:r>
      <w:r w:rsidR="007D4668" w:rsidRPr="00DA1F76">
        <w:rPr>
          <w:spacing w:val="-3"/>
        </w:rPr>
        <w:t>C</w:t>
      </w:r>
      <w:r w:rsidR="007D4668">
        <w:rPr>
          <w:spacing w:val="-3"/>
        </w:rPr>
        <w:t>amel</w:t>
      </w:r>
      <w:r w:rsidR="007D4668" w:rsidRPr="00DA1F76">
        <w:rPr>
          <w:spacing w:val="-3"/>
        </w:rPr>
        <w:t xml:space="preserve"> </w:t>
      </w:r>
      <w:r w:rsidRPr="00DA1F76">
        <w:rPr>
          <w:spacing w:val="-3"/>
        </w:rPr>
        <w:t xml:space="preserve">and </w:t>
      </w:r>
      <w:r w:rsidR="007D4668" w:rsidRPr="00DA1F76">
        <w:rPr>
          <w:spacing w:val="-3"/>
        </w:rPr>
        <w:t>F</w:t>
      </w:r>
      <w:r w:rsidR="007D4668">
        <w:rPr>
          <w:spacing w:val="-3"/>
        </w:rPr>
        <w:t>avier</w:t>
      </w:r>
      <w:r w:rsidR="007D4668" w:rsidRPr="00DA1F76">
        <w:rPr>
          <w:spacing w:val="-3"/>
        </w:rPr>
        <w:t xml:space="preserve"> </w:t>
      </w:r>
      <w:r w:rsidRPr="00DA1F76">
        <w:rPr>
          <w:spacing w:val="-3"/>
        </w:rPr>
        <w:t xml:space="preserve">[1984a], [1984b] and </w:t>
      </w:r>
      <w:r w:rsidR="007D4668" w:rsidRPr="00DA1F76">
        <w:rPr>
          <w:spacing w:val="-3"/>
        </w:rPr>
        <w:t>F</w:t>
      </w:r>
      <w:r w:rsidR="007D4668">
        <w:rPr>
          <w:spacing w:val="-3"/>
        </w:rPr>
        <w:t>avier</w:t>
      </w:r>
      <w:r w:rsidR="007D4668" w:rsidRPr="00DA1F76">
        <w:rPr>
          <w:spacing w:val="-3"/>
        </w:rPr>
        <w:t xml:space="preserve"> </w:t>
      </w:r>
      <w:r w:rsidRPr="00DA1F76">
        <w:rPr>
          <w:spacing w:val="-3"/>
        </w:rPr>
        <w:t xml:space="preserve">and </w:t>
      </w:r>
      <w:r w:rsidR="007D4668" w:rsidRPr="00DA1F76">
        <w:rPr>
          <w:spacing w:val="-3"/>
        </w:rPr>
        <w:t>C</w:t>
      </w:r>
      <w:r w:rsidR="007D4668">
        <w:rPr>
          <w:spacing w:val="-3"/>
        </w:rPr>
        <w:t>amel</w:t>
      </w:r>
      <w:r w:rsidR="007D4668" w:rsidRPr="00DA1F76">
        <w:rPr>
          <w:spacing w:val="-3"/>
        </w:rPr>
        <w:t xml:space="preserve"> </w:t>
      </w:r>
      <w:r w:rsidRPr="00DA1F76">
        <w:rPr>
          <w:spacing w:val="-3"/>
        </w:rPr>
        <w:t xml:space="preserve">[1986] used an order of magnitude analysis and scaling to examine different flow regimes in terms of dimensionless numbers in Bridgman crystal growth. </w:t>
      </w:r>
      <w:r>
        <w:rPr>
          <w:spacing w:val="-3"/>
        </w:rPr>
        <w:t xml:space="preserve">Priede and Gerbeth [2005] show a breakdown of the </w:t>
      </w:r>
      <w:r w:rsidR="007D4668">
        <w:rPr>
          <w:spacing w:val="-3"/>
        </w:rPr>
        <w:t>BPS</w:t>
      </w:r>
      <w:r>
        <w:rPr>
          <w:spacing w:val="-3"/>
        </w:rPr>
        <w:t xml:space="preserve"> approach for flow patterns that radially converge near the liquid-solid interface. </w:t>
      </w:r>
    </w:p>
    <w:p w14:paraId="76A38937" w14:textId="77777777" w:rsidR="00015B17" w:rsidRPr="00DA1F76" w:rsidRDefault="00015B17" w:rsidP="00015B17">
      <w:pPr>
        <w:tabs>
          <w:tab w:val="left" w:pos="-720"/>
        </w:tabs>
        <w:suppressAutoHyphens/>
        <w:spacing w:line="360" w:lineRule="auto"/>
        <w:rPr>
          <w:b/>
          <w:bCs/>
          <w:spacing w:val="-3"/>
        </w:rPr>
      </w:pPr>
    </w:p>
    <w:p w14:paraId="7AD3FC36" w14:textId="6936B2AB" w:rsidR="00015B17" w:rsidRPr="00DA1F76" w:rsidRDefault="00015B17" w:rsidP="00015B17">
      <w:pPr>
        <w:tabs>
          <w:tab w:val="left" w:pos="-720"/>
        </w:tabs>
        <w:suppressAutoHyphens/>
        <w:spacing w:line="360" w:lineRule="auto"/>
        <w:rPr>
          <w:spacing w:val="-3"/>
        </w:rPr>
      </w:pPr>
      <w:r>
        <w:rPr>
          <w:b/>
          <w:bCs/>
          <w:spacing w:val="-3"/>
        </w:rPr>
        <w:t>6.2.</w:t>
      </w:r>
      <w:r w:rsidR="003F2790">
        <w:rPr>
          <w:b/>
          <w:bCs/>
          <w:spacing w:val="-3"/>
        </w:rPr>
        <w:t>5</w:t>
      </w:r>
      <w:r>
        <w:rPr>
          <w:b/>
          <w:bCs/>
          <w:spacing w:val="-3"/>
        </w:rPr>
        <w:t xml:space="preserve">. </w:t>
      </w:r>
      <w:r w:rsidRPr="00DA1F76">
        <w:rPr>
          <w:b/>
          <w:bCs/>
          <w:spacing w:val="-3"/>
        </w:rPr>
        <w:t>Zone Melting</w:t>
      </w:r>
    </w:p>
    <w:p w14:paraId="317F9FED" w14:textId="77777777" w:rsidR="00015B17" w:rsidRPr="00DA1F76" w:rsidRDefault="00015B17" w:rsidP="00015B17">
      <w:pPr>
        <w:tabs>
          <w:tab w:val="left" w:pos="-720"/>
        </w:tabs>
        <w:suppressAutoHyphens/>
        <w:spacing w:line="360" w:lineRule="auto"/>
        <w:rPr>
          <w:spacing w:val="-3"/>
        </w:rPr>
      </w:pPr>
    </w:p>
    <w:p w14:paraId="082707C4" w14:textId="23290E51" w:rsidR="00015B17" w:rsidRDefault="00015B17" w:rsidP="00015B17">
      <w:pPr>
        <w:tabs>
          <w:tab w:val="left" w:pos="-720"/>
        </w:tabs>
        <w:suppressAutoHyphens/>
        <w:spacing w:line="360" w:lineRule="auto"/>
        <w:rPr>
          <w:spacing w:val="-3"/>
        </w:rPr>
      </w:pPr>
      <w:r w:rsidRPr="00DA1F76">
        <w:rPr>
          <w:spacing w:val="-3"/>
        </w:rPr>
        <w:tab/>
      </w:r>
      <w:r>
        <w:rPr>
          <w:spacing w:val="-3"/>
        </w:rPr>
        <w:t xml:space="preserve">If instead of melting the entire sample, a molten zone is passed down </w:t>
      </w:r>
      <w:r w:rsidR="003F2790">
        <w:rPr>
          <w:spacing w:val="-3"/>
        </w:rPr>
        <w:t xml:space="preserve">the </w:t>
      </w:r>
      <w:r>
        <w:rPr>
          <w:spacing w:val="-3"/>
        </w:rPr>
        <w:t xml:space="preserve">sample, purification of metals can be achieved. </w:t>
      </w:r>
      <w:r w:rsidRPr="00DA1F76">
        <w:rPr>
          <w:spacing w:val="-3"/>
        </w:rPr>
        <w:t>The most important variables in the zone melting process are: (i) zone length; (ii) charge length; (iii) initial distributio</w:t>
      </w:r>
      <w:r>
        <w:rPr>
          <w:spacing w:val="-3"/>
        </w:rPr>
        <w:t>n of solute in the charge;</w:t>
      </w:r>
      <w:r w:rsidR="0099083B">
        <w:rPr>
          <w:spacing w:val="-3"/>
        </w:rPr>
        <w:t xml:space="preserve"> </w:t>
      </w:r>
      <w:r>
        <w:rPr>
          <w:spacing w:val="-3"/>
        </w:rPr>
        <w:t xml:space="preserve">(iv) </w:t>
      </w:r>
      <w:r w:rsidRPr="00DA1F76">
        <w:rPr>
          <w:spacing w:val="-3"/>
        </w:rPr>
        <w:t xml:space="preserve">vapor pressure and (v) zone travel rate (constant or variable). Manipulation of these variables can produce a large variety of impurity distributions in the solid charge. </w:t>
      </w:r>
      <w:r>
        <w:rPr>
          <w:spacing w:val="-3"/>
        </w:rPr>
        <w:t xml:space="preserve">A </w:t>
      </w:r>
      <w:r w:rsidRPr="00DA1F76">
        <w:rPr>
          <w:spacing w:val="-3"/>
        </w:rPr>
        <w:t>multi</w:t>
      </w:r>
      <w:r>
        <w:rPr>
          <w:spacing w:val="-3"/>
        </w:rPr>
        <w:t>-</w:t>
      </w:r>
      <w:r w:rsidRPr="00DA1F76">
        <w:rPr>
          <w:spacing w:val="-3"/>
        </w:rPr>
        <w:t>pass zone refining device</w:t>
      </w:r>
      <w:r>
        <w:rPr>
          <w:spacing w:val="-3"/>
        </w:rPr>
        <w:t xml:space="preserve"> provides</w:t>
      </w:r>
      <w:r w:rsidRPr="00DA1F76">
        <w:rPr>
          <w:spacing w:val="-3"/>
        </w:rPr>
        <w:t xml:space="preserve"> a more efficient system than the single pass system originally developed. The reader is referred to the important contributions of </w:t>
      </w:r>
      <w:r w:rsidR="0099083B" w:rsidRPr="00DA1F76">
        <w:rPr>
          <w:spacing w:val="-3"/>
        </w:rPr>
        <w:t>P</w:t>
      </w:r>
      <w:r w:rsidR="0099083B">
        <w:rPr>
          <w:spacing w:val="-3"/>
        </w:rPr>
        <w:t>fann</w:t>
      </w:r>
      <w:r w:rsidR="0099083B" w:rsidRPr="00DA1F76">
        <w:rPr>
          <w:spacing w:val="-3"/>
        </w:rPr>
        <w:t xml:space="preserve"> </w:t>
      </w:r>
      <w:r w:rsidRPr="00DA1F76">
        <w:rPr>
          <w:spacing w:val="-3"/>
        </w:rPr>
        <w:t xml:space="preserve">[1966] concerning this technique as well as the </w:t>
      </w:r>
      <w:r w:rsidRPr="00DA1F76">
        <w:rPr>
          <w:i/>
          <w:iCs/>
          <w:spacing w:val="-3"/>
        </w:rPr>
        <w:t>zone leveling</w:t>
      </w:r>
      <w:r w:rsidRPr="00DA1F76">
        <w:rPr>
          <w:spacing w:val="-3"/>
        </w:rPr>
        <w:t xml:space="preserve"> and the </w:t>
      </w:r>
      <w:r w:rsidRPr="00DA1F76">
        <w:rPr>
          <w:i/>
          <w:iCs/>
          <w:spacing w:val="-3"/>
        </w:rPr>
        <w:t>Temperature Gradient Zone Melting</w:t>
      </w:r>
      <w:r w:rsidRPr="00DA1F76">
        <w:rPr>
          <w:spacing w:val="-3"/>
        </w:rPr>
        <w:t xml:space="preserve"> (TGZM) techniques reviewed by </w:t>
      </w:r>
      <w:r w:rsidR="0099083B" w:rsidRPr="00DA1F76">
        <w:rPr>
          <w:spacing w:val="-3"/>
        </w:rPr>
        <w:t>B</w:t>
      </w:r>
      <w:r w:rsidR="0099083B">
        <w:rPr>
          <w:spacing w:val="-3"/>
        </w:rPr>
        <w:t xml:space="preserve">iloni </w:t>
      </w:r>
      <w:r w:rsidRPr="00DA1F76">
        <w:rPr>
          <w:spacing w:val="-3"/>
        </w:rPr>
        <w:t>[1983].</w:t>
      </w:r>
    </w:p>
    <w:p w14:paraId="5C619450" w14:textId="77777777" w:rsidR="00015B17" w:rsidRPr="00DA1F76" w:rsidRDefault="00015B17" w:rsidP="00015B17">
      <w:pPr>
        <w:tabs>
          <w:tab w:val="left" w:pos="-720"/>
        </w:tabs>
        <w:suppressAutoHyphens/>
        <w:spacing w:line="360" w:lineRule="auto"/>
        <w:rPr>
          <w:spacing w:val="-3"/>
        </w:rPr>
      </w:pPr>
    </w:p>
    <w:p w14:paraId="26839E0D" w14:textId="0311C2FC" w:rsidR="00015B17" w:rsidRPr="00DA1F76" w:rsidRDefault="00015B17" w:rsidP="00015B17">
      <w:pPr>
        <w:tabs>
          <w:tab w:val="left" w:pos="-720"/>
        </w:tabs>
        <w:suppressAutoHyphens/>
        <w:spacing w:line="360" w:lineRule="auto"/>
        <w:rPr>
          <w:spacing w:val="-3"/>
        </w:rPr>
      </w:pPr>
      <w:r w:rsidRPr="00DA1F76">
        <w:rPr>
          <w:spacing w:val="-3"/>
        </w:rPr>
        <w:tab/>
      </w:r>
      <w:r w:rsidR="0099083B" w:rsidRPr="00DA1F76">
        <w:rPr>
          <w:spacing w:val="-3"/>
        </w:rPr>
        <w:t>R</w:t>
      </w:r>
      <w:r w:rsidR="0099083B">
        <w:rPr>
          <w:spacing w:val="-3"/>
        </w:rPr>
        <w:t>odway</w:t>
      </w:r>
      <w:r w:rsidR="0099083B" w:rsidRPr="00DA1F76">
        <w:rPr>
          <w:spacing w:val="-3"/>
        </w:rPr>
        <w:t xml:space="preserve"> </w:t>
      </w:r>
      <w:r w:rsidRPr="00DA1F76">
        <w:rPr>
          <w:spacing w:val="-3"/>
        </w:rPr>
        <w:t xml:space="preserve">and </w:t>
      </w:r>
      <w:r w:rsidR="0099083B" w:rsidRPr="00DA1F76">
        <w:rPr>
          <w:spacing w:val="-3"/>
        </w:rPr>
        <w:t>H</w:t>
      </w:r>
      <w:r w:rsidR="0099083B">
        <w:rPr>
          <w:spacing w:val="-3"/>
        </w:rPr>
        <w:t>unt</w:t>
      </w:r>
      <w:r w:rsidR="0099083B" w:rsidRPr="00DA1F76">
        <w:rPr>
          <w:spacing w:val="-3"/>
        </w:rPr>
        <w:t xml:space="preserve"> </w:t>
      </w:r>
      <w:r w:rsidRPr="00DA1F76">
        <w:rPr>
          <w:spacing w:val="-3"/>
        </w:rPr>
        <w:t>[1989] established a criterion for optimizing the zone length during multipass zone refining. The technique has been applied numerically, to model the redistribution in a rod, for various values of</w:t>
      </w:r>
      <w:r w:rsidRPr="00DA1F76">
        <w:rPr>
          <w:i/>
          <w:iCs/>
          <w:spacing w:val="-3"/>
        </w:rPr>
        <w:t xml:space="preserve"> </w:t>
      </w:r>
      <w:r>
        <w:rPr>
          <w:i/>
          <w:iCs/>
          <w:spacing w:val="-3"/>
        </w:rPr>
        <w:t>k</w:t>
      </w:r>
      <w:r w:rsidRPr="00883A53">
        <w:rPr>
          <w:i/>
          <w:iCs/>
          <w:spacing w:val="-3"/>
          <w:sz w:val="26"/>
          <w:vertAlign w:val="superscript"/>
        </w:rPr>
        <w:t>E</w:t>
      </w:r>
      <w:r w:rsidRPr="00DA1F76">
        <w:rPr>
          <w:spacing w:val="-3"/>
        </w:rPr>
        <w:t xml:space="preserve">. The important conclusions are: (i) a Variable Zone Size along the bar (VZS) during the process, causes a considerable increase in the rate at which the ultimate distribution is approached, compared to a fixed zone size process. This leads to a significant improvement in the usable fraction of the rod. (ii) the optimum zone length at any stage in the process is independent of the </w:t>
      </w:r>
      <w:r w:rsidRPr="00DA1F76">
        <w:rPr>
          <w:i/>
          <w:iCs/>
          <w:spacing w:val="-3"/>
        </w:rPr>
        <w:t>k</w:t>
      </w:r>
      <w:r w:rsidRPr="00727E8A">
        <w:rPr>
          <w:spacing w:val="-3"/>
          <w:sz w:val="26"/>
          <w:vertAlign w:val="subscript"/>
        </w:rPr>
        <w:t>eff</w:t>
      </w:r>
      <w:r w:rsidRPr="00DA1F76">
        <w:rPr>
          <w:spacing w:val="-3"/>
        </w:rPr>
        <w:t xml:space="preserve"> value. Consequently for a material containing many impurities with different</w:t>
      </w:r>
      <w:r w:rsidRPr="00DA1F76">
        <w:rPr>
          <w:i/>
          <w:iCs/>
          <w:spacing w:val="-3"/>
        </w:rPr>
        <w:t xml:space="preserve"> </w:t>
      </w:r>
      <w:r>
        <w:rPr>
          <w:i/>
          <w:iCs/>
          <w:spacing w:val="-3"/>
        </w:rPr>
        <w:t>k</w:t>
      </w:r>
      <w:r w:rsidRPr="00883A53">
        <w:rPr>
          <w:i/>
          <w:iCs/>
          <w:spacing w:val="-3"/>
          <w:sz w:val="26"/>
          <w:vertAlign w:val="superscript"/>
        </w:rPr>
        <w:t xml:space="preserve">E </w:t>
      </w:r>
      <w:r w:rsidRPr="00DA1F76">
        <w:rPr>
          <w:spacing w:val="-3"/>
        </w:rPr>
        <w:t>values (</w:t>
      </w:r>
      <w:r w:rsidRPr="00DA1F76">
        <w:rPr>
          <w:i/>
          <w:iCs/>
          <w:spacing w:val="-3"/>
        </w:rPr>
        <w:t>k</w:t>
      </w:r>
      <w:r w:rsidRPr="00883A53">
        <w:rPr>
          <w:spacing w:val="-3"/>
          <w:sz w:val="26"/>
          <w:vertAlign w:val="superscript"/>
        </w:rPr>
        <w:t>E</w:t>
      </w:r>
      <w:r w:rsidRPr="00DA1F76">
        <w:rPr>
          <w:spacing w:val="-3"/>
        </w:rPr>
        <w:t xml:space="preserve"> &lt; 1 or </w:t>
      </w:r>
      <w:r w:rsidRPr="00DA1F76">
        <w:rPr>
          <w:i/>
          <w:iCs/>
          <w:spacing w:val="-3"/>
        </w:rPr>
        <w:t>k</w:t>
      </w:r>
      <w:r w:rsidRPr="00883A53">
        <w:rPr>
          <w:spacing w:val="-3"/>
          <w:sz w:val="26"/>
          <w:vertAlign w:val="superscript"/>
        </w:rPr>
        <w:t>E</w:t>
      </w:r>
      <w:r w:rsidRPr="00DA1F76">
        <w:rPr>
          <w:spacing w:val="-3"/>
        </w:rPr>
        <w:t xml:space="preserve"> &gt; 1), the VZS is optimum for all of them.</w:t>
      </w:r>
    </w:p>
    <w:p w14:paraId="22531C29" w14:textId="77777777" w:rsidR="00015B17" w:rsidRPr="00DA1F76" w:rsidRDefault="00015B17" w:rsidP="00015B17">
      <w:pPr>
        <w:tabs>
          <w:tab w:val="left" w:pos="-720"/>
        </w:tabs>
        <w:suppressAutoHyphens/>
        <w:spacing w:line="360" w:lineRule="auto"/>
        <w:rPr>
          <w:spacing w:val="-3"/>
        </w:rPr>
      </w:pPr>
    </w:p>
    <w:p w14:paraId="696C16A7" w14:textId="727146A6" w:rsidR="00015B17" w:rsidRPr="00DA1F76" w:rsidRDefault="00015B17" w:rsidP="00015B17">
      <w:pPr>
        <w:tabs>
          <w:tab w:val="left" w:pos="-720"/>
        </w:tabs>
        <w:suppressAutoHyphens/>
        <w:spacing w:line="360" w:lineRule="auto"/>
        <w:jc w:val="both"/>
        <w:rPr>
          <w:spacing w:val="-3"/>
        </w:rPr>
      </w:pPr>
      <w:r w:rsidRPr="00DA1F76">
        <w:rPr>
          <w:b/>
          <w:bCs/>
          <w:spacing w:val="-3"/>
        </w:rPr>
        <w:t>6.3. Lateral Segregation</w:t>
      </w:r>
    </w:p>
    <w:p w14:paraId="72ADE2A0" w14:textId="77777777" w:rsidR="00015B17" w:rsidRPr="00DA1F76" w:rsidRDefault="00015B17" w:rsidP="00015B17">
      <w:pPr>
        <w:tabs>
          <w:tab w:val="left" w:pos="-720"/>
        </w:tabs>
        <w:suppressAutoHyphens/>
        <w:spacing w:line="360" w:lineRule="auto"/>
        <w:jc w:val="both"/>
        <w:rPr>
          <w:spacing w:val="-3"/>
        </w:rPr>
      </w:pPr>
    </w:p>
    <w:p w14:paraId="13DC0BCA" w14:textId="3EB3B3C9" w:rsidR="00015B17" w:rsidRDefault="00015B17" w:rsidP="00015B17">
      <w:pPr>
        <w:tabs>
          <w:tab w:val="left" w:pos="-720"/>
        </w:tabs>
        <w:suppressAutoHyphens/>
        <w:spacing w:line="360" w:lineRule="auto"/>
        <w:rPr>
          <w:spacing w:val="-3"/>
        </w:rPr>
      </w:pPr>
      <w:r w:rsidRPr="00DA1F76">
        <w:rPr>
          <w:spacing w:val="-3"/>
        </w:rPr>
        <w:tab/>
        <w:t xml:space="preserve">In the previous discussion we have assumed the interface to be planar. In the event that the thermal distribution of the crystal growth apparatus is not perfect, macroscopic curvature of the interface can develop. If convective mixing can be neglected, CORIELL and SEKERKA [1979], and CORIELL </w:t>
      </w:r>
      <w:r w:rsidRPr="00DA1F76">
        <w:rPr>
          <w:i/>
          <w:iCs/>
          <w:spacing w:val="-3"/>
        </w:rPr>
        <w:t>et al.</w:t>
      </w:r>
      <w:r w:rsidRPr="00DA1F76">
        <w:rPr>
          <w:spacing w:val="-3"/>
        </w:rPr>
        <w:t xml:space="preserve"> [1981] have modeled the lateral segregation that will be present for a given shape. Their numerical and analytical results treat the segregation in terms of the distance that the interface deviates from planarity (</w:t>
      </w:r>
      <w:r w:rsidRPr="0049171D">
        <w:rPr>
          <w:i/>
          <w:spacing w:val="-3"/>
        </w:rPr>
        <w:t>δ</w:t>
      </w:r>
      <w:r w:rsidRPr="00727E8A">
        <w:rPr>
          <w:i/>
          <w:spacing w:val="-3"/>
          <w:sz w:val="26"/>
          <w:vertAlign w:val="subscript"/>
        </w:rPr>
        <w:t>p</w:t>
      </w:r>
      <w:r w:rsidRPr="00DA1F76">
        <w:rPr>
          <w:spacing w:val="-3"/>
        </w:rPr>
        <w:t>), the sample width, the characteristic diffusion distance (</w:t>
      </w:r>
      <w:r w:rsidRPr="00DA1F76">
        <w:rPr>
          <w:i/>
          <w:iCs/>
          <w:spacing w:val="-3"/>
        </w:rPr>
        <w:t>D</w:t>
      </w:r>
      <w:r w:rsidRPr="00727E8A">
        <w:rPr>
          <w:spacing w:val="-3"/>
          <w:sz w:val="26"/>
          <w:vertAlign w:val="subscript"/>
        </w:rPr>
        <w:t>L</w:t>
      </w:r>
      <w:r w:rsidRPr="00DA1F76">
        <w:rPr>
          <w:spacing w:val="-3"/>
        </w:rPr>
        <w:t xml:space="preserve">/V) and the partition coefficient, </w:t>
      </w:r>
      <w:r w:rsidRPr="00DA1F76">
        <w:rPr>
          <w:i/>
          <w:iCs/>
          <w:spacing w:val="-3"/>
        </w:rPr>
        <w:t>k</w:t>
      </w:r>
      <w:r w:rsidRPr="00883A53">
        <w:rPr>
          <w:spacing w:val="-3"/>
          <w:sz w:val="26"/>
          <w:vertAlign w:val="superscript"/>
        </w:rPr>
        <w:t>E</w:t>
      </w:r>
      <w:r w:rsidRPr="00DA1F76">
        <w:rPr>
          <w:spacing w:val="-3"/>
        </w:rPr>
        <w:t xml:space="preserve">. The radial segregation is greatest when </w:t>
      </w:r>
      <w:r w:rsidRPr="00DA1F76">
        <w:rPr>
          <w:i/>
          <w:iCs/>
          <w:spacing w:val="-3"/>
        </w:rPr>
        <w:t>k</w:t>
      </w:r>
      <w:r w:rsidRPr="00883A53">
        <w:rPr>
          <w:spacing w:val="-3"/>
          <w:sz w:val="26"/>
          <w:vertAlign w:val="superscript"/>
        </w:rPr>
        <w:t>E</w:t>
      </w:r>
      <w:r w:rsidRPr="00DA1F76">
        <w:rPr>
          <w:spacing w:val="-3"/>
        </w:rPr>
        <w:t xml:space="preserve"> is small and when </w:t>
      </w:r>
      <w:r w:rsidRPr="0049171D">
        <w:rPr>
          <w:i/>
          <w:spacing w:val="-3"/>
        </w:rPr>
        <w:t>δ</w:t>
      </w:r>
      <w:r w:rsidRPr="00727E8A">
        <w:rPr>
          <w:i/>
          <w:spacing w:val="-3"/>
          <w:sz w:val="26"/>
          <w:vertAlign w:val="subscript"/>
        </w:rPr>
        <w:t>p</w:t>
      </w:r>
      <w:r w:rsidRPr="00DA1F76">
        <w:rPr>
          <w:spacing w:val="-3"/>
        </w:rPr>
        <w:t>/</w:t>
      </w:r>
      <w:r w:rsidRPr="00DA1F76">
        <w:rPr>
          <w:i/>
          <w:iCs/>
          <w:spacing w:val="-3"/>
        </w:rPr>
        <w:t>(D</w:t>
      </w:r>
      <w:r w:rsidRPr="00727E8A">
        <w:rPr>
          <w:spacing w:val="-3"/>
          <w:sz w:val="26"/>
          <w:vertAlign w:val="subscript"/>
        </w:rPr>
        <w:t>L</w:t>
      </w:r>
      <w:r w:rsidRPr="00DA1F76">
        <w:rPr>
          <w:i/>
          <w:iCs/>
          <w:spacing w:val="-3"/>
        </w:rPr>
        <w:t>/V)</w:t>
      </w:r>
      <w:r w:rsidRPr="00DA1F76">
        <w:rPr>
          <w:spacing w:val="-3"/>
        </w:rPr>
        <w:t xml:space="preserve"> » 1. Detailed </w:t>
      </w:r>
      <w:r w:rsidRPr="00DA1F76">
        <w:rPr>
          <w:spacing w:val="-3"/>
        </w:rPr>
        <w:lastRenderedPageBreak/>
        <w:t xml:space="preserve">calculations of lateral segregation due to convection driven by longitudinal and radial gradients, typical of Bridgman growth upward and downward, are described by </w:t>
      </w:r>
      <w:r w:rsidR="0099083B" w:rsidRPr="00DA1F76">
        <w:rPr>
          <w:spacing w:val="-3"/>
        </w:rPr>
        <w:t>C</w:t>
      </w:r>
      <w:r w:rsidR="0099083B">
        <w:rPr>
          <w:spacing w:val="-3"/>
        </w:rPr>
        <w:t>hang</w:t>
      </w:r>
      <w:r w:rsidR="0099083B" w:rsidRPr="00DA1F76">
        <w:rPr>
          <w:spacing w:val="-3"/>
        </w:rPr>
        <w:t xml:space="preserve"> </w:t>
      </w:r>
      <w:r w:rsidRPr="00DA1F76">
        <w:rPr>
          <w:spacing w:val="-3"/>
        </w:rPr>
        <w:t xml:space="preserve">and </w:t>
      </w:r>
      <w:r w:rsidR="0099083B" w:rsidRPr="00DA1F76">
        <w:rPr>
          <w:spacing w:val="-3"/>
        </w:rPr>
        <w:t>B</w:t>
      </w:r>
      <w:r w:rsidR="0099083B">
        <w:rPr>
          <w:spacing w:val="-3"/>
        </w:rPr>
        <w:t>rown</w:t>
      </w:r>
      <w:r w:rsidR="0099083B" w:rsidRPr="00DA1F76">
        <w:rPr>
          <w:spacing w:val="-3"/>
        </w:rPr>
        <w:t xml:space="preserve"> </w:t>
      </w:r>
      <w:r w:rsidRPr="00DA1F76">
        <w:rPr>
          <w:spacing w:val="-3"/>
        </w:rPr>
        <w:t xml:space="preserve">[1983]. Experiments performed by </w:t>
      </w:r>
      <w:r w:rsidR="0099083B" w:rsidRPr="00DA1F76">
        <w:rPr>
          <w:spacing w:val="-3"/>
        </w:rPr>
        <w:t>Schaefer</w:t>
      </w:r>
      <w:r w:rsidRPr="00DA1F76">
        <w:rPr>
          <w:spacing w:val="-3"/>
        </w:rPr>
        <w:t xml:space="preserve"> and </w:t>
      </w:r>
      <w:r w:rsidR="0099083B" w:rsidRPr="00DA1F76">
        <w:rPr>
          <w:spacing w:val="-3"/>
        </w:rPr>
        <w:t>Coriell</w:t>
      </w:r>
      <w:r w:rsidRPr="00DA1F76">
        <w:rPr>
          <w:spacing w:val="-3"/>
        </w:rPr>
        <w:t xml:space="preserve"> [1984] in the transparent</w:t>
      </w:r>
      <w:r>
        <w:rPr>
          <w:spacing w:val="-3"/>
        </w:rPr>
        <w:t xml:space="preserve"> succinonitrile-acetone system </w:t>
      </w:r>
      <w:r w:rsidRPr="00DA1F76">
        <w:rPr>
          <w:spacing w:val="-3"/>
        </w:rPr>
        <w:t xml:space="preserve">show the effect of radial gradients at a </w:t>
      </w:r>
      <w:r w:rsidR="004201E7">
        <w:rPr>
          <w:spacing w:val="-3"/>
        </w:rPr>
        <w:t>L-S</w:t>
      </w:r>
      <w:r w:rsidRPr="00DA1F76">
        <w:rPr>
          <w:spacing w:val="-3"/>
        </w:rPr>
        <w:t xml:space="preserve"> interface.</w:t>
      </w:r>
    </w:p>
    <w:p w14:paraId="29409199" w14:textId="77777777" w:rsidR="00826A79" w:rsidRPr="00DA1F76" w:rsidRDefault="00826A79" w:rsidP="00015B17">
      <w:pPr>
        <w:tabs>
          <w:tab w:val="left" w:pos="-720"/>
        </w:tabs>
        <w:suppressAutoHyphens/>
        <w:spacing w:line="360" w:lineRule="auto"/>
        <w:rPr>
          <w:spacing w:val="-3"/>
        </w:rPr>
      </w:pPr>
    </w:p>
    <w:p w14:paraId="7BBCFB01" w14:textId="7EB04A28" w:rsidR="00015B17" w:rsidRPr="00DA1F76" w:rsidRDefault="00015B17" w:rsidP="00015B17">
      <w:pPr>
        <w:tabs>
          <w:tab w:val="left" w:pos="-720"/>
        </w:tabs>
        <w:suppressAutoHyphens/>
        <w:spacing w:line="360" w:lineRule="auto"/>
        <w:rPr>
          <w:spacing w:val="-3"/>
        </w:rPr>
      </w:pPr>
      <w:r w:rsidRPr="00DA1F76">
        <w:rPr>
          <w:b/>
          <w:bCs/>
          <w:spacing w:val="-3"/>
        </w:rPr>
        <w:t>6.4 Morphological Stability of a Planar Interface</w:t>
      </w:r>
    </w:p>
    <w:p w14:paraId="1BF63F2A" w14:textId="77777777" w:rsidR="00015B17" w:rsidRPr="00DA1F76" w:rsidRDefault="00015B17" w:rsidP="00015B17">
      <w:pPr>
        <w:tabs>
          <w:tab w:val="left" w:pos="-720"/>
        </w:tabs>
        <w:suppressAutoHyphens/>
        <w:spacing w:line="360" w:lineRule="auto"/>
        <w:rPr>
          <w:spacing w:val="-3"/>
        </w:rPr>
      </w:pPr>
    </w:p>
    <w:p w14:paraId="50E1F404" w14:textId="0F04E929" w:rsidR="00015B17" w:rsidRPr="00DA1F76" w:rsidRDefault="00015B17" w:rsidP="00015B17">
      <w:pPr>
        <w:tabs>
          <w:tab w:val="left" w:pos="-720"/>
        </w:tabs>
        <w:suppressAutoHyphens/>
        <w:spacing w:line="360" w:lineRule="auto"/>
        <w:rPr>
          <w:spacing w:val="-3"/>
        </w:rPr>
      </w:pPr>
      <w:r w:rsidRPr="00DA1F76">
        <w:rPr>
          <w:spacing w:val="-3"/>
        </w:rPr>
        <w:tab/>
        <w:t xml:space="preserve">In § 6.2 it was assumed that the </w:t>
      </w:r>
      <w:r w:rsidR="004201E7">
        <w:rPr>
          <w:spacing w:val="-3"/>
        </w:rPr>
        <w:t>L-S</w:t>
      </w:r>
      <w:r w:rsidRPr="00DA1F76">
        <w:rPr>
          <w:spacing w:val="-3"/>
        </w:rPr>
        <w:t xml:space="preserve"> interface was planar during solidification. Thus the composition profile induced in the solid varied only in the direction of growth. However even if the heat flow is controlled to be unidirectional and the isotherms are planar, a planar interface may be unstable to small changes in shape. Lateral composition variations can then be induced in the solid on a scale much smaller than the sample width. The morphological stability theory defines the conditions under which this instability can occur. Instability of the interface ultimately leads to the development of cellular and dendritic structures. An excellent review of the stability theory by </w:t>
      </w:r>
      <w:r w:rsidR="0051677B" w:rsidRPr="00DA1F76">
        <w:rPr>
          <w:spacing w:val="-3"/>
        </w:rPr>
        <w:t>C</w:t>
      </w:r>
      <w:r w:rsidR="0051677B">
        <w:rPr>
          <w:spacing w:val="-3"/>
        </w:rPr>
        <w:t>oriell</w:t>
      </w:r>
      <w:r w:rsidR="0051677B" w:rsidRPr="00DA1F76">
        <w:rPr>
          <w:spacing w:val="-3"/>
        </w:rPr>
        <w:t xml:space="preserve"> </w:t>
      </w:r>
      <w:r w:rsidRPr="00DA1F76">
        <w:rPr>
          <w:spacing w:val="-3"/>
        </w:rPr>
        <w:t xml:space="preserve">and </w:t>
      </w:r>
      <w:r w:rsidR="0051677B" w:rsidRPr="00DA1F76">
        <w:rPr>
          <w:spacing w:val="-3"/>
        </w:rPr>
        <w:t>M</w:t>
      </w:r>
      <w:r w:rsidR="0051677B">
        <w:rPr>
          <w:spacing w:val="-3"/>
        </w:rPr>
        <w:t>c</w:t>
      </w:r>
      <w:r w:rsidRPr="00DA1F76">
        <w:rPr>
          <w:spacing w:val="-3"/>
        </w:rPr>
        <w:t>F</w:t>
      </w:r>
      <w:r w:rsidR="0051677B">
        <w:rPr>
          <w:spacing w:val="-3"/>
        </w:rPr>
        <w:t>adden</w:t>
      </w:r>
      <w:r w:rsidRPr="00DA1F76">
        <w:rPr>
          <w:spacing w:val="-3"/>
        </w:rPr>
        <w:t xml:space="preserve"> [1993]</w:t>
      </w:r>
      <w:r>
        <w:rPr>
          <w:spacing w:val="-3"/>
        </w:rPr>
        <w:t xml:space="preserve"> is available</w:t>
      </w:r>
      <w:r w:rsidRPr="00DA1F76">
        <w:rPr>
          <w:spacing w:val="-3"/>
        </w:rPr>
        <w:t>.</w:t>
      </w:r>
    </w:p>
    <w:p w14:paraId="075B1B6B" w14:textId="77777777" w:rsidR="00015B17" w:rsidRPr="00DA1F76" w:rsidRDefault="00015B17" w:rsidP="00015B17">
      <w:pPr>
        <w:tabs>
          <w:tab w:val="left" w:pos="-720"/>
        </w:tabs>
        <w:suppressAutoHyphens/>
        <w:spacing w:line="360" w:lineRule="auto"/>
        <w:rPr>
          <w:spacing w:val="-3"/>
        </w:rPr>
      </w:pPr>
    </w:p>
    <w:p w14:paraId="4D3782CE" w14:textId="4C19EA79" w:rsidR="00015B17" w:rsidRPr="00DA1F76" w:rsidRDefault="00015B17" w:rsidP="00015B17">
      <w:pPr>
        <w:tabs>
          <w:tab w:val="left" w:pos="-720"/>
        </w:tabs>
        <w:suppressAutoHyphens/>
        <w:spacing w:line="360" w:lineRule="auto"/>
        <w:rPr>
          <w:spacing w:val="-3"/>
        </w:rPr>
      </w:pPr>
      <w:r w:rsidRPr="00DA1F76">
        <w:rPr>
          <w:b/>
          <w:bCs/>
          <w:spacing w:val="-3"/>
        </w:rPr>
        <w:t>6.4.1 Theory</w:t>
      </w:r>
    </w:p>
    <w:p w14:paraId="65A1F5BF" w14:textId="77777777" w:rsidR="00015B17" w:rsidRPr="00DA1F76" w:rsidRDefault="00015B17" w:rsidP="00015B17">
      <w:pPr>
        <w:tabs>
          <w:tab w:val="left" w:pos="-720"/>
        </w:tabs>
        <w:suppressAutoHyphens/>
        <w:spacing w:line="360" w:lineRule="auto"/>
        <w:rPr>
          <w:spacing w:val="-3"/>
        </w:rPr>
      </w:pPr>
    </w:p>
    <w:p w14:paraId="115D8338" w14:textId="036412E6" w:rsidR="00015B17" w:rsidRDefault="00015B17" w:rsidP="00015B17">
      <w:pPr>
        <w:tabs>
          <w:tab w:val="left" w:pos="-720"/>
        </w:tabs>
        <w:suppressAutoHyphens/>
        <w:spacing w:line="360" w:lineRule="auto"/>
        <w:rPr>
          <w:spacing w:val="-3"/>
        </w:rPr>
      </w:pPr>
      <w:r w:rsidRPr="00DA1F76">
        <w:rPr>
          <w:spacing w:val="-3"/>
        </w:rPr>
        <w:tab/>
        <w:t>The temperature and solute profiles for</w:t>
      </w:r>
      <w:r w:rsidRPr="003D477C">
        <w:rPr>
          <w:spacing w:val="-3"/>
          <w:position w:val="-6"/>
        </w:rPr>
        <w:object w:dxaOrig="639" w:dyaOrig="320" w14:anchorId="60D3D569">
          <v:shape id="_x0000_i1465" type="#_x0000_t75" style="width:31.8pt;height:16.85pt" o:ole="">
            <v:imagedata r:id="rId856" o:title=""/>
          </v:shape>
          <o:OLEObject Type="Embed" ProgID="Equation.DSMT4" ShapeID="_x0000_i1465" DrawAspect="Content" ObjectID="_1840627031" r:id="rId857"/>
        </w:object>
      </w:r>
      <w:r w:rsidRPr="00DA1F76">
        <w:rPr>
          <w:spacing w:val="-3"/>
        </w:rPr>
        <w:t xml:space="preserve">, as a function of the distance, </w:t>
      </w:r>
      <w:r w:rsidRPr="00DA1F76">
        <w:rPr>
          <w:i/>
          <w:iCs/>
          <w:spacing w:val="-3"/>
        </w:rPr>
        <w:t>z</w:t>
      </w:r>
      <w:r w:rsidRPr="00DA1F76">
        <w:rPr>
          <w:spacing w:val="-3"/>
        </w:rPr>
        <w:t xml:space="preserve">, from a planar </w:t>
      </w:r>
      <w:r w:rsidR="004201E7">
        <w:rPr>
          <w:spacing w:val="-3"/>
        </w:rPr>
        <w:t>L-S</w:t>
      </w:r>
      <w:r w:rsidRPr="00DA1F76">
        <w:rPr>
          <w:spacing w:val="-3"/>
        </w:rPr>
        <w:t xml:space="preserve"> interface for growth at </w:t>
      </w:r>
      <w:r>
        <w:rPr>
          <w:spacing w:val="-3"/>
        </w:rPr>
        <w:t xml:space="preserve">constant </w:t>
      </w:r>
      <w:r w:rsidRPr="00DA1F76">
        <w:rPr>
          <w:spacing w:val="-3"/>
        </w:rPr>
        <w:t xml:space="preserve">velocity </w:t>
      </w:r>
      <w:r w:rsidRPr="00DA1F76">
        <w:rPr>
          <w:i/>
          <w:iCs/>
          <w:spacing w:val="-3"/>
        </w:rPr>
        <w:t>V</w:t>
      </w:r>
      <w:r w:rsidRPr="00DA1F76">
        <w:rPr>
          <w:spacing w:val="-3"/>
        </w:rPr>
        <w:t xml:space="preserve"> are shown in Fig. </w:t>
      </w:r>
      <w:r>
        <w:rPr>
          <w:spacing w:val="-3"/>
        </w:rPr>
        <w:t>6.3</w:t>
      </w:r>
      <w:r w:rsidRPr="00DA1F76">
        <w:rPr>
          <w:spacing w:val="-3"/>
        </w:rPr>
        <w:t>.  A linea</w:t>
      </w:r>
      <w:r>
        <w:rPr>
          <w:spacing w:val="-3"/>
        </w:rPr>
        <w:t xml:space="preserve">r stability analysis was first </w:t>
      </w:r>
      <w:r w:rsidRPr="00DA1F76">
        <w:rPr>
          <w:spacing w:val="-3"/>
        </w:rPr>
        <w:t xml:space="preserve">applied to a growing sphere and later to the plane by </w:t>
      </w:r>
      <w:r w:rsidR="004207DE" w:rsidRPr="00DA1F76">
        <w:rPr>
          <w:spacing w:val="-3"/>
        </w:rPr>
        <w:t>M</w:t>
      </w:r>
      <w:r w:rsidR="004207DE">
        <w:rPr>
          <w:spacing w:val="-3"/>
        </w:rPr>
        <w:t>ullins</w:t>
      </w:r>
      <w:r w:rsidR="004207DE" w:rsidRPr="00DA1F76">
        <w:rPr>
          <w:spacing w:val="-3"/>
        </w:rPr>
        <w:t xml:space="preserve"> </w:t>
      </w:r>
      <w:r w:rsidRPr="00DA1F76">
        <w:rPr>
          <w:spacing w:val="-3"/>
        </w:rPr>
        <w:t xml:space="preserve">and </w:t>
      </w:r>
      <w:r w:rsidR="004207DE" w:rsidRPr="00DA1F76">
        <w:rPr>
          <w:spacing w:val="-3"/>
        </w:rPr>
        <w:t>S</w:t>
      </w:r>
      <w:r w:rsidR="004207DE">
        <w:rPr>
          <w:spacing w:val="-3"/>
        </w:rPr>
        <w:t>ekerka</w:t>
      </w:r>
      <w:r w:rsidR="004207DE" w:rsidRPr="00DA1F76">
        <w:rPr>
          <w:spacing w:val="-3"/>
        </w:rPr>
        <w:t xml:space="preserve"> </w:t>
      </w:r>
      <w:r w:rsidRPr="00DA1F76">
        <w:rPr>
          <w:spacing w:val="-3"/>
        </w:rPr>
        <w:t>[1963],</w:t>
      </w:r>
      <w:r>
        <w:rPr>
          <w:spacing w:val="-3"/>
        </w:rPr>
        <w:t xml:space="preserve"> </w:t>
      </w:r>
      <w:r w:rsidRPr="00DA1F76">
        <w:rPr>
          <w:spacing w:val="-3"/>
        </w:rPr>
        <w:t xml:space="preserve">[1964] and </w:t>
      </w:r>
      <w:r w:rsidR="004207DE" w:rsidRPr="00DA1F76">
        <w:rPr>
          <w:spacing w:val="-3"/>
        </w:rPr>
        <w:t>S</w:t>
      </w:r>
      <w:r w:rsidR="004207DE">
        <w:rPr>
          <w:spacing w:val="-3"/>
        </w:rPr>
        <w:t>ekerka</w:t>
      </w:r>
      <w:r w:rsidRPr="00DA1F76">
        <w:rPr>
          <w:spacing w:val="-3"/>
        </w:rPr>
        <w:t xml:space="preserve"> [1967] under the conditions of local interface equilibrium and isotropic surface energy. One of the first extensions of this approach came when </w:t>
      </w:r>
      <w:r w:rsidR="004207DE" w:rsidRPr="00DA1F76">
        <w:rPr>
          <w:spacing w:val="-3"/>
        </w:rPr>
        <w:t>C</w:t>
      </w:r>
      <w:r w:rsidR="004207DE">
        <w:rPr>
          <w:spacing w:val="-3"/>
        </w:rPr>
        <w:t>ahn</w:t>
      </w:r>
      <w:r w:rsidR="004207DE" w:rsidRPr="00DA1F76">
        <w:rPr>
          <w:spacing w:val="-3"/>
        </w:rPr>
        <w:t xml:space="preserve"> </w:t>
      </w:r>
      <w:r w:rsidRPr="00DA1F76">
        <w:rPr>
          <w:spacing w:val="-3"/>
        </w:rPr>
        <w:t xml:space="preserve">[1967] treated anisotropic </w:t>
      </w:r>
      <w:r>
        <w:rPr>
          <w:spacing w:val="-3"/>
        </w:rPr>
        <w:t xml:space="preserve">interface </w:t>
      </w:r>
      <w:r w:rsidRPr="00DA1F76">
        <w:rPr>
          <w:spacing w:val="-3"/>
        </w:rPr>
        <w:t xml:space="preserve">kinetics and </w:t>
      </w:r>
      <w:r>
        <w:rPr>
          <w:spacing w:val="-3"/>
        </w:rPr>
        <w:t xml:space="preserve">interface </w:t>
      </w:r>
      <w:r w:rsidRPr="00DA1F76">
        <w:rPr>
          <w:spacing w:val="-3"/>
        </w:rPr>
        <w:t xml:space="preserve">energy. Many other assumptions of the original theory have been relaxed over the years as summarized by </w:t>
      </w:r>
      <w:r w:rsidR="004207DE" w:rsidRPr="00DA1F76">
        <w:rPr>
          <w:spacing w:val="-3"/>
        </w:rPr>
        <w:t>S</w:t>
      </w:r>
      <w:r w:rsidR="004207DE">
        <w:rPr>
          <w:spacing w:val="-3"/>
        </w:rPr>
        <w:t>ekerka</w:t>
      </w:r>
      <w:r w:rsidRPr="00DA1F76">
        <w:rPr>
          <w:spacing w:val="-3"/>
        </w:rPr>
        <w:t xml:space="preserve"> [1986].</w:t>
      </w:r>
    </w:p>
    <w:p w14:paraId="4B7FC539" w14:textId="77777777" w:rsidR="00015B17" w:rsidRPr="00DA1F76" w:rsidRDefault="00015B17" w:rsidP="00015B17">
      <w:pPr>
        <w:tabs>
          <w:tab w:val="left" w:pos="-720"/>
        </w:tabs>
        <w:suppressAutoHyphens/>
        <w:spacing w:line="360" w:lineRule="auto"/>
        <w:rPr>
          <w:spacing w:val="-3"/>
        </w:rPr>
      </w:pPr>
    </w:p>
    <w:p w14:paraId="7FBDF94A" w14:textId="77777777" w:rsidR="00015B17" w:rsidRDefault="00015B17" w:rsidP="00015B17">
      <w:pPr>
        <w:tabs>
          <w:tab w:val="left" w:pos="-720"/>
        </w:tabs>
        <w:suppressAutoHyphens/>
        <w:spacing w:line="360" w:lineRule="auto"/>
        <w:rPr>
          <w:spacing w:val="-3"/>
        </w:rPr>
      </w:pPr>
      <w:r w:rsidRPr="00DA1F76">
        <w:rPr>
          <w:spacing w:val="-3"/>
        </w:rPr>
        <w:tab/>
        <w:t xml:space="preserve">The analysis begins by perturbing the shape of a planar </w:t>
      </w:r>
      <w:r w:rsidR="004201E7">
        <w:rPr>
          <w:spacing w:val="-3"/>
        </w:rPr>
        <w:t>L-S</w:t>
      </w:r>
      <w:r w:rsidRPr="00DA1F76">
        <w:rPr>
          <w:spacing w:val="-3"/>
        </w:rPr>
        <w:t xml:space="preserve"> interface </w:t>
      </w:r>
      <w:r>
        <w:rPr>
          <w:spacing w:val="-3"/>
        </w:rPr>
        <w:t xml:space="preserve">initially located at </w:t>
      </w:r>
      <w:r w:rsidRPr="003D477C">
        <w:rPr>
          <w:i/>
          <w:spacing w:val="-3"/>
        </w:rPr>
        <w:t>z</w:t>
      </w:r>
      <w:r>
        <w:rPr>
          <w:i/>
          <w:spacing w:val="-3"/>
        </w:rPr>
        <w:t xml:space="preserve"> </w:t>
      </w:r>
      <w:r w:rsidRPr="003D477C">
        <w:rPr>
          <w:i/>
          <w:spacing w:val="-3"/>
        </w:rPr>
        <w:t>=</w:t>
      </w:r>
      <w:r>
        <w:rPr>
          <w:i/>
          <w:spacing w:val="-3"/>
        </w:rPr>
        <w:t xml:space="preserve"> </w:t>
      </w:r>
      <w:r w:rsidRPr="003D477C">
        <w:rPr>
          <w:i/>
          <w:spacing w:val="-3"/>
        </w:rPr>
        <w:t>0</w:t>
      </w:r>
      <w:r>
        <w:rPr>
          <w:spacing w:val="-3"/>
        </w:rPr>
        <w:t xml:space="preserve"> in the moving frame of reference to</w:t>
      </w:r>
    </w:p>
    <w:p w14:paraId="36118711" w14:textId="77777777" w:rsidR="00015B17" w:rsidRPr="00DA1F76" w:rsidRDefault="00015B17" w:rsidP="00015B17">
      <w:pPr>
        <w:tabs>
          <w:tab w:val="left" w:pos="-720"/>
        </w:tabs>
        <w:suppressAutoHyphens/>
        <w:spacing w:line="360" w:lineRule="auto"/>
        <w:jc w:val="both"/>
        <w:rPr>
          <w:spacing w:val="-3"/>
        </w:rPr>
      </w:pPr>
    </w:p>
    <w:p w14:paraId="59776254" w14:textId="77777777" w:rsidR="00015B17" w:rsidRDefault="00015B17" w:rsidP="00015B17">
      <w:pPr>
        <w:tabs>
          <w:tab w:val="left" w:pos="-720"/>
        </w:tabs>
        <w:suppressAutoHyphens/>
        <w:spacing w:line="360" w:lineRule="auto"/>
        <w:jc w:val="center"/>
        <w:rPr>
          <w:spacing w:val="-3"/>
          <w:position w:val="-10"/>
        </w:rPr>
      </w:pPr>
      <w:r w:rsidRPr="00347A95">
        <w:rPr>
          <w:spacing w:val="-3"/>
          <w:position w:val="-10"/>
        </w:rPr>
        <w:object w:dxaOrig="2360" w:dyaOrig="320" w14:anchorId="39AF13D5">
          <v:shape id="_x0000_i1466" type="#_x0000_t75" style="width:117.8pt;height:14.95pt" o:ole="">
            <v:imagedata r:id="rId858" o:title=""/>
          </v:shape>
          <o:OLEObject Type="Embed" ProgID="Equation.DSMT4" ShapeID="_x0000_i1466" DrawAspect="Content" ObjectID="_1840627032" r:id="rId859"/>
        </w:object>
      </w:r>
      <w:r>
        <w:rPr>
          <w:spacing w:val="-3"/>
          <w:position w:val="-10"/>
        </w:rPr>
        <w:tab/>
        <w:t>(6.19)</w:t>
      </w:r>
    </w:p>
    <w:p w14:paraId="54041179" w14:textId="77777777" w:rsidR="00015B17" w:rsidRPr="00DA1F76" w:rsidRDefault="00015B17" w:rsidP="00015B17">
      <w:pPr>
        <w:tabs>
          <w:tab w:val="left" w:pos="-720"/>
        </w:tabs>
        <w:suppressAutoHyphens/>
        <w:spacing w:line="360" w:lineRule="auto"/>
        <w:jc w:val="center"/>
        <w:rPr>
          <w:spacing w:val="-3"/>
        </w:rPr>
      </w:pPr>
    </w:p>
    <w:p w14:paraId="3B1F2A72" w14:textId="3135BFD2" w:rsidR="00015B17" w:rsidRDefault="00015B17" w:rsidP="00015B17">
      <w:pPr>
        <w:tabs>
          <w:tab w:val="left" w:pos="-720"/>
        </w:tabs>
        <w:suppressAutoHyphens/>
        <w:spacing w:line="360" w:lineRule="auto"/>
        <w:rPr>
          <w:spacing w:val="-3"/>
        </w:rPr>
      </w:pPr>
      <w:r w:rsidRPr="00DA1F76">
        <w:rPr>
          <w:spacing w:val="-3"/>
        </w:rPr>
        <w:t xml:space="preserve">where </w:t>
      </w:r>
      <w:r w:rsidRPr="001D5DCB">
        <w:rPr>
          <w:spacing w:val="-3"/>
          <w:position w:val="-6"/>
        </w:rPr>
        <w:object w:dxaOrig="220" w:dyaOrig="279" w14:anchorId="0C98A16F">
          <v:shape id="_x0000_i1467" type="#_x0000_t75" style="width:10.3pt;height:14.05pt" o:ole="">
            <v:imagedata r:id="rId860" o:title=""/>
          </v:shape>
          <o:OLEObject Type="Embed" ProgID="Equation.DSMT4" ShapeID="_x0000_i1467" DrawAspect="Content" ObjectID="_1840627033" r:id="rId861"/>
        </w:object>
      </w:r>
      <w:r w:rsidRPr="00DA1F76">
        <w:rPr>
          <w:spacing w:val="-3"/>
        </w:rPr>
        <w:t xml:space="preserve"> is the perturbation amplitude, </w:t>
      </w:r>
      <w:r w:rsidRPr="001D5DCB">
        <w:rPr>
          <w:spacing w:val="-3"/>
          <w:position w:val="-6"/>
        </w:rPr>
        <w:object w:dxaOrig="220" w:dyaOrig="279" w14:anchorId="5675C4A3">
          <v:shape id="_x0000_i1468" type="#_x0000_t75" style="width:10.3pt;height:14.05pt" o:ole="">
            <v:imagedata r:id="rId862" o:title=""/>
          </v:shape>
          <o:OLEObject Type="Embed" ProgID="Equation.DSMT4" ShapeID="_x0000_i1468" DrawAspect="Content" ObjectID="_1840627034" r:id="rId863"/>
        </w:object>
      </w:r>
      <w:r w:rsidRPr="00DA1F76">
        <w:rPr>
          <w:spacing w:val="-3"/>
        </w:rPr>
        <w:t xml:space="preserve"> is the wavelength, and </w:t>
      </w:r>
      <w:r w:rsidRPr="001D5DCB">
        <w:rPr>
          <w:spacing w:val="-3"/>
          <w:position w:val="-6"/>
        </w:rPr>
        <w:object w:dxaOrig="240" w:dyaOrig="220" w14:anchorId="7F058C95">
          <v:shape id="_x0000_i1469" type="#_x0000_t75" style="width:12.15pt;height:10.3pt" o:ole="">
            <v:imagedata r:id="rId864" o:title=""/>
          </v:shape>
          <o:OLEObject Type="Embed" ProgID="Equation.DSMT4" ShapeID="_x0000_i1469" DrawAspect="Content" ObjectID="_1840627035" r:id="rId865"/>
        </w:object>
      </w:r>
      <w:r w:rsidRPr="00DA1F76">
        <w:rPr>
          <w:spacing w:val="-3"/>
        </w:rPr>
        <w:t xml:space="preserve"> is the growth (or decay) rate of the perturbation. The value for </w:t>
      </w:r>
      <w:r w:rsidRPr="001D5DCB">
        <w:rPr>
          <w:spacing w:val="-3"/>
          <w:position w:val="-6"/>
        </w:rPr>
        <w:object w:dxaOrig="240" w:dyaOrig="220" w14:anchorId="12EF3B80">
          <v:shape id="_x0000_i1470" type="#_x0000_t75" style="width:12.15pt;height:10.3pt" o:ole="">
            <v:imagedata r:id="rId866" o:title=""/>
          </v:shape>
          <o:OLEObject Type="Embed" ProgID="Equation.DSMT4" ShapeID="_x0000_i1470" DrawAspect="Content" ObjectID="_1840627036" r:id="rId867"/>
        </w:object>
      </w:r>
      <w:r w:rsidRPr="00DA1F76">
        <w:rPr>
          <w:spacing w:val="-3"/>
        </w:rPr>
        <w:t xml:space="preserve"> is determined by solving the heat flow and diffusion equations with appropriate boundary conditions for small values of </w:t>
      </w:r>
      <w:r w:rsidRPr="001D5DCB">
        <w:rPr>
          <w:spacing w:val="-3"/>
          <w:position w:val="-6"/>
        </w:rPr>
        <w:object w:dxaOrig="220" w:dyaOrig="279" w14:anchorId="7ECA4B47">
          <v:shape id="_x0000_i1471" type="#_x0000_t75" style="width:10.3pt;height:14.05pt" o:ole="">
            <v:imagedata r:id="rId868" o:title=""/>
          </v:shape>
          <o:OLEObject Type="Embed" ProgID="Equation.DSMT4" ShapeID="_x0000_i1471" DrawAspect="Content" ObjectID="_1840627037" r:id="rId869"/>
        </w:object>
      </w:r>
      <w:r w:rsidRPr="00DA1F76">
        <w:rPr>
          <w:spacing w:val="-3"/>
        </w:rPr>
        <w:t xml:space="preserve"> (linear theory). The planar interface shape is stable if the real part of </w:t>
      </w:r>
      <w:r w:rsidRPr="001D5DCB">
        <w:rPr>
          <w:spacing w:val="-3"/>
          <w:position w:val="-6"/>
        </w:rPr>
        <w:object w:dxaOrig="240" w:dyaOrig="220" w14:anchorId="31B6E252">
          <v:shape id="_x0000_i1472" type="#_x0000_t75" style="width:12.15pt;height:10.3pt" o:ole="">
            <v:imagedata r:id="rId870" o:title=""/>
          </v:shape>
          <o:OLEObject Type="Embed" ProgID="Equation.DSMT4" ShapeID="_x0000_i1472" DrawAspect="Content" ObjectID="_1840627038" r:id="rId871"/>
        </w:object>
      </w:r>
      <w:r w:rsidRPr="00DA1F76">
        <w:rPr>
          <w:spacing w:val="-3"/>
        </w:rPr>
        <w:t xml:space="preserve"> is negative for all values of </w:t>
      </w:r>
      <w:r w:rsidRPr="001D5DCB">
        <w:rPr>
          <w:spacing w:val="-3"/>
          <w:position w:val="-6"/>
        </w:rPr>
        <w:object w:dxaOrig="220" w:dyaOrig="279" w14:anchorId="5015439F">
          <v:shape id="_x0000_i1473" type="#_x0000_t75" style="width:10.3pt;height:14.05pt" o:ole="">
            <v:imagedata r:id="rId872" o:title=""/>
          </v:shape>
          <o:OLEObject Type="Embed" ProgID="Equation.DSMT4" ShapeID="_x0000_i1473" DrawAspect="Content" ObjectID="_1840627039" r:id="rId873"/>
        </w:object>
      </w:r>
      <w:r w:rsidRPr="00DA1F76">
        <w:rPr>
          <w:spacing w:val="-3"/>
        </w:rPr>
        <w:t>. The conditions giving the stability-instability demarcation (</w:t>
      </w:r>
      <w:r w:rsidRPr="001D5DCB">
        <w:rPr>
          <w:spacing w:val="-3"/>
          <w:position w:val="-6"/>
        </w:rPr>
        <w:object w:dxaOrig="600" w:dyaOrig="279" w14:anchorId="5AD010D0">
          <v:shape id="_x0000_i1474" type="#_x0000_t75" style="width:29.9pt;height:14.05pt" o:ole="">
            <v:imagedata r:id="rId874" o:title=""/>
          </v:shape>
          <o:OLEObject Type="Embed" ProgID="Equation.DSMT4" ShapeID="_x0000_i1474" DrawAspect="Content" ObjectID="_1840627040" r:id="rId875"/>
        </w:object>
      </w:r>
      <w:r w:rsidRPr="00DA1F76">
        <w:rPr>
          <w:spacing w:val="-3"/>
        </w:rPr>
        <w:t>) reduce to an equation with three terms corresponding to the three factors contributing to the overall stability of the interface, the thermal field, the solute field and the capillarity forces. The stability equation is</w:t>
      </w:r>
    </w:p>
    <w:p w14:paraId="35AC28F0" w14:textId="77777777" w:rsidR="00015B17" w:rsidRPr="00DA1F76" w:rsidRDefault="00015B17" w:rsidP="00015B17">
      <w:pPr>
        <w:tabs>
          <w:tab w:val="left" w:pos="-720"/>
        </w:tabs>
        <w:suppressAutoHyphens/>
        <w:spacing w:line="360" w:lineRule="auto"/>
        <w:rPr>
          <w:spacing w:val="-3"/>
        </w:rPr>
      </w:pPr>
    </w:p>
    <w:p w14:paraId="28AB4AA4" w14:textId="77777777" w:rsidR="00015B17" w:rsidRDefault="00015B17" w:rsidP="00015B17">
      <w:pPr>
        <w:tabs>
          <w:tab w:val="left" w:pos="-720"/>
        </w:tabs>
        <w:suppressAutoHyphens/>
        <w:spacing w:line="360" w:lineRule="auto"/>
        <w:jc w:val="center"/>
        <w:rPr>
          <w:spacing w:val="-3"/>
          <w:position w:val="-24"/>
        </w:rPr>
      </w:pPr>
      <w:r w:rsidRPr="00347A95">
        <w:rPr>
          <w:spacing w:val="-3"/>
          <w:position w:val="-24"/>
        </w:rPr>
        <w:object w:dxaOrig="2580" w:dyaOrig="660" w14:anchorId="7B21E489">
          <v:shape id="_x0000_i1475" type="#_x0000_t75" style="width:129.95pt;height:31.8pt" o:ole="">
            <v:imagedata r:id="rId876" o:title=""/>
          </v:shape>
          <o:OLEObject Type="Embed" ProgID="Equation.DSMT4" ShapeID="_x0000_i1475" DrawAspect="Content" ObjectID="_1840627041" r:id="rId877"/>
        </w:object>
      </w:r>
      <w:r>
        <w:rPr>
          <w:spacing w:val="-3"/>
          <w:position w:val="-24"/>
        </w:rPr>
        <w:t xml:space="preserve">   </w:t>
      </w:r>
      <w:r>
        <w:rPr>
          <w:spacing w:val="-3"/>
          <w:position w:val="-24"/>
        </w:rPr>
        <w:tab/>
      </w:r>
      <w:r>
        <w:rPr>
          <w:spacing w:val="-3"/>
          <w:position w:val="-24"/>
        </w:rPr>
        <w:tab/>
        <w:t>(6.20)</w:t>
      </w:r>
    </w:p>
    <w:p w14:paraId="4E5B4C0B" w14:textId="77777777" w:rsidR="00015B17" w:rsidRPr="00DA1F76" w:rsidRDefault="00015B17" w:rsidP="00015B17">
      <w:pPr>
        <w:tabs>
          <w:tab w:val="left" w:pos="-720"/>
        </w:tabs>
        <w:suppressAutoHyphens/>
        <w:spacing w:line="360" w:lineRule="auto"/>
        <w:jc w:val="center"/>
        <w:rPr>
          <w:spacing w:val="-3"/>
        </w:rPr>
      </w:pPr>
    </w:p>
    <w:p w14:paraId="1F81335D" w14:textId="77777777" w:rsidR="00015B17" w:rsidRDefault="0051677B" w:rsidP="00015B17">
      <w:pPr>
        <w:tabs>
          <w:tab w:val="left" w:pos="-720"/>
        </w:tabs>
        <w:suppressAutoHyphens/>
        <w:spacing w:line="360" w:lineRule="auto"/>
        <w:rPr>
          <w:spacing w:val="-3"/>
        </w:rPr>
      </w:pPr>
      <w:r>
        <w:rPr>
          <w:spacing w:val="-3"/>
        </w:rPr>
        <w:t>w</w:t>
      </w:r>
      <w:r w:rsidR="00015B17">
        <w:rPr>
          <w:spacing w:val="-3"/>
        </w:rPr>
        <w:t xml:space="preserve">here </w:t>
      </w:r>
      <w:r w:rsidR="00015B17" w:rsidRPr="002703B9">
        <w:rPr>
          <w:spacing w:val="-3"/>
          <w:position w:val="-4"/>
        </w:rPr>
        <w:object w:dxaOrig="220" w:dyaOrig="240" w14:anchorId="5E4947F7">
          <v:shape id="_x0000_i1476" type="#_x0000_t75" style="width:10.3pt;height:12.15pt" o:ole="">
            <v:imagedata r:id="rId878" o:title=""/>
          </v:shape>
          <o:OLEObject Type="Embed" ProgID="Equation.DSMT4" ShapeID="_x0000_i1476" DrawAspect="Content" ObjectID="_1840627042" r:id="rId879"/>
        </w:object>
      </w:r>
      <w:r w:rsidR="00015B17">
        <w:rPr>
          <w:spacing w:val="-3"/>
        </w:rPr>
        <w:t xml:space="preserve"> is the Gibbs-Thomson constant defined in §3.1. </w:t>
      </w:r>
      <w:r w:rsidR="00015B17" w:rsidRPr="00DA1F76">
        <w:rPr>
          <w:spacing w:val="-3"/>
        </w:rPr>
        <w:t xml:space="preserve">The parameter </w:t>
      </w:r>
      <w:r w:rsidR="00015B17" w:rsidRPr="00DA1F76">
        <w:rPr>
          <w:i/>
          <w:iCs/>
          <w:spacing w:val="-3"/>
        </w:rPr>
        <w:t>G</w:t>
      </w:r>
      <w:r w:rsidR="00015B17" w:rsidRPr="00DA1F76">
        <w:rPr>
          <w:spacing w:val="-3"/>
        </w:rPr>
        <w:t xml:space="preserve"> is the conductivity weighted temperature gradient given by</w:t>
      </w:r>
    </w:p>
    <w:p w14:paraId="3A9C49CE" w14:textId="77777777" w:rsidR="00015B17" w:rsidRPr="00DA1F76" w:rsidRDefault="00015B17" w:rsidP="00015B17">
      <w:pPr>
        <w:tabs>
          <w:tab w:val="left" w:pos="-720"/>
        </w:tabs>
        <w:suppressAutoHyphens/>
        <w:spacing w:line="360" w:lineRule="auto"/>
        <w:jc w:val="both"/>
        <w:rPr>
          <w:spacing w:val="-3"/>
        </w:rPr>
      </w:pPr>
    </w:p>
    <w:p w14:paraId="18C84791" w14:textId="77777777" w:rsidR="00015B17" w:rsidRDefault="00015B17" w:rsidP="00015B17">
      <w:pPr>
        <w:tabs>
          <w:tab w:val="left" w:pos="-720"/>
        </w:tabs>
        <w:suppressAutoHyphens/>
        <w:spacing w:line="360" w:lineRule="auto"/>
        <w:jc w:val="center"/>
        <w:rPr>
          <w:spacing w:val="-3"/>
          <w:position w:val="-24"/>
        </w:rPr>
      </w:pPr>
      <w:r w:rsidRPr="00FB283E">
        <w:rPr>
          <w:spacing w:val="-3"/>
          <w:position w:val="-26"/>
        </w:rPr>
        <w:object w:dxaOrig="1800" w:dyaOrig="639" w14:anchorId="3C5AB3A9">
          <v:shape id="_x0000_i1477" type="#_x0000_t75" style="width:88.85pt;height:31.8pt" o:ole="">
            <v:imagedata r:id="rId880" o:title=""/>
          </v:shape>
          <o:OLEObject Type="Embed" ProgID="Equation.DSMT4" ShapeID="_x0000_i1477" DrawAspect="Content" ObjectID="_1840627043" r:id="rId881"/>
        </w:object>
      </w:r>
      <w:r>
        <w:rPr>
          <w:spacing w:val="-3"/>
          <w:position w:val="-24"/>
        </w:rPr>
        <w:tab/>
      </w:r>
      <w:r>
        <w:rPr>
          <w:spacing w:val="-3"/>
          <w:position w:val="-24"/>
        </w:rPr>
        <w:tab/>
      </w:r>
      <w:r>
        <w:rPr>
          <w:spacing w:val="-3"/>
          <w:position w:val="-24"/>
        </w:rPr>
        <w:tab/>
        <w:t>(6.21)</w:t>
      </w:r>
    </w:p>
    <w:p w14:paraId="566E5673" w14:textId="77777777" w:rsidR="00015B17" w:rsidRDefault="00015B17" w:rsidP="00015B17">
      <w:pPr>
        <w:tabs>
          <w:tab w:val="left" w:pos="-720"/>
        </w:tabs>
        <w:suppressAutoHyphens/>
        <w:spacing w:line="360" w:lineRule="auto"/>
        <w:jc w:val="center"/>
        <w:rPr>
          <w:spacing w:val="-3"/>
        </w:rPr>
      </w:pPr>
    </w:p>
    <w:p w14:paraId="61F74C46" w14:textId="77777777" w:rsidR="00015B17" w:rsidRDefault="00015B17" w:rsidP="00015B17">
      <w:pPr>
        <w:tabs>
          <w:tab w:val="left" w:pos="-720"/>
        </w:tabs>
        <w:suppressAutoHyphens/>
        <w:spacing w:line="360" w:lineRule="auto"/>
        <w:rPr>
          <w:spacing w:val="-3"/>
        </w:rPr>
      </w:pPr>
      <w:r>
        <w:rPr>
          <w:spacing w:val="-3"/>
        </w:rPr>
        <w:t>w</w:t>
      </w:r>
      <w:r w:rsidRPr="00DA1F76">
        <w:rPr>
          <w:spacing w:val="-3"/>
        </w:rPr>
        <w:t>here</w:t>
      </w:r>
      <w:r>
        <w:rPr>
          <w:spacing w:val="-3"/>
        </w:rPr>
        <w:t xml:space="preserve"> </w:t>
      </w:r>
      <w:r w:rsidRPr="00FB283E">
        <w:rPr>
          <w:spacing w:val="-3"/>
          <w:position w:val="-14"/>
        </w:rPr>
        <w:object w:dxaOrig="1579" w:dyaOrig="400" w14:anchorId="7EAB2791">
          <v:shape id="_x0000_i1478" type="#_x0000_t75" style="width:77.6pt;height:19.65pt" o:ole="">
            <v:imagedata r:id="rId882" o:title=""/>
          </v:shape>
          <o:OLEObject Type="Embed" ProgID="Equation.DSMT4" ShapeID="_x0000_i1478" DrawAspect="Content" ObjectID="_1840627044" r:id="rId883"/>
        </w:object>
      </w:r>
      <w:r>
        <w:rPr>
          <w:spacing w:val="-3"/>
        </w:rPr>
        <w:t xml:space="preserve"> </w:t>
      </w:r>
      <w:r w:rsidRPr="00DA1F76">
        <w:rPr>
          <w:spacing w:val="-3"/>
        </w:rPr>
        <w:t>is the mean of the liquid and solid thermal conductivities. The parameter</w:t>
      </w:r>
      <w:r w:rsidRPr="00DA1F76">
        <w:rPr>
          <w:i/>
          <w:iCs/>
          <w:spacing w:val="-3"/>
        </w:rPr>
        <w:t xml:space="preserve"> G</w:t>
      </w:r>
      <w:r w:rsidRPr="00727E8A">
        <w:rPr>
          <w:spacing w:val="-3"/>
          <w:sz w:val="26"/>
          <w:vertAlign w:val="subscript"/>
        </w:rPr>
        <w:t>c</w:t>
      </w:r>
      <w:r w:rsidRPr="00DA1F76">
        <w:rPr>
          <w:spacing w:val="-3"/>
        </w:rPr>
        <w:t xml:space="preserve"> is the composition gradient in the liquid, which for a planar interface moving at constant velocity, is obtained from </w:t>
      </w:r>
      <w:r>
        <w:rPr>
          <w:spacing w:val="-3"/>
        </w:rPr>
        <w:t>E</w:t>
      </w:r>
      <w:r w:rsidRPr="00DA1F76">
        <w:rPr>
          <w:spacing w:val="-3"/>
        </w:rPr>
        <w:t>q</w:t>
      </w:r>
      <w:r>
        <w:rPr>
          <w:spacing w:val="-3"/>
        </w:rPr>
        <w:t>n</w:t>
      </w:r>
      <w:r w:rsidRPr="00DA1F76">
        <w:rPr>
          <w:spacing w:val="-3"/>
        </w:rPr>
        <w:t xml:space="preserve">. </w:t>
      </w:r>
      <w:r>
        <w:rPr>
          <w:spacing w:val="-3"/>
        </w:rPr>
        <w:t>6.16</w:t>
      </w:r>
      <w:r w:rsidRPr="00DA1F76">
        <w:rPr>
          <w:spacing w:val="-3"/>
        </w:rPr>
        <w:t xml:space="preserve"> and is given by</w:t>
      </w:r>
    </w:p>
    <w:p w14:paraId="6735F2BE" w14:textId="77777777" w:rsidR="00015B17" w:rsidRPr="00DA1F76" w:rsidRDefault="00015B17" w:rsidP="00015B17">
      <w:pPr>
        <w:tabs>
          <w:tab w:val="left" w:pos="-720"/>
        </w:tabs>
        <w:suppressAutoHyphens/>
        <w:spacing w:line="360" w:lineRule="auto"/>
        <w:jc w:val="both"/>
        <w:rPr>
          <w:spacing w:val="-3"/>
        </w:rPr>
      </w:pPr>
    </w:p>
    <w:p w14:paraId="1BAE50A5" w14:textId="77777777" w:rsidR="00015B17" w:rsidRDefault="00015B17" w:rsidP="00015B17">
      <w:pPr>
        <w:tabs>
          <w:tab w:val="left" w:pos="-720"/>
        </w:tabs>
        <w:suppressAutoHyphens/>
        <w:spacing w:line="360" w:lineRule="auto"/>
        <w:jc w:val="center"/>
        <w:rPr>
          <w:spacing w:val="-3"/>
          <w:position w:val="-24"/>
        </w:rPr>
      </w:pPr>
      <w:r w:rsidRPr="00347A95">
        <w:rPr>
          <w:spacing w:val="-3"/>
          <w:position w:val="-30"/>
        </w:rPr>
        <w:object w:dxaOrig="1760" w:dyaOrig="720" w14:anchorId="0719E954">
          <v:shape id="_x0000_i1479" type="#_x0000_t75" style="width:87.9pt;height:36.45pt" o:ole="">
            <v:imagedata r:id="rId884" o:title=""/>
          </v:shape>
          <o:OLEObject Type="Embed" ProgID="Equation.DSMT4" ShapeID="_x0000_i1479" DrawAspect="Content" ObjectID="_1840627045" r:id="rId885"/>
        </w:object>
      </w:r>
      <w:r>
        <w:rPr>
          <w:spacing w:val="-3"/>
          <w:position w:val="-30"/>
        </w:rPr>
        <w:tab/>
      </w:r>
      <w:r>
        <w:rPr>
          <w:spacing w:val="-3"/>
          <w:position w:val="-30"/>
        </w:rPr>
        <w:tab/>
      </w:r>
      <w:r>
        <w:rPr>
          <w:spacing w:val="-3"/>
          <w:position w:val="-30"/>
        </w:rPr>
        <w:tab/>
      </w:r>
      <w:r>
        <w:rPr>
          <w:spacing w:val="-3"/>
          <w:position w:val="-24"/>
        </w:rPr>
        <w:t>(6.22)</w:t>
      </w:r>
    </w:p>
    <w:p w14:paraId="095899D2" w14:textId="77777777" w:rsidR="00015B17" w:rsidRDefault="00015B17" w:rsidP="00015B17">
      <w:pPr>
        <w:tabs>
          <w:tab w:val="left" w:pos="-720"/>
        </w:tabs>
        <w:suppressAutoHyphens/>
        <w:spacing w:line="360" w:lineRule="auto"/>
        <w:jc w:val="center"/>
        <w:rPr>
          <w:spacing w:val="-3"/>
        </w:rPr>
      </w:pPr>
    </w:p>
    <w:p w14:paraId="2711B288" w14:textId="270D55A3" w:rsidR="00015B17" w:rsidRPr="00DA1F76" w:rsidRDefault="00015B17" w:rsidP="00015B17">
      <w:pPr>
        <w:tabs>
          <w:tab w:val="left" w:pos="-720"/>
        </w:tabs>
        <w:suppressAutoHyphens/>
        <w:spacing w:line="360" w:lineRule="auto"/>
        <w:rPr>
          <w:spacing w:val="-3"/>
        </w:rPr>
      </w:pPr>
      <w:r w:rsidRPr="00DA1F76">
        <w:rPr>
          <w:spacing w:val="-3"/>
        </w:rPr>
        <w:t xml:space="preserve">The parameter </w:t>
      </w:r>
      <w:r w:rsidRPr="001D5DCB">
        <w:rPr>
          <w:spacing w:val="-3"/>
          <w:position w:val="-12"/>
        </w:rPr>
        <w:object w:dxaOrig="300" w:dyaOrig="360" w14:anchorId="0818F48A">
          <v:shape id="_x0000_i1480" type="#_x0000_t75" style="width:14.95pt;height:17.75pt" o:ole="">
            <v:imagedata r:id="rId886" o:title=""/>
          </v:shape>
          <o:OLEObject Type="Embed" ProgID="Equation.DSMT4" ShapeID="_x0000_i1480" DrawAspect="Content" ObjectID="_1840627046" r:id="rId887"/>
        </w:object>
      </w:r>
      <w:r w:rsidRPr="00DA1F76">
        <w:rPr>
          <w:spacing w:val="-3"/>
        </w:rPr>
        <w:t xml:space="preserve"> can</w:t>
      </w:r>
      <w:r>
        <w:rPr>
          <w:spacing w:val="-3"/>
        </w:rPr>
        <w:t xml:space="preserve"> usually be set equal to unity </w:t>
      </w:r>
      <w:r w:rsidRPr="00DA1F76">
        <w:rPr>
          <w:spacing w:val="-3"/>
        </w:rPr>
        <w:t>if</w:t>
      </w:r>
      <w:r>
        <w:rPr>
          <w:spacing w:val="-3"/>
        </w:rPr>
        <w:t xml:space="preserve"> </w:t>
      </w:r>
      <w:r w:rsidRPr="001D5DCB">
        <w:rPr>
          <w:spacing w:val="-3"/>
          <w:position w:val="-10"/>
        </w:rPr>
        <w:object w:dxaOrig="1380" w:dyaOrig="340" w14:anchorId="406A0E60">
          <v:shape id="_x0000_i1481" type="#_x0000_t75" style="width:69.2pt;height:16.85pt" o:ole="">
            <v:imagedata r:id="rId888" o:title=""/>
          </v:shape>
          <o:OLEObject Type="Embed" ProgID="Equation.DSMT4" ShapeID="_x0000_i1481" DrawAspect="Content" ObjectID="_1840627047" r:id="rId889"/>
        </w:object>
      </w:r>
      <w:r w:rsidRPr="00DA1F76">
        <w:rPr>
          <w:spacing w:val="-3"/>
        </w:rPr>
        <w:t xml:space="preserve">. </w:t>
      </w:r>
      <w:r w:rsidR="00C24A0D" w:rsidRPr="00DA1F76">
        <w:rPr>
          <w:spacing w:val="-3"/>
        </w:rPr>
        <w:t>However,</w:t>
      </w:r>
      <w:r w:rsidRPr="001D5DCB">
        <w:rPr>
          <w:spacing w:val="-3"/>
          <w:position w:val="-12"/>
        </w:rPr>
        <w:object w:dxaOrig="300" w:dyaOrig="360" w14:anchorId="3FB65437">
          <v:shape id="_x0000_i1482" type="#_x0000_t75" style="width:14.95pt;height:17.75pt" o:ole="">
            <v:imagedata r:id="rId886" o:title=""/>
          </v:shape>
          <o:OLEObject Type="Embed" ProgID="Equation.DSMT4" ShapeID="_x0000_i1482" DrawAspect="Content" ObjectID="_1840627048" r:id="rId890"/>
        </w:object>
      </w:r>
      <w:r w:rsidRPr="00DA1F76">
        <w:rPr>
          <w:spacing w:val="-3"/>
        </w:rPr>
        <w:t xml:space="preserve"> may deviate significantly from unity under rapid solidification conditions. </w:t>
      </w:r>
      <w:r>
        <w:rPr>
          <w:spacing w:val="-3"/>
        </w:rPr>
        <w:t>I</w:t>
      </w:r>
      <w:r w:rsidRPr="00DA1F76">
        <w:rPr>
          <w:spacing w:val="-3"/>
        </w:rPr>
        <w:t>ts value is given by</w:t>
      </w:r>
    </w:p>
    <w:p w14:paraId="6CFAC972" w14:textId="77777777" w:rsidR="00015B17" w:rsidRPr="00DA1F76" w:rsidRDefault="00015B17" w:rsidP="00015B17">
      <w:pPr>
        <w:tabs>
          <w:tab w:val="left" w:pos="-720"/>
        </w:tabs>
        <w:suppressAutoHyphens/>
        <w:spacing w:line="360" w:lineRule="auto"/>
        <w:jc w:val="both"/>
        <w:rPr>
          <w:spacing w:val="-3"/>
        </w:rPr>
      </w:pPr>
    </w:p>
    <w:p w14:paraId="6C0F0389" w14:textId="77777777" w:rsidR="00015B17" w:rsidRDefault="00015B17" w:rsidP="00015B17">
      <w:pPr>
        <w:tabs>
          <w:tab w:val="left" w:pos="-720"/>
        </w:tabs>
        <w:suppressAutoHyphens/>
        <w:spacing w:line="360" w:lineRule="auto"/>
        <w:jc w:val="center"/>
        <w:rPr>
          <w:spacing w:val="-3"/>
          <w:position w:val="-24"/>
        </w:rPr>
      </w:pPr>
      <w:r w:rsidRPr="00347A95">
        <w:rPr>
          <w:spacing w:val="-3"/>
          <w:position w:val="-78"/>
        </w:rPr>
        <w:object w:dxaOrig="3440" w:dyaOrig="1200" w14:anchorId="50C98591">
          <v:shape id="_x0000_i1483" type="#_x0000_t75" style="width:172.05pt;height:60.8pt" o:ole="">
            <v:imagedata r:id="rId891" o:title=""/>
          </v:shape>
          <o:OLEObject Type="Embed" ProgID="Equation.DSMT4" ShapeID="_x0000_i1483" DrawAspect="Content" ObjectID="_1840627049" r:id="rId892"/>
        </w:object>
      </w:r>
      <w:r>
        <w:rPr>
          <w:spacing w:val="-3"/>
          <w:position w:val="-78"/>
        </w:rPr>
        <w:tab/>
      </w:r>
      <w:r>
        <w:rPr>
          <w:spacing w:val="-3"/>
          <w:position w:val="-78"/>
        </w:rPr>
        <w:tab/>
      </w:r>
      <w:r>
        <w:rPr>
          <w:spacing w:val="-3"/>
          <w:position w:val="-78"/>
        </w:rPr>
        <w:tab/>
      </w:r>
      <w:r>
        <w:rPr>
          <w:spacing w:val="-3"/>
          <w:position w:val="-24"/>
        </w:rPr>
        <w:t>(6.23)</w:t>
      </w:r>
    </w:p>
    <w:p w14:paraId="170798FB" w14:textId="77777777" w:rsidR="00015B17" w:rsidRDefault="00015B17" w:rsidP="00015B17">
      <w:pPr>
        <w:tabs>
          <w:tab w:val="left" w:pos="-720"/>
        </w:tabs>
        <w:suppressAutoHyphens/>
        <w:spacing w:line="360" w:lineRule="auto"/>
        <w:jc w:val="center"/>
        <w:rPr>
          <w:spacing w:val="-3"/>
        </w:rPr>
      </w:pPr>
    </w:p>
    <w:p w14:paraId="1984928D" w14:textId="322D2208" w:rsidR="00015B17" w:rsidRDefault="00015B17" w:rsidP="00015B17">
      <w:pPr>
        <w:tabs>
          <w:tab w:val="left" w:pos="-720"/>
        </w:tabs>
        <w:suppressAutoHyphens/>
        <w:spacing w:line="360" w:lineRule="auto"/>
        <w:rPr>
          <w:spacing w:val="-3"/>
        </w:rPr>
      </w:pPr>
      <w:r w:rsidRPr="00DA1F76">
        <w:rPr>
          <w:spacing w:val="-3"/>
        </w:rPr>
        <w:t xml:space="preserve">Technically </w:t>
      </w:r>
      <w:r>
        <w:rPr>
          <w:spacing w:val="-3"/>
        </w:rPr>
        <w:t>E</w:t>
      </w:r>
      <w:r w:rsidRPr="00DA1F76">
        <w:rPr>
          <w:spacing w:val="-3"/>
        </w:rPr>
        <w:t>q</w:t>
      </w:r>
      <w:r>
        <w:rPr>
          <w:spacing w:val="-3"/>
        </w:rPr>
        <w:t xml:space="preserve">n. 6.20 is </w:t>
      </w:r>
      <w:r w:rsidRPr="00DA1F76">
        <w:rPr>
          <w:spacing w:val="-3"/>
        </w:rPr>
        <w:t xml:space="preserve">correct only when </w:t>
      </w:r>
      <w:r w:rsidRPr="001D5DCB">
        <w:rPr>
          <w:spacing w:val="-3"/>
          <w:position w:val="-10"/>
        </w:rPr>
        <w:object w:dxaOrig="1340" w:dyaOrig="340" w14:anchorId="5E15DF5F">
          <v:shape id="_x0000_i1484" type="#_x0000_t75" style="width:66.4pt;height:16.85pt" o:ole="">
            <v:imagedata r:id="rId893" o:title=""/>
          </v:shape>
          <o:OLEObject Type="Embed" ProgID="Equation.DSMT4" ShapeID="_x0000_i1484" DrawAspect="Content" ObjectID="_1840627050" r:id="rId894"/>
        </w:object>
      </w:r>
      <w:r w:rsidRPr="00DA1F76">
        <w:rPr>
          <w:spacing w:val="-3"/>
        </w:rPr>
        <w:t xml:space="preserve">, where </w:t>
      </w:r>
      <w:r w:rsidRPr="00015CE3">
        <w:rPr>
          <w:i/>
          <w:iCs/>
          <w:spacing w:val="-3"/>
          <w:position w:val="-10"/>
        </w:rPr>
        <w:object w:dxaOrig="320" w:dyaOrig="340" w14:anchorId="0827153C">
          <v:shape id="_x0000_i1485" type="#_x0000_t75" style="width:16.85pt;height:16.85pt" o:ole="">
            <v:imagedata r:id="rId895" o:title=""/>
          </v:shape>
          <o:OLEObject Type="Embed" ProgID="Equation.DSMT4" ShapeID="_x0000_i1485" DrawAspect="Content" ObjectID="_1840627051" r:id="rId896"/>
        </w:object>
      </w:r>
      <w:r w:rsidRPr="00DA1F76">
        <w:rPr>
          <w:spacing w:val="-3"/>
        </w:rPr>
        <w:t xml:space="preserve"> is the liquid thermal diffusivity. This condition is almost never violated even during rapid solidification. See </w:t>
      </w:r>
      <w:r w:rsidR="00C36474" w:rsidRPr="00DA1F76">
        <w:rPr>
          <w:spacing w:val="-3"/>
        </w:rPr>
        <w:t>K</w:t>
      </w:r>
      <w:r w:rsidR="00C36474">
        <w:rPr>
          <w:spacing w:val="-3"/>
        </w:rPr>
        <w:t>urz</w:t>
      </w:r>
      <w:r w:rsidR="00C36474" w:rsidRPr="00DA1F76">
        <w:rPr>
          <w:spacing w:val="-3"/>
        </w:rPr>
        <w:t xml:space="preserve"> </w:t>
      </w:r>
      <w:r w:rsidRPr="00DA1F76">
        <w:rPr>
          <w:spacing w:val="-3"/>
        </w:rPr>
        <w:t xml:space="preserve">and </w:t>
      </w:r>
      <w:r w:rsidR="00C36474" w:rsidRPr="00DA1F76">
        <w:rPr>
          <w:spacing w:val="-3"/>
        </w:rPr>
        <w:t>F</w:t>
      </w:r>
      <w:r w:rsidR="00C36474">
        <w:rPr>
          <w:spacing w:val="-3"/>
        </w:rPr>
        <w:t>isher</w:t>
      </w:r>
      <w:r w:rsidR="00C36474" w:rsidRPr="00DA1F76">
        <w:rPr>
          <w:spacing w:val="-3"/>
        </w:rPr>
        <w:t xml:space="preserve"> </w:t>
      </w:r>
      <w:r w:rsidRPr="00DA1F76">
        <w:rPr>
          <w:spacing w:val="-3"/>
        </w:rPr>
        <w:t>[1989] for a complete description of this detail.</w:t>
      </w:r>
    </w:p>
    <w:p w14:paraId="0DF6FC00" w14:textId="77777777" w:rsidR="00015B17" w:rsidRPr="00DA1F76" w:rsidRDefault="00015B17" w:rsidP="00015B17">
      <w:pPr>
        <w:tabs>
          <w:tab w:val="left" w:pos="-720"/>
        </w:tabs>
        <w:suppressAutoHyphens/>
        <w:spacing w:line="360" w:lineRule="auto"/>
        <w:jc w:val="both"/>
        <w:rPr>
          <w:spacing w:val="-3"/>
        </w:rPr>
      </w:pPr>
    </w:p>
    <w:p w14:paraId="572E3822" w14:textId="77777777" w:rsidR="00015B17" w:rsidRDefault="00015B17" w:rsidP="00015B17">
      <w:pPr>
        <w:tabs>
          <w:tab w:val="left" w:pos="-720"/>
        </w:tabs>
        <w:suppressAutoHyphens/>
        <w:spacing w:line="360" w:lineRule="auto"/>
        <w:rPr>
          <w:spacing w:val="-3"/>
        </w:rPr>
      </w:pPr>
      <w:r w:rsidRPr="00DA1F76">
        <w:rPr>
          <w:spacing w:val="-3"/>
        </w:rPr>
        <w:tab/>
        <w:t xml:space="preserve">If the left hand side of </w:t>
      </w:r>
      <w:r>
        <w:rPr>
          <w:spacing w:val="-3"/>
        </w:rPr>
        <w:t>E</w:t>
      </w:r>
      <w:r w:rsidRPr="00DA1F76">
        <w:rPr>
          <w:spacing w:val="-3"/>
        </w:rPr>
        <w:t>q</w:t>
      </w:r>
      <w:r>
        <w:rPr>
          <w:spacing w:val="-3"/>
        </w:rPr>
        <w:t>n</w:t>
      </w:r>
      <w:r w:rsidRPr="00DA1F76">
        <w:rPr>
          <w:spacing w:val="-3"/>
        </w:rPr>
        <w:t xml:space="preserve">. </w:t>
      </w:r>
      <w:r>
        <w:rPr>
          <w:spacing w:val="-3"/>
        </w:rPr>
        <w:t>6.20</w:t>
      </w:r>
      <w:r w:rsidRPr="00DA1F76">
        <w:rPr>
          <w:spacing w:val="-3"/>
        </w:rPr>
        <w:t xml:space="preserve"> is positive, the interface is stable.  The first term is stabilizing for positive temperature gradients; if the temperature gradient is negative (growth into a supercooled melt), this term is destabilizing. If a pure material is considered, this is the only possible destabilizing term. Thus a planar interface in a pure material is only unstable for growth into a supercooled melt. The second term represents the effect of solute diffusion in the liquid and, being negative, is always destabilizing.  The third term, involving capillarity, has a stabilizing influence for all wavelengths, though its effect is largest at short wavelengths. This is the sort of stabilizing effect to be expected from surface energy which tends to promote an interface shape with the least area, namely a plane.</w:t>
      </w:r>
    </w:p>
    <w:p w14:paraId="232C49AB" w14:textId="77777777" w:rsidR="00015B17" w:rsidRPr="00DA1F76" w:rsidRDefault="00015B17" w:rsidP="00015B17">
      <w:pPr>
        <w:tabs>
          <w:tab w:val="left" w:pos="-720"/>
        </w:tabs>
        <w:suppressAutoHyphens/>
        <w:spacing w:line="360" w:lineRule="auto"/>
        <w:rPr>
          <w:spacing w:val="-3"/>
        </w:rPr>
      </w:pPr>
    </w:p>
    <w:p w14:paraId="7512EC60" w14:textId="459B07C2" w:rsidR="00015B17" w:rsidRDefault="00015B17" w:rsidP="00015B17">
      <w:pPr>
        <w:tabs>
          <w:tab w:val="left" w:pos="-720"/>
        </w:tabs>
        <w:suppressAutoHyphens/>
        <w:spacing w:line="360" w:lineRule="auto"/>
        <w:rPr>
          <w:spacing w:val="-3"/>
        </w:rPr>
      </w:pPr>
      <w:r w:rsidRPr="00DA1F76">
        <w:rPr>
          <w:spacing w:val="-3"/>
        </w:rPr>
        <w:tab/>
        <w:t>Fig. 6</w:t>
      </w:r>
      <w:r>
        <w:rPr>
          <w:spacing w:val="-3"/>
        </w:rPr>
        <w:t>.4</w:t>
      </w:r>
      <w:r w:rsidRPr="00DA1F76">
        <w:rPr>
          <w:spacing w:val="-3"/>
        </w:rPr>
        <w:t xml:space="preserve"> shows a plot summarizing the stability of a planar interface for dilute Al-Cu alloys. Fig. 6</w:t>
      </w:r>
      <w:r>
        <w:rPr>
          <w:spacing w:val="-3"/>
        </w:rPr>
        <w:t>.4</w:t>
      </w:r>
      <w:r w:rsidRPr="00DA1F76">
        <w:rPr>
          <w:spacing w:val="-3"/>
        </w:rPr>
        <w:t xml:space="preserve">a shows the value of </w:t>
      </w:r>
      <w:r w:rsidRPr="00015CE3">
        <w:rPr>
          <w:spacing w:val="-3"/>
          <w:position w:val="-6"/>
        </w:rPr>
        <w:object w:dxaOrig="240" w:dyaOrig="220" w14:anchorId="5E664A7B">
          <v:shape id="_x0000_i1486" type="#_x0000_t75" style="width:12.15pt;height:10.3pt" o:ole="">
            <v:imagedata r:id="rId897" o:title=""/>
          </v:shape>
          <o:OLEObject Type="Embed" ProgID="Equation.DSMT4" ShapeID="_x0000_i1486" DrawAspect="Content" ObjectID="_1840627052" r:id="rId898"/>
        </w:object>
      </w:r>
      <w:r w:rsidRPr="00DA1F76">
        <w:rPr>
          <w:spacing w:val="-3"/>
        </w:rPr>
        <w:t xml:space="preserve"> vs. </w:t>
      </w:r>
      <w:r w:rsidRPr="00015CE3">
        <w:rPr>
          <w:spacing w:val="-3"/>
          <w:position w:val="-6"/>
        </w:rPr>
        <w:object w:dxaOrig="220" w:dyaOrig="279" w14:anchorId="1544268E">
          <v:shape id="_x0000_i1487" type="#_x0000_t75" style="width:10.3pt;height:14.05pt" o:ole="">
            <v:imagedata r:id="rId899" o:title=""/>
          </v:shape>
          <o:OLEObject Type="Embed" ProgID="Equation.DSMT4" ShapeID="_x0000_i1487" DrawAspect="Content" ObjectID="_1840627053" r:id="rId900"/>
        </w:object>
      </w:r>
      <w:r w:rsidRPr="00DA1F76">
        <w:rPr>
          <w:spacing w:val="-3"/>
        </w:rPr>
        <w:t xml:space="preserve"> for selected values of</w:t>
      </w:r>
      <w:r w:rsidRPr="00DA1F76">
        <w:rPr>
          <w:i/>
          <w:iCs/>
          <w:spacing w:val="-3"/>
        </w:rPr>
        <w:t xml:space="preserve"> G</w:t>
      </w:r>
      <w:r w:rsidRPr="00727E8A">
        <w:rPr>
          <w:spacing w:val="-3"/>
          <w:sz w:val="26"/>
          <w:vertAlign w:val="subscript"/>
        </w:rPr>
        <w:t>L</w:t>
      </w:r>
      <w:r w:rsidRPr="00DA1F76">
        <w:rPr>
          <w:spacing w:val="-3"/>
        </w:rPr>
        <w:t xml:space="preserve">, </w:t>
      </w:r>
      <w:r w:rsidRPr="00DA1F76">
        <w:rPr>
          <w:i/>
          <w:iCs/>
          <w:spacing w:val="-3"/>
        </w:rPr>
        <w:t>V</w:t>
      </w:r>
      <w:r w:rsidRPr="00DA1F76">
        <w:rPr>
          <w:spacing w:val="-3"/>
        </w:rPr>
        <w:t xml:space="preserve">, and </w:t>
      </w:r>
      <w:r w:rsidRPr="00DA1F76">
        <w:rPr>
          <w:i/>
          <w:iCs/>
          <w:spacing w:val="-3"/>
        </w:rPr>
        <w:t>C</w:t>
      </w:r>
      <w:r w:rsidRPr="00727E8A">
        <w:rPr>
          <w:spacing w:val="-3"/>
          <w:sz w:val="26"/>
          <w:vertAlign w:val="subscript"/>
        </w:rPr>
        <w:t>0</w:t>
      </w:r>
      <w:r w:rsidRPr="00DA1F76">
        <w:rPr>
          <w:spacing w:val="-3"/>
        </w:rPr>
        <w:t xml:space="preserve"> (200</w:t>
      </w:r>
      <w:r w:rsidR="0051677B">
        <w:rPr>
          <w:spacing w:val="-3"/>
        </w:rPr>
        <w:t xml:space="preserve"> </w:t>
      </w:r>
      <w:r w:rsidRPr="00DA1F76">
        <w:rPr>
          <w:spacing w:val="-3"/>
        </w:rPr>
        <w:t>K</w:t>
      </w:r>
      <w:r w:rsidR="0051677B">
        <w:rPr>
          <w:spacing w:val="-3"/>
        </w:rPr>
        <w:t xml:space="preserve"> </w:t>
      </w:r>
      <w:r w:rsidRPr="00DA1F76">
        <w:rPr>
          <w:spacing w:val="-3"/>
        </w:rPr>
        <w:t>cm</w:t>
      </w:r>
      <w:r w:rsidR="0051677B" w:rsidRPr="00883A53">
        <w:rPr>
          <w:spacing w:val="-3"/>
          <w:sz w:val="26"/>
          <w:vertAlign w:val="superscript"/>
        </w:rPr>
        <w:t>-1</w:t>
      </w:r>
      <w:r w:rsidRPr="00DA1F76">
        <w:rPr>
          <w:spacing w:val="-3"/>
        </w:rPr>
        <w:t>, 0.1 cm</w:t>
      </w:r>
      <w:r w:rsidR="0051677B">
        <w:rPr>
          <w:spacing w:val="-3"/>
        </w:rPr>
        <w:t xml:space="preserve"> </w:t>
      </w:r>
      <w:r w:rsidRPr="00DA1F76">
        <w:rPr>
          <w:spacing w:val="-3"/>
        </w:rPr>
        <w:t>s</w:t>
      </w:r>
      <w:r w:rsidR="0051677B" w:rsidRPr="00883A53">
        <w:rPr>
          <w:spacing w:val="-3"/>
          <w:sz w:val="26"/>
          <w:vertAlign w:val="superscript"/>
        </w:rPr>
        <w:t>-1</w:t>
      </w:r>
      <w:r w:rsidRPr="00DA1F76">
        <w:rPr>
          <w:spacing w:val="-3"/>
        </w:rPr>
        <w:t xml:space="preserve"> and 0.1 wt%</w:t>
      </w:r>
      <w:r>
        <w:rPr>
          <w:spacing w:val="-3"/>
        </w:rPr>
        <w:t xml:space="preserve"> </w:t>
      </w:r>
      <w:r w:rsidRPr="00DA1F76">
        <w:rPr>
          <w:spacing w:val="-3"/>
        </w:rPr>
        <w:t xml:space="preserve">Cu). Under these conditions a range of wavelengths have </w:t>
      </w:r>
      <w:r>
        <w:rPr>
          <w:spacing w:val="-3"/>
        </w:rPr>
        <w:t xml:space="preserve">a </w:t>
      </w:r>
      <w:r w:rsidRPr="00DA1F76">
        <w:rPr>
          <w:spacing w:val="-3"/>
        </w:rPr>
        <w:t>positive</w:t>
      </w:r>
      <w:r>
        <w:rPr>
          <w:spacing w:val="-3"/>
        </w:rPr>
        <w:t xml:space="preserve"> </w:t>
      </w:r>
      <w:r w:rsidR="0051677B">
        <w:rPr>
          <w:spacing w:val="-3"/>
        </w:rPr>
        <w:t xml:space="preserve">value </w:t>
      </w:r>
      <w:r w:rsidR="00C36474">
        <w:rPr>
          <w:spacing w:val="-3"/>
        </w:rPr>
        <w:t xml:space="preserve">for </w:t>
      </w:r>
      <w:r w:rsidRPr="00F65A3B">
        <w:rPr>
          <w:spacing w:val="-3"/>
          <w:position w:val="-6"/>
        </w:rPr>
        <w:object w:dxaOrig="240" w:dyaOrig="220" w14:anchorId="7287CF34">
          <v:shape id="_x0000_i1488" type="#_x0000_t75" style="width:12.15pt;height:10.3pt" o:ole="">
            <v:imagedata r:id="rId901" o:title=""/>
          </v:shape>
          <o:OLEObject Type="Embed" ProgID="Equation.DSMT4" ShapeID="_x0000_i1488" DrawAspect="Content" ObjectID="_1840627054" r:id="rId902"/>
        </w:object>
      </w:r>
      <w:r w:rsidRPr="00DA1F76">
        <w:rPr>
          <w:spacing w:val="-3"/>
        </w:rPr>
        <w:t xml:space="preserve">, and are therefore unstable. The smallest unstable wavelength is usually referred to as the marginal wavelength and the wavelength with the largest value of </w:t>
      </w:r>
      <w:r w:rsidRPr="00F65A3B">
        <w:rPr>
          <w:spacing w:val="-3"/>
          <w:position w:val="-6"/>
        </w:rPr>
        <w:object w:dxaOrig="240" w:dyaOrig="220" w14:anchorId="5F24F1E1">
          <v:shape id="_x0000_i1489" type="#_x0000_t75" style="width:12.15pt;height:10.3pt" o:ole="">
            <v:imagedata r:id="rId903" o:title=""/>
          </v:shape>
          <o:OLEObject Type="Embed" ProgID="Equation.DSMT4" ShapeID="_x0000_i1489" DrawAspect="Content" ObjectID="_1840627055" r:id="rId904"/>
        </w:object>
      </w:r>
      <w:r w:rsidRPr="00DA1F76">
        <w:rPr>
          <w:spacing w:val="-3"/>
        </w:rPr>
        <w:t xml:space="preserve"> is called the fastest growing wavelength. For some velocities, </w:t>
      </w:r>
      <w:r w:rsidRPr="00F65A3B">
        <w:rPr>
          <w:spacing w:val="-3"/>
          <w:position w:val="-6"/>
        </w:rPr>
        <w:object w:dxaOrig="600" w:dyaOrig="279" w14:anchorId="27602579">
          <v:shape id="_x0000_i1490" type="#_x0000_t75" style="width:29.9pt;height:14.05pt" o:ole="">
            <v:imagedata r:id="rId905" o:title=""/>
          </v:shape>
          <o:OLEObject Type="Embed" ProgID="Equation.DSMT4" ShapeID="_x0000_i1490" DrawAspect="Content" ObjectID="_1840627056" r:id="rId906"/>
        </w:object>
      </w:r>
      <w:r w:rsidRPr="00DA1F76">
        <w:rPr>
          <w:spacing w:val="-3"/>
        </w:rPr>
        <w:t xml:space="preserve"> for all </w:t>
      </w:r>
      <w:r w:rsidRPr="00F65A3B">
        <w:rPr>
          <w:spacing w:val="-3"/>
          <w:position w:val="-6"/>
        </w:rPr>
        <w:object w:dxaOrig="220" w:dyaOrig="279" w14:anchorId="2E8A598A">
          <v:shape id="_x0000_i1491" type="#_x0000_t75" style="width:10.3pt;height:14.05pt" o:ole="">
            <v:imagedata r:id="rId907" o:title=""/>
          </v:shape>
          <o:OLEObject Type="Embed" ProgID="Equation.DSMT4" ShapeID="_x0000_i1491" DrawAspect="Content" ObjectID="_1840627057" r:id="rId908"/>
        </w:object>
      </w:r>
      <w:r w:rsidRPr="00DA1F76">
        <w:rPr>
          <w:spacing w:val="-3"/>
        </w:rPr>
        <w:t xml:space="preserve">, and the interface </w:t>
      </w:r>
      <w:r>
        <w:rPr>
          <w:spacing w:val="-3"/>
        </w:rPr>
        <w:t xml:space="preserve">is said to be stable. Fig. 6.4c </w:t>
      </w:r>
      <w:r w:rsidRPr="00DA1F76">
        <w:rPr>
          <w:spacing w:val="-3"/>
        </w:rPr>
        <w:t xml:space="preserve">shows a closed curve of </w:t>
      </w:r>
      <w:r w:rsidRPr="00F65A3B">
        <w:rPr>
          <w:spacing w:val="-3"/>
          <w:position w:val="-6"/>
        </w:rPr>
        <w:object w:dxaOrig="220" w:dyaOrig="279" w14:anchorId="0C99E105">
          <v:shape id="_x0000_i1492" type="#_x0000_t75" style="width:10.3pt;height:14.05pt" o:ole="">
            <v:imagedata r:id="rId907" o:title=""/>
          </v:shape>
          <o:OLEObject Type="Embed" ProgID="Equation.DSMT4" ShapeID="_x0000_i1492" DrawAspect="Content" ObjectID="_1840627058" r:id="rId909"/>
        </w:object>
      </w:r>
      <w:r w:rsidRPr="00DA1F76">
        <w:rPr>
          <w:spacing w:val="-3"/>
        </w:rPr>
        <w:t xml:space="preserve"> and </w:t>
      </w:r>
      <w:r w:rsidRPr="00DA1F76">
        <w:rPr>
          <w:i/>
          <w:iCs/>
          <w:spacing w:val="-3"/>
        </w:rPr>
        <w:t>V</w:t>
      </w:r>
      <w:r>
        <w:rPr>
          <w:spacing w:val="-3"/>
        </w:rPr>
        <w:t xml:space="preserve"> values </w:t>
      </w:r>
      <w:r w:rsidRPr="00DA1F76">
        <w:rPr>
          <w:spacing w:val="-3"/>
        </w:rPr>
        <w:t xml:space="preserve">for fixed </w:t>
      </w:r>
      <w:r w:rsidRPr="00DA1F76">
        <w:rPr>
          <w:i/>
          <w:iCs/>
          <w:spacing w:val="-3"/>
        </w:rPr>
        <w:t>G</w:t>
      </w:r>
      <w:r w:rsidRPr="00727E8A">
        <w:rPr>
          <w:spacing w:val="-3"/>
          <w:sz w:val="26"/>
          <w:vertAlign w:val="subscript"/>
        </w:rPr>
        <w:t>L</w:t>
      </w:r>
      <w:r w:rsidRPr="00DA1F76">
        <w:rPr>
          <w:spacing w:val="-3"/>
        </w:rPr>
        <w:t xml:space="preserve"> and </w:t>
      </w:r>
      <w:r w:rsidRPr="00DA1F76">
        <w:rPr>
          <w:i/>
          <w:iCs/>
          <w:spacing w:val="-3"/>
        </w:rPr>
        <w:t>C</w:t>
      </w:r>
      <w:r w:rsidRPr="00727E8A">
        <w:rPr>
          <w:spacing w:val="-3"/>
          <w:sz w:val="26"/>
          <w:vertAlign w:val="subscript"/>
        </w:rPr>
        <w:t>0</w:t>
      </w:r>
      <w:r w:rsidRPr="00DA1F76">
        <w:rPr>
          <w:spacing w:val="-3"/>
        </w:rPr>
        <w:t xml:space="preserve"> (200</w:t>
      </w:r>
      <w:r w:rsidR="00C24A0D">
        <w:rPr>
          <w:spacing w:val="-3"/>
        </w:rPr>
        <w:t xml:space="preserve"> </w:t>
      </w:r>
      <w:r w:rsidRPr="00DA1F76">
        <w:rPr>
          <w:spacing w:val="-3"/>
        </w:rPr>
        <w:t>K/cm, 0.1</w:t>
      </w:r>
      <w:r w:rsidR="00BD6531">
        <w:rPr>
          <w:spacing w:val="-3"/>
        </w:rPr>
        <w:t xml:space="preserve"> </w:t>
      </w:r>
      <w:r w:rsidRPr="003F345B">
        <w:rPr>
          <w:spacing w:val="-3"/>
        </w:rPr>
        <w:t>wt</w:t>
      </w:r>
      <w:r w:rsidRPr="00DA1F76">
        <w:rPr>
          <w:spacing w:val="-3"/>
        </w:rPr>
        <w:t>%</w:t>
      </w:r>
      <w:r w:rsidR="00BD6531">
        <w:rPr>
          <w:spacing w:val="-3"/>
        </w:rPr>
        <w:t xml:space="preserve"> </w:t>
      </w:r>
      <w:r w:rsidRPr="00DA1F76">
        <w:rPr>
          <w:spacing w:val="-3"/>
        </w:rPr>
        <w:t xml:space="preserve">Cu) for </w:t>
      </w:r>
      <w:r w:rsidR="00BD6531" w:rsidRPr="00DA1F76">
        <w:rPr>
          <w:spacing w:val="-3"/>
        </w:rPr>
        <w:t>which</w:t>
      </w:r>
      <w:r w:rsidRPr="00F65A3B">
        <w:rPr>
          <w:spacing w:val="-3"/>
          <w:position w:val="-6"/>
        </w:rPr>
        <w:object w:dxaOrig="600" w:dyaOrig="279" w14:anchorId="065A4726">
          <v:shape id="_x0000_i1493" type="#_x0000_t75" style="width:29.9pt;height:14.05pt" o:ole="">
            <v:imagedata r:id="rId910" o:title=""/>
          </v:shape>
          <o:OLEObject Type="Embed" ProgID="Equation.DSMT4" ShapeID="_x0000_i1493" DrawAspect="Content" ObjectID="_1840627059" r:id="rId911"/>
        </w:object>
      </w:r>
      <w:r w:rsidRPr="00DA1F76">
        <w:rPr>
          <w:spacing w:val="-3"/>
        </w:rPr>
        <w:t xml:space="preserve">. At values of </w:t>
      </w:r>
      <w:r w:rsidRPr="00DA1F76">
        <w:rPr>
          <w:i/>
          <w:iCs/>
          <w:spacing w:val="-3"/>
        </w:rPr>
        <w:t>V</w:t>
      </w:r>
      <w:r w:rsidRPr="00DA1F76">
        <w:rPr>
          <w:spacing w:val="-3"/>
        </w:rPr>
        <w:t xml:space="preserve"> and </w:t>
      </w:r>
      <w:r w:rsidRPr="00F65A3B">
        <w:rPr>
          <w:spacing w:val="-3"/>
          <w:position w:val="-6"/>
        </w:rPr>
        <w:object w:dxaOrig="220" w:dyaOrig="279" w14:anchorId="50683779">
          <v:shape id="_x0000_i1494" type="#_x0000_t75" style="width:10.3pt;height:14.05pt" o:ole="">
            <v:imagedata r:id="rId907" o:title=""/>
          </v:shape>
          <o:OLEObject Type="Embed" ProgID="Equation.DSMT4" ShapeID="_x0000_i1494" DrawAspect="Content" ObjectID="_1840627060" r:id="rId912"/>
        </w:object>
      </w:r>
      <w:r w:rsidRPr="00DA1F76">
        <w:rPr>
          <w:spacing w:val="-3"/>
        </w:rPr>
        <w:t xml:space="preserve"> inside the closed curve the interface is unstable. Note that instability only exists over a range between two critical velocities. Outside this range, </w:t>
      </w:r>
      <w:r w:rsidRPr="00F65A3B">
        <w:rPr>
          <w:spacing w:val="-3"/>
          <w:position w:val="-6"/>
        </w:rPr>
        <w:object w:dxaOrig="600" w:dyaOrig="279" w14:anchorId="4924FF6A">
          <v:shape id="_x0000_i1495" type="#_x0000_t75" style="width:29.9pt;height:14.05pt" o:ole="">
            <v:imagedata r:id="rId905" o:title=""/>
          </v:shape>
          <o:OLEObject Type="Embed" ProgID="Equation.DSMT4" ShapeID="_x0000_i1495" DrawAspect="Content" ObjectID="_1840627061" r:id="rId913"/>
        </w:object>
      </w:r>
      <w:r w:rsidRPr="00DA1F76">
        <w:rPr>
          <w:spacing w:val="-3"/>
        </w:rPr>
        <w:t xml:space="preserve"> for all </w:t>
      </w:r>
      <w:r w:rsidRPr="00F65A3B">
        <w:rPr>
          <w:spacing w:val="-3"/>
          <w:position w:val="-6"/>
        </w:rPr>
        <w:object w:dxaOrig="220" w:dyaOrig="279" w14:anchorId="2B6752E9">
          <v:shape id="_x0000_i1496" type="#_x0000_t75" style="width:10.3pt;height:14.05pt" o:ole="">
            <v:imagedata r:id="rId907" o:title=""/>
          </v:shape>
          <o:OLEObject Type="Embed" ProgID="Equation.DSMT4" ShapeID="_x0000_i1496" DrawAspect="Content" ObjectID="_1840627062" r:id="rId914"/>
        </w:object>
      </w:r>
      <w:r w:rsidRPr="00DA1F76">
        <w:rPr>
          <w:spacing w:val="-3"/>
        </w:rPr>
        <w:t xml:space="preserve"> and the interface is always stable. Also shown dashed is the wavelength that corresponds to the fastest growing wavelength. Fig. </w:t>
      </w:r>
      <w:r>
        <w:rPr>
          <w:spacing w:val="-3"/>
        </w:rPr>
        <w:t>6.4</w:t>
      </w:r>
      <w:r w:rsidRPr="00DA1F76">
        <w:rPr>
          <w:spacing w:val="-3"/>
        </w:rPr>
        <w:t xml:space="preserve">d shows the two critical velocities as a function of </w:t>
      </w:r>
      <w:r w:rsidRPr="00DA1F76">
        <w:rPr>
          <w:i/>
          <w:iCs/>
          <w:spacing w:val="-3"/>
        </w:rPr>
        <w:t>C</w:t>
      </w:r>
      <w:r w:rsidRPr="00727E8A">
        <w:rPr>
          <w:spacing w:val="-3"/>
          <w:sz w:val="26"/>
          <w:vertAlign w:val="subscript"/>
        </w:rPr>
        <w:t>0</w:t>
      </w:r>
      <w:r w:rsidRPr="00DA1F76">
        <w:rPr>
          <w:spacing w:val="-3"/>
        </w:rPr>
        <w:t xml:space="preserve"> for fixed</w:t>
      </w:r>
      <w:r w:rsidRPr="00DA1F76">
        <w:rPr>
          <w:i/>
          <w:iCs/>
          <w:spacing w:val="-3"/>
        </w:rPr>
        <w:t xml:space="preserve"> G</w:t>
      </w:r>
      <w:r w:rsidRPr="00727E8A">
        <w:rPr>
          <w:spacing w:val="-3"/>
          <w:sz w:val="26"/>
          <w:vertAlign w:val="subscript"/>
        </w:rPr>
        <w:t>L</w:t>
      </w:r>
      <w:r w:rsidRPr="00DA1F76">
        <w:rPr>
          <w:spacing w:val="-3"/>
        </w:rPr>
        <w:t xml:space="preserve"> (200</w:t>
      </w:r>
      <w:r>
        <w:rPr>
          <w:spacing w:val="-3"/>
        </w:rPr>
        <w:t xml:space="preserve"> </w:t>
      </w:r>
      <w:r w:rsidRPr="00DA1F76">
        <w:rPr>
          <w:spacing w:val="-3"/>
        </w:rPr>
        <w:t xml:space="preserve">K/cm). The </w:t>
      </w:r>
      <w:r w:rsidRPr="00DA1F76">
        <w:rPr>
          <w:spacing w:val="-3"/>
        </w:rPr>
        <w:lastRenderedPageBreak/>
        <w:t>curves for the two velocities merge into a smooth curve for low</w:t>
      </w:r>
      <w:r w:rsidRPr="00DA1F76">
        <w:rPr>
          <w:i/>
          <w:iCs/>
          <w:spacing w:val="-3"/>
        </w:rPr>
        <w:t xml:space="preserve"> C</w:t>
      </w:r>
      <w:r w:rsidRPr="00727E8A">
        <w:rPr>
          <w:spacing w:val="-3"/>
          <w:sz w:val="26"/>
          <w:vertAlign w:val="subscript"/>
        </w:rPr>
        <w:t>0</w:t>
      </w:r>
      <w:r w:rsidRPr="00DA1F76">
        <w:rPr>
          <w:spacing w:val="-3"/>
        </w:rPr>
        <w:t xml:space="preserve">. Instability occurs to the right of the curve. Fig </w:t>
      </w:r>
      <w:r>
        <w:rPr>
          <w:spacing w:val="-3"/>
        </w:rPr>
        <w:t>6.4</w:t>
      </w:r>
      <w:r w:rsidRPr="00DA1F76">
        <w:rPr>
          <w:spacing w:val="-3"/>
        </w:rPr>
        <w:t>b shows the critical velocities as a function of</w:t>
      </w:r>
      <w:r w:rsidRPr="00DA1F76">
        <w:rPr>
          <w:i/>
          <w:iCs/>
          <w:spacing w:val="-3"/>
        </w:rPr>
        <w:t xml:space="preserve"> G</w:t>
      </w:r>
      <w:r w:rsidRPr="00727E8A">
        <w:rPr>
          <w:spacing w:val="-3"/>
          <w:sz w:val="26"/>
          <w:vertAlign w:val="subscript"/>
        </w:rPr>
        <w:t>L</w:t>
      </w:r>
      <w:r w:rsidRPr="00DA1F76">
        <w:rPr>
          <w:spacing w:val="-3"/>
        </w:rPr>
        <w:t xml:space="preserve"> for fixed C</w:t>
      </w:r>
      <w:r w:rsidRPr="00727E8A">
        <w:rPr>
          <w:spacing w:val="-3"/>
          <w:sz w:val="26"/>
          <w:vertAlign w:val="subscript"/>
        </w:rPr>
        <w:t>0</w:t>
      </w:r>
      <w:r w:rsidRPr="00DA1F76">
        <w:rPr>
          <w:spacing w:val="-3"/>
        </w:rPr>
        <w:t xml:space="preserve"> (0.1</w:t>
      </w:r>
      <w:r w:rsidR="00BD6531">
        <w:rPr>
          <w:spacing w:val="-3"/>
        </w:rPr>
        <w:t xml:space="preserve"> </w:t>
      </w:r>
      <w:r w:rsidRPr="003F345B">
        <w:rPr>
          <w:spacing w:val="-3"/>
        </w:rPr>
        <w:t>wt</w:t>
      </w:r>
      <w:r w:rsidRPr="00DA1F76">
        <w:rPr>
          <w:spacing w:val="-3"/>
        </w:rPr>
        <w:t>%</w:t>
      </w:r>
      <w:r w:rsidR="00BD6531">
        <w:rPr>
          <w:spacing w:val="-3"/>
        </w:rPr>
        <w:t xml:space="preserve"> </w:t>
      </w:r>
      <w:r w:rsidRPr="00DA1F76">
        <w:rPr>
          <w:spacing w:val="-3"/>
        </w:rPr>
        <w:t xml:space="preserve">Cu). Note the insensitivity of the upper velocity stability limit to the value of </w:t>
      </w:r>
      <w:r w:rsidRPr="00DA1F76">
        <w:rPr>
          <w:i/>
          <w:iCs/>
          <w:spacing w:val="-3"/>
        </w:rPr>
        <w:t>G</w:t>
      </w:r>
      <w:r w:rsidRPr="00727E8A">
        <w:rPr>
          <w:spacing w:val="-3"/>
          <w:sz w:val="26"/>
          <w:vertAlign w:val="subscript"/>
        </w:rPr>
        <w:t>L</w:t>
      </w:r>
      <w:r w:rsidRPr="00DA1F76">
        <w:rPr>
          <w:spacing w:val="-3"/>
        </w:rPr>
        <w:t>.</w:t>
      </w:r>
    </w:p>
    <w:p w14:paraId="7203151C" w14:textId="77777777" w:rsidR="00015B17" w:rsidRPr="00DA1F76" w:rsidRDefault="00015B17" w:rsidP="00015B17">
      <w:pPr>
        <w:tabs>
          <w:tab w:val="left" w:pos="-720"/>
        </w:tabs>
        <w:suppressAutoHyphens/>
        <w:spacing w:line="360" w:lineRule="auto"/>
        <w:rPr>
          <w:spacing w:val="-3"/>
        </w:rPr>
      </w:pPr>
    </w:p>
    <w:p w14:paraId="7B4DC549" w14:textId="77777777" w:rsidR="00015B17" w:rsidRPr="00DA1F76" w:rsidRDefault="00015B17" w:rsidP="00015B17">
      <w:pPr>
        <w:tabs>
          <w:tab w:val="left" w:pos="-720"/>
        </w:tabs>
        <w:suppressAutoHyphens/>
        <w:spacing w:line="360" w:lineRule="auto"/>
        <w:rPr>
          <w:spacing w:val="-3"/>
        </w:rPr>
      </w:pPr>
      <w:r w:rsidRPr="00DA1F76">
        <w:rPr>
          <w:spacing w:val="-3"/>
        </w:rPr>
        <w:tab/>
        <w:t>The upper and lower critical velocities may be approximated by two different limiting cases:</w:t>
      </w:r>
    </w:p>
    <w:p w14:paraId="719673EF" w14:textId="078EEC7C" w:rsidR="00015B17" w:rsidRDefault="00015B17" w:rsidP="00015B17">
      <w:pPr>
        <w:tabs>
          <w:tab w:val="left" w:pos="-720"/>
        </w:tabs>
        <w:suppressAutoHyphens/>
        <w:spacing w:line="360" w:lineRule="auto"/>
        <w:rPr>
          <w:spacing w:val="-3"/>
        </w:rPr>
      </w:pPr>
      <w:r w:rsidRPr="00DA1F76">
        <w:rPr>
          <w:spacing w:val="-3"/>
        </w:rPr>
        <w:tab/>
        <w:t>(i) If the interface grows at slow velocities</w:t>
      </w:r>
      <w:r w:rsidR="004F50A8">
        <w:rPr>
          <w:spacing w:val="-3"/>
        </w:rPr>
        <w:t xml:space="preserve">, unstable wavelengths are large. </w:t>
      </w:r>
      <w:r w:rsidR="00C24A0D">
        <w:rPr>
          <w:spacing w:val="-3"/>
        </w:rPr>
        <w:t>T</w:t>
      </w:r>
      <w:r w:rsidR="00C24A0D" w:rsidRPr="00DA1F76">
        <w:rPr>
          <w:spacing w:val="-3"/>
        </w:rPr>
        <w:t>h</w:t>
      </w:r>
      <w:r w:rsidR="00C24A0D">
        <w:rPr>
          <w:spacing w:val="-3"/>
        </w:rPr>
        <w:t>us,</w:t>
      </w:r>
      <w:r w:rsidRPr="00DA1F76">
        <w:rPr>
          <w:spacing w:val="-3"/>
        </w:rPr>
        <w:t xml:space="preserve"> </w:t>
      </w:r>
      <w:r w:rsidR="004F50A8">
        <w:rPr>
          <w:spacing w:val="-3"/>
        </w:rPr>
        <w:t xml:space="preserve">the </w:t>
      </w:r>
      <w:r w:rsidRPr="00DA1F76">
        <w:rPr>
          <w:spacing w:val="-3"/>
        </w:rPr>
        <w:t>capillarity forces are small and can be neglected; the stability criterion becomes:</w:t>
      </w:r>
      <w:r w:rsidRPr="00B90B44">
        <w:rPr>
          <w:spacing w:val="-3"/>
          <w:position w:val="-12"/>
        </w:rPr>
        <w:object w:dxaOrig="1040" w:dyaOrig="360" w14:anchorId="35E48079">
          <v:shape id="_x0000_i1497" type="#_x0000_t75" style="width:51.45pt;height:17.75pt" o:ole="">
            <v:imagedata r:id="rId915" o:title=""/>
          </v:shape>
          <o:OLEObject Type="Embed" ProgID="Equation.DSMT4" ShapeID="_x0000_i1497" DrawAspect="Content" ObjectID="_1840627063" r:id="rId916"/>
        </w:object>
      </w:r>
      <w:r>
        <w:rPr>
          <w:spacing w:val="-3"/>
          <w:position w:val="-12"/>
        </w:rPr>
        <w:t xml:space="preserve">  </w:t>
      </w:r>
      <w:r w:rsidRPr="00DA1F76">
        <w:rPr>
          <w:spacing w:val="-3"/>
        </w:rPr>
        <w:t xml:space="preserve">If, in addition, </w:t>
      </w:r>
      <w:r>
        <w:rPr>
          <w:spacing w:val="-3"/>
        </w:rPr>
        <w:t>E</w:t>
      </w:r>
      <w:r w:rsidRPr="00DA1F76">
        <w:rPr>
          <w:spacing w:val="-3"/>
        </w:rPr>
        <w:t>q</w:t>
      </w:r>
      <w:r>
        <w:rPr>
          <w:spacing w:val="-3"/>
        </w:rPr>
        <w:t>n</w:t>
      </w:r>
      <w:r w:rsidRPr="00DA1F76">
        <w:rPr>
          <w:spacing w:val="-3"/>
        </w:rPr>
        <w:t>.</w:t>
      </w:r>
      <w:r>
        <w:rPr>
          <w:spacing w:val="-3"/>
        </w:rPr>
        <w:t xml:space="preserve"> </w:t>
      </w:r>
      <w:r w:rsidRPr="00DA1F76">
        <w:rPr>
          <w:spacing w:val="-3"/>
        </w:rPr>
        <w:t>6</w:t>
      </w:r>
      <w:r>
        <w:rPr>
          <w:spacing w:val="-3"/>
        </w:rPr>
        <w:t xml:space="preserve">.21 </w:t>
      </w:r>
      <w:r w:rsidRPr="00DA1F76">
        <w:rPr>
          <w:spacing w:val="-3"/>
        </w:rPr>
        <w:t xml:space="preserve">is coupled with </w:t>
      </w:r>
      <w:r>
        <w:rPr>
          <w:spacing w:val="-3"/>
        </w:rPr>
        <w:t>E</w:t>
      </w:r>
      <w:r w:rsidRPr="00DA1F76">
        <w:rPr>
          <w:spacing w:val="-3"/>
        </w:rPr>
        <w:t>q</w:t>
      </w:r>
      <w:r>
        <w:rPr>
          <w:spacing w:val="-3"/>
        </w:rPr>
        <w:t>n. 6.7</w:t>
      </w:r>
      <w:r w:rsidRPr="00DA1F76">
        <w:rPr>
          <w:spacing w:val="-3"/>
        </w:rPr>
        <w:t xml:space="preserve">, and </w:t>
      </w:r>
      <w:r w:rsidRPr="00F65A3B">
        <w:rPr>
          <w:i/>
          <w:iCs/>
          <w:spacing w:val="-3"/>
          <w:position w:val="-10"/>
        </w:rPr>
        <w:object w:dxaOrig="1380" w:dyaOrig="360" w14:anchorId="1A2174E8">
          <v:shape id="_x0000_i1498" type="#_x0000_t75" style="width:69.2pt;height:17.75pt" o:ole="">
            <v:imagedata r:id="rId917" o:title=""/>
          </v:shape>
          <o:OLEObject Type="Embed" ProgID="Equation.DSMT4" ShapeID="_x0000_i1498" DrawAspect="Content" ObjectID="_1840627064" r:id="rId918"/>
        </w:object>
      </w:r>
      <w:r w:rsidRPr="00DA1F76">
        <w:rPr>
          <w:spacing w:val="-3"/>
        </w:rPr>
        <w:t>, the stability criterion becomes:</w:t>
      </w:r>
    </w:p>
    <w:p w14:paraId="33EA7FC0" w14:textId="77777777" w:rsidR="00015B17" w:rsidRDefault="00015B17" w:rsidP="00015B17">
      <w:pPr>
        <w:tabs>
          <w:tab w:val="left" w:pos="-720"/>
        </w:tabs>
        <w:suppressAutoHyphens/>
        <w:spacing w:line="360" w:lineRule="auto"/>
        <w:rPr>
          <w:spacing w:val="-3"/>
        </w:rPr>
      </w:pPr>
    </w:p>
    <w:p w14:paraId="4633C031" w14:textId="77777777" w:rsidR="00015B17" w:rsidRDefault="00015B17" w:rsidP="00015B17">
      <w:pPr>
        <w:tabs>
          <w:tab w:val="left" w:pos="-720"/>
        </w:tabs>
        <w:suppressAutoHyphens/>
        <w:spacing w:line="360" w:lineRule="auto"/>
        <w:jc w:val="both"/>
        <w:rPr>
          <w:spacing w:val="-3"/>
        </w:rPr>
      </w:pPr>
    </w:p>
    <w:p w14:paraId="4A60F0AA" w14:textId="77777777" w:rsidR="00015B17" w:rsidRDefault="00015B17" w:rsidP="00015B17">
      <w:pPr>
        <w:tabs>
          <w:tab w:val="left" w:pos="-720"/>
        </w:tabs>
        <w:suppressAutoHyphens/>
        <w:spacing w:line="360" w:lineRule="auto"/>
        <w:jc w:val="center"/>
        <w:rPr>
          <w:spacing w:val="-3"/>
          <w:position w:val="-24"/>
        </w:rPr>
      </w:pPr>
      <w:r w:rsidRPr="00B90B44">
        <w:rPr>
          <w:spacing w:val="-3"/>
          <w:position w:val="-12"/>
        </w:rPr>
        <w:object w:dxaOrig="1780" w:dyaOrig="400" w14:anchorId="108E9EAF">
          <v:shape id="_x0000_i1499" type="#_x0000_t75" style="width:88.85pt;height:20.55pt" o:ole="">
            <v:imagedata r:id="rId919" o:title=""/>
          </v:shape>
          <o:OLEObject Type="Embed" ProgID="Equation.DSMT4" ShapeID="_x0000_i1499" DrawAspect="Content" ObjectID="_1840627065" r:id="rId920"/>
        </w:object>
      </w:r>
      <w:r>
        <w:rPr>
          <w:spacing w:val="-3"/>
          <w:position w:val="-12"/>
        </w:rPr>
        <w:tab/>
      </w:r>
      <w:r>
        <w:rPr>
          <w:spacing w:val="-3"/>
          <w:position w:val="-12"/>
        </w:rPr>
        <w:tab/>
      </w:r>
      <w:r>
        <w:rPr>
          <w:spacing w:val="-3"/>
          <w:position w:val="-24"/>
        </w:rPr>
        <w:t>(6.24)</w:t>
      </w:r>
    </w:p>
    <w:p w14:paraId="03FD93EF" w14:textId="77777777" w:rsidR="00015B17" w:rsidRPr="00DA1F76" w:rsidRDefault="00015B17" w:rsidP="00015B17">
      <w:pPr>
        <w:tabs>
          <w:tab w:val="left" w:pos="-720"/>
        </w:tabs>
        <w:suppressAutoHyphens/>
        <w:spacing w:line="360" w:lineRule="auto"/>
        <w:jc w:val="both"/>
        <w:rPr>
          <w:spacing w:val="-3"/>
        </w:rPr>
      </w:pPr>
    </w:p>
    <w:p w14:paraId="3220FA10" w14:textId="77777777" w:rsidR="006E6FC2" w:rsidRPr="00DA1F76" w:rsidRDefault="00015B17" w:rsidP="00015B17">
      <w:pPr>
        <w:tabs>
          <w:tab w:val="left" w:pos="-720"/>
        </w:tabs>
        <w:suppressAutoHyphens/>
        <w:spacing w:line="360" w:lineRule="auto"/>
        <w:rPr>
          <w:spacing w:val="-3"/>
        </w:rPr>
      </w:pPr>
      <w:r w:rsidRPr="00DA1F76">
        <w:rPr>
          <w:spacing w:val="-3"/>
        </w:rPr>
        <w:t>which is called the</w:t>
      </w:r>
      <w:r w:rsidRPr="00DA1F76">
        <w:rPr>
          <w:i/>
          <w:iCs/>
          <w:spacing w:val="-3"/>
        </w:rPr>
        <w:t xml:space="preserve"> modified constitutional supercooling criterion</w:t>
      </w:r>
      <w:r w:rsidRPr="00DA1F76">
        <w:rPr>
          <w:spacing w:val="-3"/>
        </w:rPr>
        <w:t>. For</w:t>
      </w:r>
      <w:r>
        <w:rPr>
          <w:spacing w:val="-3"/>
        </w:rPr>
        <w:t xml:space="preserve"> </w:t>
      </w:r>
      <w:r>
        <w:rPr>
          <w:i/>
          <w:iCs/>
          <w:spacing w:val="-3"/>
        </w:rPr>
        <w:t>k</w:t>
      </w:r>
      <w:r w:rsidRPr="00727E8A">
        <w:rPr>
          <w:spacing w:val="-3"/>
          <w:sz w:val="26"/>
          <w:vertAlign w:val="subscript"/>
        </w:rPr>
        <w:t>S</w:t>
      </w:r>
      <w:r w:rsidRPr="00DA1F76">
        <w:rPr>
          <w:spacing w:val="-3"/>
        </w:rPr>
        <w:t xml:space="preserve"> =</w:t>
      </w:r>
      <w:r w:rsidRPr="00DA1F76">
        <w:rPr>
          <w:i/>
          <w:iCs/>
          <w:spacing w:val="-3"/>
        </w:rPr>
        <w:t xml:space="preserve"> </w:t>
      </w:r>
      <w:r>
        <w:rPr>
          <w:i/>
          <w:iCs/>
          <w:spacing w:val="-3"/>
        </w:rPr>
        <w:t>k</w:t>
      </w:r>
      <w:r w:rsidRPr="00727E8A">
        <w:rPr>
          <w:spacing w:val="-3"/>
          <w:sz w:val="26"/>
          <w:vertAlign w:val="subscript"/>
        </w:rPr>
        <w:t>L</w:t>
      </w:r>
      <w:r w:rsidRPr="00DA1F76">
        <w:rPr>
          <w:spacing w:val="-3"/>
        </w:rPr>
        <w:t xml:space="preserve"> this reduces to the</w:t>
      </w:r>
      <w:r w:rsidRPr="00DA1F76">
        <w:rPr>
          <w:i/>
          <w:iCs/>
          <w:spacing w:val="-3"/>
        </w:rPr>
        <w:t xml:space="preserve"> constitutional supercooling criterion</w:t>
      </w:r>
      <w:r w:rsidRPr="00DA1F76">
        <w:rPr>
          <w:spacing w:val="-3"/>
        </w:rPr>
        <w:t xml:space="preserve"> (to be ex</w:t>
      </w:r>
      <w:r>
        <w:rPr>
          <w:spacing w:val="-3"/>
        </w:rPr>
        <w:t>amined in more detail in section 6.4.2</w:t>
      </w:r>
      <w:r w:rsidRPr="00DA1F76">
        <w:rPr>
          <w:spacing w:val="-3"/>
        </w:rPr>
        <w:t>.</w:t>
      </w:r>
    </w:p>
    <w:p w14:paraId="3626012B" w14:textId="77777777" w:rsidR="00015B17" w:rsidRDefault="00015B17" w:rsidP="00015B17">
      <w:pPr>
        <w:tabs>
          <w:tab w:val="left" w:pos="-720"/>
        </w:tabs>
        <w:suppressAutoHyphens/>
        <w:spacing w:line="360" w:lineRule="auto"/>
        <w:rPr>
          <w:i/>
          <w:iCs/>
          <w:spacing w:val="-3"/>
        </w:rPr>
      </w:pPr>
      <w:r w:rsidRPr="00DA1F76">
        <w:rPr>
          <w:spacing w:val="-3"/>
        </w:rPr>
        <w:tab/>
        <w:t xml:space="preserve">(ii) If the interface grows at high velocity, unstable wavelengths become small and capillarity dominates. In this case, stabilization due to the temperature gradient is negligible and one obtains the </w:t>
      </w:r>
      <w:r w:rsidRPr="00DA1F76">
        <w:rPr>
          <w:i/>
          <w:iCs/>
          <w:spacing w:val="-3"/>
        </w:rPr>
        <w:t>absolute stability condition:</w:t>
      </w:r>
    </w:p>
    <w:p w14:paraId="6B07A1CA" w14:textId="77777777" w:rsidR="00015B17" w:rsidRDefault="00015B17" w:rsidP="00015B17">
      <w:pPr>
        <w:tabs>
          <w:tab w:val="left" w:pos="-720"/>
        </w:tabs>
        <w:suppressAutoHyphens/>
        <w:spacing w:line="360" w:lineRule="auto"/>
        <w:rPr>
          <w:i/>
          <w:iCs/>
          <w:spacing w:val="-3"/>
        </w:rPr>
      </w:pPr>
    </w:p>
    <w:p w14:paraId="1ED6B40D" w14:textId="77777777" w:rsidR="00015B17" w:rsidRPr="00DA1F76" w:rsidRDefault="00015B17" w:rsidP="00015B17">
      <w:pPr>
        <w:tabs>
          <w:tab w:val="left" w:pos="-720"/>
        </w:tabs>
        <w:suppressAutoHyphens/>
        <w:spacing w:line="360" w:lineRule="auto"/>
        <w:jc w:val="center"/>
        <w:rPr>
          <w:spacing w:val="-3"/>
        </w:rPr>
      </w:pPr>
      <w:r w:rsidRPr="00B90B44">
        <w:rPr>
          <w:i/>
          <w:iCs/>
          <w:spacing w:val="-3"/>
          <w:position w:val="-12"/>
        </w:rPr>
        <w:object w:dxaOrig="2260" w:dyaOrig="380" w14:anchorId="4A6A4E1B">
          <v:shape id="_x0000_i1500" type="#_x0000_t75" style="width:112.2pt;height:18.7pt" o:ole="">
            <v:imagedata r:id="rId921" o:title=""/>
          </v:shape>
          <o:OLEObject Type="Embed" ProgID="Equation.DSMT4" ShapeID="_x0000_i1500" DrawAspect="Content" ObjectID="_1840627066" r:id="rId922"/>
        </w:object>
      </w:r>
      <w:r>
        <w:rPr>
          <w:i/>
          <w:iCs/>
          <w:spacing w:val="-3"/>
          <w:position w:val="-12"/>
        </w:rPr>
        <w:tab/>
      </w:r>
      <w:r>
        <w:rPr>
          <w:i/>
          <w:iCs/>
          <w:spacing w:val="-3"/>
          <w:position w:val="-12"/>
        </w:rPr>
        <w:tab/>
      </w:r>
      <w:r>
        <w:rPr>
          <w:spacing w:val="-3"/>
          <w:position w:val="-24"/>
        </w:rPr>
        <w:t>(6.25)</w:t>
      </w:r>
    </w:p>
    <w:p w14:paraId="2DC61F54" w14:textId="77777777" w:rsidR="00015B17" w:rsidRPr="00DA1F76" w:rsidRDefault="00015B17" w:rsidP="00015B17">
      <w:pPr>
        <w:tabs>
          <w:tab w:val="left" w:pos="-720"/>
        </w:tabs>
        <w:suppressAutoHyphens/>
        <w:spacing w:line="360" w:lineRule="auto"/>
        <w:jc w:val="both"/>
        <w:rPr>
          <w:spacing w:val="-3"/>
        </w:rPr>
      </w:pPr>
    </w:p>
    <w:p w14:paraId="24ACB3BB" w14:textId="77777777" w:rsidR="00015B17" w:rsidRDefault="00015B17" w:rsidP="00015B17">
      <w:pPr>
        <w:tabs>
          <w:tab w:val="left" w:pos="-720"/>
        </w:tabs>
        <w:suppressAutoHyphens/>
        <w:spacing w:line="360" w:lineRule="auto"/>
        <w:jc w:val="both"/>
        <w:rPr>
          <w:spacing w:val="-3"/>
        </w:rPr>
      </w:pPr>
      <w:r>
        <w:rPr>
          <w:spacing w:val="-3"/>
        </w:rPr>
        <w:t>o</w:t>
      </w:r>
      <w:r w:rsidRPr="00DA1F76">
        <w:rPr>
          <w:spacing w:val="-3"/>
        </w:rPr>
        <w:t>r</w:t>
      </w:r>
    </w:p>
    <w:p w14:paraId="1077DB16" w14:textId="77777777" w:rsidR="00015B17" w:rsidRDefault="00015B17" w:rsidP="00015B17">
      <w:pPr>
        <w:tabs>
          <w:tab w:val="left" w:pos="-720"/>
        </w:tabs>
        <w:suppressAutoHyphens/>
        <w:spacing w:line="360" w:lineRule="auto"/>
        <w:jc w:val="center"/>
        <w:rPr>
          <w:spacing w:val="-3"/>
          <w:position w:val="-24"/>
        </w:rPr>
      </w:pPr>
      <w:r w:rsidRPr="009D3B8E">
        <w:rPr>
          <w:spacing w:val="-3"/>
          <w:position w:val="-34"/>
        </w:rPr>
        <w:object w:dxaOrig="2060" w:dyaOrig="760" w14:anchorId="6B4333ED">
          <v:shape id="_x0000_i1501" type="#_x0000_t75" style="width:103.8pt;height:40.2pt" o:ole="">
            <v:imagedata r:id="rId923" o:title=""/>
          </v:shape>
          <o:OLEObject Type="Embed" ProgID="Equation.DSMT4" ShapeID="_x0000_i1501" DrawAspect="Content" ObjectID="_1840627067" r:id="rId924"/>
        </w:object>
      </w:r>
      <w:r>
        <w:rPr>
          <w:spacing w:val="-3"/>
          <w:position w:val="-32"/>
        </w:rPr>
        <w:tab/>
      </w:r>
      <w:r w:rsidR="006E6FC2">
        <w:rPr>
          <w:spacing w:val="-3"/>
          <w:position w:val="-32"/>
        </w:rPr>
        <w:t>.</w:t>
      </w:r>
      <w:r>
        <w:rPr>
          <w:spacing w:val="-3"/>
          <w:position w:val="-32"/>
        </w:rPr>
        <w:tab/>
      </w:r>
      <w:r>
        <w:rPr>
          <w:spacing w:val="-3"/>
          <w:position w:val="-32"/>
        </w:rPr>
        <w:tab/>
      </w:r>
      <w:r>
        <w:rPr>
          <w:spacing w:val="-3"/>
          <w:position w:val="-24"/>
        </w:rPr>
        <w:t>(6.26)</w:t>
      </w:r>
    </w:p>
    <w:p w14:paraId="611C9FC6" w14:textId="77777777" w:rsidR="00015B17" w:rsidRDefault="00015B17" w:rsidP="00015B17">
      <w:pPr>
        <w:tabs>
          <w:tab w:val="left" w:pos="-720"/>
        </w:tabs>
        <w:suppressAutoHyphens/>
        <w:spacing w:line="360" w:lineRule="auto"/>
        <w:jc w:val="center"/>
        <w:rPr>
          <w:spacing w:val="-3"/>
        </w:rPr>
      </w:pPr>
    </w:p>
    <w:p w14:paraId="222A6565" w14:textId="77777777" w:rsidR="00015B17" w:rsidRPr="00DA1F76" w:rsidRDefault="00015B17" w:rsidP="00015B17">
      <w:pPr>
        <w:tabs>
          <w:tab w:val="left" w:pos="-720"/>
        </w:tabs>
        <w:suppressAutoHyphens/>
        <w:spacing w:line="360" w:lineRule="auto"/>
        <w:rPr>
          <w:spacing w:val="-3"/>
        </w:rPr>
      </w:pPr>
      <w:r w:rsidRPr="00DA1F76">
        <w:rPr>
          <w:spacing w:val="-3"/>
        </w:rPr>
        <w:t>The modified constitutional supercooling criterion and the absolute stability criterion serve as asymptotes to the exact result at low and high velocity respectively shown in Fig. 6</w:t>
      </w:r>
      <w:r>
        <w:rPr>
          <w:spacing w:val="-3"/>
        </w:rPr>
        <w:t>.4</w:t>
      </w:r>
      <w:r w:rsidRPr="00DA1F76">
        <w:rPr>
          <w:spacing w:val="-3"/>
        </w:rPr>
        <w:t>d.</w:t>
      </w:r>
    </w:p>
    <w:p w14:paraId="4F808DD6" w14:textId="77777777" w:rsidR="00015B17" w:rsidRPr="00DA1F76" w:rsidRDefault="00015B17" w:rsidP="00015B17">
      <w:pPr>
        <w:tabs>
          <w:tab w:val="left" w:pos="-720"/>
        </w:tabs>
        <w:suppressAutoHyphens/>
        <w:spacing w:line="360" w:lineRule="auto"/>
        <w:rPr>
          <w:spacing w:val="-3"/>
        </w:rPr>
      </w:pPr>
      <w:r w:rsidRPr="00DA1F76">
        <w:rPr>
          <w:spacing w:val="-3"/>
        </w:rPr>
        <w:tab/>
      </w:r>
    </w:p>
    <w:p w14:paraId="11CE22C9" w14:textId="19450D3C" w:rsidR="00015B17" w:rsidRPr="00DA1F76" w:rsidRDefault="00015B17" w:rsidP="00015B17">
      <w:pPr>
        <w:tabs>
          <w:tab w:val="left" w:pos="-720"/>
        </w:tabs>
        <w:suppressAutoHyphens/>
        <w:spacing w:line="360" w:lineRule="auto"/>
        <w:rPr>
          <w:spacing w:val="-3"/>
        </w:rPr>
      </w:pPr>
      <w:r w:rsidRPr="00DA1F76">
        <w:rPr>
          <w:b/>
          <w:bCs/>
          <w:spacing w:val="-3"/>
        </w:rPr>
        <w:lastRenderedPageBreak/>
        <w:t>6.4.2</w:t>
      </w:r>
      <w:r w:rsidRPr="00DA1F76">
        <w:rPr>
          <w:b/>
          <w:bCs/>
          <w:spacing w:val="-3"/>
        </w:rPr>
        <w:tab/>
        <w:t>Relationship to constitutional supercooling</w:t>
      </w:r>
    </w:p>
    <w:p w14:paraId="2C193CE8" w14:textId="77777777" w:rsidR="00015B17" w:rsidRPr="00DA1F76" w:rsidRDefault="00015B17" w:rsidP="00015B17">
      <w:pPr>
        <w:tabs>
          <w:tab w:val="left" w:pos="-720"/>
        </w:tabs>
        <w:suppressAutoHyphens/>
        <w:spacing w:line="360" w:lineRule="auto"/>
        <w:rPr>
          <w:spacing w:val="-3"/>
        </w:rPr>
      </w:pPr>
    </w:p>
    <w:p w14:paraId="5F42597C" w14:textId="77777777" w:rsidR="00015B17" w:rsidRPr="00DA1F76" w:rsidRDefault="00015B17" w:rsidP="00015B17">
      <w:pPr>
        <w:tabs>
          <w:tab w:val="left" w:pos="-720"/>
        </w:tabs>
        <w:suppressAutoHyphens/>
        <w:spacing w:line="360" w:lineRule="auto"/>
        <w:rPr>
          <w:spacing w:val="-3"/>
        </w:rPr>
      </w:pPr>
      <w:r w:rsidRPr="00DA1F76">
        <w:rPr>
          <w:spacing w:val="-3"/>
        </w:rPr>
        <w:tab/>
        <w:t xml:space="preserve">The constitutional supercooling </w:t>
      </w:r>
      <w:r w:rsidR="004F50A8">
        <w:rPr>
          <w:spacing w:val="-3"/>
        </w:rPr>
        <w:t xml:space="preserve">(CS) </w:t>
      </w:r>
      <w:r w:rsidRPr="00DA1F76">
        <w:rPr>
          <w:spacing w:val="-3"/>
        </w:rPr>
        <w:t xml:space="preserve">criterion obtained by TILLER </w:t>
      </w:r>
      <w:r w:rsidRPr="00DA1F76">
        <w:rPr>
          <w:i/>
          <w:iCs/>
          <w:spacing w:val="-3"/>
        </w:rPr>
        <w:t>et al.</w:t>
      </w:r>
      <w:r w:rsidRPr="00DA1F76">
        <w:rPr>
          <w:spacing w:val="-3"/>
        </w:rPr>
        <w:t xml:space="preserve"> [1953] before the morphological stability theory was developed, serves as a model to</w:t>
      </w:r>
      <w:r>
        <w:rPr>
          <w:spacing w:val="-3"/>
        </w:rPr>
        <w:t xml:space="preserve"> understand the major cause of </w:t>
      </w:r>
      <w:r w:rsidRPr="00DA1F76">
        <w:rPr>
          <w:spacing w:val="-3"/>
        </w:rPr>
        <w:t xml:space="preserve">instability. The </w:t>
      </w:r>
      <w:r>
        <w:rPr>
          <w:spacing w:val="-3"/>
        </w:rPr>
        <w:t>approach</w:t>
      </w:r>
      <w:r w:rsidRPr="00DA1F76">
        <w:rPr>
          <w:spacing w:val="-3"/>
        </w:rPr>
        <w:t xml:space="preserve"> determines if any part of the liquid ahead of a moving interface is supercooled with respect to its local liquidus temperature. The solute distribution in front of the interface given by </w:t>
      </w:r>
      <w:r>
        <w:rPr>
          <w:spacing w:val="-3"/>
        </w:rPr>
        <w:t>E</w:t>
      </w:r>
      <w:r w:rsidRPr="00DA1F76">
        <w:rPr>
          <w:spacing w:val="-3"/>
        </w:rPr>
        <w:t>q</w:t>
      </w:r>
      <w:r>
        <w:rPr>
          <w:spacing w:val="-3"/>
        </w:rPr>
        <w:t xml:space="preserve">n. 6.16 </w:t>
      </w:r>
      <w:r w:rsidRPr="00DA1F76">
        <w:rPr>
          <w:spacing w:val="-3"/>
        </w:rPr>
        <w:t>and the corresponding liquidus temperature for the composition at each point in front of the interface given by</w:t>
      </w:r>
    </w:p>
    <w:p w14:paraId="0F6FD5A6" w14:textId="77777777" w:rsidR="00015B17" w:rsidRPr="00DA1F76" w:rsidRDefault="00015B17" w:rsidP="00015B17">
      <w:pPr>
        <w:tabs>
          <w:tab w:val="left" w:pos="-720"/>
        </w:tabs>
        <w:suppressAutoHyphens/>
        <w:spacing w:line="360" w:lineRule="auto"/>
        <w:rPr>
          <w:spacing w:val="-3"/>
        </w:rPr>
      </w:pPr>
    </w:p>
    <w:p w14:paraId="5063EE7C" w14:textId="77777777" w:rsidR="00015B17" w:rsidRDefault="00015B17" w:rsidP="00015B17">
      <w:pPr>
        <w:tabs>
          <w:tab w:val="left" w:pos="-720"/>
        </w:tabs>
        <w:suppressAutoHyphens/>
        <w:spacing w:line="360" w:lineRule="auto"/>
        <w:jc w:val="center"/>
        <w:rPr>
          <w:spacing w:val="-3"/>
          <w:position w:val="-24"/>
        </w:rPr>
      </w:pPr>
      <w:r w:rsidRPr="009D3B8E">
        <w:rPr>
          <w:spacing w:val="-3"/>
          <w:position w:val="-40"/>
        </w:rPr>
        <w:object w:dxaOrig="4599" w:dyaOrig="920" w14:anchorId="0C2C0E4D">
          <v:shape id="_x0000_i1502" type="#_x0000_t75" style="width:229.1pt;height:45.8pt" o:ole="">
            <v:imagedata r:id="rId925" o:title=""/>
          </v:shape>
          <o:OLEObject Type="Embed" ProgID="Equation.DSMT4" ShapeID="_x0000_i1502" DrawAspect="Content" ObjectID="_1840627068" r:id="rId926"/>
        </w:object>
      </w:r>
      <w:r>
        <w:rPr>
          <w:spacing w:val="-3"/>
          <w:position w:val="-34"/>
        </w:rPr>
        <w:tab/>
      </w:r>
      <w:r>
        <w:rPr>
          <w:spacing w:val="-3"/>
          <w:position w:val="-34"/>
        </w:rPr>
        <w:tab/>
      </w:r>
      <w:r>
        <w:rPr>
          <w:spacing w:val="-3"/>
          <w:position w:val="-24"/>
        </w:rPr>
        <w:t>(6.27)</w:t>
      </w:r>
    </w:p>
    <w:p w14:paraId="24C0F932" w14:textId="77777777" w:rsidR="00015B17" w:rsidRDefault="00015B17" w:rsidP="00015B17">
      <w:pPr>
        <w:tabs>
          <w:tab w:val="left" w:pos="-720"/>
        </w:tabs>
        <w:suppressAutoHyphens/>
        <w:spacing w:line="360" w:lineRule="auto"/>
        <w:jc w:val="center"/>
        <w:rPr>
          <w:spacing w:val="-3"/>
        </w:rPr>
      </w:pPr>
    </w:p>
    <w:p w14:paraId="1A24A718" w14:textId="77777777" w:rsidR="00015B17" w:rsidRDefault="00015B17" w:rsidP="00015B17">
      <w:pPr>
        <w:tabs>
          <w:tab w:val="left" w:pos="-720"/>
        </w:tabs>
        <w:suppressAutoHyphens/>
        <w:spacing w:line="360" w:lineRule="auto"/>
        <w:rPr>
          <w:spacing w:val="-3"/>
        </w:rPr>
      </w:pPr>
      <w:r w:rsidRPr="00DA1F76">
        <w:rPr>
          <w:spacing w:val="-3"/>
        </w:rPr>
        <w:t xml:space="preserve">The </w:t>
      </w:r>
      <w:r>
        <w:rPr>
          <w:spacing w:val="-3"/>
        </w:rPr>
        <w:t xml:space="preserve">actual </w:t>
      </w:r>
      <w:r w:rsidRPr="00DA1F76">
        <w:rPr>
          <w:spacing w:val="-3"/>
        </w:rPr>
        <w:t xml:space="preserve">temperature in the liquid ahead of the unperturbed interface due to the temperature gradient, </w:t>
      </w:r>
      <w:r w:rsidRPr="00DA1F76">
        <w:rPr>
          <w:i/>
          <w:iCs/>
          <w:spacing w:val="-3"/>
        </w:rPr>
        <w:t>G</w:t>
      </w:r>
      <w:r w:rsidRPr="00727E8A">
        <w:rPr>
          <w:spacing w:val="-3"/>
          <w:sz w:val="26"/>
          <w:vertAlign w:val="subscript"/>
        </w:rPr>
        <w:t>L</w:t>
      </w:r>
      <w:r w:rsidRPr="00DA1F76">
        <w:rPr>
          <w:spacing w:val="-3"/>
        </w:rPr>
        <w:t>, is</w:t>
      </w:r>
    </w:p>
    <w:p w14:paraId="0B2AF27A" w14:textId="77777777" w:rsidR="00015B17" w:rsidRPr="00DA1F76" w:rsidRDefault="00015B17" w:rsidP="00015B17">
      <w:pPr>
        <w:tabs>
          <w:tab w:val="left" w:pos="-720"/>
        </w:tabs>
        <w:suppressAutoHyphens/>
        <w:spacing w:line="360" w:lineRule="auto"/>
        <w:jc w:val="both"/>
        <w:rPr>
          <w:spacing w:val="-3"/>
        </w:rPr>
      </w:pPr>
    </w:p>
    <w:p w14:paraId="09A4F2FD" w14:textId="77777777" w:rsidR="00015B17" w:rsidRDefault="00015B17" w:rsidP="00015B17">
      <w:pPr>
        <w:tabs>
          <w:tab w:val="left" w:pos="-720"/>
        </w:tabs>
        <w:suppressAutoHyphens/>
        <w:spacing w:line="360" w:lineRule="auto"/>
        <w:jc w:val="center"/>
        <w:rPr>
          <w:spacing w:val="-3"/>
          <w:position w:val="-24"/>
        </w:rPr>
      </w:pPr>
      <w:r w:rsidRPr="009D3B8E">
        <w:rPr>
          <w:spacing w:val="-3"/>
          <w:position w:val="-24"/>
        </w:rPr>
        <w:object w:dxaOrig="2400" w:dyaOrig="660" w14:anchorId="112D558D">
          <v:shape id="_x0000_i1503" type="#_x0000_t75" style="width:119.7pt;height:31.8pt" o:ole="">
            <v:imagedata r:id="rId927" o:title=""/>
          </v:shape>
          <o:OLEObject Type="Embed" ProgID="Equation.DSMT4" ShapeID="_x0000_i1503" DrawAspect="Content" ObjectID="_1840627069" r:id="rId928"/>
        </w:object>
      </w:r>
      <w:r>
        <w:rPr>
          <w:spacing w:val="-3"/>
          <w:position w:val="-30"/>
        </w:rPr>
        <w:tab/>
      </w:r>
      <w:r>
        <w:rPr>
          <w:spacing w:val="-3"/>
          <w:position w:val="-30"/>
        </w:rPr>
        <w:tab/>
      </w:r>
      <w:r>
        <w:rPr>
          <w:spacing w:val="-3"/>
          <w:position w:val="-30"/>
        </w:rPr>
        <w:tab/>
      </w:r>
      <w:r>
        <w:rPr>
          <w:spacing w:val="-3"/>
          <w:position w:val="-24"/>
        </w:rPr>
        <w:t>(6.</w:t>
      </w:r>
      <w:r w:rsidR="00E50C62">
        <w:rPr>
          <w:spacing w:val="-3"/>
          <w:position w:val="-24"/>
        </w:rPr>
        <w:t>28</w:t>
      </w:r>
      <w:r>
        <w:rPr>
          <w:spacing w:val="-3"/>
          <w:position w:val="-24"/>
        </w:rPr>
        <w:t>)</w:t>
      </w:r>
    </w:p>
    <w:p w14:paraId="180A7E06" w14:textId="77777777" w:rsidR="00015B17" w:rsidRDefault="00015B17" w:rsidP="00015B17">
      <w:pPr>
        <w:tabs>
          <w:tab w:val="left" w:pos="-720"/>
        </w:tabs>
        <w:suppressAutoHyphens/>
        <w:spacing w:line="360" w:lineRule="auto"/>
        <w:jc w:val="center"/>
        <w:rPr>
          <w:spacing w:val="-3"/>
        </w:rPr>
      </w:pPr>
    </w:p>
    <w:p w14:paraId="659162CD" w14:textId="77777777" w:rsidR="00015B17" w:rsidRPr="00DA1F76" w:rsidRDefault="00015B17" w:rsidP="00015B17">
      <w:pPr>
        <w:tabs>
          <w:tab w:val="left" w:pos="-720"/>
        </w:tabs>
        <w:suppressAutoHyphens/>
        <w:spacing w:line="360" w:lineRule="auto"/>
        <w:rPr>
          <w:spacing w:val="-3"/>
        </w:rPr>
      </w:pPr>
      <w:r w:rsidRPr="00DA1F76">
        <w:rPr>
          <w:spacing w:val="-3"/>
        </w:rPr>
        <w:tab/>
        <w:t xml:space="preserve">Fig. </w:t>
      </w:r>
      <w:r>
        <w:rPr>
          <w:spacing w:val="-3"/>
        </w:rPr>
        <w:t>6.3</w:t>
      </w:r>
      <w:r w:rsidRPr="00DA1F76">
        <w:rPr>
          <w:spacing w:val="-3"/>
        </w:rPr>
        <w:t xml:space="preserve"> considers three possible values of the actual temperature.  For case (b), the actual temperature is less than the local liquidus temperature</w:t>
      </w:r>
      <w:r w:rsidRPr="00DA1F76">
        <w:rPr>
          <w:i/>
          <w:iCs/>
          <w:spacing w:val="-3"/>
        </w:rPr>
        <w:t xml:space="preserve"> </w:t>
      </w:r>
      <w:r w:rsidRPr="009D3B8E">
        <w:rPr>
          <w:i/>
          <w:iCs/>
          <w:spacing w:val="-3"/>
        </w:rPr>
        <w:t>T</w:t>
      </w:r>
      <w:r w:rsidRPr="00727E8A">
        <w:rPr>
          <w:i/>
          <w:spacing w:val="-3"/>
          <w:sz w:val="26"/>
          <w:vertAlign w:val="subscript"/>
        </w:rPr>
        <w:t>L</w:t>
      </w:r>
      <w:r w:rsidRPr="009D3B8E">
        <w:rPr>
          <w:i/>
          <w:spacing w:val="-3"/>
        </w:rPr>
        <w:t>(</w:t>
      </w:r>
      <w:r w:rsidRPr="009D3B8E">
        <w:rPr>
          <w:i/>
          <w:iCs/>
          <w:spacing w:val="-3"/>
        </w:rPr>
        <w:t>z</w:t>
      </w:r>
      <w:r w:rsidRPr="009D3B8E">
        <w:rPr>
          <w:i/>
          <w:spacing w:val="-3"/>
        </w:rPr>
        <w:t>)</w:t>
      </w:r>
      <w:r w:rsidRPr="00DA1F76">
        <w:rPr>
          <w:spacing w:val="-3"/>
        </w:rPr>
        <w:t xml:space="preserve"> (labeled</w:t>
      </w:r>
      <w:r w:rsidRPr="00DA1F76">
        <w:rPr>
          <w:i/>
          <w:iCs/>
          <w:spacing w:val="-3"/>
        </w:rPr>
        <w:t xml:space="preserve"> T</w:t>
      </w:r>
      <w:r w:rsidRPr="00727E8A">
        <w:rPr>
          <w:spacing w:val="-3"/>
          <w:sz w:val="26"/>
          <w:vertAlign w:val="subscript"/>
        </w:rPr>
        <w:t>constitutional</w:t>
      </w:r>
      <w:r w:rsidRPr="00DA1F76">
        <w:rPr>
          <w:spacing w:val="-3"/>
        </w:rPr>
        <w:t xml:space="preserve">) for a range of values of z and the liquid is said to be constitutionally supercooled; as a consequence the </w:t>
      </w:r>
      <w:r w:rsidR="004201E7">
        <w:rPr>
          <w:spacing w:val="-3"/>
        </w:rPr>
        <w:t>L-S</w:t>
      </w:r>
      <w:r w:rsidRPr="00DA1F76">
        <w:rPr>
          <w:spacing w:val="-3"/>
        </w:rPr>
        <w:t xml:space="preserve"> interface is unstable.  Case (a), where the actual temperature exceeds </w:t>
      </w:r>
      <w:r w:rsidRPr="00DA1F76">
        <w:rPr>
          <w:i/>
          <w:iCs/>
          <w:spacing w:val="-3"/>
        </w:rPr>
        <w:t>T</w:t>
      </w:r>
      <w:r w:rsidRPr="00727E8A">
        <w:rPr>
          <w:spacing w:val="-3"/>
          <w:sz w:val="26"/>
          <w:vertAlign w:val="subscript"/>
        </w:rPr>
        <w:t>L</w:t>
      </w:r>
      <w:r w:rsidRPr="00DA1F76">
        <w:rPr>
          <w:spacing w:val="-3"/>
        </w:rPr>
        <w:t>(</w:t>
      </w:r>
      <w:r w:rsidRPr="00DA1F76">
        <w:rPr>
          <w:i/>
          <w:iCs/>
          <w:spacing w:val="-3"/>
        </w:rPr>
        <w:t>z</w:t>
      </w:r>
      <w:r w:rsidRPr="00DA1F76">
        <w:rPr>
          <w:spacing w:val="-3"/>
        </w:rPr>
        <w:t xml:space="preserve">),  corresponds to a stable </w:t>
      </w:r>
      <w:r w:rsidR="004201E7">
        <w:rPr>
          <w:spacing w:val="-3"/>
        </w:rPr>
        <w:t>L-S</w:t>
      </w:r>
      <w:r w:rsidRPr="00DA1F76">
        <w:rPr>
          <w:spacing w:val="-3"/>
        </w:rPr>
        <w:t xml:space="preserve"> interface.  Case (c) is the critical condition.  It can easily be demonstrated that the interface will be stable for</w:t>
      </w:r>
    </w:p>
    <w:p w14:paraId="15883C46" w14:textId="77777777" w:rsidR="00015B17" w:rsidRDefault="00015B17" w:rsidP="00015B17">
      <w:pPr>
        <w:tabs>
          <w:tab w:val="left" w:pos="-720"/>
        </w:tabs>
        <w:suppressAutoHyphens/>
        <w:spacing w:line="360" w:lineRule="auto"/>
        <w:jc w:val="both"/>
        <w:rPr>
          <w:spacing w:val="-3"/>
        </w:rPr>
      </w:pPr>
      <w:r w:rsidRPr="00DA1F76">
        <w:rPr>
          <w:spacing w:val="-3"/>
        </w:rPr>
        <w:tab/>
      </w:r>
    </w:p>
    <w:p w14:paraId="267D0F31" w14:textId="77777777" w:rsidR="00015B17" w:rsidRDefault="00015B17" w:rsidP="00015B17">
      <w:pPr>
        <w:tabs>
          <w:tab w:val="left" w:pos="-720"/>
        </w:tabs>
        <w:suppressAutoHyphens/>
        <w:spacing w:line="360" w:lineRule="auto"/>
        <w:jc w:val="center"/>
        <w:rPr>
          <w:spacing w:val="-3"/>
          <w:position w:val="-24"/>
        </w:rPr>
      </w:pPr>
      <w:r w:rsidRPr="00B90B44">
        <w:rPr>
          <w:spacing w:val="-3"/>
          <w:position w:val="-30"/>
        </w:rPr>
        <w:object w:dxaOrig="1840" w:dyaOrig="680" w14:anchorId="1337B0D5">
          <v:shape id="_x0000_i1504" type="#_x0000_t75" style="width:92.55pt;height:33.65pt" o:ole="">
            <v:imagedata r:id="rId929" o:title=""/>
          </v:shape>
          <o:OLEObject Type="Embed" ProgID="Equation.DSMT4" ShapeID="_x0000_i1504" DrawAspect="Content" ObjectID="_1840627070" r:id="rId930"/>
        </w:object>
      </w:r>
      <w:r>
        <w:rPr>
          <w:spacing w:val="-3"/>
          <w:position w:val="-30"/>
        </w:rPr>
        <w:tab/>
      </w:r>
      <w:r>
        <w:rPr>
          <w:spacing w:val="-3"/>
          <w:position w:val="-30"/>
        </w:rPr>
        <w:tab/>
      </w:r>
      <w:r>
        <w:rPr>
          <w:spacing w:val="-3"/>
          <w:position w:val="-30"/>
        </w:rPr>
        <w:tab/>
      </w:r>
      <w:r>
        <w:rPr>
          <w:spacing w:val="-3"/>
          <w:position w:val="-24"/>
        </w:rPr>
        <w:t>(6.29)</w:t>
      </w:r>
    </w:p>
    <w:p w14:paraId="26BC8266" w14:textId="77777777" w:rsidR="00015B17" w:rsidRDefault="00015B17" w:rsidP="00015B17">
      <w:pPr>
        <w:tabs>
          <w:tab w:val="left" w:pos="-720"/>
        </w:tabs>
        <w:suppressAutoHyphens/>
        <w:spacing w:line="360" w:lineRule="auto"/>
        <w:jc w:val="center"/>
        <w:rPr>
          <w:spacing w:val="-3"/>
        </w:rPr>
      </w:pPr>
    </w:p>
    <w:p w14:paraId="28E3545B" w14:textId="77777777" w:rsidR="00015B17" w:rsidRPr="00DA1F76" w:rsidRDefault="00015B17" w:rsidP="00015B17">
      <w:pPr>
        <w:tabs>
          <w:tab w:val="left" w:pos="-720"/>
        </w:tabs>
        <w:suppressAutoHyphens/>
        <w:spacing w:line="360" w:lineRule="auto"/>
        <w:rPr>
          <w:spacing w:val="-3"/>
        </w:rPr>
      </w:pPr>
      <w:r w:rsidRPr="00DA1F76">
        <w:rPr>
          <w:spacing w:val="-3"/>
        </w:rPr>
        <w:lastRenderedPageBreak/>
        <w:t>Even though the stability criterion derived from this simple method is very similar to that derived from the more complex treatment, it does not yield any information about the size scale of the instability.</w:t>
      </w:r>
    </w:p>
    <w:p w14:paraId="3427DD9C" w14:textId="77777777" w:rsidR="00015B17" w:rsidRPr="00DA1F76" w:rsidRDefault="00015B17" w:rsidP="00015B17">
      <w:pPr>
        <w:tabs>
          <w:tab w:val="left" w:pos="-720"/>
        </w:tabs>
        <w:suppressAutoHyphens/>
        <w:spacing w:line="360" w:lineRule="auto"/>
        <w:jc w:val="both"/>
        <w:rPr>
          <w:spacing w:val="-3"/>
        </w:rPr>
      </w:pPr>
      <w:r w:rsidRPr="00DA1F76">
        <w:rPr>
          <w:spacing w:val="-3"/>
        </w:rPr>
        <w:tab/>
      </w:r>
    </w:p>
    <w:p w14:paraId="786D6623" w14:textId="09197225" w:rsidR="00015B17" w:rsidRPr="00DA1F76" w:rsidRDefault="00015B17" w:rsidP="00015B17">
      <w:pPr>
        <w:tabs>
          <w:tab w:val="left" w:pos="-720"/>
        </w:tabs>
        <w:suppressAutoHyphens/>
        <w:spacing w:line="360" w:lineRule="auto"/>
        <w:jc w:val="both"/>
        <w:rPr>
          <w:spacing w:val="-3"/>
        </w:rPr>
      </w:pPr>
      <w:r w:rsidRPr="00DA1F76">
        <w:rPr>
          <w:b/>
          <w:bCs/>
          <w:spacing w:val="-3"/>
        </w:rPr>
        <w:t>6.4.3 Experiments</w:t>
      </w:r>
    </w:p>
    <w:p w14:paraId="17F43CF6" w14:textId="77777777" w:rsidR="00015B17" w:rsidRPr="00DA1F76" w:rsidRDefault="00015B17" w:rsidP="00015B17">
      <w:pPr>
        <w:tabs>
          <w:tab w:val="left" w:pos="-720"/>
        </w:tabs>
        <w:suppressAutoHyphens/>
        <w:spacing w:line="360" w:lineRule="auto"/>
        <w:jc w:val="both"/>
        <w:rPr>
          <w:spacing w:val="-3"/>
        </w:rPr>
      </w:pPr>
    </w:p>
    <w:p w14:paraId="0FD360BE" w14:textId="184279D5" w:rsidR="00015B17" w:rsidRDefault="00015B17" w:rsidP="00015B17">
      <w:pPr>
        <w:tabs>
          <w:tab w:val="left" w:pos="-720"/>
        </w:tabs>
        <w:suppressAutoHyphens/>
        <w:spacing w:line="360" w:lineRule="auto"/>
        <w:rPr>
          <w:spacing w:val="-3"/>
        </w:rPr>
      </w:pPr>
      <w:r w:rsidRPr="00DA1F76">
        <w:rPr>
          <w:b/>
          <w:bCs/>
          <w:spacing w:val="-3"/>
        </w:rPr>
        <w:tab/>
        <w:t xml:space="preserve">Low </w:t>
      </w:r>
      <w:r w:rsidRPr="00DA1F76">
        <w:rPr>
          <w:b/>
          <w:bCs/>
          <w:i/>
          <w:iCs/>
          <w:spacing w:val="-3"/>
        </w:rPr>
        <w:t>V</w:t>
      </w:r>
      <w:r w:rsidRPr="00DA1F76">
        <w:rPr>
          <w:b/>
          <w:bCs/>
          <w:spacing w:val="-3"/>
        </w:rPr>
        <w:t xml:space="preserve"> </w:t>
      </w:r>
      <w:r>
        <w:rPr>
          <w:spacing w:val="-3"/>
        </w:rPr>
        <w:t>–</w:t>
      </w:r>
      <w:r w:rsidRPr="00DA1F76">
        <w:rPr>
          <w:spacing w:val="-3"/>
        </w:rPr>
        <w:t xml:space="preserve"> </w:t>
      </w:r>
      <w:r>
        <w:rPr>
          <w:spacing w:val="-3"/>
        </w:rPr>
        <w:t>From E</w:t>
      </w:r>
      <w:r w:rsidRPr="00DA1F76">
        <w:rPr>
          <w:spacing w:val="-3"/>
        </w:rPr>
        <w:t>q</w:t>
      </w:r>
      <w:r>
        <w:rPr>
          <w:spacing w:val="-3"/>
        </w:rPr>
        <w:t>n</w:t>
      </w:r>
      <w:r w:rsidRPr="00DA1F76">
        <w:rPr>
          <w:spacing w:val="-3"/>
        </w:rPr>
        <w:t xml:space="preserve">. </w:t>
      </w:r>
      <w:r>
        <w:rPr>
          <w:spacing w:val="-3"/>
        </w:rPr>
        <w:t>6.</w:t>
      </w:r>
      <w:r w:rsidR="00F50EE1">
        <w:rPr>
          <w:spacing w:val="-3"/>
        </w:rPr>
        <w:t>29</w:t>
      </w:r>
      <w:r>
        <w:rPr>
          <w:spacing w:val="-3"/>
        </w:rPr>
        <w:t>, t</w:t>
      </w:r>
      <w:r w:rsidRPr="00DA1F76">
        <w:rPr>
          <w:spacing w:val="-3"/>
        </w:rPr>
        <w:t xml:space="preserve">he decrease of the parameter </w:t>
      </w:r>
      <w:r w:rsidRPr="00DA1F76">
        <w:rPr>
          <w:i/>
          <w:iCs/>
          <w:spacing w:val="-3"/>
        </w:rPr>
        <w:t>G</w:t>
      </w:r>
      <w:r w:rsidRPr="00727E8A">
        <w:rPr>
          <w:spacing w:val="-3"/>
          <w:sz w:val="26"/>
          <w:vertAlign w:val="subscript"/>
        </w:rPr>
        <w:t>L</w:t>
      </w:r>
      <w:r w:rsidRPr="00DA1F76">
        <w:rPr>
          <w:spacing w:val="-3"/>
        </w:rPr>
        <w:t>/</w:t>
      </w:r>
      <w:r w:rsidRPr="00DA1F76">
        <w:rPr>
          <w:i/>
          <w:iCs/>
          <w:spacing w:val="-3"/>
        </w:rPr>
        <w:t>VC</w:t>
      </w:r>
      <w:r w:rsidRPr="00727E8A">
        <w:rPr>
          <w:spacing w:val="-3"/>
          <w:sz w:val="26"/>
          <w:vertAlign w:val="subscript"/>
        </w:rPr>
        <w:t>0</w:t>
      </w:r>
      <w:r w:rsidRPr="00DA1F76">
        <w:rPr>
          <w:spacing w:val="-3"/>
        </w:rPr>
        <w:t xml:space="preserve"> controls</w:t>
      </w:r>
      <w:r>
        <w:rPr>
          <w:spacing w:val="-3"/>
        </w:rPr>
        <w:t xml:space="preserve"> </w:t>
      </w:r>
      <w:r w:rsidRPr="00DA1F76">
        <w:rPr>
          <w:spacing w:val="-3"/>
        </w:rPr>
        <w:t xml:space="preserve">the evolution of the </w:t>
      </w:r>
      <w:r w:rsidR="004201E7">
        <w:rPr>
          <w:spacing w:val="-3"/>
        </w:rPr>
        <w:t>L-S</w:t>
      </w:r>
      <w:r w:rsidRPr="00DA1F76">
        <w:rPr>
          <w:spacing w:val="-3"/>
        </w:rPr>
        <w:t xml:space="preserve"> interface from plane to </w:t>
      </w:r>
      <w:r>
        <w:rPr>
          <w:spacing w:val="-3"/>
        </w:rPr>
        <w:t xml:space="preserve">a corrugated form called cells and eventually to dendrites in some cases. Experimental </w:t>
      </w:r>
      <w:r w:rsidRPr="00DA1F76">
        <w:rPr>
          <w:spacing w:val="-3"/>
        </w:rPr>
        <w:t xml:space="preserve">techniques </w:t>
      </w:r>
      <w:r>
        <w:rPr>
          <w:spacing w:val="-3"/>
        </w:rPr>
        <w:t>used for metals can be</w:t>
      </w:r>
      <w:r w:rsidRPr="00DA1F76">
        <w:rPr>
          <w:spacing w:val="-3"/>
        </w:rPr>
        <w:t xml:space="preserve"> based on the fact that the interface instabilities produce a redistribution of solute that can reveal the origin and development of the instabilities</w:t>
      </w:r>
      <w:r>
        <w:rPr>
          <w:spacing w:val="-3"/>
        </w:rPr>
        <w:t xml:space="preserve"> in metallographic sections</w:t>
      </w:r>
      <w:r w:rsidRPr="00DA1F76">
        <w:rPr>
          <w:spacing w:val="-3"/>
        </w:rPr>
        <w:t>.</w:t>
      </w:r>
      <w:r>
        <w:rPr>
          <w:spacing w:val="-3"/>
        </w:rPr>
        <w:t xml:space="preserve"> For example, </w:t>
      </w:r>
      <w:r w:rsidRPr="00DA1F76">
        <w:rPr>
          <w:spacing w:val="-3"/>
        </w:rPr>
        <w:t xml:space="preserve">BILONI </w:t>
      </w:r>
      <w:r w:rsidRPr="00DA1F76">
        <w:rPr>
          <w:i/>
          <w:iCs/>
          <w:spacing w:val="-3"/>
        </w:rPr>
        <w:t>et al.</w:t>
      </w:r>
      <w:r w:rsidRPr="00DA1F76">
        <w:rPr>
          <w:spacing w:val="-3"/>
        </w:rPr>
        <w:t xml:space="preserve"> [1965a]</w:t>
      </w:r>
      <w:r>
        <w:rPr>
          <w:spacing w:val="-3"/>
        </w:rPr>
        <w:t xml:space="preserve"> used </w:t>
      </w:r>
      <w:r w:rsidRPr="00DA1F76">
        <w:rPr>
          <w:spacing w:val="-3"/>
        </w:rPr>
        <w:t>anodic oxidation to produce interference colors</w:t>
      </w:r>
      <w:r>
        <w:rPr>
          <w:spacing w:val="-3"/>
        </w:rPr>
        <w:t xml:space="preserve"> to detect the </w:t>
      </w:r>
      <w:r w:rsidR="004F50A8">
        <w:rPr>
          <w:spacing w:val="-3"/>
        </w:rPr>
        <w:t xml:space="preserve">presence or </w:t>
      </w:r>
      <w:r>
        <w:rPr>
          <w:spacing w:val="-3"/>
        </w:rPr>
        <w:t xml:space="preserve">absence of cells in </w:t>
      </w:r>
      <w:r w:rsidRPr="00DA1F76">
        <w:rPr>
          <w:spacing w:val="-3"/>
        </w:rPr>
        <w:t>extremely dilute alloys such as 99.993</w:t>
      </w:r>
      <w:r w:rsidR="00BD6531">
        <w:rPr>
          <w:spacing w:val="-3"/>
        </w:rPr>
        <w:t xml:space="preserve"> </w:t>
      </w:r>
      <w:r w:rsidR="00BD6531" w:rsidRPr="003F345B">
        <w:rPr>
          <w:spacing w:val="-3"/>
        </w:rPr>
        <w:t>wt</w:t>
      </w:r>
      <w:r w:rsidRPr="00DA1F76">
        <w:rPr>
          <w:spacing w:val="-3"/>
        </w:rPr>
        <w:t>% and 99.9993</w:t>
      </w:r>
      <w:r w:rsidR="00BD6531">
        <w:rPr>
          <w:spacing w:val="-3"/>
        </w:rPr>
        <w:t xml:space="preserve"> </w:t>
      </w:r>
      <w:r w:rsidR="00BD6531" w:rsidRPr="003F345B">
        <w:rPr>
          <w:spacing w:val="-3"/>
        </w:rPr>
        <w:t>wt</w:t>
      </w:r>
      <w:r w:rsidRPr="00DA1F76">
        <w:rPr>
          <w:spacing w:val="-3"/>
        </w:rPr>
        <w:t>% purity Al</w:t>
      </w:r>
      <w:r>
        <w:rPr>
          <w:spacing w:val="-3"/>
        </w:rPr>
        <w:t>.</w:t>
      </w:r>
      <w:r w:rsidRPr="00DA1F76">
        <w:rPr>
          <w:spacing w:val="-3"/>
        </w:rPr>
        <w:t xml:space="preserve">  </w:t>
      </w:r>
      <w:r>
        <w:rPr>
          <w:spacing w:val="-3"/>
        </w:rPr>
        <w:t>Q</w:t>
      </w:r>
      <w:r w:rsidRPr="00DA1F76">
        <w:rPr>
          <w:spacing w:val="-3"/>
        </w:rPr>
        <w:t xml:space="preserve">uenching </w:t>
      </w:r>
      <w:r>
        <w:rPr>
          <w:spacing w:val="-3"/>
        </w:rPr>
        <w:t xml:space="preserve">can also be used to delineate the shape of the liquid solid interface in alloys and transparent organic metal analogues have also been successfully employed for in-situ observation of instability processes. </w:t>
      </w:r>
      <w:r w:rsidRPr="00DA1F76">
        <w:rPr>
          <w:spacing w:val="-3"/>
        </w:rPr>
        <w:t xml:space="preserve"> </w:t>
      </w:r>
    </w:p>
    <w:p w14:paraId="3B33156B" w14:textId="77777777" w:rsidR="00015B17" w:rsidRPr="00DA1F76" w:rsidRDefault="00015B17" w:rsidP="00015B17">
      <w:pPr>
        <w:tabs>
          <w:tab w:val="left" w:pos="-720"/>
        </w:tabs>
        <w:suppressAutoHyphens/>
        <w:spacing w:line="360" w:lineRule="auto"/>
        <w:rPr>
          <w:spacing w:val="-3"/>
        </w:rPr>
      </w:pPr>
      <w:r w:rsidRPr="00DA1F76">
        <w:rPr>
          <w:spacing w:val="-3"/>
        </w:rPr>
        <w:t xml:space="preserve"> </w:t>
      </w:r>
    </w:p>
    <w:p w14:paraId="31C96CC9" w14:textId="15FFE441" w:rsidR="00015B17" w:rsidRPr="00DA1F76" w:rsidRDefault="00015B17" w:rsidP="00015B17">
      <w:pPr>
        <w:tabs>
          <w:tab w:val="left" w:pos="-720"/>
        </w:tabs>
        <w:suppressAutoHyphens/>
        <w:spacing w:line="360" w:lineRule="auto"/>
        <w:rPr>
          <w:spacing w:val="-3"/>
        </w:rPr>
      </w:pPr>
      <w:r w:rsidRPr="00DA1F76">
        <w:rPr>
          <w:spacing w:val="-3"/>
        </w:rPr>
        <w:tab/>
        <w:t>Many authors have determined experimentally that the CS criterion corresponds reasonably well to the transition from plane to unstable interfaces (</w:t>
      </w:r>
      <w:r w:rsidR="00C36474" w:rsidRPr="00DA1F76">
        <w:rPr>
          <w:spacing w:val="-3"/>
        </w:rPr>
        <w:t>C</w:t>
      </w:r>
      <w:r w:rsidR="00C36474">
        <w:rPr>
          <w:spacing w:val="-3"/>
        </w:rPr>
        <w:t>halmers</w:t>
      </w:r>
      <w:r w:rsidR="00C36474" w:rsidRPr="00DA1F76">
        <w:rPr>
          <w:spacing w:val="-3"/>
        </w:rPr>
        <w:t xml:space="preserve"> </w:t>
      </w:r>
      <w:r w:rsidRPr="00DA1F76">
        <w:rPr>
          <w:spacing w:val="-3"/>
        </w:rPr>
        <w:t>[1964], (</w:t>
      </w:r>
      <w:r w:rsidR="00C36474" w:rsidRPr="00DA1F76">
        <w:rPr>
          <w:spacing w:val="-3"/>
        </w:rPr>
        <w:t>F</w:t>
      </w:r>
      <w:r w:rsidR="00C36474">
        <w:rPr>
          <w:spacing w:val="-3"/>
        </w:rPr>
        <w:t>lemings</w:t>
      </w:r>
      <w:r w:rsidR="00C36474" w:rsidRPr="00DA1F76">
        <w:rPr>
          <w:spacing w:val="-3"/>
        </w:rPr>
        <w:t xml:space="preserve"> </w:t>
      </w:r>
      <w:r w:rsidRPr="00DA1F76">
        <w:rPr>
          <w:spacing w:val="-3"/>
        </w:rPr>
        <w:t xml:space="preserve">[1974]).  </w:t>
      </w:r>
      <w:r w:rsidR="00C36474" w:rsidRPr="00DA1F76">
        <w:rPr>
          <w:spacing w:val="-3"/>
        </w:rPr>
        <w:t>B</w:t>
      </w:r>
      <w:r w:rsidR="00C36474">
        <w:rPr>
          <w:spacing w:val="-3"/>
        </w:rPr>
        <w:t>iloni</w:t>
      </w:r>
      <w:r w:rsidR="00C36474" w:rsidRPr="00DA1F76">
        <w:rPr>
          <w:spacing w:val="-3"/>
        </w:rPr>
        <w:t xml:space="preserve"> </w:t>
      </w:r>
      <w:r w:rsidRPr="00DA1F76">
        <w:rPr>
          <w:i/>
          <w:iCs/>
          <w:spacing w:val="-3"/>
        </w:rPr>
        <w:t>et al.</w:t>
      </w:r>
      <w:r w:rsidRPr="00DA1F76">
        <w:rPr>
          <w:spacing w:val="-3"/>
        </w:rPr>
        <w:t xml:space="preserve"> [1966], through critical experiments with Sn-Pb (</w:t>
      </w:r>
      <w:r w:rsidRPr="00DA1F76">
        <w:rPr>
          <w:i/>
          <w:iCs/>
          <w:spacing w:val="-3"/>
        </w:rPr>
        <w:t>k</w:t>
      </w:r>
      <w:r w:rsidRPr="00883A53">
        <w:rPr>
          <w:i/>
          <w:iCs/>
          <w:spacing w:val="-3"/>
          <w:sz w:val="26"/>
          <w:vertAlign w:val="superscript"/>
        </w:rPr>
        <w:t>E</w:t>
      </w:r>
      <w:r w:rsidRPr="00DA1F76">
        <w:rPr>
          <w:spacing w:val="-3"/>
        </w:rPr>
        <w:t xml:space="preserve"> &lt; 1) and Sn-Sb (</w:t>
      </w:r>
      <w:r w:rsidRPr="00DA1F76">
        <w:rPr>
          <w:i/>
          <w:iCs/>
          <w:spacing w:val="-3"/>
        </w:rPr>
        <w:t>k</w:t>
      </w:r>
      <w:r w:rsidRPr="00883A53">
        <w:rPr>
          <w:spacing w:val="-3"/>
          <w:sz w:val="26"/>
          <w:vertAlign w:val="superscript"/>
        </w:rPr>
        <w:t>E</w:t>
      </w:r>
      <w:r>
        <w:rPr>
          <w:spacing w:val="-3"/>
        </w:rPr>
        <w:t xml:space="preserve"> &gt;1) alloys, were among the </w:t>
      </w:r>
      <w:r w:rsidRPr="00DA1F76">
        <w:rPr>
          <w:spacing w:val="-3"/>
        </w:rPr>
        <w:t xml:space="preserve">first to establish that depressions at the </w:t>
      </w:r>
      <w:r w:rsidR="004201E7">
        <w:rPr>
          <w:spacing w:val="-3"/>
        </w:rPr>
        <w:t>L-S</w:t>
      </w:r>
      <w:r w:rsidRPr="00DA1F76">
        <w:rPr>
          <w:spacing w:val="-3"/>
        </w:rPr>
        <w:t xml:space="preserve"> interface rather than projections are the first sign of interface instability.  Current knowledge of the origin of the instability and its evolution can be summarized as follows:</w:t>
      </w:r>
    </w:p>
    <w:p w14:paraId="175F165E" w14:textId="0A5D389E" w:rsidR="00015B17" w:rsidRPr="00DA1F76" w:rsidRDefault="00015B17" w:rsidP="00015B17">
      <w:pPr>
        <w:tabs>
          <w:tab w:val="left" w:pos="-720"/>
        </w:tabs>
        <w:suppressAutoHyphens/>
        <w:spacing w:line="360" w:lineRule="auto"/>
        <w:rPr>
          <w:spacing w:val="-3"/>
        </w:rPr>
      </w:pPr>
      <w:r w:rsidRPr="00DA1F76">
        <w:rPr>
          <w:spacing w:val="-3"/>
        </w:rPr>
        <w:tab/>
        <w:t xml:space="preserve">(i) The first sign of instability is segregation associated with depressions at the interface: grain boundaries, striation boundaries and isolated depressions or </w:t>
      </w:r>
      <w:r w:rsidRPr="00DA1F76">
        <w:rPr>
          <w:i/>
          <w:iCs/>
          <w:spacing w:val="-3"/>
        </w:rPr>
        <w:t>nodes</w:t>
      </w:r>
      <w:r w:rsidRPr="00DA1F76">
        <w:rPr>
          <w:spacing w:val="-3"/>
        </w:rPr>
        <w:t>.  These nodes occur in an ordered arrangement in tetragonal Sn base alloys (</w:t>
      </w:r>
      <w:r w:rsidR="00C36474" w:rsidRPr="00DA1F76">
        <w:rPr>
          <w:spacing w:val="-3"/>
        </w:rPr>
        <w:t>B</w:t>
      </w:r>
      <w:r w:rsidR="00C36474">
        <w:rPr>
          <w:spacing w:val="-3"/>
        </w:rPr>
        <w:t>iloni</w:t>
      </w:r>
      <w:r w:rsidR="00C36474" w:rsidRPr="00DA1F76">
        <w:rPr>
          <w:spacing w:val="-3"/>
        </w:rPr>
        <w:t xml:space="preserve"> </w:t>
      </w:r>
      <w:r w:rsidRPr="00DA1F76">
        <w:rPr>
          <w:i/>
          <w:iCs/>
          <w:spacing w:val="-3"/>
        </w:rPr>
        <w:t>et al.</w:t>
      </w:r>
      <w:r w:rsidRPr="00DA1F76">
        <w:rPr>
          <w:spacing w:val="-3"/>
        </w:rPr>
        <w:t xml:space="preserve"> [1966]) and </w:t>
      </w:r>
      <w:r w:rsidR="00B36D3D">
        <w:rPr>
          <w:spacing w:val="-3"/>
        </w:rPr>
        <w:t>FCC</w:t>
      </w:r>
      <w:r w:rsidRPr="00DA1F76">
        <w:rPr>
          <w:spacing w:val="-3"/>
        </w:rPr>
        <w:t xml:space="preserve"> Pb-Sb alloys (</w:t>
      </w:r>
      <w:r w:rsidR="00C36474" w:rsidRPr="00DA1F76">
        <w:rPr>
          <w:spacing w:val="-3"/>
        </w:rPr>
        <w:t>M</w:t>
      </w:r>
      <w:r w:rsidR="00C36474">
        <w:rPr>
          <w:spacing w:val="-3"/>
        </w:rPr>
        <w:t>orris</w:t>
      </w:r>
      <w:r w:rsidR="00C36474" w:rsidRPr="00DA1F76">
        <w:rPr>
          <w:spacing w:val="-3"/>
        </w:rPr>
        <w:t xml:space="preserve"> </w:t>
      </w:r>
      <w:r w:rsidRPr="00DA1F76">
        <w:rPr>
          <w:spacing w:val="-3"/>
        </w:rPr>
        <w:t xml:space="preserve">and </w:t>
      </w:r>
      <w:r w:rsidR="00C36474" w:rsidRPr="00DA1F76">
        <w:rPr>
          <w:spacing w:val="-3"/>
        </w:rPr>
        <w:t>Winegard</w:t>
      </w:r>
      <w:r w:rsidRPr="00DA1F76">
        <w:rPr>
          <w:spacing w:val="-3"/>
        </w:rPr>
        <w:t xml:space="preserve"> [1969]).  However, in Zn-Cd hexagonal close-packed alloys, the first array of nodes is disordered (</w:t>
      </w:r>
      <w:r w:rsidR="00C36474" w:rsidRPr="00DA1F76">
        <w:rPr>
          <w:spacing w:val="-3"/>
        </w:rPr>
        <w:t>Audero</w:t>
      </w:r>
      <w:r w:rsidRPr="00DA1F76">
        <w:rPr>
          <w:spacing w:val="-3"/>
        </w:rPr>
        <w:t xml:space="preserve"> and </w:t>
      </w:r>
      <w:r w:rsidR="00C36474" w:rsidRPr="00DA1F76">
        <w:rPr>
          <w:spacing w:val="-3"/>
        </w:rPr>
        <w:t>B</w:t>
      </w:r>
      <w:r w:rsidR="00C36474">
        <w:rPr>
          <w:spacing w:val="-3"/>
        </w:rPr>
        <w:t>iloni</w:t>
      </w:r>
      <w:r w:rsidR="00C36474" w:rsidRPr="00DA1F76">
        <w:rPr>
          <w:spacing w:val="-3"/>
        </w:rPr>
        <w:t xml:space="preserve"> </w:t>
      </w:r>
      <w:r w:rsidRPr="00DA1F76">
        <w:rPr>
          <w:spacing w:val="-3"/>
        </w:rPr>
        <w:t>[1973]).  Alloy crystallography as well as crystal orientation have a large influence on the morphology of the interface formed after the breakdown of the planar interface.</w:t>
      </w:r>
    </w:p>
    <w:p w14:paraId="35E9C23B" w14:textId="18BFE70C" w:rsidR="00015B17" w:rsidRPr="00DA1F76" w:rsidRDefault="00015B17" w:rsidP="00015B17">
      <w:pPr>
        <w:tabs>
          <w:tab w:val="left" w:pos="-720"/>
        </w:tabs>
        <w:suppressAutoHyphens/>
        <w:spacing w:line="360" w:lineRule="auto"/>
        <w:rPr>
          <w:spacing w:val="-3"/>
        </w:rPr>
      </w:pPr>
      <w:r w:rsidRPr="00DA1F76">
        <w:rPr>
          <w:spacing w:val="-3"/>
        </w:rPr>
        <w:lastRenderedPageBreak/>
        <w:tab/>
        <w:t>(ii) The grooves associated with grain boundaries and striation boundaries act as built-in distortions of the plane front, and interface breakdowns begin here, spreading outward to other portions of the crystal (S</w:t>
      </w:r>
      <w:r w:rsidR="00C36474" w:rsidRPr="00DA1F76">
        <w:rPr>
          <w:spacing w:val="-3"/>
        </w:rPr>
        <w:t>chaefer</w:t>
      </w:r>
      <w:r w:rsidRPr="00DA1F76">
        <w:rPr>
          <w:spacing w:val="-3"/>
        </w:rPr>
        <w:t xml:space="preserve"> and G</w:t>
      </w:r>
      <w:r w:rsidR="00C36474" w:rsidRPr="00DA1F76">
        <w:rPr>
          <w:spacing w:val="-3"/>
        </w:rPr>
        <w:t>licksman</w:t>
      </w:r>
      <w:r w:rsidRPr="00DA1F76">
        <w:rPr>
          <w:spacing w:val="-3"/>
        </w:rPr>
        <w:t xml:space="preserve"> [1970]).  The same effect occurs adjacent to the container surface (</w:t>
      </w:r>
      <w:r w:rsidR="00C36474" w:rsidRPr="00DA1F76">
        <w:rPr>
          <w:spacing w:val="-3"/>
        </w:rPr>
        <w:t>S</w:t>
      </w:r>
      <w:r w:rsidR="00C36474">
        <w:rPr>
          <w:spacing w:val="-3"/>
        </w:rPr>
        <w:t>ato</w:t>
      </w:r>
      <w:r w:rsidR="00C36474" w:rsidRPr="00DA1F76">
        <w:rPr>
          <w:spacing w:val="-3"/>
        </w:rPr>
        <w:t xml:space="preserve"> </w:t>
      </w:r>
      <w:r w:rsidRPr="00DA1F76">
        <w:rPr>
          <w:spacing w:val="-3"/>
        </w:rPr>
        <w:t xml:space="preserve">and </w:t>
      </w:r>
      <w:r w:rsidR="00C36474" w:rsidRPr="00DA1F76">
        <w:rPr>
          <w:spacing w:val="-3"/>
        </w:rPr>
        <w:t>O</w:t>
      </w:r>
      <w:r w:rsidR="00C36474">
        <w:rPr>
          <w:spacing w:val="-3"/>
        </w:rPr>
        <w:t>hira</w:t>
      </w:r>
      <w:r w:rsidR="00C36474" w:rsidRPr="00DA1F76">
        <w:rPr>
          <w:spacing w:val="-3"/>
        </w:rPr>
        <w:t xml:space="preserve"> </w:t>
      </w:r>
      <w:r w:rsidRPr="00DA1F76">
        <w:rPr>
          <w:spacing w:val="-3"/>
        </w:rPr>
        <w:t>[1977]).</w:t>
      </w:r>
    </w:p>
    <w:p w14:paraId="63CD201B" w14:textId="0BC9DECB" w:rsidR="00015B17" w:rsidRDefault="00015B17" w:rsidP="00015B17">
      <w:pPr>
        <w:tabs>
          <w:tab w:val="left" w:pos="-720"/>
        </w:tabs>
        <w:suppressAutoHyphens/>
        <w:spacing w:line="360" w:lineRule="auto"/>
        <w:rPr>
          <w:spacing w:val="-3"/>
        </w:rPr>
      </w:pPr>
      <w:r w:rsidRPr="00DA1F76">
        <w:rPr>
          <w:spacing w:val="-3"/>
        </w:rPr>
        <w:tab/>
        <w:t>(iii) The evolution from nodes or depressions at the interface into a regular or hexagonal substructure is obtained as the CS increases. This occurs by the formation of interface depressions that connect the nodes to initially form elongated cells and finally a hexagonal arrangement. This process depends on the alloy crystallography (</w:t>
      </w:r>
      <w:r w:rsidR="00C36474" w:rsidRPr="00DA1F76">
        <w:rPr>
          <w:spacing w:val="-3"/>
        </w:rPr>
        <w:t>M</w:t>
      </w:r>
      <w:r w:rsidR="00C36474">
        <w:rPr>
          <w:spacing w:val="-3"/>
        </w:rPr>
        <w:t>orris</w:t>
      </w:r>
      <w:r w:rsidR="00C36474" w:rsidRPr="00DA1F76">
        <w:rPr>
          <w:spacing w:val="-3"/>
        </w:rPr>
        <w:t xml:space="preserve"> </w:t>
      </w:r>
      <w:r w:rsidRPr="00DA1F76">
        <w:rPr>
          <w:spacing w:val="-3"/>
        </w:rPr>
        <w:t xml:space="preserve">and </w:t>
      </w:r>
      <w:r w:rsidR="00C36474" w:rsidRPr="00DA1F76">
        <w:rPr>
          <w:spacing w:val="-3"/>
        </w:rPr>
        <w:t>Winegard</w:t>
      </w:r>
      <w:r w:rsidRPr="00DA1F76">
        <w:rPr>
          <w:spacing w:val="-3"/>
        </w:rPr>
        <w:t xml:space="preserve"> [1969]), (</w:t>
      </w:r>
      <w:bookmarkStart w:id="2" w:name="OLE_LINK1"/>
      <w:bookmarkStart w:id="3" w:name="OLE_LINK2"/>
      <w:r w:rsidR="00C36474">
        <w:rPr>
          <w:spacing w:val="-3"/>
        </w:rPr>
        <w:t>Biloni</w:t>
      </w:r>
      <w:bookmarkEnd w:id="2"/>
      <w:bookmarkEnd w:id="3"/>
      <w:r w:rsidR="00C36474" w:rsidRPr="00DA1F76">
        <w:rPr>
          <w:spacing w:val="-3"/>
        </w:rPr>
        <w:t xml:space="preserve"> </w:t>
      </w:r>
      <w:r w:rsidRPr="00DA1F76">
        <w:rPr>
          <w:i/>
          <w:iCs/>
          <w:spacing w:val="-3"/>
        </w:rPr>
        <w:t>et al.</w:t>
      </w:r>
      <w:r w:rsidRPr="00DA1F76">
        <w:rPr>
          <w:spacing w:val="-3"/>
        </w:rPr>
        <w:t xml:space="preserve"> [1965b]), (</w:t>
      </w:r>
      <w:r w:rsidR="00C36474">
        <w:rPr>
          <w:spacing w:val="-3"/>
        </w:rPr>
        <w:t>Biloni</w:t>
      </w:r>
      <w:r w:rsidRPr="00DA1F76">
        <w:rPr>
          <w:spacing w:val="-3"/>
        </w:rPr>
        <w:t xml:space="preserve"> </w:t>
      </w:r>
      <w:r w:rsidRPr="00DA1F76">
        <w:rPr>
          <w:i/>
          <w:iCs/>
          <w:spacing w:val="-3"/>
        </w:rPr>
        <w:t>et al.</w:t>
      </w:r>
      <w:r w:rsidRPr="00DA1F76">
        <w:rPr>
          <w:spacing w:val="-3"/>
        </w:rPr>
        <w:t xml:space="preserve"> [1967]), (</w:t>
      </w:r>
      <w:r w:rsidR="00C36474" w:rsidRPr="00DA1F76">
        <w:rPr>
          <w:spacing w:val="-3"/>
        </w:rPr>
        <w:t>A</w:t>
      </w:r>
      <w:r w:rsidR="00C36474">
        <w:rPr>
          <w:spacing w:val="-3"/>
        </w:rPr>
        <w:t>udero</w:t>
      </w:r>
      <w:r w:rsidR="00C36474" w:rsidRPr="00DA1F76">
        <w:rPr>
          <w:spacing w:val="-3"/>
        </w:rPr>
        <w:t xml:space="preserve"> </w:t>
      </w:r>
      <w:r w:rsidRPr="00DA1F76">
        <w:rPr>
          <w:spacing w:val="-3"/>
        </w:rPr>
        <w:t xml:space="preserve">and </w:t>
      </w:r>
      <w:r w:rsidR="00C36474">
        <w:rPr>
          <w:spacing w:val="-3"/>
        </w:rPr>
        <w:t>Biloni</w:t>
      </w:r>
      <w:r w:rsidRPr="00DA1F76">
        <w:rPr>
          <w:spacing w:val="-3"/>
        </w:rPr>
        <w:t xml:space="preserve"> [1973]).  Fig. </w:t>
      </w:r>
      <w:r>
        <w:rPr>
          <w:spacing w:val="-3"/>
        </w:rPr>
        <w:t>6.5</w:t>
      </w:r>
      <w:r w:rsidRPr="00DA1F76">
        <w:rPr>
          <w:spacing w:val="-3"/>
        </w:rPr>
        <w:t xml:space="preserve"> corresponds to the evolution from a planar interface to a cellular interface shown by the shape of the decanted interface and by metallographic sectioning slightly behind the interface.</w:t>
      </w:r>
    </w:p>
    <w:p w14:paraId="4F55A15F" w14:textId="77777777" w:rsidR="00015B17" w:rsidRPr="00DA1F76" w:rsidRDefault="00015B17" w:rsidP="00015B17">
      <w:pPr>
        <w:tabs>
          <w:tab w:val="left" w:pos="-720"/>
        </w:tabs>
        <w:suppressAutoHyphens/>
        <w:spacing w:line="360" w:lineRule="auto"/>
        <w:rPr>
          <w:spacing w:val="-3"/>
        </w:rPr>
      </w:pPr>
    </w:p>
    <w:p w14:paraId="231C9321" w14:textId="6191499C" w:rsidR="00015B17" w:rsidRPr="00DA1F76" w:rsidRDefault="00015B17" w:rsidP="00015B17">
      <w:pPr>
        <w:tabs>
          <w:tab w:val="left" w:pos="-720"/>
        </w:tabs>
        <w:suppressAutoHyphens/>
        <w:spacing w:line="360" w:lineRule="auto"/>
        <w:rPr>
          <w:spacing w:val="-3"/>
        </w:rPr>
      </w:pPr>
      <w:r w:rsidRPr="00DA1F76">
        <w:rPr>
          <w:b/>
          <w:bCs/>
          <w:spacing w:val="-3"/>
        </w:rPr>
        <w:tab/>
      </w:r>
      <w:r w:rsidRPr="00DA1F76">
        <w:rPr>
          <w:b/>
          <w:bCs/>
          <w:spacing w:val="-3"/>
        </w:rPr>
        <w:tab/>
        <w:t xml:space="preserve">High </w:t>
      </w:r>
      <w:r w:rsidRPr="00DA1F76">
        <w:rPr>
          <w:b/>
          <w:bCs/>
          <w:i/>
          <w:iCs/>
          <w:spacing w:val="-3"/>
        </w:rPr>
        <w:t>V</w:t>
      </w:r>
      <w:r w:rsidRPr="00DA1F76">
        <w:rPr>
          <w:b/>
          <w:bCs/>
          <w:spacing w:val="-3"/>
        </w:rPr>
        <w:t xml:space="preserve"> </w:t>
      </w:r>
      <w:r w:rsidRPr="00DA1F76">
        <w:rPr>
          <w:spacing w:val="-3"/>
        </w:rPr>
        <w:t xml:space="preserve">- </w:t>
      </w:r>
      <w:r>
        <w:rPr>
          <w:spacing w:val="-3"/>
        </w:rPr>
        <w:t>Rapid solidification can</w:t>
      </w:r>
      <w:r w:rsidRPr="00DA1F76">
        <w:rPr>
          <w:spacing w:val="-3"/>
        </w:rPr>
        <w:t xml:space="preserve"> produce microstructures free of cellular and dendritic segregation</w:t>
      </w:r>
      <w:r w:rsidR="00C36474">
        <w:rPr>
          <w:spacing w:val="-3"/>
        </w:rPr>
        <w:t>.</w:t>
      </w:r>
      <w:r>
        <w:rPr>
          <w:spacing w:val="-3"/>
        </w:rPr>
        <w:t xml:space="preserve"> </w:t>
      </w:r>
      <w:r w:rsidRPr="00DA1F76">
        <w:rPr>
          <w:spacing w:val="-3"/>
        </w:rPr>
        <w:t xml:space="preserve"> </w:t>
      </w:r>
      <w:r>
        <w:rPr>
          <w:spacing w:val="-3"/>
        </w:rPr>
        <w:t xml:space="preserve">Absolute stability predicts that by </w:t>
      </w:r>
      <w:r w:rsidRPr="00DA1F76">
        <w:rPr>
          <w:spacing w:val="-3"/>
        </w:rPr>
        <w:t>increasing the interface velocity</w:t>
      </w:r>
      <w:r w:rsidR="00C36474">
        <w:rPr>
          <w:spacing w:val="-3"/>
        </w:rPr>
        <w:t>,</w:t>
      </w:r>
      <w:r w:rsidRPr="00DA1F76">
        <w:rPr>
          <w:spacing w:val="-3"/>
        </w:rPr>
        <w:t xml:space="preserve"> </w:t>
      </w:r>
      <w:r>
        <w:rPr>
          <w:spacing w:val="-3"/>
        </w:rPr>
        <w:t>a transition to plane front growth is possible</w:t>
      </w:r>
      <w:r w:rsidR="00C36474">
        <w:rPr>
          <w:spacing w:val="-3"/>
        </w:rPr>
        <w:t xml:space="preserve"> and thus </w:t>
      </w:r>
      <w:r w:rsidR="003F2790">
        <w:rPr>
          <w:spacing w:val="-3"/>
        </w:rPr>
        <w:t xml:space="preserve">producing </w:t>
      </w:r>
      <w:r w:rsidR="00C36474">
        <w:rPr>
          <w:spacing w:val="-3"/>
        </w:rPr>
        <w:t>microsegregation –free solidification</w:t>
      </w:r>
      <w:r w:rsidRPr="00DA1F76">
        <w:rPr>
          <w:spacing w:val="-3"/>
        </w:rPr>
        <w:t xml:space="preserve">. </w:t>
      </w:r>
      <w:r w:rsidR="00C36474" w:rsidRPr="00DA1F76">
        <w:rPr>
          <w:spacing w:val="-3"/>
        </w:rPr>
        <w:t>N</w:t>
      </w:r>
      <w:r w:rsidR="00C36474">
        <w:rPr>
          <w:spacing w:val="-3"/>
        </w:rPr>
        <w:t>arayan</w:t>
      </w:r>
      <w:r w:rsidR="00C36474" w:rsidRPr="00DA1F76">
        <w:rPr>
          <w:spacing w:val="-3"/>
        </w:rPr>
        <w:t xml:space="preserve"> </w:t>
      </w:r>
      <w:r w:rsidRPr="00DA1F76">
        <w:rPr>
          <w:spacing w:val="-3"/>
        </w:rPr>
        <w:t xml:space="preserve">[1982] summarized the morphological stability results obtained with pulsed laser melting and resolidification in Si alloys. The transition velocities observed were in the m/s range and good agreement with the predictions of the absolute stability velocity if the velocity dependent value of the partition coefficient was used (see section 6.4.4). </w:t>
      </w:r>
      <w:r w:rsidR="00C36474" w:rsidRPr="00DA1F76">
        <w:rPr>
          <w:spacing w:val="-3"/>
        </w:rPr>
        <w:t>B</w:t>
      </w:r>
      <w:r w:rsidR="00C36474">
        <w:rPr>
          <w:spacing w:val="-3"/>
        </w:rPr>
        <w:t>oettinger</w:t>
      </w:r>
      <w:r w:rsidR="00C36474" w:rsidRPr="00DA1F76">
        <w:rPr>
          <w:spacing w:val="-3"/>
        </w:rPr>
        <w:t xml:space="preserve"> </w:t>
      </w:r>
      <w:r w:rsidRPr="00DA1F76">
        <w:rPr>
          <w:i/>
          <w:iCs/>
          <w:spacing w:val="-3"/>
        </w:rPr>
        <w:t>et al.</w:t>
      </w:r>
      <w:r w:rsidRPr="00DA1F76">
        <w:rPr>
          <w:spacing w:val="-3"/>
        </w:rPr>
        <w:t xml:space="preserve"> [1984] showed that in Ag-1 and 5 at% Cu alloys, a transition from cellular structures to plane front growth could be obtained by increasing the growth velocity beyond 0.3 and 0.6 m/s, respectively. These velocities are a factor of two larger than the calculated absolute stability values. However in view of the uncertain materials parameters, the agreement is reasonable. </w:t>
      </w:r>
      <w:r w:rsidR="00C36474" w:rsidRPr="00DA1F76">
        <w:rPr>
          <w:spacing w:val="-3"/>
        </w:rPr>
        <w:t>Hoaglund</w:t>
      </w:r>
      <w:r w:rsidRPr="00DA1F76">
        <w:rPr>
          <w:spacing w:val="-3"/>
        </w:rPr>
        <w:t xml:space="preserve"> </w:t>
      </w:r>
      <w:r w:rsidRPr="00DA1F76">
        <w:rPr>
          <w:i/>
          <w:iCs/>
          <w:spacing w:val="-3"/>
        </w:rPr>
        <w:t>et al.</w:t>
      </w:r>
      <w:r w:rsidRPr="00DA1F76">
        <w:rPr>
          <w:spacing w:val="-3"/>
        </w:rPr>
        <w:t xml:space="preserve"> [1991] performed a detailed study using pulsed laser melting and resolidification of Si-Sn alloys. Fig. </w:t>
      </w:r>
      <w:r>
        <w:rPr>
          <w:spacing w:val="-3"/>
        </w:rPr>
        <w:t>6.6</w:t>
      </w:r>
      <w:r w:rsidRPr="00DA1F76">
        <w:rPr>
          <w:spacing w:val="-3"/>
        </w:rPr>
        <w:t xml:space="preserve"> shows the values of</w:t>
      </w:r>
      <w:r w:rsidRPr="00DA1F76">
        <w:rPr>
          <w:i/>
          <w:iCs/>
          <w:spacing w:val="-3"/>
        </w:rPr>
        <w:t xml:space="preserve"> k(V)</w:t>
      </w:r>
      <w:r w:rsidRPr="00DA1F76">
        <w:rPr>
          <w:spacing w:val="-3"/>
        </w:rPr>
        <w:t xml:space="preserve"> determined and the fit to the morphological stability theory using these measured values of </w:t>
      </w:r>
      <w:r w:rsidRPr="00DA1F76">
        <w:rPr>
          <w:i/>
          <w:iCs/>
          <w:spacing w:val="-3"/>
        </w:rPr>
        <w:t>k(V)</w:t>
      </w:r>
      <w:r w:rsidRPr="00DA1F76">
        <w:rPr>
          <w:spacing w:val="-3"/>
        </w:rPr>
        <w:t>.</w:t>
      </w:r>
      <w:r>
        <w:rPr>
          <w:spacing w:val="-3"/>
        </w:rPr>
        <w:t xml:space="preserve"> Ludwig and Kurz [1996] directly observed the stabilization of a planar interface as the solidification velocity was increased in a transparent succinonitrile-argon alloy. </w:t>
      </w:r>
    </w:p>
    <w:p w14:paraId="1A4515C2" w14:textId="77777777" w:rsidR="00015B17" w:rsidRPr="00DA1F76" w:rsidRDefault="00015B17" w:rsidP="00015B17">
      <w:pPr>
        <w:tabs>
          <w:tab w:val="left" w:pos="-720"/>
        </w:tabs>
        <w:suppressAutoHyphens/>
        <w:spacing w:line="360" w:lineRule="auto"/>
        <w:rPr>
          <w:spacing w:val="-3"/>
        </w:rPr>
      </w:pPr>
    </w:p>
    <w:p w14:paraId="676072DD" w14:textId="303CA386" w:rsidR="00015B17" w:rsidRPr="00DA1F76" w:rsidRDefault="00015B17" w:rsidP="00015B17">
      <w:pPr>
        <w:tabs>
          <w:tab w:val="left" w:pos="-720"/>
        </w:tabs>
        <w:suppressAutoHyphens/>
        <w:spacing w:line="360" w:lineRule="auto"/>
        <w:rPr>
          <w:spacing w:val="-3"/>
        </w:rPr>
      </w:pPr>
      <w:r w:rsidRPr="00DA1F76">
        <w:rPr>
          <w:b/>
          <w:bCs/>
          <w:spacing w:val="-3"/>
        </w:rPr>
        <w:t>6.4.4 Further theoretical developments</w:t>
      </w:r>
    </w:p>
    <w:p w14:paraId="7A237BBF" w14:textId="77777777" w:rsidR="00015B17" w:rsidRPr="00DA1F76" w:rsidRDefault="00015B17" w:rsidP="00015B17">
      <w:pPr>
        <w:tabs>
          <w:tab w:val="left" w:pos="-720"/>
        </w:tabs>
        <w:suppressAutoHyphens/>
        <w:spacing w:line="360" w:lineRule="auto"/>
        <w:rPr>
          <w:spacing w:val="-3"/>
        </w:rPr>
      </w:pPr>
    </w:p>
    <w:p w14:paraId="3E4F4B11" w14:textId="77777777" w:rsidR="00015B17" w:rsidRDefault="00015B17" w:rsidP="00015B17">
      <w:pPr>
        <w:tabs>
          <w:tab w:val="left" w:pos="-720"/>
        </w:tabs>
        <w:suppressAutoHyphens/>
        <w:spacing w:line="360" w:lineRule="auto"/>
        <w:rPr>
          <w:spacing w:val="-3"/>
        </w:rPr>
      </w:pPr>
      <w:r w:rsidRPr="00DA1F76">
        <w:rPr>
          <w:spacing w:val="-3"/>
        </w:rPr>
        <w:tab/>
        <w:t xml:space="preserve">The </w:t>
      </w:r>
      <w:r>
        <w:rPr>
          <w:spacing w:val="-3"/>
        </w:rPr>
        <w:t>m</w:t>
      </w:r>
      <w:r w:rsidRPr="00DA1F76">
        <w:rPr>
          <w:spacing w:val="-3"/>
        </w:rPr>
        <w:t xml:space="preserve">orphological stability theory </w:t>
      </w:r>
      <w:r>
        <w:rPr>
          <w:spacing w:val="-3"/>
        </w:rPr>
        <w:t>was</w:t>
      </w:r>
      <w:r w:rsidRPr="00DA1F76">
        <w:rPr>
          <w:spacing w:val="-3"/>
        </w:rPr>
        <w:t xml:space="preserve"> extended to include nonequilibrium solute trapping by </w:t>
      </w:r>
      <w:r w:rsidR="00C36474" w:rsidRPr="00DA1F76">
        <w:rPr>
          <w:spacing w:val="-3"/>
        </w:rPr>
        <w:t>Coriell</w:t>
      </w:r>
      <w:r w:rsidRPr="00DA1F76">
        <w:rPr>
          <w:spacing w:val="-3"/>
        </w:rPr>
        <w:t xml:space="preserve"> and S</w:t>
      </w:r>
      <w:r w:rsidR="00C36474" w:rsidRPr="00DA1F76">
        <w:rPr>
          <w:spacing w:val="-3"/>
        </w:rPr>
        <w:t>ekerka</w:t>
      </w:r>
      <w:r w:rsidRPr="00DA1F76">
        <w:rPr>
          <w:spacing w:val="-3"/>
        </w:rPr>
        <w:t xml:space="preserve"> [1983]. Complex temporally oscillatory instabilities are found.  A first order approximation of the results suggests that the absolute stability condition is modified by substituting the</w:t>
      </w:r>
      <w:r w:rsidRPr="00DA1F76">
        <w:rPr>
          <w:i/>
          <w:iCs/>
          <w:spacing w:val="-3"/>
        </w:rPr>
        <w:t xml:space="preserve"> k(V)</w:t>
      </w:r>
      <w:r w:rsidRPr="00DA1F76">
        <w:rPr>
          <w:spacing w:val="-3"/>
        </w:rPr>
        <w:t xml:space="preserve"> expression from </w:t>
      </w:r>
      <w:r>
        <w:rPr>
          <w:spacing w:val="-3"/>
        </w:rPr>
        <w:t>E</w:t>
      </w:r>
      <w:r w:rsidRPr="00DA1F76">
        <w:rPr>
          <w:spacing w:val="-3"/>
        </w:rPr>
        <w:t>q</w:t>
      </w:r>
      <w:r>
        <w:rPr>
          <w:spacing w:val="-3"/>
        </w:rPr>
        <w:t>n</w:t>
      </w:r>
      <w:r w:rsidRPr="00DA1F76">
        <w:rPr>
          <w:spacing w:val="-3"/>
        </w:rPr>
        <w:t xml:space="preserve">. </w:t>
      </w:r>
      <w:r>
        <w:rPr>
          <w:spacing w:val="-3"/>
        </w:rPr>
        <w:t>5.</w:t>
      </w:r>
      <w:r w:rsidR="00A11457">
        <w:rPr>
          <w:spacing w:val="-3"/>
        </w:rPr>
        <w:t>1</w:t>
      </w:r>
      <w:r>
        <w:rPr>
          <w:spacing w:val="-3"/>
        </w:rPr>
        <w:t>7</w:t>
      </w:r>
      <w:r w:rsidRPr="00DA1F76">
        <w:rPr>
          <w:spacing w:val="-3"/>
        </w:rPr>
        <w:t xml:space="preserve"> into </w:t>
      </w:r>
      <w:r>
        <w:rPr>
          <w:spacing w:val="-3"/>
        </w:rPr>
        <w:t>E</w:t>
      </w:r>
      <w:r w:rsidRPr="00DA1F76">
        <w:rPr>
          <w:spacing w:val="-3"/>
        </w:rPr>
        <w:t>q</w:t>
      </w:r>
      <w:r>
        <w:rPr>
          <w:spacing w:val="-3"/>
        </w:rPr>
        <w:t>n</w:t>
      </w:r>
      <w:r w:rsidRPr="00DA1F76">
        <w:rPr>
          <w:spacing w:val="-3"/>
        </w:rPr>
        <w:t xml:space="preserve">. </w:t>
      </w:r>
      <w:r>
        <w:rPr>
          <w:spacing w:val="-3"/>
        </w:rPr>
        <w:t>6.</w:t>
      </w:r>
      <w:r w:rsidR="00A11457">
        <w:rPr>
          <w:spacing w:val="-3"/>
        </w:rPr>
        <w:t>26</w:t>
      </w:r>
      <w:r w:rsidR="00A11457" w:rsidRPr="00DA1F76">
        <w:rPr>
          <w:spacing w:val="-3"/>
        </w:rPr>
        <w:t xml:space="preserve"> </w:t>
      </w:r>
      <w:r w:rsidRPr="00DA1F76">
        <w:rPr>
          <w:spacing w:val="-3"/>
        </w:rPr>
        <w:t>and solving implicitly for the critical velocity. This effect reduces the absolute stability velocity compared to what would be calculated on the basis of an equilibrium partition coefficient. The oscillatory instabilities exposed in this analysis and in more detailed studies  are related to the banded microstructures observed at high solidification velocities (B</w:t>
      </w:r>
      <w:r w:rsidR="00C36474" w:rsidRPr="00DA1F76">
        <w:rPr>
          <w:spacing w:val="-3"/>
        </w:rPr>
        <w:t>oettinger</w:t>
      </w:r>
      <w:r w:rsidRPr="00DA1F76">
        <w:rPr>
          <w:spacing w:val="-3"/>
        </w:rPr>
        <w:t xml:space="preserve"> </w:t>
      </w:r>
      <w:r w:rsidRPr="00DA1F76">
        <w:rPr>
          <w:i/>
          <w:iCs/>
          <w:spacing w:val="-3"/>
        </w:rPr>
        <w:t>et al.</w:t>
      </w:r>
      <w:r w:rsidRPr="00DA1F76">
        <w:rPr>
          <w:spacing w:val="-3"/>
        </w:rPr>
        <w:t xml:space="preserve"> [1984]) (See §8.1.7). Other modifications to the linear stability theory include extension to multicomponent alloys (C</w:t>
      </w:r>
      <w:r w:rsidR="00C36474" w:rsidRPr="00DA1F76">
        <w:rPr>
          <w:spacing w:val="-3"/>
        </w:rPr>
        <w:t>oriell</w:t>
      </w:r>
      <w:r w:rsidRPr="00DA1F76">
        <w:rPr>
          <w:spacing w:val="-3"/>
        </w:rPr>
        <w:t xml:space="preserve"> </w:t>
      </w:r>
      <w:r w:rsidRPr="00DA1F76">
        <w:rPr>
          <w:i/>
          <w:iCs/>
          <w:spacing w:val="-3"/>
        </w:rPr>
        <w:t>et al.</w:t>
      </w:r>
      <w:r w:rsidRPr="00DA1F76">
        <w:rPr>
          <w:spacing w:val="-3"/>
        </w:rPr>
        <w:t xml:space="preserve"> [1987]), anisotropic thermal conductivities (C</w:t>
      </w:r>
      <w:r w:rsidR="00C36474" w:rsidRPr="00DA1F76">
        <w:rPr>
          <w:spacing w:val="-3"/>
        </w:rPr>
        <w:t>oriell</w:t>
      </w:r>
      <w:r w:rsidRPr="00DA1F76">
        <w:rPr>
          <w:spacing w:val="-3"/>
        </w:rPr>
        <w:t xml:space="preserve"> </w:t>
      </w:r>
      <w:r w:rsidRPr="00DA1F76">
        <w:rPr>
          <w:i/>
          <w:iCs/>
          <w:spacing w:val="-3"/>
        </w:rPr>
        <w:t>et al.</w:t>
      </w:r>
      <w:r w:rsidRPr="00DA1F76">
        <w:rPr>
          <w:spacing w:val="-3"/>
        </w:rPr>
        <w:t xml:space="preserve"> [1990]), </w:t>
      </w:r>
      <w:r w:rsidR="004F50A8">
        <w:rPr>
          <w:spacing w:val="-3"/>
        </w:rPr>
        <w:t xml:space="preserve">and </w:t>
      </w:r>
      <w:r w:rsidRPr="00DA1F76">
        <w:rPr>
          <w:spacing w:val="-3"/>
        </w:rPr>
        <w:t>modification of the latent heat due to heat of mixing effects (N</w:t>
      </w:r>
      <w:r w:rsidR="00C36474" w:rsidRPr="00DA1F76">
        <w:rPr>
          <w:spacing w:val="-3"/>
        </w:rPr>
        <w:t>andapurkar</w:t>
      </w:r>
      <w:r w:rsidRPr="00DA1F76">
        <w:rPr>
          <w:spacing w:val="-3"/>
        </w:rPr>
        <w:t xml:space="preserve"> and P</w:t>
      </w:r>
      <w:r w:rsidR="00C36474" w:rsidRPr="00DA1F76">
        <w:rPr>
          <w:spacing w:val="-3"/>
        </w:rPr>
        <w:t>oirier</w:t>
      </w:r>
      <w:r w:rsidRPr="00DA1F76">
        <w:rPr>
          <w:spacing w:val="-3"/>
        </w:rPr>
        <w:t xml:space="preserve"> [1988].</w:t>
      </w:r>
    </w:p>
    <w:p w14:paraId="02FFAE9C" w14:textId="77777777" w:rsidR="00015B17" w:rsidRPr="00DA1F76" w:rsidRDefault="00015B17" w:rsidP="00015B17">
      <w:pPr>
        <w:tabs>
          <w:tab w:val="left" w:pos="-720"/>
        </w:tabs>
        <w:suppressAutoHyphens/>
        <w:spacing w:line="360" w:lineRule="auto"/>
        <w:rPr>
          <w:spacing w:val="-3"/>
        </w:rPr>
      </w:pPr>
    </w:p>
    <w:p w14:paraId="25DA4B93" w14:textId="2CC5D74C" w:rsidR="00015B17" w:rsidRDefault="00015B17" w:rsidP="00015B17">
      <w:pPr>
        <w:tabs>
          <w:tab w:val="left" w:pos="-720"/>
        </w:tabs>
        <w:suppressAutoHyphens/>
        <w:spacing w:line="360" w:lineRule="auto"/>
        <w:rPr>
          <w:spacing w:val="-3"/>
        </w:rPr>
      </w:pPr>
      <w:r w:rsidRPr="00DA1F76">
        <w:rPr>
          <w:spacing w:val="-3"/>
        </w:rPr>
        <w:tab/>
        <w:t>Methods for dealing with finite amplitude perturbations and the transition to cellular structures near the lower critical velocity corresponding to the constitutional supercooling condition have been summarized by C</w:t>
      </w:r>
      <w:r w:rsidR="00C36474" w:rsidRPr="00DA1F76">
        <w:rPr>
          <w:spacing w:val="-3"/>
        </w:rPr>
        <w:t>oriell</w:t>
      </w:r>
      <w:r w:rsidRPr="00DA1F76">
        <w:rPr>
          <w:spacing w:val="-3"/>
        </w:rPr>
        <w:t xml:space="preserve"> </w:t>
      </w:r>
      <w:r w:rsidRPr="00DA1F76">
        <w:rPr>
          <w:i/>
          <w:iCs/>
          <w:spacing w:val="-3"/>
        </w:rPr>
        <w:t>et al.</w:t>
      </w:r>
      <w:r w:rsidRPr="00DA1F76">
        <w:rPr>
          <w:spacing w:val="-3"/>
        </w:rPr>
        <w:t xml:space="preserve"> [1985]. Two types of behavior are found depending primarily on the value of the partition coefficient (W</w:t>
      </w:r>
      <w:r w:rsidR="00C36474" w:rsidRPr="00DA1F76">
        <w:rPr>
          <w:spacing w:val="-3"/>
        </w:rPr>
        <w:t>ollkind</w:t>
      </w:r>
      <w:r w:rsidRPr="00DA1F76">
        <w:rPr>
          <w:spacing w:val="-3"/>
        </w:rPr>
        <w:t xml:space="preserve"> and S</w:t>
      </w:r>
      <w:r w:rsidR="00C36474" w:rsidRPr="00DA1F76">
        <w:rPr>
          <w:spacing w:val="-3"/>
        </w:rPr>
        <w:t>egal</w:t>
      </w:r>
      <w:r w:rsidRPr="00DA1F76">
        <w:rPr>
          <w:spacing w:val="-3"/>
        </w:rPr>
        <w:t xml:space="preserve"> [1970], C</w:t>
      </w:r>
      <w:r w:rsidR="00C36474" w:rsidRPr="00DA1F76">
        <w:rPr>
          <w:spacing w:val="-3"/>
        </w:rPr>
        <w:t xml:space="preserve">aroli </w:t>
      </w:r>
      <w:r w:rsidRPr="00DA1F76">
        <w:rPr>
          <w:i/>
          <w:iCs/>
          <w:spacing w:val="-3"/>
        </w:rPr>
        <w:t>et al.</w:t>
      </w:r>
      <w:r w:rsidRPr="00DA1F76">
        <w:rPr>
          <w:spacing w:val="-3"/>
        </w:rPr>
        <w:t xml:space="preserve"> [1982]). If</w:t>
      </w:r>
      <w:r w:rsidRPr="00DA1F76">
        <w:rPr>
          <w:i/>
          <w:iCs/>
          <w:spacing w:val="-3"/>
        </w:rPr>
        <w:t xml:space="preserve"> k</w:t>
      </w:r>
      <w:r w:rsidRPr="00883A53">
        <w:rPr>
          <w:i/>
          <w:iCs/>
          <w:spacing w:val="-3"/>
          <w:sz w:val="26"/>
          <w:vertAlign w:val="superscript"/>
        </w:rPr>
        <w:t xml:space="preserve">E </w:t>
      </w:r>
      <w:r>
        <w:rPr>
          <w:spacing w:val="-3"/>
        </w:rPr>
        <w:t xml:space="preserve"> </w:t>
      </w:r>
      <w:r w:rsidRPr="00DA1F76">
        <w:rPr>
          <w:spacing w:val="-3"/>
        </w:rPr>
        <w:t xml:space="preserve">is near unity, the transition (bifurcation) is supercritical; i.e., a small increase in the velocity past the critical value leads to interface shapes that are only slightly deformed. The wavelength of the instability is close to the fastest growing wavelength of the linear theory. For small values of </w:t>
      </w:r>
      <w:r w:rsidRPr="00DA1F76">
        <w:rPr>
          <w:i/>
          <w:iCs/>
          <w:spacing w:val="-3"/>
        </w:rPr>
        <w:t>k</w:t>
      </w:r>
      <w:r w:rsidRPr="00883A53">
        <w:rPr>
          <w:i/>
          <w:iCs/>
          <w:spacing w:val="-3"/>
          <w:sz w:val="26"/>
          <w:vertAlign w:val="superscript"/>
        </w:rPr>
        <w:t>E</w:t>
      </w:r>
      <w:r w:rsidRPr="00DA1F76">
        <w:rPr>
          <w:spacing w:val="-3"/>
        </w:rPr>
        <w:t xml:space="preserve">, the bifurcation is subcritical; i.e., a small increase above the critical value of the linear theory leads to interfaces deformed by a large amount. The wavelength is 2 to 4 times </w:t>
      </w:r>
      <w:r>
        <w:rPr>
          <w:spacing w:val="-3"/>
        </w:rPr>
        <w:t>larger</w:t>
      </w:r>
      <w:r w:rsidRPr="00DA1F76">
        <w:rPr>
          <w:spacing w:val="-3"/>
        </w:rPr>
        <w:t xml:space="preserve"> than the fastest growing wavelength predicted by linear theory</w:t>
      </w:r>
      <w:r>
        <w:rPr>
          <w:spacing w:val="-3"/>
        </w:rPr>
        <w:t xml:space="preserve"> [</w:t>
      </w:r>
      <w:r w:rsidRPr="005B2DA0">
        <w:rPr>
          <w:spacing w:val="-3"/>
        </w:rPr>
        <w:t>Somboonsu</w:t>
      </w:r>
      <w:r>
        <w:rPr>
          <w:spacing w:val="-3"/>
        </w:rPr>
        <w:t>k and Trivedi,</w:t>
      </w:r>
      <w:r w:rsidRPr="005B2DA0">
        <w:rPr>
          <w:spacing w:val="-3"/>
        </w:rPr>
        <w:t xml:space="preserve"> </w:t>
      </w:r>
      <w:r>
        <w:rPr>
          <w:spacing w:val="-3"/>
        </w:rPr>
        <w:t xml:space="preserve">1985]. </w:t>
      </w:r>
      <w:r w:rsidRPr="00DA1F76">
        <w:rPr>
          <w:spacing w:val="-3"/>
        </w:rPr>
        <w:t xml:space="preserve"> The available data on the planar to cellular transition have been reviewed by C</w:t>
      </w:r>
      <w:r w:rsidR="00C36474" w:rsidRPr="00DA1F76">
        <w:rPr>
          <w:spacing w:val="-3"/>
        </w:rPr>
        <w:t>heveigne</w:t>
      </w:r>
      <w:r w:rsidRPr="00DA1F76">
        <w:rPr>
          <w:spacing w:val="-3"/>
        </w:rPr>
        <w:t xml:space="preserve"> </w:t>
      </w:r>
      <w:r w:rsidRPr="00DA1F76">
        <w:rPr>
          <w:i/>
          <w:iCs/>
          <w:spacing w:val="-3"/>
        </w:rPr>
        <w:t>et al.</w:t>
      </w:r>
      <w:r w:rsidRPr="00DA1F76">
        <w:rPr>
          <w:spacing w:val="-3"/>
        </w:rPr>
        <w:t xml:space="preserve"> [1988]. Agreement with the above bifurcation concepts was demonstrated. However it has been argued by </w:t>
      </w:r>
      <w:r w:rsidR="00C36474" w:rsidRPr="00DA1F76">
        <w:rPr>
          <w:spacing w:val="-3"/>
        </w:rPr>
        <w:t>L</w:t>
      </w:r>
      <w:r w:rsidR="00C36474">
        <w:rPr>
          <w:spacing w:val="-3"/>
        </w:rPr>
        <w:t>ee</w:t>
      </w:r>
      <w:r w:rsidR="00C36474" w:rsidRPr="00DA1F76">
        <w:rPr>
          <w:spacing w:val="-3"/>
        </w:rPr>
        <w:t xml:space="preserve"> </w:t>
      </w:r>
      <w:r w:rsidRPr="00DA1F76">
        <w:rPr>
          <w:spacing w:val="-3"/>
        </w:rPr>
        <w:t xml:space="preserve">and </w:t>
      </w:r>
      <w:r w:rsidR="00C36474" w:rsidRPr="00DA1F76">
        <w:rPr>
          <w:spacing w:val="-3"/>
        </w:rPr>
        <w:t>B</w:t>
      </w:r>
      <w:r w:rsidR="00C36474">
        <w:rPr>
          <w:spacing w:val="-3"/>
        </w:rPr>
        <w:t>rown</w:t>
      </w:r>
      <w:r w:rsidR="00C36474" w:rsidRPr="00DA1F76">
        <w:rPr>
          <w:spacing w:val="-3"/>
        </w:rPr>
        <w:t xml:space="preserve"> </w:t>
      </w:r>
      <w:r w:rsidRPr="00DA1F76">
        <w:rPr>
          <w:spacing w:val="-3"/>
        </w:rPr>
        <w:t xml:space="preserve">[1993] that the range of velocity where the subcriticallity exists may be too small for experimental observation. They attribute the observation of spacings much smaller than the fastest growing wavelength to the fact that, at velocities only a few percent above the critical velocity, wavelengths up to factors of four smaller than the critical are also unstable. The </w:t>
      </w:r>
      <w:r w:rsidRPr="00DA1F76">
        <w:rPr>
          <w:spacing w:val="-3"/>
        </w:rPr>
        <w:lastRenderedPageBreak/>
        <w:t xml:space="preserve">instability of these smaller wavelengths is evident in the flatness of the bottom of the closed curve in Fig. </w:t>
      </w:r>
      <w:r>
        <w:rPr>
          <w:spacing w:val="-3"/>
        </w:rPr>
        <w:t>6.4</w:t>
      </w:r>
      <w:r w:rsidRPr="00DA1F76">
        <w:rPr>
          <w:spacing w:val="-3"/>
        </w:rPr>
        <w:t xml:space="preserve">c. Indeed the </w:t>
      </w:r>
      <w:r>
        <w:rPr>
          <w:spacing w:val="-3"/>
        </w:rPr>
        <w:t xml:space="preserve">behavior of the </w:t>
      </w:r>
      <w:r w:rsidRPr="00DA1F76">
        <w:rPr>
          <w:spacing w:val="-3"/>
        </w:rPr>
        <w:t>spacing and amplitude of cells that form very close to the critical velocity is very complex (E</w:t>
      </w:r>
      <w:r w:rsidR="00C36474" w:rsidRPr="00DA1F76">
        <w:rPr>
          <w:spacing w:val="-3"/>
        </w:rPr>
        <w:t>shelman</w:t>
      </w:r>
      <w:r w:rsidRPr="00DA1F76">
        <w:rPr>
          <w:spacing w:val="-3"/>
        </w:rPr>
        <w:t xml:space="preserve"> </w:t>
      </w:r>
      <w:r w:rsidRPr="00DA1F76">
        <w:rPr>
          <w:i/>
          <w:iCs/>
          <w:spacing w:val="-3"/>
        </w:rPr>
        <w:t>et al.</w:t>
      </w:r>
      <w:r w:rsidRPr="00DA1F76">
        <w:rPr>
          <w:spacing w:val="-3"/>
        </w:rPr>
        <w:t xml:space="preserve"> [1988]). However, few practical situations involve velocities that are so carefully controlled. </w:t>
      </w:r>
    </w:p>
    <w:p w14:paraId="42920306" w14:textId="77777777" w:rsidR="00015B17" w:rsidRDefault="00015B17" w:rsidP="00015B17">
      <w:pPr>
        <w:tabs>
          <w:tab w:val="left" w:pos="-720"/>
        </w:tabs>
        <w:suppressAutoHyphens/>
        <w:spacing w:line="360" w:lineRule="auto"/>
        <w:rPr>
          <w:spacing w:val="-3"/>
        </w:rPr>
      </w:pPr>
    </w:p>
    <w:p w14:paraId="768AC5A2" w14:textId="2B2ACF8A" w:rsidR="00015B17" w:rsidRDefault="00015B17" w:rsidP="00015B17">
      <w:pPr>
        <w:tabs>
          <w:tab w:val="left" w:pos="-720"/>
        </w:tabs>
        <w:suppressAutoHyphens/>
        <w:spacing w:line="360" w:lineRule="auto"/>
        <w:rPr>
          <w:spacing w:val="-3"/>
        </w:rPr>
      </w:pPr>
      <w:r>
        <w:rPr>
          <w:spacing w:val="-3"/>
        </w:rPr>
        <w:tab/>
        <w:t xml:space="preserve">An important theoretical contribution by Warren and Langer [1990 &amp; 1993] analyzed the development of the interface shape instability during the initial transient of solidification (see initial portion of Fig. 6.2c) rather than its development from the steady state situation where the solute profile is described by Eqn. 6.16. The analysis predicts a spacing for the growing perturbations that is larger than the fastest growing wavelength of the steady state analysis </w:t>
      </w:r>
      <w:r w:rsidR="00C36474">
        <w:rPr>
          <w:spacing w:val="-3"/>
        </w:rPr>
        <w:t xml:space="preserve">in agreement with the observations of </w:t>
      </w:r>
      <w:r>
        <w:rPr>
          <w:spacing w:val="-3"/>
        </w:rPr>
        <w:t>Somb</w:t>
      </w:r>
      <w:r w:rsidR="00CC453A">
        <w:rPr>
          <w:spacing w:val="-3"/>
        </w:rPr>
        <w:t>oon</w:t>
      </w:r>
      <w:r>
        <w:rPr>
          <w:spacing w:val="-3"/>
        </w:rPr>
        <w:t>suk and Trivedi [</w:t>
      </w:r>
      <w:r w:rsidR="00F37088">
        <w:rPr>
          <w:spacing w:val="-3"/>
        </w:rPr>
        <w:t>198</w:t>
      </w:r>
      <w:r w:rsidR="00FF15F7">
        <w:rPr>
          <w:spacing w:val="-3"/>
        </w:rPr>
        <w:t>5</w:t>
      </w:r>
      <w:r>
        <w:rPr>
          <w:spacing w:val="-3"/>
        </w:rPr>
        <w:t xml:space="preserve">].  Further experimental confirmation of the approach was obtained by Losert et al. [1998a and 1998b]. </w:t>
      </w:r>
      <w:r w:rsidRPr="00DA1F76">
        <w:rPr>
          <w:spacing w:val="-3"/>
        </w:rPr>
        <w:t>A more detailed discussion of cell and dendrite shapes is deferred to § 7.</w:t>
      </w:r>
    </w:p>
    <w:p w14:paraId="44CCCA7E" w14:textId="77777777" w:rsidR="00015B17" w:rsidRPr="00DA1F76" w:rsidRDefault="00015B17" w:rsidP="00015B17">
      <w:pPr>
        <w:tabs>
          <w:tab w:val="left" w:pos="-720"/>
        </w:tabs>
        <w:suppressAutoHyphens/>
        <w:spacing w:line="360" w:lineRule="auto"/>
        <w:rPr>
          <w:spacing w:val="-3"/>
        </w:rPr>
      </w:pPr>
    </w:p>
    <w:p w14:paraId="7F811A50" w14:textId="215A1A5B" w:rsidR="00015B17" w:rsidRPr="00DA1F76" w:rsidRDefault="00015B17" w:rsidP="00015B17">
      <w:pPr>
        <w:tabs>
          <w:tab w:val="left" w:pos="-720"/>
        </w:tabs>
        <w:suppressAutoHyphens/>
        <w:spacing w:line="360" w:lineRule="auto"/>
        <w:rPr>
          <w:spacing w:val="-3"/>
        </w:rPr>
      </w:pPr>
      <w:r w:rsidRPr="00DA1F76">
        <w:rPr>
          <w:b/>
          <w:bCs/>
          <w:spacing w:val="-3"/>
        </w:rPr>
        <w:t>6.5 Coupled Interface and Fluid Flow Instabilities</w:t>
      </w:r>
    </w:p>
    <w:p w14:paraId="16DB6766" w14:textId="77777777" w:rsidR="00015B17" w:rsidRPr="00DA1F76" w:rsidRDefault="00015B17" w:rsidP="00015B17">
      <w:pPr>
        <w:tabs>
          <w:tab w:val="left" w:pos="-720"/>
        </w:tabs>
        <w:suppressAutoHyphens/>
        <w:spacing w:line="360" w:lineRule="auto"/>
        <w:rPr>
          <w:spacing w:val="-3"/>
        </w:rPr>
      </w:pPr>
    </w:p>
    <w:p w14:paraId="7A1A831A" w14:textId="77777777" w:rsidR="00015B17" w:rsidRDefault="00015B17" w:rsidP="00015B17">
      <w:pPr>
        <w:tabs>
          <w:tab w:val="left" w:pos="-720"/>
        </w:tabs>
        <w:suppressAutoHyphens/>
        <w:spacing w:line="360" w:lineRule="auto"/>
        <w:rPr>
          <w:spacing w:val="-3"/>
        </w:rPr>
      </w:pPr>
      <w:r w:rsidRPr="00DA1F76">
        <w:rPr>
          <w:spacing w:val="-3"/>
        </w:rPr>
        <w:tab/>
        <w:t xml:space="preserve">Fluid flow is often present during solidification and upsets the diffusion of solute and heat assumed above. </w:t>
      </w:r>
      <w:r>
        <w:rPr>
          <w:spacing w:val="-3"/>
        </w:rPr>
        <w:t>Thus f</w:t>
      </w:r>
      <w:r w:rsidRPr="00DA1F76">
        <w:rPr>
          <w:spacing w:val="-3"/>
        </w:rPr>
        <w:t>luid flow can alter the morphological stability of planar interfaces</w:t>
      </w:r>
      <w:r>
        <w:rPr>
          <w:spacing w:val="-3"/>
        </w:rPr>
        <w:t xml:space="preserve">. </w:t>
      </w:r>
      <w:r w:rsidRPr="00DA1F76">
        <w:rPr>
          <w:spacing w:val="-3"/>
        </w:rPr>
        <w:t xml:space="preserve">Flow in the </w:t>
      </w:r>
      <w:r>
        <w:rPr>
          <w:spacing w:val="-3"/>
        </w:rPr>
        <w:t xml:space="preserve">dendritic </w:t>
      </w:r>
      <w:r w:rsidRPr="00DA1F76">
        <w:rPr>
          <w:spacing w:val="-3"/>
        </w:rPr>
        <w:t>mushy zone will be deferred to § 9.</w:t>
      </w:r>
    </w:p>
    <w:p w14:paraId="66246E7C" w14:textId="77777777" w:rsidR="00015B17" w:rsidRPr="00DA1F76" w:rsidRDefault="00015B17" w:rsidP="00015B17">
      <w:pPr>
        <w:tabs>
          <w:tab w:val="left" w:pos="-720"/>
        </w:tabs>
        <w:suppressAutoHyphens/>
        <w:spacing w:line="360" w:lineRule="auto"/>
        <w:rPr>
          <w:spacing w:val="-3"/>
        </w:rPr>
      </w:pPr>
    </w:p>
    <w:p w14:paraId="1EAF7692" w14:textId="78F0E8C4" w:rsidR="00015B17" w:rsidRDefault="00015B17" w:rsidP="00015B17">
      <w:pPr>
        <w:tabs>
          <w:tab w:val="left" w:pos="-720"/>
        </w:tabs>
        <w:suppressAutoHyphens/>
        <w:spacing w:line="360" w:lineRule="auto"/>
        <w:rPr>
          <w:spacing w:val="-3"/>
        </w:rPr>
      </w:pPr>
      <w:r w:rsidRPr="00DA1F76">
        <w:rPr>
          <w:spacing w:val="-3"/>
        </w:rPr>
        <w:tab/>
        <w:t>H</w:t>
      </w:r>
      <w:r w:rsidR="00C36474" w:rsidRPr="00DA1F76">
        <w:rPr>
          <w:spacing w:val="-3"/>
        </w:rPr>
        <w:t>urle</w:t>
      </w:r>
      <w:r w:rsidRPr="00DA1F76">
        <w:rPr>
          <w:spacing w:val="-3"/>
        </w:rPr>
        <w:t xml:space="preserve"> [1969] and C</w:t>
      </w:r>
      <w:r w:rsidR="00C36474" w:rsidRPr="00DA1F76">
        <w:rPr>
          <w:spacing w:val="-3"/>
        </w:rPr>
        <w:t>oriell</w:t>
      </w:r>
      <w:r w:rsidRPr="00DA1F76">
        <w:rPr>
          <w:spacing w:val="-3"/>
        </w:rPr>
        <w:t xml:space="preserve"> </w:t>
      </w:r>
      <w:r w:rsidRPr="00DA1F76">
        <w:rPr>
          <w:i/>
          <w:iCs/>
          <w:spacing w:val="-3"/>
        </w:rPr>
        <w:t>et al.</w:t>
      </w:r>
      <w:r w:rsidRPr="00DA1F76">
        <w:rPr>
          <w:spacing w:val="-3"/>
        </w:rPr>
        <w:t xml:space="preserve"> [1976] first treated the impact of fluid flow on interface stability using the simple boundary layer approach described in § 6.2.</w:t>
      </w:r>
      <w:r w:rsidR="003F2790">
        <w:rPr>
          <w:spacing w:val="-3"/>
        </w:rPr>
        <w:t>4</w:t>
      </w:r>
      <w:r w:rsidRPr="00DA1F76">
        <w:rPr>
          <w:spacing w:val="-3"/>
        </w:rPr>
        <w:t xml:space="preserve">. The thickness of the diffusion boundary layer, </w:t>
      </w:r>
      <w:r w:rsidRPr="00D4568A">
        <w:rPr>
          <w:spacing w:val="-3"/>
          <w:position w:val="-10"/>
        </w:rPr>
        <w:object w:dxaOrig="300" w:dyaOrig="340" w14:anchorId="5A878E1B">
          <v:shape id="_x0000_i1505" type="#_x0000_t75" style="width:14.95pt;height:16.85pt" o:ole="">
            <v:imagedata r:id="rId931" o:title=""/>
          </v:shape>
          <o:OLEObject Type="Embed" ProgID="Equation.DSMT4" ShapeID="_x0000_i1505" DrawAspect="Content" ObjectID="_1840627071" r:id="rId932"/>
        </w:object>
      </w:r>
      <w:r w:rsidRPr="00DA1F76">
        <w:rPr>
          <w:spacing w:val="-3"/>
        </w:rPr>
        <w:t xml:space="preserve">, in front of the planar interface was reduced due to flow of an unspecified origin. </w:t>
      </w:r>
      <w:r>
        <w:rPr>
          <w:spacing w:val="-3"/>
        </w:rPr>
        <w:t>A reduction in the boundary layer thickness</w:t>
      </w:r>
      <w:r w:rsidRPr="00DA1F76">
        <w:rPr>
          <w:spacing w:val="-3"/>
        </w:rPr>
        <w:t xml:space="preserve"> increases the value</w:t>
      </w:r>
      <w:r w:rsidRPr="00DA1F76">
        <w:rPr>
          <w:i/>
          <w:iCs/>
          <w:spacing w:val="-3"/>
        </w:rPr>
        <w:t xml:space="preserve"> G</w:t>
      </w:r>
      <w:r w:rsidRPr="00727E8A">
        <w:rPr>
          <w:spacing w:val="-3"/>
          <w:sz w:val="26"/>
          <w:vertAlign w:val="subscript"/>
        </w:rPr>
        <w:t>c</w:t>
      </w:r>
      <w:r w:rsidRPr="00DA1F76">
        <w:rPr>
          <w:spacing w:val="-3"/>
        </w:rPr>
        <w:t xml:space="preserve"> </w:t>
      </w:r>
      <w:r>
        <w:rPr>
          <w:spacing w:val="-3"/>
        </w:rPr>
        <w:t xml:space="preserve">and </w:t>
      </w:r>
      <w:r w:rsidRPr="00DA1F76">
        <w:rPr>
          <w:spacing w:val="-3"/>
        </w:rPr>
        <w:t>alters the stability</w:t>
      </w:r>
      <w:r>
        <w:rPr>
          <w:spacing w:val="-3"/>
        </w:rPr>
        <w:t xml:space="preserve"> criterion </w:t>
      </w:r>
      <w:r w:rsidRPr="00DA1F76">
        <w:rPr>
          <w:spacing w:val="-3"/>
        </w:rPr>
        <w:t xml:space="preserve">simply through </w:t>
      </w:r>
      <w:r>
        <w:rPr>
          <w:spacing w:val="-3"/>
        </w:rPr>
        <w:t>E</w:t>
      </w:r>
      <w:r w:rsidRPr="00DA1F76">
        <w:rPr>
          <w:spacing w:val="-3"/>
        </w:rPr>
        <w:t>q</w:t>
      </w:r>
      <w:r>
        <w:rPr>
          <w:spacing w:val="-3"/>
        </w:rPr>
        <w:t>n</w:t>
      </w:r>
      <w:r w:rsidRPr="00DA1F76">
        <w:rPr>
          <w:spacing w:val="-3"/>
        </w:rPr>
        <w:t>. 6</w:t>
      </w:r>
      <w:r>
        <w:rPr>
          <w:spacing w:val="-3"/>
        </w:rPr>
        <w:t xml:space="preserve">.25 </w:t>
      </w:r>
      <w:r w:rsidRPr="00DA1F76">
        <w:rPr>
          <w:spacing w:val="-3"/>
        </w:rPr>
        <w:t xml:space="preserve">if </w:t>
      </w:r>
      <w:r w:rsidRPr="00D4568A">
        <w:rPr>
          <w:spacing w:val="-3"/>
          <w:position w:val="-10"/>
        </w:rPr>
        <w:object w:dxaOrig="300" w:dyaOrig="340" w14:anchorId="1D637A87">
          <v:shape id="_x0000_i1506" type="#_x0000_t75" style="width:14.95pt;height:16.85pt" o:ole="">
            <v:imagedata r:id="rId931" o:title=""/>
          </v:shape>
          <o:OLEObject Type="Embed" ProgID="Equation.DSMT4" ShapeID="_x0000_i1506" DrawAspect="Content" ObjectID="_1840627072" r:id="rId933"/>
        </w:object>
      </w:r>
      <w:r w:rsidRPr="00DA1F76">
        <w:rPr>
          <w:spacing w:val="-3"/>
        </w:rPr>
        <w:t xml:space="preserve"> </w:t>
      </w:r>
      <w:r>
        <w:rPr>
          <w:spacing w:val="-3"/>
        </w:rPr>
        <w:t xml:space="preserve">remains </w:t>
      </w:r>
      <w:r w:rsidRPr="00DA1F76">
        <w:rPr>
          <w:spacing w:val="-3"/>
        </w:rPr>
        <w:t>larger than the interface perturbation wavelength. F</w:t>
      </w:r>
      <w:r w:rsidR="00C36474" w:rsidRPr="00DA1F76">
        <w:rPr>
          <w:spacing w:val="-3"/>
        </w:rPr>
        <w:t>avier</w:t>
      </w:r>
      <w:r w:rsidRPr="00DA1F76">
        <w:rPr>
          <w:spacing w:val="-3"/>
        </w:rPr>
        <w:t xml:space="preserve"> and R</w:t>
      </w:r>
      <w:r w:rsidR="00C36474" w:rsidRPr="00DA1F76">
        <w:rPr>
          <w:spacing w:val="-3"/>
        </w:rPr>
        <w:t>ouzaud</w:t>
      </w:r>
      <w:r w:rsidRPr="00DA1F76">
        <w:rPr>
          <w:spacing w:val="-3"/>
        </w:rPr>
        <w:t xml:space="preserve"> [1983] improved this approach with a deformable boundary layer. </w:t>
      </w:r>
    </w:p>
    <w:p w14:paraId="4C648B9E" w14:textId="77777777" w:rsidR="00015B17" w:rsidRDefault="00015B17" w:rsidP="00015B17">
      <w:pPr>
        <w:tabs>
          <w:tab w:val="left" w:pos="-720"/>
        </w:tabs>
        <w:suppressAutoHyphens/>
        <w:spacing w:line="360" w:lineRule="auto"/>
        <w:rPr>
          <w:spacing w:val="-3"/>
        </w:rPr>
      </w:pPr>
    </w:p>
    <w:p w14:paraId="484CF84D" w14:textId="4D1E8F6E" w:rsidR="00015B17" w:rsidRDefault="00015B17" w:rsidP="00015B17">
      <w:pPr>
        <w:tabs>
          <w:tab w:val="left" w:pos="-720"/>
        </w:tabs>
        <w:suppressAutoHyphens/>
        <w:spacing w:line="360" w:lineRule="auto"/>
        <w:rPr>
          <w:spacing w:val="-3"/>
        </w:rPr>
      </w:pPr>
      <w:r w:rsidRPr="00DA1F76">
        <w:rPr>
          <w:spacing w:val="-3"/>
        </w:rPr>
        <w:tab/>
        <w:t xml:space="preserve">Complete coupling of the fluid flow and diffusion phenomena near a </w:t>
      </w:r>
      <w:r w:rsidR="004201E7">
        <w:rPr>
          <w:spacing w:val="-3"/>
        </w:rPr>
        <w:t>L-S</w:t>
      </w:r>
      <w:r w:rsidRPr="00DA1F76">
        <w:rPr>
          <w:spacing w:val="-3"/>
        </w:rPr>
        <w:t xml:space="preserve"> interface lead to many complex results that influence morphological and fluid stability. These have been summarized by C</w:t>
      </w:r>
      <w:r w:rsidR="00C36474" w:rsidRPr="00DA1F76">
        <w:rPr>
          <w:spacing w:val="-3"/>
        </w:rPr>
        <w:t>oriell</w:t>
      </w:r>
      <w:r w:rsidRPr="00DA1F76">
        <w:rPr>
          <w:spacing w:val="-3"/>
        </w:rPr>
        <w:t xml:space="preserve"> and McF</w:t>
      </w:r>
      <w:r w:rsidR="00C36474" w:rsidRPr="00DA1F76">
        <w:rPr>
          <w:spacing w:val="-3"/>
        </w:rPr>
        <w:t>adden</w:t>
      </w:r>
      <w:r w:rsidRPr="00DA1F76">
        <w:rPr>
          <w:spacing w:val="-3"/>
        </w:rPr>
        <w:t xml:space="preserve"> [1990]. When directional solidification is </w:t>
      </w:r>
      <w:r w:rsidRPr="00DA1F76">
        <w:rPr>
          <w:spacing w:val="-3"/>
        </w:rPr>
        <w:lastRenderedPageBreak/>
        <w:t>performed with the liquid above the solid, rejection of a less dense solute can cause a liquid density that increases with height near the interface if the temperature gradient is not sufficiently large</w:t>
      </w:r>
      <w:r w:rsidR="00FF15F7">
        <w:rPr>
          <w:spacing w:val="-3"/>
        </w:rPr>
        <w:t>.</w:t>
      </w:r>
      <w:r w:rsidRPr="00DA1F76">
        <w:rPr>
          <w:spacing w:val="-3"/>
        </w:rPr>
        <w:t xml:space="preserve"> </w:t>
      </w:r>
      <w:r w:rsidR="00FF15F7">
        <w:rPr>
          <w:spacing w:val="-3"/>
        </w:rPr>
        <w:t>This may</w:t>
      </w:r>
      <w:r w:rsidRPr="00DA1F76">
        <w:rPr>
          <w:spacing w:val="-3"/>
        </w:rPr>
        <w:t xml:space="preserve"> cause fluid flow</w:t>
      </w:r>
      <w:r w:rsidR="00FF15F7">
        <w:rPr>
          <w:spacing w:val="-3"/>
        </w:rPr>
        <w:t xml:space="preserve"> to occur</w:t>
      </w:r>
      <w:r w:rsidRPr="00DA1F76">
        <w:rPr>
          <w:spacing w:val="-3"/>
        </w:rPr>
        <w:t xml:space="preserve">. However even if the overall density decreases with height, convection can still occur when a light solute is rejected. This is termed </w:t>
      </w:r>
      <w:r w:rsidRPr="00DA1F76">
        <w:rPr>
          <w:i/>
          <w:iCs/>
          <w:spacing w:val="-3"/>
        </w:rPr>
        <w:t>double-diffusive convection</w:t>
      </w:r>
      <w:r w:rsidRPr="00DA1F76">
        <w:rPr>
          <w:spacing w:val="-3"/>
        </w:rPr>
        <w:t xml:space="preserve"> due to the fact that heat and solute diffuse with vastly different rates during the flow. A physical argument for the instability can be obtained by considering the forces that act on a small packet of liquid that is given a displacement upward away from the interface into a region of hotter fluid that contains less solute. Because heat transfer is more rapid than solute transfer, the packet will become hotter but remain approximately of the same composition. The displaced packet then finds itself surrounded by liquid of the same temperature but with less solute. The packet is thus less dense than its surroundings and continues to rise. Generally the wavelength of an unstable interface that forms due to the fluid instability </w:t>
      </w:r>
      <w:r w:rsidR="00AA0EB4">
        <w:rPr>
          <w:spacing w:val="-3"/>
        </w:rPr>
        <w:t>is</w:t>
      </w:r>
      <w:r w:rsidRPr="00DA1F76">
        <w:rPr>
          <w:spacing w:val="-3"/>
        </w:rPr>
        <w:t xml:space="preserve"> much larger than those of the ordinary morphological instability. However under some conditions, the wavelengths are comparable and complex time dependent oscillations can occur.</w:t>
      </w:r>
      <w:r>
        <w:rPr>
          <w:spacing w:val="-3"/>
        </w:rPr>
        <w:t xml:space="preserve"> Fully developed flow caused by density gradients during dendritic growth is described in </w:t>
      </w:r>
      <w:r w:rsidR="0053196F">
        <w:rPr>
          <w:spacing w:val="-3"/>
        </w:rPr>
        <w:t>§</w:t>
      </w:r>
      <w:r>
        <w:rPr>
          <w:spacing w:val="-3"/>
        </w:rPr>
        <w:t xml:space="preserve"> 9.</w:t>
      </w:r>
    </w:p>
    <w:p w14:paraId="4BDE7BE3" w14:textId="77777777" w:rsidR="00015B17" w:rsidRDefault="00015B17" w:rsidP="00015B17">
      <w:pPr>
        <w:tabs>
          <w:tab w:val="left" w:pos="-720"/>
        </w:tabs>
        <w:suppressAutoHyphens/>
        <w:spacing w:line="360" w:lineRule="auto"/>
        <w:rPr>
          <w:spacing w:val="-3"/>
        </w:rPr>
      </w:pPr>
    </w:p>
    <w:p w14:paraId="31438C1B" w14:textId="77777777" w:rsidR="00015B17" w:rsidRDefault="00015B17" w:rsidP="00015B17">
      <w:pPr>
        <w:tabs>
          <w:tab w:val="left" w:pos="-720"/>
        </w:tabs>
        <w:suppressAutoHyphens/>
        <w:spacing w:line="360" w:lineRule="auto"/>
        <w:rPr>
          <w:spacing w:val="-3"/>
        </w:rPr>
      </w:pPr>
      <w:r w:rsidRPr="00DA1F76">
        <w:rPr>
          <w:spacing w:val="-3"/>
        </w:rPr>
        <w:tab/>
        <w:t xml:space="preserve">Another case of instability can occur even when the rejected solute is denser than the solvent. Fig. </w:t>
      </w:r>
      <w:r>
        <w:rPr>
          <w:spacing w:val="-3"/>
        </w:rPr>
        <w:t>6.7</w:t>
      </w:r>
      <w:r w:rsidRPr="00DA1F76">
        <w:rPr>
          <w:spacing w:val="-3"/>
        </w:rPr>
        <w:t xml:space="preserve"> shows experiments by B</w:t>
      </w:r>
      <w:r w:rsidR="00C36474" w:rsidRPr="00DA1F76">
        <w:rPr>
          <w:spacing w:val="-3"/>
        </w:rPr>
        <w:t>urden</w:t>
      </w:r>
      <w:r w:rsidRPr="00DA1F76">
        <w:rPr>
          <w:spacing w:val="-3"/>
        </w:rPr>
        <w:t xml:space="preserve"> </w:t>
      </w:r>
      <w:r w:rsidRPr="00DA1F76">
        <w:rPr>
          <w:i/>
          <w:iCs/>
          <w:spacing w:val="-3"/>
        </w:rPr>
        <w:t>et al.</w:t>
      </w:r>
      <w:r w:rsidRPr="00DA1F76">
        <w:rPr>
          <w:spacing w:val="-3"/>
        </w:rPr>
        <w:t xml:space="preserve"> [1973] in which a macroscopic deformation of the </w:t>
      </w:r>
      <w:r w:rsidR="004201E7">
        <w:rPr>
          <w:spacing w:val="-3"/>
        </w:rPr>
        <w:t>L-S</w:t>
      </w:r>
      <w:r w:rsidRPr="00DA1F76">
        <w:rPr>
          <w:spacing w:val="-3"/>
        </w:rPr>
        <w:t xml:space="preserve"> interface was observed during growth at very slow rates (1 </w:t>
      </w:r>
      <w:r w:rsidRPr="001B068D">
        <w:rPr>
          <w:i/>
          <w:iCs/>
          <w:spacing w:val="-3"/>
        </w:rPr>
        <w:t>μm</w:t>
      </w:r>
      <w:r w:rsidR="006B70BA">
        <w:rPr>
          <w:spacing w:val="-3"/>
        </w:rPr>
        <w:t xml:space="preserve"> </w:t>
      </w:r>
      <w:r w:rsidR="006B70BA" w:rsidRPr="001B068D">
        <w:rPr>
          <w:i/>
          <w:iCs/>
          <w:spacing w:val="-3"/>
        </w:rPr>
        <w:t>s</w:t>
      </w:r>
      <w:r w:rsidR="006B70BA" w:rsidRPr="00883A53">
        <w:rPr>
          <w:spacing w:val="-3"/>
          <w:sz w:val="26"/>
          <w:vertAlign w:val="superscript"/>
        </w:rPr>
        <w:t>-1</w:t>
      </w:r>
      <w:r w:rsidRPr="00DA1F76">
        <w:rPr>
          <w:spacing w:val="-3"/>
        </w:rPr>
        <w:t>). Although these observations were made during cellular and dendritic growth, an analysis by C</w:t>
      </w:r>
      <w:r w:rsidR="00C36474" w:rsidRPr="00DA1F76">
        <w:rPr>
          <w:spacing w:val="-3"/>
        </w:rPr>
        <w:t>oriell</w:t>
      </w:r>
      <w:r w:rsidRPr="00DA1F76">
        <w:rPr>
          <w:spacing w:val="-3"/>
        </w:rPr>
        <w:t xml:space="preserve"> and McF</w:t>
      </w:r>
      <w:r w:rsidR="00C36474" w:rsidRPr="00DA1F76">
        <w:rPr>
          <w:spacing w:val="-3"/>
        </w:rPr>
        <w:t>adden</w:t>
      </w:r>
      <w:r w:rsidRPr="00DA1F76">
        <w:rPr>
          <w:spacing w:val="-3"/>
        </w:rPr>
        <w:t xml:space="preserve"> [1989] for a non</w:t>
      </w:r>
      <w:r>
        <w:rPr>
          <w:spacing w:val="-3"/>
        </w:rPr>
        <w:t>-</w:t>
      </w:r>
      <w:r w:rsidRPr="00DA1F76">
        <w:rPr>
          <w:spacing w:val="-3"/>
        </w:rPr>
        <w:t>cellular interface seems to apply</w:t>
      </w:r>
      <w:r>
        <w:rPr>
          <w:spacing w:val="-3"/>
        </w:rPr>
        <w:t xml:space="preserve"> in this case.</w:t>
      </w:r>
      <w:r w:rsidRPr="00DA1F76">
        <w:rPr>
          <w:spacing w:val="-3"/>
        </w:rPr>
        <w:t xml:space="preserve"> Instabilit</w:t>
      </w:r>
      <w:r>
        <w:rPr>
          <w:spacing w:val="-3"/>
        </w:rPr>
        <w:t>ies</w:t>
      </w:r>
      <w:r w:rsidRPr="00DA1F76">
        <w:rPr>
          <w:spacing w:val="-3"/>
        </w:rPr>
        <w:t xml:space="preserve"> occurred for wavelengths of the order of millimeters in this case and were determined to be due primarily to the difference in thermal conductivity of the liquid and solid phases. A physical explanation involves the creation of a slight radial temperature gradient when a long wavelength perturbation is present. This induces a flow that ultimately leads to the denser solute accumulating in the depressions in the interface. In the experiments of B</w:t>
      </w:r>
      <w:r w:rsidR="00C36474" w:rsidRPr="00DA1F76">
        <w:rPr>
          <w:spacing w:val="-3"/>
        </w:rPr>
        <w:t>urden</w:t>
      </w:r>
      <w:r w:rsidRPr="00DA1F76">
        <w:rPr>
          <w:spacing w:val="-3"/>
        </w:rPr>
        <w:t xml:space="preserve"> </w:t>
      </w:r>
      <w:r w:rsidRPr="00DA1F76">
        <w:rPr>
          <w:i/>
          <w:iCs/>
          <w:spacing w:val="-3"/>
        </w:rPr>
        <w:t>et al.</w:t>
      </w:r>
      <w:r>
        <w:rPr>
          <w:i/>
          <w:iCs/>
          <w:spacing w:val="-3"/>
        </w:rPr>
        <w:t xml:space="preserve"> </w:t>
      </w:r>
      <w:r w:rsidRPr="00DA1F76">
        <w:rPr>
          <w:spacing w:val="-3"/>
        </w:rPr>
        <w:t>[1973], these depressions occurred at the walls of the container and the wavelength was approximately twice the container diameter.</w:t>
      </w:r>
    </w:p>
    <w:p w14:paraId="0762BD15" w14:textId="77777777" w:rsidR="00015B17" w:rsidRPr="00DA1F76" w:rsidRDefault="00015B17" w:rsidP="00015B17">
      <w:pPr>
        <w:tabs>
          <w:tab w:val="left" w:pos="-720"/>
        </w:tabs>
        <w:suppressAutoHyphens/>
        <w:spacing w:line="360" w:lineRule="auto"/>
        <w:rPr>
          <w:spacing w:val="-3"/>
        </w:rPr>
      </w:pPr>
    </w:p>
    <w:p w14:paraId="71FC76DD" w14:textId="77777777" w:rsidR="00D83B91" w:rsidRDefault="00015B17" w:rsidP="00015B17">
      <w:pPr>
        <w:tabs>
          <w:tab w:val="left" w:pos="-720"/>
        </w:tabs>
        <w:suppressAutoHyphens/>
        <w:spacing w:line="360" w:lineRule="auto"/>
        <w:rPr>
          <w:spacing w:val="-3"/>
        </w:rPr>
      </w:pPr>
      <w:r w:rsidRPr="00DA1F76">
        <w:rPr>
          <w:spacing w:val="-3"/>
        </w:rPr>
        <w:lastRenderedPageBreak/>
        <w:tab/>
        <w:t>M</w:t>
      </w:r>
      <w:r w:rsidR="00C36474" w:rsidRPr="00DA1F76">
        <w:rPr>
          <w:spacing w:val="-3"/>
        </w:rPr>
        <w:t>urray</w:t>
      </w:r>
      <w:r w:rsidRPr="00DA1F76">
        <w:rPr>
          <w:spacing w:val="-3"/>
        </w:rPr>
        <w:t xml:space="preserve"> </w:t>
      </w:r>
      <w:r w:rsidRPr="00DA1F76">
        <w:rPr>
          <w:i/>
          <w:iCs/>
          <w:spacing w:val="-3"/>
        </w:rPr>
        <w:t>et al.</w:t>
      </w:r>
      <w:r w:rsidRPr="00DA1F76">
        <w:rPr>
          <w:spacing w:val="-3"/>
        </w:rPr>
        <w:t xml:space="preserve"> [1991] studied the effect of time variations of the gravitational force during solutal convection. In the context of experiments in microgravity, this research permits an assessment of the effects of so-called</w:t>
      </w:r>
      <w:r w:rsidRPr="00DA1F76">
        <w:rPr>
          <w:i/>
          <w:iCs/>
          <w:spacing w:val="-3"/>
        </w:rPr>
        <w:t xml:space="preserve"> g-jitter</w:t>
      </w:r>
      <w:r w:rsidRPr="00DA1F76">
        <w:rPr>
          <w:spacing w:val="-3"/>
        </w:rPr>
        <w:t xml:space="preserve"> that occurs during space flight. In space, surface tension driven flows can also become important.</w:t>
      </w:r>
    </w:p>
    <w:p w14:paraId="7D68EAE0" w14:textId="77777777" w:rsidR="00015B17" w:rsidRDefault="00D83B91" w:rsidP="00015B17">
      <w:pPr>
        <w:tabs>
          <w:tab w:val="left" w:pos="-720"/>
        </w:tabs>
        <w:suppressAutoHyphens/>
        <w:spacing w:line="360" w:lineRule="auto"/>
        <w:rPr>
          <w:spacing w:val="-3"/>
        </w:rPr>
      </w:pPr>
      <w:r>
        <w:rPr>
          <w:spacing w:val="-3"/>
        </w:rPr>
        <w:br w:type="page"/>
      </w:r>
    </w:p>
    <w:p w14:paraId="3D079779" w14:textId="77777777" w:rsidR="00015B17" w:rsidRDefault="00015B17" w:rsidP="00015B17">
      <w:pPr>
        <w:suppressAutoHyphens/>
        <w:spacing w:line="360" w:lineRule="auto"/>
        <w:jc w:val="center"/>
        <w:rPr>
          <w:b/>
          <w:bCs/>
          <w:sz w:val="28"/>
          <w:szCs w:val="28"/>
        </w:rPr>
      </w:pPr>
      <w:r>
        <w:rPr>
          <w:b/>
          <w:bCs/>
          <w:i/>
          <w:iCs/>
          <w:sz w:val="23"/>
          <w:szCs w:val="23"/>
        </w:rPr>
        <w:lastRenderedPageBreak/>
        <w:t>7.</w:t>
      </w:r>
      <w:r>
        <w:rPr>
          <w:b/>
          <w:bCs/>
          <w:i/>
          <w:iCs/>
          <w:sz w:val="28"/>
          <w:szCs w:val="28"/>
        </w:rPr>
        <w:t xml:space="preserve"> Cellular and Dendritic Solidification</w:t>
      </w:r>
      <w:r>
        <w:rPr>
          <w:b/>
          <w:bCs/>
          <w:sz w:val="28"/>
          <w:szCs w:val="28"/>
        </w:rPr>
        <w:t xml:space="preserve"> </w:t>
      </w:r>
    </w:p>
    <w:p w14:paraId="674ADFC9" w14:textId="77777777" w:rsidR="00015B17" w:rsidRDefault="00015B17" w:rsidP="00015B17">
      <w:pPr>
        <w:suppressAutoHyphens/>
        <w:spacing w:line="360" w:lineRule="auto"/>
        <w:jc w:val="both"/>
        <w:rPr>
          <w:spacing w:val="-3"/>
          <w:sz w:val="28"/>
          <w:szCs w:val="28"/>
        </w:rPr>
      </w:pPr>
    </w:p>
    <w:p w14:paraId="3E781243" w14:textId="28713BEA" w:rsidR="00015B17" w:rsidRDefault="00015B17" w:rsidP="00015B17">
      <w:pPr>
        <w:suppressAutoHyphens/>
        <w:spacing w:line="360" w:lineRule="auto"/>
        <w:rPr>
          <w:spacing w:val="-3"/>
        </w:rPr>
      </w:pPr>
      <w:r>
        <w:rPr>
          <w:spacing w:val="-3"/>
        </w:rPr>
        <w:tab/>
        <w:t>The instability of the planar shape of the liquid solid interface described in § 6.4 leads to solidification by a cellular mechanism and, at conditions further from stability, by a dendritic mechanism. After the passage of the solidification front, a variation of composition remains in the solid on a length scale characteristic of the cellular or dendritic growth that is called microsegregation. This microsegregation pattern typically remains frozen in the solid due to the small ratio of the solute diffusion coefficients in the solid and liquid (~10</w:t>
      </w:r>
      <w:r w:rsidRPr="00883A53">
        <w:rPr>
          <w:spacing w:val="-3"/>
          <w:sz w:val="26"/>
          <w:vertAlign w:val="superscript"/>
        </w:rPr>
        <w:t>-4</w:t>
      </w:r>
      <w:r>
        <w:rPr>
          <w:spacing w:val="-3"/>
        </w:rPr>
        <w:t xml:space="preserve"> for substitutional solid solutions). In many cases the composition variation is so severe that a second solid phase solidifies in the intercellular or interdendritic regions even though none would be predicted based on a consideration of global equilibrium. The focus of this section is the prediction of the spacings associated with cellular and dendritic growth and the degree of microsegregation produced by that growth. These spacings are important in the selection of heat treatment times and temperatures for the homogenization of ingots as well as the properties of as-cast materials. </w:t>
      </w:r>
      <w:r w:rsidR="005D1927">
        <w:rPr>
          <w:spacing w:val="-3"/>
        </w:rPr>
        <w:t>T</w:t>
      </w:r>
      <w:r>
        <w:rPr>
          <w:spacing w:val="-3"/>
        </w:rPr>
        <w:t>he prediction of the microsegregation pattern is a fundamental goal of solidification modeling. Control of practical casting defects such as macrosegregation, porosity and hot tearing must start from an understanding of cellular and dendritic growth.</w:t>
      </w:r>
    </w:p>
    <w:p w14:paraId="1F6171ED" w14:textId="77777777" w:rsidR="00015B17" w:rsidRDefault="00015B17" w:rsidP="00015B17">
      <w:pPr>
        <w:suppressAutoHyphens/>
        <w:spacing w:line="360" w:lineRule="auto"/>
        <w:rPr>
          <w:spacing w:val="-3"/>
        </w:rPr>
      </w:pPr>
    </w:p>
    <w:p w14:paraId="785C65EA" w14:textId="77777777" w:rsidR="00015B17" w:rsidRDefault="00015B17" w:rsidP="00015B17">
      <w:pPr>
        <w:suppressAutoHyphens/>
        <w:spacing w:line="360" w:lineRule="auto"/>
        <w:rPr>
          <w:spacing w:val="-3"/>
        </w:rPr>
      </w:pPr>
      <w:r>
        <w:rPr>
          <w:spacing w:val="-3"/>
        </w:rPr>
        <w:tab/>
        <w:t xml:space="preserve">We first consider the growth of an isolated </w:t>
      </w:r>
      <w:r>
        <w:rPr>
          <w:i/>
          <w:iCs/>
          <w:spacing w:val="-3"/>
        </w:rPr>
        <w:t>alloy</w:t>
      </w:r>
      <w:r>
        <w:rPr>
          <w:spacing w:val="-3"/>
        </w:rPr>
        <w:t xml:space="preserve"> dendrite growing into a melt that is bulk supercooled below the liquidus temperature. The relations between dendrite tip velocity, tip radius, tip composition and bulk supercooling will be established. Application of these relations is also made to constrained dendritic growth where no bulk supercooling exists but the velocity is specified. The growth of arrays of cells and dendrites is then considered to develop an understanding of the factors that control the primary and secondary spacings of fully developed cells and dendrites. We then describe microsegregation, the application of the Scheil equation and corrections made to include incomplete liquid mixing, dendrite tip kinetics</w:t>
      </w:r>
      <w:r w:rsidR="008337E7">
        <w:rPr>
          <w:spacing w:val="-3"/>
        </w:rPr>
        <w:t>,</w:t>
      </w:r>
      <w:r>
        <w:rPr>
          <w:spacing w:val="-3"/>
        </w:rPr>
        <w:t xml:space="preserve"> and solid diffusion. Finally we described solidification path analysis and resultant microsegregation for multicomponent alloys.  </w:t>
      </w:r>
      <w:r w:rsidRPr="008A40CB">
        <w:rPr>
          <w:spacing w:val="-3"/>
        </w:rPr>
        <w:t xml:space="preserve"> </w:t>
      </w:r>
    </w:p>
    <w:p w14:paraId="0BBEB387" w14:textId="77777777" w:rsidR="00015B17" w:rsidRDefault="00015B17" w:rsidP="00015B17">
      <w:pPr>
        <w:suppressAutoHyphens/>
        <w:spacing w:line="360" w:lineRule="auto"/>
        <w:jc w:val="both"/>
        <w:rPr>
          <w:spacing w:val="-3"/>
        </w:rPr>
      </w:pPr>
      <w:r>
        <w:rPr>
          <w:spacing w:val="-3"/>
        </w:rPr>
        <w:tab/>
      </w:r>
    </w:p>
    <w:p w14:paraId="2DF9FCB7" w14:textId="77777777" w:rsidR="00015B17" w:rsidRDefault="00015B17" w:rsidP="00015B17">
      <w:pPr>
        <w:suppressAutoHyphens/>
        <w:spacing w:line="360" w:lineRule="auto"/>
        <w:jc w:val="both"/>
        <w:rPr>
          <w:b/>
          <w:bCs/>
          <w:spacing w:val="-3"/>
        </w:rPr>
      </w:pPr>
      <w:r>
        <w:rPr>
          <w:b/>
          <w:bCs/>
          <w:spacing w:val="-3"/>
        </w:rPr>
        <w:t>7.1 Alloy Dendritic Growth</w:t>
      </w:r>
    </w:p>
    <w:p w14:paraId="6A60B492" w14:textId="77777777" w:rsidR="00015B17" w:rsidRDefault="00015B17" w:rsidP="00015B17">
      <w:pPr>
        <w:suppressAutoHyphens/>
        <w:spacing w:line="360" w:lineRule="auto"/>
        <w:jc w:val="both"/>
        <w:rPr>
          <w:b/>
          <w:bCs/>
          <w:spacing w:val="-3"/>
        </w:rPr>
      </w:pPr>
    </w:p>
    <w:p w14:paraId="1AFC38CE" w14:textId="77777777" w:rsidR="00015B17" w:rsidRDefault="00015B17" w:rsidP="00015B17">
      <w:pPr>
        <w:suppressAutoHyphens/>
        <w:spacing w:line="360" w:lineRule="auto"/>
        <w:jc w:val="both"/>
        <w:rPr>
          <w:spacing w:val="-3"/>
        </w:rPr>
      </w:pPr>
      <w:r>
        <w:rPr>
          <w:b/>
          <w:bCs/>
          <w:spacing w:val="-3"/>
        </w:rPr>
        <w:t>7.1.1 Theory of the Tip Region</w:t>
      </w:r>
    </w:p>
    <w:p w14:paraId="591C02AA" w14:textId="77777777" w:rsidR="00015B17" w:rsidRDefault="00015B17" w:rsidP="00015B17">
      <w:pPr>
        <w:suppressAutoHyphens/>
        <w:spacing w:line="360" w:lineRule="auto"/>
        <w:jc w:val="both"/>
        <w:rPr>
          <w:spacing w:val="-3"/>
        </w:rPr>
      </w:pPr>
    </w:p>
    <w:p w14:paraId="229F06B5" w14:textId="11130C18" w:rsidR="00015B17" w:rsidRDefault="00015B17" w:rsidP="00015B17">
      <w:pPr>
        <w:suppressAutoHyphens/>
        <w:spacing w:line="360" w:lineRule="auto"/>
        <w:rPr>
          <w:spacing w:val="-3"/>
        </w:rPr>
      </w:pPr>
      <w:r>
        <w:rPr>
          <w:spacing w:val="-3"/>
        </w:rPr>
        <w:tab/>
        <w:t>Only the tip region of a growing dendrite is modeled</w:t>
      </w:r>
      <w:r w:rsidR="005D1927">
        <w:rPr>
          <w:spacing w:val="-3"/>
        </w:rPr>
        <w:t xml:space="preserve"> with the following </w:t>
      </w:r>
      <w:r w:rsidR="00C24A0D">
        <w:rPr>
          <w:spacing w:val="-3"/>
        </w:rPr>
        <w:t>approach</w:t>
      </w:r>
      <w:r>
        <w:rPr>
          <w:spacing w:val="-3"/>
        </w:rPr>
        <w:t xml:space="preserve">. Two cases are distinguished: free growth and constrained growth. The model for free dendritic growth treats the situation where an isolated nucleus initiates growth into an uniformly supercooled </w:t>
      </w:r>
      <w:r w:rsidR="005D1927">
        <w:rPr>
          <w:spacing w:val="-3"/>
        </w:rPr>
        <w:t>melt. This situation</w:t>
      </w:r>
      <w:r>
        <w:rPr>
          <w:spacing w:val="-3"/>
        </w:rPr>
        <w:t xml:space="preserve"> has application </w:t>
      </w:r>
      <w:r w:rsidR="00935917">
        <w:rPr>
          <w:spacing w:val="-3"/>
        </w:rPr>
        <w:t xml:space="preserve">in </w:t>
      </w:r>
      <w:r>
        <w:rPr>
          <w:spacing w:val="-3"/>
        </w:rPr>
        <w:t>the growth of an equiaxed grains in castings. The melt temperature far from the dendrite can be taken as the nucleation temperature,</w:t>
      </w:r>
      <w:r>
        <w:rPr>
          <w:i/>
          <w:iCs/>
          <w:spacing w:val="-3"/>
        </w:rPr>
        <w:t xml:space="preserve"> T</w:t>
      </w:r>
      <w:r w:rsidRPr="00727E8A">
        <w:rPr>
          <w:spacing w:val="-3"/>
          <w:sz w:val="26"/>
          <w:vertAlign w:val="subscript"/>
        </w:rPr>
        <w:t>N</w:t>
      </w:r>
      <w:r>
        <w:rPr>
          <w:spacing w:val="-3"/>
        </w:rPr>
        <w:t xml:space="preserve"> , the latent heat flows into the supercooled liquid and the temperature gradient at the tip is negative. The goal is to predict the dendrite tip velocity,</w:t>
      </w:r>
      <w:r>
        <w:rPr>
          <w:i/>
          <w:iCs/>
          <w:spacing w:val="-3"/>
        </w:rPr>
        <w:t xml:space="preserve"> V</w:t>
      </w:r>
      <w:r>
        <w:rPr>
          <w:spacing w:val="-3"/>
        </w:rPr>
        <w:t xml:space="preserve">, tip radius, </w:t>
      </w:r>
      <w:r w:rsidRPr="009616DD">
        <w:rPr>
          <w:i/>
          <w:spacing w:val="-3"/>
        </w:rPr>
        <w:t>r,</w:t>
      </w:r>
      <w:r>
        <w:rPr>
          <w:spacing w:val="-3"/>
        </w:rPr>
        <w:t xml:space="preserve"> tip solid composition, </w:t>
      </w:r>
      <w:r>
        <w:rPr>
          <w:i/>
          <w:iCs/>
          <w:spacing w:val="-3"/>
        </w:rPr>
        <w:t>C</w:t>
      </w:r>
      <w:r w:rsidRPr="00727E8A">
        <w:rPr>
          <w:spacing w:val="-3"/>
          <w:sz w:val="26"/>
          <w:vertAlign w:val="subscript"/>
        </w:rPr>
        <w:t>S</w:t>
      </w:r>
      <w:r w:rsidRPr="00883A53">
        <w:rPr>
          <w:spacing w:val="-3"/>
          <w:sz w:val="26"/>
          <w:vertAlign w:val="superscript"/>
        </w:rPr>
        <w:t>*</w:t>
      </w:r>
      <w:r>
        <w:rPr>
          <w:spacing w:val="-3"/>
        </w:rPr>
        <w:t xml:space="preserve">, and tip temperature, </w:t>
      </w:r>
      <w:r>
        <w:rPr>
          <w:i/>
          <w:iCs/>
          <w:spacing w:val="-3"/>
        </w:rPr>
        <w:t>T</w:t>
      </w:r>
      <w:r w:rsidRPr="00883A53">
        <w:rPr>
          <w:spacing w:val="-3"/>
          <w:sz w:val="26"/>
          <w:vertAlign w:val="superscript"/>
        </w:rPr>
        <w:fldChar w:fldCharType="begin"/>
      </w:r>
      <w:r w:rsidRPr="00883A53">
        <w:rPr>
          <w:spacing w:val="-3"/>
          <w:sz w:val="26"/>
          <w:vertAlign w:val="superscript"/>
        </w:rPr>
        <w:instrText>ADVANCE \R 1.65</w:instrText>
      </w:r>
      <w:r w:rsidRPr="00883A53">
        <w:rPr>
          <w:spacing w:val="-3"/>
          <w:sz w:val="26"/>
          <w:vertAlign w:val="superscript"/>
        </w:rPr>
        <w:fldChar w:fldCharType="end"/>
      </w:r>
      <w:r w:rsidRPr="00883A53">
        <w:rPr>
          <w:spacing w:val="-3"/>
          <w:sz w:val="26"/>
          <w:vertAlign w:val="superscript"/>
        </w:rPr>
        <w:t>*</w:t>
      </w:r>
      <w:r>
        <w:rPr>
          <w:spacing w:val="-3"/>
        </w:rPr>
        <w:t xml:space="preserve">, as functions of bulk liquid composition </w:t>
      </w:r>
      <w:r>
        <w:rPr>
          <w:i/>
          <w:iCs/>
          <w:spacing w:val="-3"/>
        </w:rPr>
        <w:t>C</w:t>
      </w:r>
      <w:r w:rsidR="00727E8A" w:rsidRPr="00727E8A">
        <w:rPr>
          <w:spacing w:val="-3"/>
          <w:sz w:val="26"/>
          <w:szCs w:val="26"/>
          <w:vertAlign w:val="subscript"/>
        </w:rPr>
        <w:t>0</w:t>
      </w:r>
      <w:r>
        <w:rPr>
          <w:spacing w:val="-3"/>
        </w:rPr>
        <w:t xml:space="preserve"> and the bulk supercooling, </w:t>
      </w:r>
      <w:r>
        <w:rPr>
          <w:i/>
          <w:iCs/>
          <w:spacing w:val="-3"/>
        </w:rPr>
        <w:t>ΔT</w:t>
      </w:r>
      <w:r>
        <w:rPr>
          <w:spacing w:val="-3"/>
        </w:rPr>
        <w:t>, below the liquidus temperature, given by</w:t>
      </w:r>
    </w:p>
    <w:p w14:paraId="49D10427" w14:textId="77777777" w:rsidR="00015B17" w:rsidRDefault="00015B17" w:rsidP="00015B17">
      <w:pPr>
        <w:suppressAutoHyphens/>
        <w:spacing w:line="360" w:lineRule="auto"/>
        <w:rPr>
          <w:spacing w:val="-3"/>
        </w:rPr>
      </w:pPr>
    </w:p>
    <w:p w14:paraId="7299210F" w14:textId="77777777" w:rsidR="00015B17" w:rsidRDefault="00015B17" w:rsidP="00015B17">
      <w:pPr>
        <w:suppressAutoHyphens/>
        <w:spacing w:line="360" w:lineRule="auto"/>
        <w:jc w:val="center"/>
        <w:rPr>
          <w:spacing w:val="-3"/>
        </w:rPr>
      </w:pPr>
      <w:r w:rsidRPr="00386B28">
        <w:rPr>
          <w:spacing w:val="-3"/>
          <w:position w:val="-12"/>
        </w:rPr>
        <w:object w:dxaOrig="2100" w:dyaOrig="380" w14:anchorId="0C6042EB">
          <v:shape id="_x0000_i1507" type="#_x0000_t75" style="width:104.75pt;height:18.7pt" o:ole="">
            <v:imagedata r:id="rId934" o:title=""/>
          </v:shape>
          <o:OLEObject Type="Embed" ProgID="Equation.DSMT4" ShapeID="_x0000_i1507" DrawAspect="Content" ObjectID="_1840627073" r:id="rId935"/>
        </w:object>
      </w:r>
      <w:r>
        <w:rPr>
          <w:spacing w:val="-3"/>
        </w:rPr>
        <w:tab/>
      </w:r>
      <w:r>
        <w:rPr>
          <w:spacing w:val="-3"/>
        </w:rPr>
        <w:tab/>
        <w:t>(7.1)</w:t>
      </w:r>
    </w:p>
    <w:p w14:paraId="779634EE" w14:textId="77777777" w:rsidR="00015B17" w:rsidRDefault="00015B17" w:rsidP="00015B17">
      <w:pPr>
        <w:suppressAutoHyphens/>
        <w:spacing w:line="360" w:lineRule="auto"/>
        <w:jc w:val="both"/>
        <w:rPr>
          <w:spacing w:val="-3"/>
        </w:rPr>
      </w:pPr>
    </w:p>
    <w:p w14:paraId="587991A9" w14:textId="77777777" w:rsidR="00015B17" w:rsidRDefault="00015B17" w:rsidP="00015B17">
      <w:pPr>
        <w:suppressAutoHyphens/>
        <w:spacing w:line="360" w:lineRule="auto"/>
        <w:rPr>
          <w:spacing w:val="-3"/>
        </w:rPr>
      </w:pPr>
      <w:r>
        <w:rPr>
          <w:spacing w:val="-3"/>
        </w:rPr>
        <w:t>The heat flow away from the tip into the liquid must be computed as outlined below.</w:t>
      </w:r>
    </w:p>
    <w:p w14:paraId="4AD5DC55" w14:textId="77777777" w:rsidR="00015B17" w:rsidRDefault="00015B17" w:rsidP="00015B17">
      <w:pPr>
        <w:suppressAutoHyphens/>
        <w:spacing w:line="360" w:lineRule="auto"/>
        <w:rPr>
          <w:spacing w:val="-3"/>
        </w:rPr>
      </w:pPr>
    </w:p>
    <w:p w14:paraId="09727DDA" w14:textId="77777777" w:rsidR="00015B17" w:rsidRDefault="00015B17" w:rsidP="00015B17">
      <w:pPr>
        <w:suppressAutoHyphens/>
        <w:spacing w:line="360" w:lineRule="auto"/>
        <w:ind w:firstLine="720"/>
        <w:rPr>
          <w:spacing w:val="-3"/>
        </w:rPr>
      </w:pPr>
      <w:r>
        <w:rPr>
          <w:spacing w:val="-3"/>
        </w:rPr>
        <w:t>The model for constrained growth most accurately treats the situation that occurs during directional solidification, where the heat flow and solidification velocity is controlled by a moving furnace. Constrained growth approximates the situation of dendritic growth of columnar grains in a casting where melt superheat and heat of fusion flow to a cold mold wall or already frozen alloy behind the growing tips</w:t>
      </w:r>
      <w:r w:rsidRPr="000113CB">
        <w:rPr>
          <w:spacing w:val="-3"/>
        </w:rPr>
        <w:t xml:space="preserve"> </w:t>
      </w:r>
      <w:r>
        <w:rPr>
          <w:spacing w:val="-3"/>
        </w:rPr>
        <w:t>The solidification velocity is approximately “imposed” by the isotherm velocity computed from a macroscopic heat flow considerations</w:t>
      </w:r>
      <w:r w:rsidRPr="000113CB">
        <w:rPr>
          <w:spacing w:val="-3"/>
        </w:rPr>
        <w:t xml:space="preserve"> </w:t>
      </w:r>
      <w:r>
        <w:rPr>
          <w:spacing w:val="-3"/>
        </w:rPr>
        <w:t xml:space="preserve">and the temperature gradient is positive. The goal of models is to predict the dendrite tip radius, tip solid composition and tip temperature for a given liquid alloy composition as functions of velocity and temperature gradient. </w:t>
      </w:r>
    </w:p>
    <w:p w14:paraId="0852C6ED" w14:textId="77777777" w:rsidR="00015B17" w:rsidRDefault="00015B17" w:rsidP="00015B17">
      <w:pPr>
        <w:suppressAutoHyphens/>
        <w:spacing w:line="360" w:lineRule="auto"/>
        <w:rPr>
          <w:spacing w:val="-3"/>
        </w:rPr>
      </w:pPr>
      <w:r>
        <w:rPr>
          <w:spacing w:val="-3"/>
        </w:rPr>
        <w:t xml:space="preserve"> </w:t>
      </w:r>
    </w:p>
    <w:p w14:paraId="6AA62472" w14:textId="77777777" w:rsidR="00015B17" w:rsidRDefault="00015B17" w:rsidP="00015B17">
      <w:pPr>
        <w:suppressAutoHyphens/>
        <w:spacing w:line="360" w:lineRule="auto"/>
        <w:rPr>
          <w:spacing w:val="-3"/>
        </w:rPr>
      </w:pPr>
      <w:r>
        <w:rPr>
          <w:spacing w:val="-3"/>
        </w:rPr>
        <w:tab/>
        <w:t xml:space="preserve">For both free and constrained growth, the diffusion of solute into the liquid ahead of the growing dendrite is treated by assuming that the dendrite tip region has the shape of a paraboloid of revolution. By solving the diffusion equation in the liquid and neglecting solid </w:t>
      </w:r>
      <w:r>
        <w:rPr>
          <w:spacing w:val="-3"/>
        </w:rPr>
        <w:lastRenderedPageBreak/>
        <w:t>diffusion, I</w:t>
      </w:r>
      <w:r w:rsidR="005D1927">
        <w:rPr>
          <w:spacing w:val="-3"/>
        </w:rPr>
        <w:t>vantsov</w:t>
      </w:r>
      <w:r>
        <w:rPr>
          <w:spacing w:val="-3"/>
        </w:rPr>
        <w:t xml:space="preserve"> [1947] has shown that the liquid composition at the dendrite tip</w:t>
      </w:r>
      <w:r>
        <w:rPr>
          <w:i/>
          <w:iCs/>
          <w:spacing w:val="-3"/>
        </w:rPr>
        <w:t xml:space="preserve"> C</w:t>
      </w:r>
      <w:r w:rsidRPr="00727E8A">
        <w:rPr>
          <w:spacing w:val="-3"/>
          <w:sz w:val="26"/>
          <w:vertAlign w:val="subscript"/>
        </w:rPr>
        <w:t>L</w:t>
      </w:r>
      <w:r w:rsidRPr="00883A53">
        <w:rPr>
          <w:spacing w:val="-3"/>
          <w:sz w:val="26"/>
          <w:vertAlign w:val="superscript"/>
        </w:rPr>
        <w:t>*</w:t>
      </w:r>
      <w:r>
        <w:rPr>
          <w:spacing w:val="-3"/>
        </w:rPr>
        <w:t xml:space="preserve"> is given by</w:t>
      </w:r>
    </w:p>
    <w:p w14:paraId="02D12C05" w14:textId="77777777" w:rsidR="00015B17" w:rsidRDefault="00015B17" w:rsidP="00015B17">
      <w:pPr>
        <w:suppressAutoHyphens/>
        <w:spacing w:line="360" w:lineRule="auto"/>
        <w:jc w:val="both"/>
        <w:rPr>
          <w:vanish/>
          <w:spacing w:val="-3"/>
        </w:rPr>
      </w:pPr>
    </w:p>
    <w:p w14:paraId="2D925FEF" w14:textId="77777777" w:rsidR="00015B17" w:rsidRDefault="00015B17" w:rsidP="00015B17">
      <w:pPr>
        <w:suppressAutoHyphens/>
        <w:spacing w:line="360" w:lineRule="auto"/>
        <w:jc w:val="both"/>
        <w:rPr>
          <w:spacing w:val="-3"/>
        </w:rPr>
      </w:pPr>
    </w:p>
    <w:p w14:paraId="63771C6E" w14:textId="77777777" w:rsidR="00015B17" w:rsidRDefault="00015B17" w:rsidP="00015B17">
      <w:pPr>
        <w:suppressAutoHyphens/>
        <w:spacing w:line="360" w:lineRule="auto"/>
        <w:jc w:val="center"/>
        <w:rPr>
          <w:spacing w:val="-3"/>
        </w:rPr>
      </w:pPr>
      <w:r w:rsidRPr="00397779">
        <w:rPr>
          <w:spacing w:val="-3"/>
          <w:position w:val="-34"/>
        </w:rPr>
        <w:object w:dxaOrig="2960" w:dyaOrig="720" w14:anchorId="63F3FBD9">
          <v:shape id="_x0000_i1508" type="#_x0000_t75" style="width:148.7pt;height:36.45pt" o:ole="">
            <v:imagedata r:id="rId936" o:title=""/>
          </v:shape>
          <o:OLEObject Type="Embed" ProgID="Equation.DSMT4" ShapeID="_x0000_i1508" DrawAspect="Content" ObjectID="_1840627074" r:id="rId937"/>
        </w:object>
      </w:r>
      <w:r>
        <w:rPr>
          <w:spacing w:val="-3"/>
        </w:rPr>
        <w:tab/>
        <w:t>(7.2)</w:t>
      </w:r>
    </w:p>
    <w:p w14:paraId="6B8A992D" w14:textId="77777777" w:rsidR="00015B17" w:rsidRDefault="00015B17" w:rsidP="00015B17">
      <w:pPr>
        <w:suppressAutoHyphens/>
        <w:spacing w:line="360" w:lineRule="auto"/>
        <w:jc w:val="both"/>
        <w:rPr>
          <w:spacing w:val="-3"/>
        </w:rPr>
      </w:pPr>
    </w:p>
    <w:p w14:paraId="3F233ECC" w14:textId="22C3AD4B" w:rsidR="00015B17" w:rsidRDefault="008337E7" w:rsidP="00015B17">
      <w:pPr>
        <w:suppressAutoHyphens/>
        <w:spacing w:line="360" w:lineRule="auto"/>
        <w:rPr>
          <w:spacing w:val="-3"/>
        </w:rPr>
      </w:pPr>
      <w:r>
        <w:rPr>
          <w:spacing w:val="-3"/>
        </w:rPr>
        <w:t>w</w:t>
      </w:r>
      <w:r w:rsidR="00015B17">
        <w:rPr>
          <w:spacing w:val="-3"/>
        </w:rPr>
        <w:t xml:space="preserve">here </w:t>
      </w:r>
      <w:r w:rsidR="00015B17" w:rsidRPr="00397779">
        <w:rPr>
          <w:spacing w:val="-3"/>
          <w:position w:val="-14"/>
        </w:rPr>
        <w:object w:dxaOrig="580" w:dyaOrig="400" w14:anchorId="2211A2CE">
          <v:shape id="_x0000_i1509" type="#_x0000_t75" style="width:29pt;height:19.65pt" o:ole="">
            <v:imagedata r:id="rId938" o:title=""/>
          </v:shape>
          <o:OLEObject Type="Embed" ProgID="Equation.DSMT4" ShapeID="_x0000_i1509" DrawAspect="Content" ObjectID="_1840627075" r:id="rId939"/>
        </w:object>
      </w:r>
      <w:r w:rsidR="00015B17">
        <w:rPr>
          <w:spacing w:val="-3"/>
        </w:rPr>
        <w:t xml:space="preserve"> is the interface partition coefficient described in §5.2.2 and </w:t>
      </w:r>
      <w:r w:rsidR="00015B17">
        <w:rPr>
          <w:i/>
          <w:iCs/>
          <w:spacing w:val="-3"/>
        </w:rPr>
        <w:t>P</w:t>
      </w:r>
      <w:r w:rsidR="00015B17" w:rsidRPr="00727E8A">
        <w:rPr>
          <w:spacing w:val="-3"/>
          <w:sz w:val="26"/>
          <w:vertAlign w:val="subscript"/>
        </w:rPr>
        <w:t>c</w:t>
      </w:r>
      <w:r w:rsidR="00015B17">
        <w:rPr>
          <w:spacing w:val="-3"/>
        </w:rPr>
        <w:t xml:space="preserve"> = </w:t>
      </w:r>
      <w:r w:rsidR="00015B17">
        <w:rPr>
          <w:i/>
          <w:iCs/>
          <w:spacing w:val="-3"/>
        </w:rPr>
        <w:t>Vr/</w:t>
      </w:r>
      <w:r w:rsidR="00015B17">
        <w:rPr>
          <w:spacing w:val="-3"/>
        </w:rPr>
        <w:t>2</w:t>
      </w:r>
      <w:r w:rsidR="00015B17">
        <w:rPr>
          <w:i/>
          <w:iCs/>
          <w:spacing w:val="-3"/>
        </w:rPr>
        <w:t>D</w:t>
      </w:r>
      <w:r w:rsidR="00015B17" w:rsidRPr="00727E8A">
        <w:rPr>
          <w:spacing w:val="-3"/>
          <w:sz w:val="26"/>
          <w:vertAlign w:val="subscript"/>
        </w:rPr>
        <w:t>L</w:t>
      </w:r>
      <w:r w:rsidR="00015B17">
        <w:rPr>
          <w:spacing w:val="-3"/>
        </w:rPr>
        <w:t xml:space="preserve"> is the solute Peclet number. The Ivantsov function, </w:t>
      </w:r>
      <w:r w:rsidR="00015B17">
        <w:rPr>
          <w:i/>
          <w:iCs/>
          <w:spacing w:val="-3"/>
        </w:rPr>
        <w:t>I</w:t>
      </w:r>
      <w:r w:rsidR="00015B17">
        <w:rPr>
          <w:spacing w:val="-3"/>
        </w:rPr>
        <w:t>v</w:t>
      </w:r>
      <w:r w:rsidR="00015B17" w:rsidRPr="00397779">
        <w:rPr>
          <w:iCs/>
          <w:spacing w:val="-3"/>
        </w:rPr>
        <w:t>(</w:t>
      </w:r>
      <w:r w:rsidR="00015B17">
        <w:rPr>
          <w:i/>
          <w:iCs/>
          <w:spacing w:val="-3"/>
        </w:rPr>
        <w:t>P</w:t>
      </w:r>
      <w:r w:rsidR="00015B17" w:rsidRPr="00397779">
        <w:rPr>
          <w:iCs/>
          <w:spacing w:val="-3"/>
        </w:rPr>
        <w:t>)</w:t>
      </w:r>
      <w:r w:rsidR="00015B17">
        <w:rPr>
          <w:spacing w:val="-3"/>
        </w:rPr>
        <w:t xml:space="preserve">, is equal to </w:t>
      </w:r>
      <w:r w:rsidR="00015B17">
        <w:rPr>
          <w:i/>
          <w:iCs/>
          <w:spacing w:val="-3"/>
        </w:rPr>
        <w:t>Pexp</w:t>
      </w:r>
      <w:r w:rsidR="00015B17" w:rsidRPr="00397779">
        <w:rPr>
          <w:iCs/>
          <w:spacing w:val="-3"/>
        </w:rPr>
        <w:t>(</w:t>
      </w:r>
      <w:r w:rsidR="00015B17">
        <w:rPr>
          <w:i/>
          <w:iCs/>
          <w:spacing w:val="-3"/>
        </w:rPr>
        <w:t>P)E</w:t>
      </w:r>
      <w:r w:rsidR="00015B17" w:rsidRPr="00727E8A">
        <w:rPr>
          <w:spacing w:val="-3"/>
          <w:sz w:val="26"/>
          <w:vertAlign w:val="subscript"/>
        </w:rPr>
        <w:t>1</w:t>
      </w:r>
      <w:r w:rsidR="00015B17">
        <w:rPr>
          <w:spacing w:val="-3"/>
        </w:rPr>
        <w:t>(</w:t>
      </w:r>
      <w:r w:rsidR="00015B17">
        <w:rPr>
          <w:i/>
          <w:iCs/>
          <w:spacing w:val="-3"/>
        </w:rPr>
        <w:t>P</w:t>
      </w:r>
      <w:r w:rsidR="00015B17">
        <w:rPr>
          <w:iCs/>
          <w:spacing w:val="-3"/>
        </w:rPr>
        <w:t>)</w:t>
      </w:r>
      <w:r w:rsidR="00015B17">
        <w:rPr>
          <w:spacing w:val="-3"/>
        </w:rPr>
        <w:t xml:space="preserve"> where </w:t>
      </w:r>
      <w:r w:rsidR="00015B17">
        <w:rPr>
          <w:i/>
          <w:iCs/>
          <w:spacing w:val="-3"/>
        </w:rPr>
        <w:t>E</w:t>
      </w:r>
      <w:r w:rsidR="00015B17" w:rsidRPr="00727E8A">
        <w:rPr>
          <w:spacing w:val="-3"/>
          <w:sz w:val="26"/>
          <w:vertAlign w:val="subscript"/>
        </w:rPr>
        <w:t>1</w:t>
      </w:r>
      <w:r w:rsidR="00015B17">
        <w:rPr>
          <w:iCs/>
          <w:spacing w:val="-3"/>
        </w:rPr>
        <w:t>(</w:t>
      </w:r>
      <w:r w:rsidR="00015B17">
        <w:rPr>
          <w:i/>
          <w:iCs/>
          <w:spacing w:val="-3"/>
        </w:rPr>
        <w:t>P</w:t>
      </w:r>
      <w:r w:rsidR="00015B17">
        <w:rPr>
          <w:spacing w:val="-3"/>
        </w:rPr>
        <w:t>) is the first exponential integral of</w:t>
      </w:r>
      <w:r w:rsidR="00015B17">
        <w:rPr>
          <w:i/>
          <w:iCs/>
          <w:spacing w:val="-3"/>
        </w:rPr>
        <w:t xml:space="preserve"> P</w:t>
      </w:r>
      <w:r w:rsidR="00015B17">
        <w:rPr>
          <w:spacing w:val="-3"/>
        </w:rPr>
        <w:t xml:space="preserve">, a function that is easily available from mathematics tables or software subroutine libraries. (The case of a 2-D (plate) dendrite has also been treated and involves the complementary error function.) The composition gradient in the liquid at the tip, </w:t>
      </w:r>
      <w:r w:rsidR="00015B17">
        <w:rPr>
          <w:i/>
          <w:iCs/>
          <w:spacing w:val="-3"/>
        </w:rPr>
        <w:t>G</w:t>
      </w:r>
      <w:r w:rsidR="00015B17" w:rsidRPr="00727E8A">
        <w:rPr>
          <w:spacing w:val="-3"/>
          <w:sz w:val="26"/>
          <w:vertAlign w:val="subscript"/>
        </w:rPr>
        <w:t>c</w:t>
      </w:r>
      <w:r w:rsidR="00015B17" w:rsidRPr="00883A53">
        <w:rPr>
          <w:spacing w:val="-3"/>
          <w:sz w:val="26"/>
          <w:vertAlign w:val="superscript"/>
        </w:rPr>
        <w:t>*</w:t>
      </w:r>
      <w:r w:rsidR="00015B17">
        <w:rPr>
          <w:spacing w:val="-3"/>
        </w:rPr>
        <w:t>, is given from the conservation of solute flux condition at the tip as</w:t>
      </w:r>
    </w:p>
    <w:p w14:paraId="462CDDDE" w14:textId="77777777" w:rsidR="00015B17" w:rsidRDefault="00015B17" w:rsidP="00015B17">
      <w:pPr>
        <w:suppressAutoHyphens/>
        <w:spacing w:line="360" w:lineRule="auto"/>
        <w:jc w:val="both"/>
        <w:rPr>
          <w:spacing w:val="-3"/>
        </w:rPr>
      </w:pPr>
    </w:p>
    <w:p w14:paraId="42486B9C" w14:textId="77777777" w:rsidR="00015B17" w:rsidRDefault="008337E7" w:rsidP="00015B17">
      <w:pPr>
        <w:suppressAutoHyphens/>
        <w:spacing w:line="360" w:lineRule="auto"/>
        <w:jc w:val="center"/>
        <w:rPr>
          <w:spacing w:val="-3"/>
        </w:rPr>
      </w:pPr>
      <w:r w:rsidRPr="006D6D6C">
        <w:rPr>
          <w:spacing w:val="-3"/>
          <w:position w:val="-30"/>
        </w:rPr>
        <w:object w:dxaOrig="2460" w:dyaOrig="680" w14:anchorId="199F6CB0">
          <v:shape id="_x0000_i1510" type="#_x0000_t75" style="width:123.45pt;height:33.65pt" o:ole="">
            <v:imagedata r:id="rId940" o:title=""/>
          </v:shape>
          <o:OLEObject Type="Embed" ProgID="Equation.DSMT4" ShapeID="_x0000_i1510" DrawAspect="Content" ObjectID="_1840627076" r:id="rId941"/>
        </w:object>
      </w:r>
      <w:r w:rsidR="00015B17">
        <w:rPr>
          <w:spacing w:val="-3"/>
        </w:rPr>
        <w:tab/>
      </w:r>
      <w:r w:rsidR="00015B17">
        <w:rPr>
          <w:spacing w:val="-3"/>
        </w:rPr>
        <w:tab/>
      </w:r>
      <w:r w:rsidR="00015B17">
        <w:rPr>
          <w:spacing w:val="-3"/>
        </w:rPr>
        <w:tab/>
        <w:t>(7.3)</w:t>
      </w:r>
    </w:p>
    <w:p w14:paraId="6F5510F7" w14:textId="77777777" w:rsidR="00015B17" w:rsidRDefault="00015B17" w:rsidP="00015B17">
      <w:pPr>
        <w:suppressAutoHyphens/>
        <w:spacing w:line="360" w:lineRule="auto"/>
        <w:jc w:val="both"/>
        <w:rPr>
          <w:spacing w:val="-3"/>
        </w:rPr>
      </w:pPr>
    </w:p>
    <w:p w14:paraId="2D78D702" w14:textId="77777777" w:rsidR="00015B17" w:rsidRDefault="00015B17" w:rsidP="00015B17">
      <w:pPr>
        <w:suppressAutoHyphens/>
        <w:spacing w:line="360" w:lineRule="auto"/>
        <w:rPr>
          <w:spacing w:val="-3"/>
        </w:rPr>
      </w:pPr>
      <w:r>
        <w:rPr>
          <w:spacing w:val="-3"/>
        </w:rPr>
        <w:tab/>
        <w:t xml:space="preserve">The dendrite tip temperature, </w:t>
      </w:r>
      <w:r>
        <w:rPr>
          <w:i/>
          <w:iCs/>
          <w:spacing w:val="-3"/>
        </w:rPr>
        <w:t>T</w:t>
      </w:r>
      <w:r w:rsidRPr="00883A53">
        <w:rPr>
          <w:spacing w:val="-3"/>
          <w:sz w:val="26"/>
          <w:vertAlign w:val="superscript"/>
        </w:rPr>
        <w:fldChar w:fldCharType="begin"/>
      </w:r>
      <w:r w:rsidRPr="00883A53">
        <w:rPr>
          <w:spacing w:val="-3"/>
          <w:sz w:val="26"/>
          <w:vertAlign w:val="superscript"/>
        </w:rPr>
        <w:instrText>ADVANCE \R 1.65</w:instrText>
      </w:r>
      <w:r w:rsidRPr="00883A53">
        <w:rPr>
          <w:spacing w:val="-3"/>
          <w:sz w:val="26"/>
          <w:vertAlign w:val="superscript"/>
        </w:rPr>
        <w:fldChar w:fldCharType="end"/>
      </w:r>
      <w:r w:rsidRPr="00883A53">
        <w:rPr>
          <w:spacing w:val="-3"/>
          <w:sz w:val="26"/>
          <w:vertAlign w:val="superscript"/>
        </w:rPr>
        <w:t>*</w:t>
      </w:r>
      <w:r>
        <w:rPr>
          <w:spacing w:val="-3"/>
        </w:rPr>
        <w:t>, must be given by the local interface condition equation evaluated at the velocity and liquid composition present at the tip, viz.,</w:t>
      </w:r>
    </w:p>
    <w:p w14:paraId="0FDD2432" w14:textId="77777777" w:rsidR="00015B17" w:rsidRDefault="00015B17" w:rsidP="00015B17">
      <w:pPr>
        <w:suppressAutoHyphens/>
        <w:spacing w:line="360" w:lineRule="auto"/>
        <w:jc w:val="both"/>
        <w:rPr>
          <w:vanish/>
          <w:spacing w:val="-3"/>
        </w:rPr>
      </w:pPr>
    </w:p>
    <w:p w14:paraId="31C25C0B" w14:textId="77777777" w:rsidR="00015B17" w:rsidRDefault="00015B17" w:rsidP="00015B17">
      <w:pPr>
        <w:suppressAutoHyphens/>
        <w:spacing w:line="360" w:lineRule="auto"/>
        <w:jc w:val="both"/>
        <w:rPr>
          <w:spacing w:val="-3"/>
        </w:rPr>
      </w:pPr>
    </w:p>
    <w:p w14:paraId="0851EF96" w14:textId="77777777" w:rsidR="00015B17" w:rsidRDefault="00F65F56" w:rsidP="00015B17">
      <w:pPr>
        <w:suppressAutoHyphens/>
        <w:spacing w:line="360" w:lineRule="auto"/>
        <w:jc w:val="center"/>
        <w:rPr>
          <w:spacing w:val="-3"/>
        </w:rPr>
      </w:pPr>
      <w:r w:rsidRPr="006D6D6C">
        <w:rPr>
          <w:spacing w:val="-3"/>
          <w:position w:val="-48"/>
        </w:rPr>
        <w:object w:dxaOrig="3680" w:dyaOrig="1080" w14:anchorId="14196A17">
          <v:shape id="_x0000_i1511" type="#_x0000_t75" style="width:184.2pt;height:55.15pt" o:ole="">
            <v:imagedata r:id="rId942" o:title=""/>
          </v:shape>
          <o:OLEObject Type="Embed" ProgID="Equation.DSMT4" ShapeID="_x0000_i1511" DrawAspect="Content" ObjectID="_1840627077" r:id="rId943"/>
        </w:object>
      </w:r>
      <w:r w:rsidR="00015B17">
        <w:rPr>
          <w:spacing w:val="-3"/>
        </w:rPr>
        <w:tab/>
      </w:r>
      <w:r w:rsidR="006E6FC2">
        <w:rPr>
          <w:spacing w:val="-3"/>
        </w:rPr>
        <w:t>.</w:t>
      </w:r>
      <w:r w:rsidR="00015B17">
        <w:rPr>
          <w:spacing w:val="-3"/>
        </w:rPr>
        <w:tab/>
        <w:t>(7.4)</w:t>
      </w:r>
    </w:p>
    <w:p w14:paraId="4A60FBF3" w14:textId="77777777" w:rsidR="00015B17" w:rsidRDefault="00015B17" w:rsidP="00015B17">
      <w:pPr>
        <w:suppressAutoHyphens/>
        <w:spacing w:line="360" w:lineRule="auto"/>
        <w:rPr>
          <w:spacing w:val="-3"/>
        </w:rPr>
      </w:pPr>
      <w:r>
        <w:rPr>
          <w:spacing w:val="-3"/>
        </w:rPr>
        <w:t xml:space="preserve">This expression is the same as Eqn. 5.15 except for the inclusion of the Gibbs-Thompson supercooling </w:t>
      </w:r>
      <w:r w:rsidRPr="00996FE4">
        <w:rPr>
          <w:spacing w:val="-3"/>
          <w:position w:val="-12"/>
        </w:rPr>
        <w:object w:dxaOrig="900" w:dyaOrig="360" w14:anchorId="2E07B924">
          <v:shape id="_x0000_i1512" type="#_x0000_t75" style="width:44.9pt;height:17.75pt" o:ole="">
            <v:imagedata r:id="rId944" o:title=""/>
          </v:shape>
          <o:OLEObject Type="Embed" ProgID="Equation.DSMT4" ShapeID="_x0000_i1512" DrawAspect="Content" ObjectID="_1840627078" r:id="rId945"/>
        </w:object>
      </w:r>
      <w:r>
        <w:rPr>
          <w:spacing w:val="-3"/>
        </w:rPr>
        <w:t>for a tip radius of</w:t>
      </w:r>
      <w:r>
        <w:rPr>
          <w:i/>
          <w:iCs/>
          <w:spacing w:val="-3"/>
        </w:rPr>
        <w:t xml:space="preserve"> r</w:t>
      </w:r>
      <w:r>
        <w:rPr>
          <w:spacing w:val="-3"/>
        </w:rPr>
        <w:t xml:space="preserve">.  It also includes interfacial non-equilibrium solute trapping effects that are important at high velocity as described in § 5. Letting </w:t>
      </w:r>
      <w:r w:rsidRPr="000113CB">
        <w:rPr>
          <w:spacing w:val="-3"/>
          <w:position w:val="-12"/>
        </w:rPr>
        <w:object w:dxaOrig="1200" w:dyaOrig="380" w14:anchorId="79566A2C">
          <v:shape id="_x0000_i1513" type="#_x0000_t75" style="width:59.85pt;height:18.7pt" o:ole="">
            <v:imagedata r:id="rId946" o:title=""/>
          </v:shape>
          <o:OLEObject Type="Embed" ProgID="Equation.DSMT4" ShapeID="_x0000_i1513" DrawAspect="Content" ObjectID="_1840627079" r:id="rId947"/>
        </w:object>
      </w:r>
      <w:r w:rsidR="00F65F56">
        <w:rPr>
          <w:spacing w:val="-3"/>
        </w:rPr>
        <w:t>,</w:t>
      </w:r>
      <w:r>
        <w:rPr>
          <w:spacing w:val="-3"/>
        </w:rPr>
        <w:t xml:space="preserve"> </w:t>
      </w:r>
      <w:r w:rsidRPr="002A163F">
        <w:rPr>
          <w:spacing w:val="-3"/>
          <w:position w:val="-14"/>
        </w:rPr>
        <w:object w:dxaOrig="1060" w:dyaOrig="400" w14:anchorId="033420DC">
          <v:shape id="_x0000_i1514" type="#_x0000_t75" style="width:53.3pt;height:19.65pt" o:ole="">
            <v:imagedata r:id="rId948" o:title=""/>
          </v:shape>
          <o:OLEObject Type="Embed" ProgID="Equation.DSMT4" ShapeID="_x0000_i1514" DrawAspect="Content" ObjectID="_1840627080" r:id="rId949"/>
        </w:object>
      </w:r>
      <w:r>
        <w:rPr>
          <w:spacing w:val="-3"/>
        </w:rPr>
        <w:t xml:space="preserve">and </w:t>
      </w:r>
      <w:r w:rsidR="00F65F56" w:rsidRPr="000113CB">
        <w:rPr>
          <w:spacing w:val="-3"/>
          <w:position w:val="-12"/>
        </w:rPr>
        <w:object w:dxaOrig="720" w:dyaOrig="360" w14:anchorId="01DD499A">
          <v:shape id="_x0000_i1515" type="#_x0000_t75" style="width:36.45pt;height:17.75pt" o:ole="">
            <v:imagedata r:id="rId950" o:title=""/>
          </v:shape>
          <o:OLEObject Type="Embed" ProgID="Equation.DSMT4" ShapeID="_x0000_i1515" DrawAspect="Content" ObjectID="_1840627081" r:id="rId951"/>
        </w:object>
      </w:r>
      <w:r>
        <w:rPr>
          <w:spacing w:val="-3"/>
        </w:rPr>
        <w:t>recovers the usual local equilibrium condition valid for slow solidification.</w:t>
      </w:r>
    </w:p>
    <w:p w14:paraId="05AE646F" w14:textId="77777777" w:rsidR="00015B17" w:rsidRDefault="00015B17" w:rsidP="00015B17">
      <w:pPr>
        <w:suppressAutoHyphens/>
        <w:spacing w:line="360" w:lineRule="auto"/>
        <w:rPr>
          <w:spacing w:val="-3"/>
        </w:rPr>
      </w:pPr>
    </w:p>
    <w:p w14:paraId="0E4FB0EC" w14:textId="77777777" w:rsidR="00015B17" w:rsidRDefault="00015B17" w:rsidP="00015B17">
      <w:pPr>
        <w:suppressAutoHyphens/>
        <w:spacing w:line="360" w:lineRule="auto"/>
        <w:rPr>
          <w:spacing w:val="-3"/>
        </w:rPr>
      </w:pPr>
      <w:r>
        <w:rPr>
          <w:spacing w:val="-3"/>
        </w:rPr>
        <w:tab/>
        <w:t xml:space="preserve">The treatment of the temperature field is handled differently for free or constrained growth. For free dendritic growth, heat flow in the solid can be neglected, and an Ivantsov </w:t>
      </w:r>
      <w:r>
        <w:rPr>
          <w:spacing w:val="-3"/>
        </w:rPr>
        <w:lastRenderedPageBreak/>
        <w:t>solution for the temperature field can be obtained in the liquid. The temperature</w:t>
      </w:r>
      <w:r>
        <w:rPr>
          <w:i/>
          <w:iCs/>
          <w:spacing w:val="-3"/>
        </w:rPr>
        <w:t xml:space="preserve"> T</w:t>
      </w:r>
      <w:r w:rsidRPr="00883A53">
        <w:rPr>
          <w:spacing w:val="-3"/>
          <w:sz w:val="26"/>
          <w:vertAlign w:val="superscript"/>
        </w:rPr>
        <w:fldChar w:fldCharType="begin"/>
      </w:r>
      <w:r w:rsidRPr="00883A53">
        <w:rPr>
          <w:spacing w:val="-3"/>
          <w:sz w:val="26"/>
          <w:vertAlign w:val="superscript"/>
        </w:rPr>
        <w:instrText>ADVANCE \R 1.65</w:instrText>
      </w:r>
      <w:r w:rsidRPr="00883A53">
        <w:rPr>
          <w:spacing w:val="-3"/>
          <w:sz w:val="26"/>
          <w:vertAlign w:val="superscript"/>
        </w:rPr>
        <w:fldChar w:fldCharType="end"/>
      </w:r>
      <w:r w:rsidRPr="00883A53">
        <w:rPr>
          <w:spacing w:val="-3"/>
          <w:sz w:val="26"/>
          <w:vertAlign w:val="superscript"/>
        </w:rPr>
        <w:t>*</w:t>
      </w:r>
      <w:r>
        <w:rPr>
          <w:spacing w:val="-3"/>
        </w:rPr>
        <w:t xml:space="preserve"> at the dendrite tip given by Eqn. 7.4 is thus higher than the bulk liquid temperature far from the tip and must be consistent with</w:t>
      </w:r>
    </w:p>
    <w:p w14:paraId="224302DC" w14:textId="77777777" w:rsidR="00015B17" w:rsidRDefault="00015B17" w:rsidP="00015B17">
      <w:pPr>
        <w:suppressAutoHyphens/>
        <w:spacing w:line="360" w:lineRule="auto"/>
        <w:jc w:val="both"/>
        <w:rPr>
          <w:spacing w:val="-3"/>
        </w:rPr>
      </w:pPr>
    </w:p>
    <w:p w14:paraId="7FD18371" w14:textId="77777777" w:rsidR="00015B17" w:rsidRDefault="008337E7" w:rsidP="00015B17">
      <w:pPr>
        <w:suppressAutoHyphens/>
        <w:spacing w:line="360" w:lineRule="auto"/>
        <w:jc w:val="center"/>
        <w:rPr>
          <w:spacing w:val="-3"/>
        </w:rPr>
      </w:pPr>
      <w:r w:rsidRPr="006D6D6C">
        <w:rPr>
          <w:spacing w:val="-3"/>
          <w:position w:val="-12"/>
        </w:rPr>
        <w:object w:dxaOrig="2400" w:dyaOrig="380" w14:anchorId="215D5CD6">
          <v:shape id="_x0000_i1516" type="#_x0000_t75" style="width:119.7pt;height:18.7pt" o:ole="">
            <v:imagedata r:id="rId952" o:title=""/>
          </v:shape>
          <o:OLEObject Type="Embed" ProgID="Equation.DSMT4" ShapeID="_x0000_i1516" DrawAspect="Content" ObjectID="_1840627082" r:id="rId953"/>
        </w:object>
      </w:r>
      <w:r w:rsidR="00015B17">
        <w:rPr>
          <w:spacing w:val="-3"/>
        </w:rPr>
        <w:tab/>
      </w:r>
      <w:r w:rsidR="00015B17">
        <w:rPr>
          <w:spacing w:val="-3"/>
        </w:rPr>
        <w:tab/>
      </w:r>
      <w:r w:rsidR="00015B17">
        <w:rPr>
          <w:spacing w:val="-3"/>
        </w:rPr>
        <w:tab/>
        <w:t>(7.5)</w:t>
      </w:r>
    </w:p>
    <w:p w14:paraId="23AC77DE" w14:textId="77777777" w:rsidR="00015B17" w:rsidRDefault="00015B17" w:rsidP="00015B17">
      <w:pPr>
        <w:suppressAutoHyphens/>
        <w:spacing w:line="360" w:lineRule="auto"/>
        <w:jc w:val="center"/>
        <w:rPr>
          <w:spacing w:val="-3"/>
        </w:rPr>
      </w:pPr>
    </w:p>
    <w:p w14:paraId="2A7F5631" w14:textId="77777777" w:rsidR="00015B17" w:rsidRDefault="00015B17" w:rsidP="00015B17">
      <w:pPr>
        <w:suppressAutoHyphens/>
        <w:spacing w:line="360" w:lineRule="auto"/>
        <w:rPr>
          <w:spacing w:val="-3"/>
        </w:rPr>
      </w:pPr>
      <w:r>
        <w:rPr>
          <w:spacing w:val="-3"/>
        </w:rPr>
        <w:t xml:space="preserve">where </w:t>
      </w:r>
      <w:r w:rsidRPr="002A163F">
        <w:rPr>
          <w:spacing w:val="-3"/>
          <w:position w:val="-12"/>
        </w:rPr>
        <w:object w:dxaOrig="1400" w:dyaOrig="360" w14:anchorId="15BF3796">
          <v:shape id="_x0000_i1517" type="#_x0000_t75" style="width:70.15pt;height:17.75pt" o:ole="">
            <v:imagedata r:id="rId954" o:title=""/>
          </v:shape>
          <o:OLEObject Type="Embed" ProgID="Equation.DSMT4" ShapeID="_x0000_i1517" DrawAspect="Content" ObjectID="_1840627083" r:id="rId955"/>
        </w:object>
      </w:r>
      <w:r>
        <w:rPr>
          <w:spacing w:val="-3"/>
        </w:rPr>
        <w:t>is the thermal Peclet number. The temperature gradient in the liquid at the tip,</w:t>
      </w:r>
      <w:r>
        <w:rPr>
          <w:i/>
          <w:iCs/>
          <w:spacing w:val="-3"/>
        </w:rPr>
        <w:t xml:space="preserve"> </w:t>
      </w:r>
      <w:r w:rsidRPr="000113CB">
        <w:rPr>
          <w:i/>
          <w:iCs/>
          <w:spacing w:val="-3"/>
        </w:rPr>
        <w:t>G</w:t>
      </w:r>
      <w:r w:rsidRPr="00727E8A">
        <w:rPr>
          <w:i/>
          <w:spacing w:val="-3"/>
          <w:sz w:val="26"/>
          <w:vertAlign w:val="subscript"/>
        </w:rPr>
        <w:t>L</w:t>
      </w:r>
      <w:r w:rsidRPr="00883A53">
        <w:rPr>
          <w:i/>
          <w:spacing w:val="-3"/>
          <w:sz w:val="26"/>
          <w:vertAlign w:val="superscript"/>
        </w:rPr>
        <w:t>*</w:t>
      </w:r>
      <w:r>
        <w:rPr>
          <w:spacing w:val="-3"/>
        </w:rPr>
        <w:t>, is given from the conservation of heat flux at the tip as</w:t>
      </w:r>
    </w:p>
    <w:p w14:paraId="721A67C5" w14:textId="77777777" w:rsidR="00015B17" w:rsidRDefault="00015B17" w:rsidP="00015B17">
      <w:pPr>
        <w:suppressAutoHyphens/>
        <w:spacing w:line="360" w:lineRule="auto"/>
        <w:jc w:val="both"/>
        <w:rPr>
          <w:spacing w:val="-3"/>
        </w:rPr>
      </w:pPr>
    </w:p>
    <w:p w14:paraId="7A0BE5D3" w14:textId="77777777" w:rsidR="00015B17" w:rsidRDefault="008337E7" w:rsidP="00015B17">
      <w:pPr>
        <w:suppressAutoHyphens/>
        <w:spacing w:line="360" w:lineRule="auto"/>
        <w:jc w:val="center"/>
        <w:rPr>
          <w:spacing w:val="-3"/>
        </w:rPr>
      </w:pPr>
      <w:r w:rsidRPr="002A163F">
        <w:rPr>
          <w:spacing w:val="-3"/>
          <w:position w:val="-32"/>
        </w:rPr>
        <w:object w:dxaOrig="3860" w:dyaOrig="760" w14:anchorId="63C42A04">
          <v:shape id="_x0000_i1518" type="#_x0000_t75" style="width:192.6pt;height:38.35pt" o:ole="">
            <v:imagedata r:id="rId956" o:title=""/>
          </v:shape>
          <o:OLEObject Type="Embed" ProgID="Equation.DSMT4" ShapeID="_x0000_i1518" DrawAspect="Content" ObjectID="_1840627084" r:id="rId957"/>
        </w:object>
      </w:r>
      <w:r w:rsidR="00015B17">
        <w:rPr>
          <w:spacing w:val="-3"/>
        </w:rPr>
        <w:t xml:space="preserve"> </w:t>
      </w:r>
      <w:r w:rsidR="00015B17">
        <w:rPr>
          <w:spacing w:val="-3"/>
        </w:rPr>
        <w:tab/>
      </w:r>
      <w:r w:rsidR="00015B17">
        <w:rPr>
          <w:spacing w:val="-3"/>
        </w:rPr>
        <w:tab/>
        <w:t>(7.6)</w:t>
      </w:r>
    </w:p>
    <w:p w14:paraId="357CDA32" w14:textId="77777777" w:rsidR="00015B17" w:rsidRDefault="00015B17" w:rsidP="00015B17">
      <w:pPr>
        <w:suppressAutoHyphens/>
        <w:spacing w:line="360" w:lineRule="auto"/>
        <w:jc w:val="center"/>
        <w:rPr>
          <w:spacing w:val="-3"/>
        </w:rPr>
      </w:pPr>
    </w:p>
    <w:p w14:paraId="11CB8476" w14:textId="77777777" w:rsidR="00015B17" w:rsidRDefault="00015B17" w:rsidP="00015B17">
      <w:pPr>
        <w:suppressAutoHyphens/>
        <w:spacing w:line="360" w:lineRule="auto"/>
        <w:rPr>
          <w:spacing w:val="-3"/>
        </w:rPr>
      </w:pPr>
      <w:r>
        <w:rPr>
          <w:spacing w:val="-3"/>
        </w:rPr>
        <w:t>For constrained growth, the temperature field and temperature gradient is assumed to be imposed by the macroscopic heat flow (e.g. imposed by a directional solidification furnace).</w:t>
      </w:r>
    </w:p>
    <w:p w14:paraId="47A5639B" w14:textId="77777777" w:rsidR="00015B17" w:rsidRDefault="00015B17" w:rsidP="00015B17">
      <w:pPr>
        <w:suppressAutoHyphens/>
        <w:spacing w:line="360" w:lineRule="auto"/>
        <w:rPr>
          <w:spacing w:val="-3"/>
        </w:rPr>
      </w:pPr>
    </w:p>
    <w:p w14:paraId="2EEB08C0" w14:textId="77777777" w:rsidR="00015B17" w:rsidRDefault="00015B17" w:rsidP="00015B17">
      <w:pPr>
        <w:suppressAutoHyphens/>
        <w:spacing w:line="360" w:lineRule="auto"/>
        <w:rPr>
          <w:spacing w:val="-3"/>
        </w:rPr>
      </w:pPr>
      <w:r>
        <w:rPr>
          <w:spacing w:val="-3"/>
        </w:rPr>
        <w:t>For free growth, a combination of Eqns. 7.1, 7.2, 7.4, and 7.5 yields</w:t>
      </w:r>
    </w:p>
    <w:p w14:paraId="09BB869E" w14:textId="77777777" w:rsidR="00015B17" w:rsidRDefault="00015B17" w:rsidP="00015B17">
      <w:pPr>
        <w:suppressAutoHyphens/>
        <w:spacing w:line="360" w:lineRule="auto"/>
        <w:rPr>
          <w:spacing w:val="-3"/>
        </w:rPr>
      </w:pPr>
    </w:p>
    <w:p w14:paraId="7A281F35" w14:textId="77777777" w:rsidR="00015B17" w:rsidRPr="00996FE4" w:rsidRDefault="00015B17" w:rsidP="00015B17">
      <w:pPr>
        <w:suppressAutoHyphens/>
        <w:spacing w:line="360" w:lineRule="auto"/>
        <w:jc w:val="both"/>
        <w:rPr>
          <w:spacing w:val="-2"/>
        </w:rPr>
      </w:pPr>
      <w:r>
        <w:rPr>
          <w:spacing w:val="-3"/>
        </w:rPr>
        <w:tab/>
      </w:r>
      <w:r w:rsidR="008337E7" w:rsidRPr="00C05959">
        <w:rPr>
          <w:spacing w:val="-2"/>
          <w:position w:val="-36"/>
        </w:rPr>
        <w:object w:dxaOrig="6660" w:dyaOrig="840" w14:anchorId="778CC1F4">
          <v:shape id="_x0000_i1519" type="#_x0000_t75" style="width:332.9pt;height:42.1pt" o:ole="">
            <v:imagedata r:id="rId958" o:title=""/>
          </v:shape>
          <o:OLEObject Type="Embed" ProgID="Equation.DSMT4" ShapeID="_x0000_i1519" DrawAspect="Content" ObjectID="_1840627085" r:id="rId959"/>
        </w:object>
      </w:r>
      <w:r>
        <w:rPr>
          <w:spacing w:val="-2"/>
        </w:rPr>
        <w:tab/>
      </w:r>
      <w:r w:rsidRPr="00996FE4">
        <w:rPr>
          <w:spacing w:val="-2"/>
        </w:rPr>
        <w:t>(7.7)</w:t>
      </w:r>
    </w:p>
    <w:p w14:paraId="70421CDA" w14:textId="77777777" w:rsidR="00015B17" w:rsidRDefault="00015B17" w:rsidP="00015B17">
      <w:pPr>
        <w:suppressAutoHyphens/>
        <w:spacing w:line="360" w:lineRule="auto"/>
        <w:jc w:val="both"/>
        <w:rPr>
          <w:spacing w:val="-2"/>
        </w:rPr>
      </w:pPr>
    </w:p>
    <w:p w14:paraId="3359C6EA" w14:textId="77777777" w:rsidR="00015B17" w:rsidRDefault="00015B17" w:rsidP="00015B17">
      <w:pPr>
        <w:suppressAutoHyphens/>
        <w:spacing w:line="360" w:lineRule="auto"/>
        <w:rPr>
          <w:spacing w:val="-3"/>
        </w:rPr>
      </w:pPr>
      <w:r>
        <w:rPr>
          <w:spacing w:val="-3"/>
        </w:rPr>
        <w:t>This equation connects the values of dendrite growth rate and tip radius that are possible for each value of</w:t>
      </w:r>
      <w:r>
        <w:rPr>
          <w:i/>
          <w:iCs/>
          <w:spacing w:val="-3"/>
        </w:rPr>
        <w:t xml:space="preserve"> </w:t>
      </w:r>
      <w:r w:rsidRPr="000113CB">
        <w:rPr>
          <w:iCs/>
          <w:spacing w:val="-3"/>
        </w:rPr>
        <w:t>bulk supercooling</w:t>
      </w:r>
      <w:r>
        <w:rPr>
          <w:i/>
          <w:iCs/>
          <w:spacing w:val="-3"/>
        </w:rPr>
        <w:t xml:space="preserve"> ΔT</w:t>
      </w:r>
      <w:r>
        <w:rPr>
          <w:spacing w:val="-3"/>
        </w:rPr>
        <w:t>. A plot of the relationship is shown in Fig. 7.1. The curve shows that the growth velocity would be low for small and large values of radius and exhibits a maximum velocity at intermediate values of the radius. At small values of</w:t>
      </w:r>
      <w:r>
        <w:rPr>
          <w:i/>
          <w:iCs/>
          <w:spacing w:val="-3"/>
        </w:rPr>
        <w:t xml:space="preserve"> r</w:t>
      </w:r>
      <w:r>
        <w:rPr>
          <w:spacing w:val="-3"/>
        </w:rPr>
        <w:t>, the creation of a dendrite tip with high curvature (high surface area) retards growth. At large values of radius, the build-up of heat and solute at the blunt tip is so severe that growth is retarded. Thus intermediate values of radius permit higher growth rates.  Experiment has shown that a unique value of velocity and tip radius occur for each value of supercooling. Thus an additional condition is necessary to uniquely specify</w:t>
      </w:r>
      <w:r>
        <w:rPr>
          <w:i/>
          <w:iCs/>
          <w:spacing w:val="-3"/>
        </w:rPr>
        <w:t xml:space="preserve"> V</w:t>
      </w:r>
      <w:r>
        <w:rPr>
          <w:spacing w:val="-3"/>
        </w:rPr>
        <w:t xml:space="preserve"> and</w:t>
      </w:r>
      <w:r>
        <w:rPr>
          <w:i/>
          <w:iCs/>
          <w:spacing w:val="-3"/>
        </w:rPr>
        <w:t xml:space="preserve"> r</w:t>
      </w:r>
      <w:r>
        <w:rPr>
          <w:spacing w:val="-3"/>
        </w:rPr>
        <w:t xml:space="preserve"> for each value of bulk supercooling.</w:t>
      </w:r>
    </w:p>
    <w:p w14:paraId="1630D242" w14:textId="77777777" w:rsidR="00015B17" w:rsidRDefault="00015B17" w:rsidP="00015B17">
      <w:pPr>
        <w:suppressAutoHyphens/>
        <w:spacing w:line="360" w:lineRule="auto"/>
        <w:rPr>
          <w:spacing w:val="-3"/>
        </w:rPr>
      </w:pPr>
    </w:p>
    <w:p w14:paraId="69FED9E2" w14:textId="77777777" w:rsidR="00015B17" w:rsidRDefault="00015B17" w:rsidP="00015B17">
      <w:pPr>
        <w:suppressAutoHyphens/>
        <w:spacing w:line="360" w:lineRule="auto"/>
        <w:ind w:firstLine="720"/>
        <w:rPr>
          <w:spacing w:val="-3"/>
        </w:rPr>
      </w:pPr>
      <w:r>
        <w:rPr>
          <w:spacing w:val="-3"/>
        </w:rPr>
        <w:t>For constrained growth, prescribed values of</w:t>
      </w:r>
      <w:r>
        <w:rPr>
          <w:i/>
          <w:iCs/>
          <w:spacing w:val="-3"/>
        </w:rPr>
        <w:t xml:space="preserve"> G</w:t>
      </w:r>
      <w:r w:rsidRPr="00727E8A">
        <w:rPr>
          <w:spacing w:val="-3"/>
          <w:sz w:val="26"/>
          <w:vertAlign w:val="subscript"/>
        </w:rPr>
        <w:t>L</w:t>
      </w:r>
      <w:r>
        <w:rPr>
          <w:spacing w:val="-3"/>
        </w:rPr>
        <w:t xml:space="preserve"> and</w:t>
      </w:r>
      <w:r>
        <w:rPr>
          <w:i/>
          <w:iCs/>
          <w:spacing w:val="-3"/>
        </w:rPr>
        <w:t xml:space="preserve"> V</w:t>
      </w:r>
      <w:r>
        <w:rPr>
          <w:spacing w:val="-3"/>
        </w:rPr>
        <w:t xml:space="preserve"> also fail to specify the tip temperature and radius of the dendrite tip as seen in Eqn. 7.4</w:t>
      </w:r>
      <w:r w:rsidR="00930461">
        <w:rPr>
          <w:spacing w:val="-3"/>
        </w:rPr>
        <w:t>.</w:t>
      </w:r>
    </w:p>
    <w:p w14:paraId="70F99DDF" w14:textId="77777777" w:rsidR="00015B17" w:rsidRDefault="00015B17" w:rsidP="00015B17">
      <w:pPr>
        <w:suppressAutoHyphens/>
        <w:spacing w:line="360" w:lineRule="auto"/>
        <w:ind w:firstLine="720"/>
        <w:rPr>
          <w:spacing w:val="-3"/>
        </w:rPr>
      </w:pPr>
    </w:p>
    <w:p w14:paraId="332A6DFF" w14:textId="77777777" w:rsidR="00015B17" w:rsidRPr="00900350" w:rsidRDefault="00015B17" w:rsidP="00015B17">
      <w:pPr>
        <w:suppressAutoHyphens/>
        <w:spacing w:line="360" w:lineRule="auto"/>
        <w:rPr>
          <w:b/>
          <w:spacing w:val="-3"/>
        </w:rPr>
      </w:pPr>
      <w:r w:rsidRPr="00900350">
        <w:rPr>
          <w:b/>
          <w:bCs/>
          <w:spacing w:val="-3"/>
        </w:rPr>
        <w:t xml:space="preserve">7.1.2 </w:t>
      </w:r>
      <w:r w:rsidRPr="00900350">
        <w:rPr>
          <w:b/>
          <w:spacing w:val="-3"/>
        </w:rPr>
        <w:t>The radius vs. velocity selection</w:t>
      </w:r>
      <w:r>
        <w:rPr>
          <w:b/>
          <w:spacing w:val="-3"/>
        </w:rPr>
        <w:t xml:space="preserve"> criterion</w:t>
      </w:r>
    </w:p>
    <w:p w14:paraId="7DCA9E62" w14:textId="77777777" w:rsidR="00015B17" w:rsidRPr="00900350" w:rsidRDefault="00015B17" w:rsidP="00015B17">
      <w:pPr>
        <w:suppressAutoHyphens/>
        <w:spacing w:line="360" w:lineRule="auto"/>
        <w:rPr>
          <w:b/>
          <w:spacing w:val="-3"/>
        </w:rPr>
      </w:pPr>
    </w:p>
    <w:p w14:paraId="612B1221" w14:textId="6DAFFA30" w:rsidR="00015B17" w:rsidRDefault="00015B17" w:rsidP="00015B17">
      <w:pPr>
        <w:suppressAutoHyphens/>
        <w:spacing w:line="360" w:lineRule="auto"/>
        <w:rPr>
          <w:spacing w:val="-3"/>
        </w:rPr>
      </w:pPr>
      <w:r>
        <w:rPr>
          <w:spacing w:val="-3"/>
        </w:rPr>
        <w:tab/>
      </w:r>
      <w:r w:rsidRPr="00516F9E">
        <w:rPr>
          <w:spacing w:val="-3"/>
        </w:rPr>
        <w:t>The additional condition required to select the operating point of the dendrite has been the subject of much research</w:t>
      </w:r>
      <w:r w:rsidR="00F65F56">
        <w:rPr>
          <w:spacing w:val="-3"/>
        </w:rPr>
        <w:t xml:space="preserve">. The above consideration </w:t>
      </w:r>
      <w:r w:rsidRPr="00516F9E">
        <w:rPr>
          <w:spacing w:val="-3"/>
        </w:rPr>
        <w:t xml:space="preserve"> only specifies the combined effect of </w:t>
      </w:r>
      <w:r w:rsidR="00E23778" w:rsidRPr="00516F9E">
        <w:rPr>
          <w:spacing w:val="-3"/>
        </w:rPr>
        <w:t>the product</w:t>
      </w:r>
      <w:r w:rsidRPr="00516F9E">
        <w:rPr>
          <w:spacing w:val="-3"/>
        </w:rPr>
        <w:t xml:space="preserve"> of velocity and tip radius. For many years a maximum growth rate hypothesis was employed corresponding to point </w:t>
      </w:r>
      <w:r w:rsidRPr="00516F9E">
        <w:rPr>
          <w:i/>
          <w:iCs/>
          <w:spacing w:val="-3"/>
        </w:rPr>
        <w:t xml:space="preserve">M </w:t>
      </w:r>
      <w:r w:rsidRPr="00516F9E">
        <w:rPr>
          <w:spacing w:val="-3"/>
        </w:rPr>
        <w:t xml:space="preserve">in Fig. </w:t>
      </w:r>
      <w:r>
        <w:rPr>
          <w:spacing w:val="-3"/>
        </w:rPr>
        <w:t>7.1</w:t>
      </w:r>
      <w:r w:rsidRPr="00516F9E">
        <w:rPr>
          <w:spacing w:val="-3"/>
        </w:rPr>
        <w:t xml:space="preserve">. Careful experiments </w:t>
      </w:r>
      <w:r>
        <w:rPr>
          <w:spacing w:val="-3"/>
        </w:rPr>
        <w:t xml:space="preserve">for a pure material </w:t>
      </w:r>
      <w:r w:rsidRPr="00516F9E">
        <w:rPr>
          <w:spacing w:val="-3"/>
        </w:rPr>
        <w:t>by G</w:t>
      </w:r>
      <w:r w:rsidR="00F65F56" w:rsidRPr="00516F9E">
        <w:rPr>
          <w:spacing w:val="-3"/>
        </w:rPr>
        <w:t>licksman</w:t>
      </w:r>
      <w:r w:rsidRPr="00516F9E">
        <w:rPr>
          <w:spacing w:val="-3"/>
        </w:rPr>
        <w:t xml:space="preserve"> </w:t>
      </w:r>
      <w:r w:rsidRPr="00516F9E">
        <w:rPr>
          <w:i/>
          <w:iCs/>
          <w:spacing w:val="-3"/>
        </w:rPr>
        <w:t>et al.</w:t>
      </w:r>
      <w:r w:rsidRPr="00516F9E">
        <w:rPr>
          <w:spacing w:val="-3"/>
        </w:rPr>
        <w:t xml:space="preserve"> [1976] showed that this hypothesis gave dendrite tip radius values that were too small. Ideas concerning the stability of the tip were first considered by O</w:t>
      </w:r>
      <w:r w:rsidR="00F65F56" w:rsidRPr="00516F9E">
        <w:rPr>
          <w:spacing w:val="-3"/>
        </w:rPr>
        <w:t>ldfield</w:t>
      </w:r>
      <w:r w:rsidRPr="00516F9E">
        <w:rPr>
          <w:spacing w:val="-3"/>
        </w:rPr>
        <w:t xml:space="preserve"> [1973]. The marginal stability condition of </w:t>
      </w:r>
      <w:r w:rsidR="00F65F56" w:rsidRPr="00516F9E">
        <w:rPr>
          <w:spacing w:val="-3"/>
        </w:rPr>
        <w:t>L</w:t>
      </w:r>
      <w:r w:rsidR="00F65F56">
        <w:rPr>
          <w:spacing w:val="-3"/>
        </w:rPr>
        <w:t>anger</w:t>
      </w:r>
      <w:r w:rsidR="00F65F56" w:rsidRPr="00516F9E">
        <w:rPr>
          <w:spacing w:val="-3"/>
        </w:rPr>
        <w:t xml:space="preserve"> </w:t>
      </w:r>
      <w:r w:rsidRPr="00516F9E">
        <w:rPr>
          <w:spacing w:val="-3"/>
        </w:rPr>
        <w:t>and M</w:t>
      </w:r>
      <w:r w:rsidR="00F65F56" w:rsidRPr="00516F9E">
        <w:rPr>
          <w:spacing w:val="-3"/>
        </w:rPr>
        <w:t>ueller</w:t>
      </w:r>
      <w:r w:rsidRPr="00516F9E">
        <w:rPr>
          <w:spacing w:val="-3"/>
        </w:rPr>
        <w:t>-K</w:t>
      </w:r>
      <w:r w:rsidR="00F65F56" w:rsidRPr="00516F9E">
        <w:rPr>
          <w:spacing w:val="-3"/>
        </w:rPr>
        <w:t>rumbhaar</w:t>
      </w:r>
      <w:r w:rsidRPr="00516F9E">
        <w:rPr>
          <w:spacing w:val="-3"/>
        </w:rPr>
        <w:t xml:space="preserve"> [1978] is now commonly used and has been the subject of some experimental validation. It equates the operating tip radius with the minimum unstable wavelength prediction from linear stability theory for a planar interface</w:t>
      </w:r>
      <w:r>
        <w:rPr>
          <w:spacing w:val="-3"/>
        </w:rPr>
        <w:t xml:space="preserve"> (section 6.4)</w:t>
      </w:r>
      <w:r w:rsidRPr="00516F9E">
        <w:rPr>
          <w:spacing w:val="-3"/>
        </w:rPr>
        <w:t xml:space="preserve"> growing at the same velocity with temperature and composition gradients that are present at the dendrite tip. (These values of the gradients will not correspond to those present for planar growth of an alloy of composition </w:t>
      </w:r>
      <w:r w:rsidRPr="00516F9E">
        <w:rPr>
          <w:i/>
          <w:iCs/>
          <w:spacing w:val="-3"/>
        </w:rPr>
        <w:t>C</w:t>
      </w:r>
      <w:r w:rsidRPr="00727E8A">
        <w:rPr>
          <w:spacing w:val="-3"/>
          <w:sz w:val="26"/>
          <w:vertAlign w:val="subscript"/>
        </w:rPr>
        <w:t xml:space="preserve">0 </w:t>
      </w:r>
      <w:r w:rsidRPr="00996FE4">
        <w:rPr>
          <w:spacing w:val="-3"/>
        </w:rPr>
        <w:t>growing at the same velocit</w:t>
      </w:r>
      <w:r>
        <w:rPr>
          <w:spacing w:val="-3"/>
        </w:rPr>
        <w:t>y</w:t>
      </w:r>
      <w:r w:rsidRPr="00516F9E">
        <w:rPr>
          <w:spacing w:val="-3"/>
        </w:rPr>
        <w:t>).</w:t>
      </w:r>
      <w:r>
        <w:rPr>
          <w:spacing w:val="-3"/>
        </w:rPr>
        <w:t xml:space="preserve"> The detailed predictions of the marginal stability hypothesis will be explored in </w:t>
      </w:r>
      <w:r w:rsidR="00F65F56">
        <w:rPr>
          <w:spacing w:val="-3"/>
        </w:rPr>
        <w:t>§</w:t>
      </w:r>
      <w:r>
        <w:rPr>
          <w:spacing w:val="-3"/>
        </w:rPr>
        <w:t xml:space="preserve"> 7.1.3.</w:t>
      </w:r>
    </w:p>
    <w:p w14:paraId="4C6377FF" w14:textId="77777777" w:rsidR="00015B17" w:rsidRDefault="00015B17" w:rsidP="00015B17">
      <w:pPr>
        <w:suppressAutoHyphens/>
        <w:spacing w:line="360" w:lineRule="auto"/>
        <w:rPr>
          <w:spacing w:val="-3"/>
        </w:rPr>
      </w:pPr>
    </w:p>
    <w:p w14:paraId="1EFF3CB8" w14:textId="131DF3E8" w:rsidR="00015B17" w:rsidRDefault="00015B17" w:rsidP="00015B17">
      <w:pPr>
        <w:suppressAutoHyphens/>
        <w:spacing w:line="360" w:lineRule="auto"/>
        <w:rPr>
          <w:color w:val="FF0000"/>
          <w:spacing w:val="-3"/>
        </w:rPr>
      </w:pPr>
      <w:r>
        <w:rPr>
          <w:spacing w:val="-3"/>
        </w:rPr>
        <w:tab/>
        <w:t xml:space="preserve">Despite the success of the marginal stability argument, the approach has </w:t>
      </w:r>
      <w:r w:rsidR="008337E7">
        <w:rPr>
          <w:spacing w:val="-3"/>
        </w:rPr>
        <w:t xml:space="preserve">been </w:t>
      </w:r>
      <w:r>
        <w:rPr>
          <w:spacing w:val="-3"/>
        </w:rPr>
        <w:t xml:space="preserve">met with concern among theoreticians particularly because the effect of anisotropic interface energy is not included. Clearly anisotropy is important in dendritic growth. Dendrites in cubic materials grow in [100] directions. </w:t>
      </w:r>
      <w:r w:rsidR="00F65F56">
        <w:rPr>
          <w:spacing w:val="-3"/>
        </w:rPr>
        <w:t xml:space="preserve">Blodgett </w:t>
      </w:r>
      <w:r>
        <w:rPr>
          <w:i/>
          <w:iCs/>
          <w:spacing w:val="-3"/>
        </w:rPr>
        <w:t>et al.</w:t>
      </w:r>
      <w:r>
        <w:rPr>
          <w:spacing w:val="-3"/>
        </w:rPr>
        <w:t xml:space="preserve"> [1974] measured the anisotropy of the liquid-solid surface energy of succinonitrile. They determined that the surface energy had maxima in the [100] directions. To determine the Gibbs-Thomson coefficient, </w:t>
      </w:r>
      <w:r w:rsidRPr="00157857">
        <w:rPr>
          <w:spacing w:val="-3"/>
          <w:position w:val="-12"/>
        </w:rPr>
        <w:object w:dxaOrig="440" w:dyaOrig="360" w14:anchorId="6DF99A0F">
          <v:shape id="_x0000_i1520" type="#_x0000_t75" style="width:21.5pt;height:17.75pt" o:ole="">
            <v:imagedata r:id="rId960" o:title=""/>
          </v:shape>
          <o:OLEObject Type="Embed" ProgID="Equation.DSMT4" ShapeID="_x0000_i1520" DrawAspect="Content" ObjectID="_1840627086" r:id="rId961"/>
        </w:object>
      </w:r>
      <w:r>
        <w:rPr>
          <w:spacing w:val="-3"/>
        </w:rPr>
        <w:t xml:space="preserve">, for a anisotropic material with interface energy </w:t>
      </w:r>
      <w:r w:rsidRPr="00157857">
        <w:rPr>
          <w:spacing w:val="-3"/>
          <w:position w:val="-12"/>
        </w:rPr>
        <w:object w:dxaOrig="360" w:dyaOrig="360" w14:anchorId="1B982B5C">
          <v:shape id="_x0000_i1521" type="#_x0000_t75" style="width:17.75pt;height:17.75pt" o:ole="">
            <v:imagedata r:id="rId962" o:title=""/>
          </v:shape>
          <o:OLEObject Type="Embed" ProgID="Equation.DSMT4" ShapeID="_x0000_i1521" DrawAspect="Content" ObjectID="_1840627087" r:id="rId963"/>
        </w:object>
      </w:r>
      <w:r>
        <w:rPr>
          <w:spacing w:val="-3"/>
        </w:rPr>
        <w:t xml:space="preserve">that depends on two orientation angles </w:t>
      </w:r>
      <w:r w:rsidRPr="00FC1A2B">
        <w:rPr>
          <w:spacing w:val="-3"/>
          <w:position w:val="-12"/>
        </w:rPr>
        <w:object w:dxaOrig="240" w:dyaOrig="360" w14:anchorId="37C43047">
          <v:shape id="_x0000_i1522" type="#_x0000_t75" style="width:12.15pt;height:17.75pt" o:ole="">
            <v:imagedata r:id="rId964" o:title=""/>
          </v:shape>
          <o:OLEObject Type="Embed" ProgID="Equation.DSMT4" ShapeID="_x0000_i1522" DrawAspect="Content" ObjectID="_1840627088" r:id="rId965"/>
        </w:object>
      </w:r>
      <w:r w:rsidRPr="00FC1A2B">
        <w:rPr>
          <w:spacing w:val="-3"/>
        </w:rPr>
        <w:t xml:space="preserve"> </w:t>
      </w:r>
      <w:r w:rsidRPr="00FC1A2B">
        <w:rPr>
          <w:spacing w:val="-3"/>
        </w:rPr>
        <w:lastRenderedPageBreak/>
        <w:t xml:space="preserve">and </w:t>
      </w:r>
      <w:r w:rsidRPr="00FC1A2B">
        <w:rPr>
          <w:spacing w:val="-3"/>
          <w:position w:val="-12"/>
        </w:rPr>
        <w:object w:dxaOrig="260" w:dyaOrig="360" w14:anchorId="7C7CF50C">
          <v:shape id="_x0000_i1523" type="#_x0000_t75" style="width:13.1pt;height:17.75pt" o:ole="">
            <v:imagedata r:id="rId966" o:title=""/>
          </v:shape>
          <o:OLEObject Type="Embed" ProgID="Equation.DSMT4" ShapeID="_x0000_i1523" DrawAspect="Content" ObjectID="_1840627089" r:id="rId967"/>
        </w:object>
      </w:r>
      <w:r w:rsidRPr="00FC1A2B">
        <w:rPr>
          <w:spacing w:val="-3"/>
        </w:rPr>
        <w:t xml:space="preserve"> in the principle curvature directions, </w:t>
      </w:r>
      <w:r>
        <w:rPr>
          <w:spacing w:val="-3"/>
        </w:rPr>
        <w:t xml:space="preserve">the surface energy </w:t>
      </w:r>
      <w:r w:rsidRPr="00157857">
        <w:rPr>
          <w:spacing w:val="-3"/>
          <w:position w:val="-12"/>
        </w:rPr>
        <w:object w:dxaOrig="360" w:dyaOrig="360" w14:anchorId="60D1C4B8">
          <v:shape id="_x0000_i1524" type="#_x0000_t75" style="width:17.75pt;height:17.75pt" o:ole="">
            <v:imagedata r:id="rId962" o:title=""/>
          </v:shape>
          <o:OLEObject Type="Embed" ProgID="Equation.DSMT4" ShapeID="_x0000_i1524" DrawAspect="Content" ObjectID="_1840627090" r:id="rId968"/>
        </w:object>
      </w:r>
      <w:r>
        <w:rPr>
          <w:spacing w:val="-3"/>
        </w:rPr>
        <w:t xml:space="preserve"> is replaced by the interface stiffness </w:t>
      </w:r>
      <w:r w:rsidRPr="00FC1A2B">
        <w:rPr>
          <w:spacing w:val="-3"/>
          <w:position w:val="-30"/>
        </w:rPr>
        <w:object w:dxaOrig="1920" w:dyaOrig="720" w14:anchorId="6A74AE51">
          <v:shape id="_x0000_i1525" type="#_x0000_t75" style="width:96.3pt;height:36.45pt" o:ole="">
            <v:imagedata r:id="rId969" o:title=""/>
          </v:shape>
          <o:OLEObject Type="Embed" ProgID="Equation.DSMT4" ShapeID="_x0000_i1525" DrawAspect="Content" ObjectID="_1840627091" r:id="rId970"/>
        </w:object>
      </w:r>
      <w:r>
        <w:rPr>
          <w:spacing w:val="-3"/>
        </w:rPr>
        <w:t xml:space="preserve">. </w:t>
      </w:r>
      <w:r w:rsidRPr="00B95C94">
        <w:rPr>
          <w:spacing w:val="-3"/>
        </w:rPr>
        <w:t xml:space="preserve">This quantity is smallest when </w:t>
      </w:r>
      <w:r w:rsidRPr="00157857">
        <w:rPr>
          <w:spacing w:val="-3"/>
          <w:position w:val="-12"/>
        </w:rPr>
        <w:object w:dxaOrig="360" w:dyaOrig="360" w14:anchorId="195053B6">
          <v:shape id="_x0000_i1526" type="#_x0000_t75" style="width:17.75pt;height:17.75pt" o:ole="">
            <v:imagedata r:id="rId962" o:title=""/>
          </v:shape>
          <o:OLEObject Type="Embed" ProgID="Equation.DSMT4" ShapeID="_x0000_i1526" DrawAspect="Content" ObjectID="_1840627092" r:id="rId971"/>
        </w:object>
      </w:r>
      <w:r w:rsidRPr="00B95C94">
        <w:rPr>
          <w:spacing w:val="-3"/>
        </w:rPr>
        <w:t xml:space="preserve"> is largest</w:t>
      </w:r>
      <w:r w:rsidRPr="00516F9E">
        <w:rPr>
          <w:color w:val="FF0000"/>
          <w:spacing w:val="-3"/>
        </w:rPr>
        <w:t>.</w:t>
      </w:r>
    </w:p>
    <w:p w14:paraId="40C91278" w14:textId="77777777" w:rsidR="00015B17" w:rsidRDefault="00015B17" w:rsidP="00015B17">
      <w:pPr>
        <w:suppressAutoHyphens/>
        <w:spacing w:line="360" w:lineRule="auto"/>
        <w:rPr>
          <w:color w:val="FF0000"/>
          <w:spacing w:val="-3"/>
        </w:rPr>
      </w:pPr>
    </w:p>
    <w:p w14:paraId="7CD66533" w14:textId="77777777" w:rsidR="00015B17" w:rsidRDefault="00015B17" w:rsidP="00015B17">
      <w:pPr>
        <w:suppressAutoHyphens/>
        <w:spacing w:line="360" w:lineRule="auto"/>
        <w:ind w:firstLine="720"/>
        <w:rPr>
          <w:spacing w:val="-3"/>
        </w:rPr>
      </w:pPr>
      <w:r>
        <w:rPr>
          <w:spacing w:val="-3"/>
        </w:rPr>
        <w:t>Further analysis by many researchers has been summarized by B</w:t>
      </w:r>
      <w:r w:rsidR="00F65F56">
        <w:rPr>
          <w:spacing w:val="-3"/>
        </w:rPr>
        <w:t>illia</w:t>
      </w:r>
      <w:r>
        <w:rPr>
          <w:spacing w:val="-3"/>
        </w:rPr>
        <w:t xml:space="preserve"> and T</w:t>
      </w:r>
      <w:r w:rsidR="00F65F56">
        <w:rPr>
          <w:spacing w:val="-3"/>
        </w:rPr>
        <w:t>rivedi</w:t>
      </w:r>
      <w:r>
        <w:rPr>
          <w:spacing w:val="-3"/>
        </w:rPr>
        <w:t xml:space="preserve"> [1993]. LaCombe et al. [1995] have performed careful measurements of the fluted or ‘Phillips screwdriver’ shaped dendrite tip region for pure succinonitrile. McFadden et al. [2000] have matched this shape by employing an assumption that the cross section of the dendrite stalk can be approximated by the equilibrium shape for the cubic 4-fold equilibrium crystal shape. They find systematic deviations from the </w:t>
      </w:r>
      <w:r w:rsidR="008337E7" w:rsidRPr="006D6D6C">
        <w:rPr>
          <w:spacing w:val="-3"/>
          <w:position w:val="-12"/>
        </w:rPr>
        <w:object w:dxaOrig="2400" w:dyaOrig="380" w14:anchorId="39A83161">
          <v:shape id="_x0000_i1527" type="#_x0000_t75" style="width:119.7pt;height:18.7pt" o:ole="">
            <v:imagedata r:id="rId972" o:title=""/>
          </v:shape>
          <o:OLEObject Type="Embed" ProgID="Equation.DSMT4" ShapeID="_x0000_i1527" DrawAspect="Content" ObjectID="_1840627093" r:id="rId973"/>
        </w:object>
      </w:r>
      <w:r>
        <w:rPr>
          <w:spacing w:val="-3"/>
        </w:rPr>
        <w:t>solution; viz., that the tip temperature is lower for a fixed value of</w:t>
      </w:r>
      <w:r w:rsidRPr="006B5654">
        <w:rPr>
          <w:spacing w:val="-3"/>
          <w:position w:val="-12"/>
        </w:rPr>
        <w:object w:dxaOrig="240" w:dyaOrig="360" w14:anchorId="047B1BED">
          <v:shape id="_x0000_i1528" type="#_x0000_t75" style="width:12.15pt;height:17.75pt" o:ole="">
            <v:imagedata r:id="rId974" o:title=""/>
          </v:shape>
          <o:OLEObject Type="Embed" ProgID="Equation.DSMT4" ShapeID="_x0000_i1528" DrawAspect="Content" ObjectID="_1840627094" r:id="rId975"/>
        </w:object>
      </w:r>
      <w:r>
        <w:rPr>
          <w:spacing w:val="-3"/>
        </w:rPr>
        <w:t xml:space="preserve">. </w:t>
      </w:r>
    </w:p>
    <w:p w14:paraId="47F54D0A" w14:textId="77777777" w:rsidR="00015B17" w:rsidRDefault="00015B17" w:rsidP="00015B17">
      <w:pPr>
        <w:suppressAutoHyphens/>
        <w:spacing w:line="360" w:lineRule="auto"/>
        <w:rPr>
          <w:spacing w:val="-3"/>
        </w:rPr>
      </w:pPr>
    </w:p>
    <w:p w14:paraId="289947AF" w14:textId="77777777" w:rsidR="00015B17" w:rsidRDefault="00015B17" w:rsidP="00015B17">
      <w:pPr>
        <w:suppressAutoHyphens/>
        <w:spacing w:line="360" w:lineRule="auto"/>
        <w:rPr>
          <w:spacing w:val="-3"/>
        </w:rPr>
      </w:pPr>
      <w:r>
        <w:rPr>
          <w:spacing w:val="-3"/>
        </w:rPr>
        <w:tab/>
        <w:t xml:space="preserve">An approach to the radius selection problem that fully includes the anisotropy of the interface energy is called </w:t>
      </w:r>
      <w:r>
        <w:rPr>
          <w:i/>
          <w:iCs/>
          <w:spacing w:val="-3"/>
        </w:rPr>
        <w:t>microscopic solvability.</w:t>
      </w:r>
      <w:r>
        <w:rPr>
          <w:spacing w:val="-3"/>
        </w:rPr>
        <w:t xml:space="preserve">  Microscopic solvability indicates that by including the effect of anisotropic surface energy, only one shape preserving solution is found to the diffusion equation, thus specifying the velocity vs. tip radius condition uniquely. Microscopic solvability predicts that the tip radius will follow essentially the same relationship given by marginal stability analysis except that the value of </w:t>
      </w:r>
      <w:r w:rsidRPr="00752EB3">
        <w:rPr>
          <w:spacing w:val="-3"/>
          <w:position w:val="-6"/>
        </w:rPr>
        <w:object w:dxaOrig="380" w:dyaOrig="279" w14:anchorId="01EB03BB">
          <v:shape id="_x0000_i1529" type="#_x0000_t75" style="width:18.7pt;height:14.05pt" o:ole="">
            <v:imagedata r:id="rId976" o:title=""/>
          </v:shape>
          <o:OLEObject Type="Embed" ProgID="Equation.DSMT4" ShapeID="_x0000_i1529" DrawAspect="Content" ObjectID="_1840627095" r:id="rId977"/>
        </w:object>
      </w:r>
      <w:r>
        <w:rPr>
          <w:spacing w:val="-3"/>
        </w:rPr>
        <w:t xml:space="preserve"> (see section 7.1.3) depends on the degree of anisotropy in the surface energy.</w:t>
      </w:r>
    </w:p>
    <w:p w14:paraId="1B5FD041" w14:textId="77777777" w:rsidR="00015B17" w:rsidRDefault="00015B17" w:rsidP="00015B17">
      <w:pPr>
        <w:suppressAutoHyphens/>
        <w:spacing w:line="360" w:lineRule="auto"/>
        <w:rPr>
          <w:spacing w:val="-3"/>
        </w:rPr>
      </w:pPr>
    </w:p>
    <w:p w14:paraId="45C5129F" w14:textId="7F22D77B" w:rsidR="00015B17" w:rsidRPr="00591E8D" w:rsidRDefault="00015B17" w:rsidP="00015B17">
      <w:pPr>
        <w:suppressAutoHyphens/>
        <w:spacing w:line="360" w:lineRule="auto"/>
        <w:rPr>
          <w:spacing w:val="-3"/>
        </w:rPr>
      </w:pPr>
      <w:r>
        <w:rPr>
          <w:spacing w:val="-3"/>
        </w:rPr>
        <w:tab/>
      </w:r>
      <w:r w:rsidRPr="00591E8D">
        <w:rPr>
          <w:spacing w:val="-3"/>
        </w:rPr>
        <w:t xml:space="preserve">Karma &amp; Rappel [1997] have </w:t>
      </w:r>
      <w:r>
        <w:rPr>
          <w:spacing w:val="-3"/>
        </w:rPr>
        <w:t xml:space="preserve">found </w:t>
      </w:r>
      <w:r w:rsidRPr="00591E8D">
        <w:rPr>
          <w:spacing w:val="-3"/>
        </w:rPr>
        <w:t xml:space="preserve">solvability predictions </w:t>
      </w:r>
      <w:r>
        <w:rPr>
          <w:spacing w:val="-3"/>
        </w:rPr>
        <w:t xml:space="preserve">to generally agree </w:t>
      </w:r>
      <w:r w:rsidRPr="00591E8D">
        <w:rPr>
          <w:spacing w:val="-3"/>
        </w:rPr>
        <w:t xml:space="preserve">with </w:t>
      </w:r>
      <w:r>
        <w:rPr>
          <w:spacing w:val="-3"/>
        </w:rPr>
        <w:t xml:space="preserve">the more accurate </w:t>
      </w:r>
      <w:r w:rsidRPr="00591E8D">
        <w:rPr>
          <w:spacing w:val="-3"/>
        </w:rPr>
        <w:t>phase field results and to experiment</w:t>
      </w:r>
      <w:r w:rsidR="003228EB">
        <w:rPr>
          <w:spacing w:val="-3"/>
        </w:rPr>
        <w:t>s</w:t>
      </w:r>
      <w:r w:rsidRPr="00591E8D">
        <w:rPr>
          <w:spacing w:val="-3"/>
        </w:rPr>
        <w:t xml:space="preserve">. </w:t>
      </w:r>
      <w:r>
        <w:rPr>
          <w:spacing w:val="-3"/>
        </w:rPr>
        <w:t xml:space="preserve">The basics of the </w:t>
      </w:r>
      <w:r w:rsidRPr="00591E8D">
        <w:rPr>
          <w:spacing w:val="-3"/>
        </w:rPr>
        <w:t xml:space="preserve">phase field method </w:t>
      </w:r>
      <w:r>
        <w:rPr>
          <w:spacing w:val="-3"/>
        </w:rPr>
        <w:t xml:space="preserve">were described in </w:t>
      </w:r>
      <w:r w:rsidR="00F65F56">
        <w:rPr>
          <w:spacing w:val="-3"/>
        </w:rPr>
        <w:t>§</w:t>
      </w:r>
      <w:r>
        <w:rPr>
          <w:spacing w:val="-3"/>
        </w:rPr>
        <w:t xml:space="preserve"> 3.4. The method </w:t>
      </w:r>
      <w:r w:rsidRPr="00591E8D">
        <w:rPr>
          <w:spacing w:val="-3"/>
        </w:rPr>
        <w:t xml:space="preserve">succeeds in obtaining realistic dendritic growth </w:t>
      </w:r>
      <w:r>
        <w:rPr>
          <w:spacing w:val="-3"/>
        </w:rPr>
        <w:t>shapes</w:t>
      </w:r>
      <w:r w:rsidRPr="00591E8D">
        <w:rPr>
          <w:spacing w:val="-3"/>
        </w:rPr>
        <w:t xml:space="preserve"> for pure materials (C</w:t>
      </w:r>
      <w:r w:rsidR="00F65F56" w:rsidRPr="00591E8D">
        <w:rPr>
          <w:spacing w:val="-3"/>
        </w:rPr>
        <w:t>alginalp</w:t>
      </w:r>
      <w:r w:rsidRPr="00591E8D">
        <w:rPr>
          <w:spacing w:val="-3"/>
        </w:rPr>
        <w:t xml:space="preserve"> [1986], K</w:t>
      </w:r>
      <w:r w:rsidR="00F65F56" w:rsidRPr="00591E8D">
        <w:rPr>
          <w:spacing w:val="-3"/>
        </w:rPr>
        <w:t>obayashi</w:t>
      </w:r>
      <w:r w:rsidRPr="00591E8D">
        <w:rPr>
          <w:spacing w:val="-3"/>
        </w:rPr>
        <w:t xml:space="preserve"> [1991] [1992] </w:t>
      </w:r>
      <w:r w:rsidR="001D1192">
        <w:rPr>
          <w:spacing w:val="-3"/>
        </w:rPr>
        <w:t xml:space="preserve">[1993] </w:t>
      </w:r>
      <w:r w:rsidRPr="00591E8D">
        <w:rPr>
          <w:spacing w:val="-3"/>
        </w:rPr>
        <w:t>and for alloys (Warren &amp; Boettinger [1995] with no extra condition required to specify the operating state of the dendrite tip. The velocity and tip radius are naturally selected by the solution to the differential equations. A full summary of phase field modeling of dendritic growth is omitted here for brevity. Some results for alloys will be given in Section 7.7.3</w:t>
      </w:r>
      <w:r>
        <w:rPr>
          <w:spacing w:val="-3"/>
        </w:rPr>
        <w:t>.</w:t>
      </w:r>
      <w:r w:rsidRPr="00591E8D">
        <w:rPr>
          <w:spacing w:val="-3"/>
        </w:rPr>
        <w:t xml:space="preserve"> A review of phase field research is given by Boettinger et al. [2002].</w:t>
      </w:r>
    </w:p>
    <w:p w14:paraId="346842C4" w14:textId="77777777" w:rsidR="00015B17" w:rsidRDefault="00015B17" w:rsidP="00015B17">
      <w:pPr>
        <w:suppressAutoHyphens/>
        <w:spacing w:line="360" w:lineRule="auto"/>
        <w:rPr>
          <w:spacing w:val="-3"/>
        </w:rPr>
      </w:pPr>
    </w:p>
    <w:p w14:paraId="1ED62D5A" w14:textId="77777777" w:rsidR="00015B17" w:rsidRPr="00900350" w:rsidRDefault="00015B17" w:rsidP="00015B17">
      <w:pPr>
        <w:suppressAutoHyphens/>
        <w:spacing w:line="360" w:lineRule="auto"/>
        <w:rPr>
          <w:b/>
          <w:spacing w:val="-3"/>
        </w:rPr>
      </w:pPr>
      <w:r>
        <w:rPr>
          <w:b/>
          <w:bCs/>
          <w:spacing w:val="-3"/>
        </w:rPr>
        <w:lastRenderedPageBreak/>
        <w:t xml:space="preserve">7.1.3 </w:t>
      </w:r>
      <w:r w:rsidRPr="00900350">
        <w:rPr>
          <w:b/>
          <w:spacing w:val="-3"/>
        </w:rPr>
        <w:t>Details of the Marginal Stability Criterion</w:t>
      </w:r>
    </w:p>
    <w:p w14:paraId="19968880" w14:textId="77777777" w:rsidR="00015B17" w:rsidRDefault="00015B17" w:rsidP="00015B17">
      <w:pPr>
        <w:suppressAutoHyphens/>
        <w:spacing w:line="360" w:lineRule="auto"/>
        <w:rPr>
          <w:spacing w:val="-3"/>
        </w:rPr>
      </w:pPr>
    </w:p>
    <w:p w14:paraId="3EFF4FD2" w14:textId="32444470" w:rsidR="00015B17" w:rsidRDefault="00015B17" w:rsidP="00015B17">
      <w:pPr>
        <w:suppressAutoHyphens/>
        <w:spacing w:line="360" w:lineRule="auto"/>
        <w:rPr>
          <w:spacing w:val="-3"/>
        </w:rPr>
      </w:pPr>
      <w:r>
        <w:rPr>
          <w:spacing w:val="-3"/>
        </w:rPr>
        <w:tab/>
        <w:t xml:space="preserve">Following only the marginal stability approach, </w:t>
      </w:r>
      <w:r w:rsidR="00BC6A81" w:rsidRPr="00B03078">
        <w:rPr>
          <w:spacing w:val="-3"/>
        </w:rPr>
        <w:t xml:space="preserve">viz. the discussion </w:t>
      </w:r>
      <w:r w:rsidR="00CF4FDD">
        <w:rPr>
          <w:spacing w:val="-3"/>
        </w:rPr>
        <w:t xml:space="preserve">in the first paragraph of </w:t>
      </w:r>
      <w:r w:rsidR="00B03078" w:rsidRPr="00DA1F76">
        <w:rPr>
          <w:spacing w:val="-3"/>
        </w:rPr>
        <w:t>§</w:t>
      </w:r>
      <w:r w:rsidR="00B03078">
        <w:rPr>
          <w:spacing w:val="-3"/>
        </w:rPr>
        <w:t>7.1.2</w:t>
      </w:r>
      <w:r w:rsidR="00BC6A81">
        <w:rPr>
          <w:spacing w:val="-3"/>
        </w:rPr>
        <w:t xml:space="preserve">, </w:t>
      </w:r>
      <w:r>
        <w:rPr>
          <w:spacing w:val="-3"/>
        </w:rPr>
        <w:t xml:space="preserve">an equation for the tip radius, </w:t>
      </w:r>
      <w:r w:rsidRPr="00FC1A2B">
        <w:rPr>
          <w:i/>
          <w:spacing w:val="-3"/>
        </w:rPr>
        <w:t>r</w:t>
      </w:r>
      <w:r>
        <w:rPr>
          <w:spacing w:val="-3"/>
        </w:rPr>
        <w:t>, valid for small and large Peclet numbers (B</w:t>
      </w:r>
      <w:r w:rsidR="00F65F56">
        <w:rPr>
          <w:spacing w:val="-3"/>
        </w:rPr>
        <w:t>oettinger</w:t>
      </w:r>
      <w:r>
        <w:rPr>
          <w:spacing w:val="-3"/>
        </w:rPr>
        <w:t xml:space="preserve"> and C</w:t>
      </w:r>
      <w:r w:rsidR="00F65F56">
        <w:rPr>
          <w:spacing w:val="-3"/>
        </w:rPr>
        <w:t>oriell</w:t>
      </w:r>
      <w:r>
        <w:rPr>
          <w:spacing w:val="-3"/>
        </w:rPr>
        <w:t xml:space="preserve"> [1986], L</w:t>
      </w:r>
      <w:r w:rsidR="00F65F56">
        <w:rPr>
          <w:spacing w:val="-3"/>
        </w:rPr>
        <w:t>ipton</w:t>
      </w:r>
      <w:r>
        <w:rPr>
          <w:spacing w:val="-3"/>
        </w:rPr>
        <w:t xml:space="preserve"> </w:t>
      </w:r>
      <w:r>
        <w:rPr>
          <w:i/>
          <w:iCs/>
          <w:spacing w:val="-3"/>
        </w:rPr>
        <w:t>et al.</w:t>
      </w:r>
      <w:r>
        <w:rPr>
          <w:spacing w:val="-3"/>
        </w:rPr>
        <w:t xml:space="preserve"> [1987], Boettinger et al [1988b]) is given by</w:t>
      </w:r>
    </w:p>
    <w:p w14:paraId="63A60367" w14:textId="77777777" w:rsidR="00015B17" w:rsidRDefault="00015B17" w:rsidP="00015B17">
      <w:pPr>
        <w:suppressAutoHyphens/>
        <w:spacing w:line="360" w:lineRule="auto"/>
        <w:jc w:val="both"/>
        <w:rPr>
          <w:spacing w:val="-3"/>
        </w:rPr>
      </w:pPr>
    </w:p>
    <w:p w14:paraId="72DD77A2" w14:textId="77777777" w:rsidR="00015B17" w:rsidRDefault="008337E7" w:rsidP="00015B17">
      <w:pPr>
        <w:suppressAutoHyphens/>
        <w:spacing w:line="360" w:lineRule="auto"/>
        <w:jc w:val="center"/>
        <w:rPr>
          <w:spacing w:val="-3"/>
        </w:rPr>
      </w:pPr>
      <w:r w:rsidRPr="008337E7">
        <w:rPr>
          <w:spacing w:val="-3"/>
          <w:position w:val="-32"/>
        </w:rPr>
        <w:object w:dxaOrig="2299" w:dyaOrig="740" w14:anchorId="4ADA01E5">
          <v:shape id="_x0000_i1530" type="#_x0000_t75" style="width:115pt;height:36.45pt" o:ole="">
            <v:imagedata r:id="rId978" o:title=""/>
          </v:shape>
          <o:OLEObject Type="Embed" ProgID="Equation.DSMT4" ShapeID="_x0000_i1530" DrawAspect="Content" ObjectID="_1840627096" r:id="rId979"/>
        </w:object>
      </w:r>
      <w:r w:rsidR="006E6FC2">
        <w:rPr>
          <w:spacing w:val="-3"/>
        </w:rPr>
        <w:t>,</w:t>
      </w:r>
      <w:r w:rsidR="00015B17">
        <w:rPr>
          <w:spacing w:val="-3"/>
        </w:rPr>
        <w:tab/>
      </w:r>
      <w:r w:rsidR="00015B17">
        <w:rPr>
          <w:spacing w:val="-3"/>
        </w:rPr>
        <w:tab/>
        <w:t>(7.8)</w:t>
      </w:r>
    </w:p>
    <w:p w14:paraId="35436D4D" w14:textId="77777777" w:rsidR="00015B17" w:rsidRDefault="00015B17" w:rsidP="00015B17">
      <w:pPr>
        <w:suppressAutoHyphens/>
        <w:spacing w:line="360" w:lineRule="auto"/>
        <w:jc w:val="both"/>
        <w:rPr>
          <w:spacing w:val="-3"/>
        </w:rPr>
      </w:pPr>
      <w:r>
        <w:rPr>
          <w:spacing w:val="-3"/>
        </w:rPr>
        <w:t>where</w:t>
      </w:r>
    </w:p>
    <w:p w14:paraId="76C4E8BA" w14:textId="77777777" w:rsidR="00015B17" w:rsidRDefault="00015B17" w:rsidP="00015B17">
      <w:pPr>
        <w:suppressAutoHyphens/>
        <w:spacing w:line="360" w:lineRule="auto"/>
        <w:jc w:val="both"/>
        <w:rPr>
          <w:spacing w:val="-3"/>
        </w:rPr>
      </w:pPr>
    </w:p>
    <w:p w14:paraId="7B212BE4" w14:textId="77777777" w:rsidR="00015B17" w:rsidRDefault="00015B17" w:rsidP="00015B17">
      <w:pPr>
        <w:suppressAutoHyphens/>
        <w:spacing w:line="360" w:lineRule="auto"/>
        <w:jc w:val="center"/>
        <w:rPr>
          <w:spacing w:val="-3"/>
        </w:rPr>
      </w:pPr>
      <w:r w:rsidRPr="00917D71">
        <w:rPr>
          <w:spacing w:val="-3"/>
          <w:position w:val="-36"/>
        </w:rPr>
        <w:object w:dxaOrig="2340" w:dyaOrig="740" w14:anchorId="2887826A">
          <v:shape id="_x0000_i1531" type="#_x0000_t75" style="width:116.9pt;height:36.45pt" o:ole="">
            <v:imagedata r:id="rId980" o:title=""/>
          </v:shape>
          <o:OLEObject Type="Embed" ProgID="Equation.DSMT4" ShapeID="_x0000_i1531" DrawAspect="Content" ObjectID="_1840627097" r:id="rId981"/>
        </w:object>
      </w:r>
      <w:r w:rsidR="006E6FC2">
        <w:rPr>
          <w:spacing w:val="-3"/>
        </w:rPr>
        <w:t>,</w:t>
      </w:r>
      <w:r>
        <w:rPr>
          <w:spacing w:val="-3"/>
        </w:rPr>
        <w:tab/>
      </w:r>
      <w:r>
        <w:rPr>
          <w:spacing w:val="-3"/>
        </w:rPr>
        <w:tab/>
        <w:t>(7.9)</w:t>
      </w:r>
    </w:p>
    <w:p w14:paraId="429DC1A3" w14:textId="77777777" w:rsidR="00015B17" w:rsidRDefault="00015B17" w:rsidP="00015B17">
      <w:pPr>
        <w:suppressAutoHyphens/>
        <w:spacing w:line="360" w:lineRule="auto"/>
        <w:jc w:val="both"/>
        <w:rPr>
          <w:spacing w:val="-3"/>
        </w:rPr>
      </w:pPr>
      <w:r>
        <w:rPr>
          <w:spacing w:val="-3"/>
        </w:rPr>
        <w:t>and</w:t>
      </w:r>
    </w:p>
    <w:p w14:paraId="391A7523" w14:textId="77777777" w:rsidR="00015B17" w:rsidRDefault="00015B17" w:rsidP="00015B17">
      <w:pPr>
        <w:suppressAutoHyphens/>
        <w:spacing w:line="360" w:lineRule="auto"/>
        <w:jc w:val="both"/>
        <w:rPr>
          <w:spacing w:val="-3"/>
        </w:rPr>
      </w:pPr>
    </w:p>
    <w:p w14:paraId="470CA145" w14:textId="77777777" w:rsidR="00015B17" w:rsidRDefault="00015B17" w:rsidP="00015B17">
      <w:pPr>
        <w:suppressAutoHyphens/>
        <w:spacing w:line="360" w:lineRule="auto"/>
        <w:jc w:val="center"/>
        <w:rPr>
          <w:spacing w:val="-3"/>
        </w:rPr>
      </w:pPr>
      <w:r w:rsidRPr="00A207BC">
        <w:rPr>
          <w:spacing w:val="-3"/>
          <w:position w:val="-32"/>
        </w:rPr>
        <w:object w:dxaOrig="3420" w:dyaOrig="740" w14:anchorId="71A2D646">
          <v:shape id="_x0000_i1532" type="#_x0000_t75" style="width:171.1pt;height:36.45pt" o:ole="">
            <v:imagedata r:id="rId982" o:title=""/>
          </v:shape>
          <o:OLEObject Type="Embed" ProgID="Equation.DSMT4" ShapeID="_x0000_i1532" DrawAspect="Content" ObjectID="_1840627098" r:id="rId983"/>
        </w:object>
      </w:r>
      <w:r>
        <w:rPr>
          <w:spacing w:val="-3"/>
        </w:rPr>
        <w:tab/>
      </w:r>
      <w:r>
        <w:rPr>
          <w:spacing w:val="-3"/>
        </w:rPr>
        <w:tab/>
        <w:t>(7.10)</w:t>
      </w:r>
    </w:p>
    <w:p w14:paraId="4A93C0F0" w14:textId="77777777" w:rsidR="00015B17" w:rsidRDefault="00015B17" w:rsidP="00015B17">
      <w:pPr>
        <w:suppressAutoHyphens/>
        <w:spacing w:line="360" w:lineRule="auto"/>
        <w:jc w:val="center"/>
        <w:rPr>
          <w:spacing w:val="-3"/>
        </w:rPr>
      </w:pPr>
    </w:p>
    <w:p w14:paraId="215D8E1B" w14:textId="76B17F78" w:rsidR="00015B17" w:rsidRDefault="00015B17" w:rsidP="00015B17">
      <w:pPr>
        <w:suppressAutoHyphens/>
        <w:spacing w:line="360" w:lineRule="auto"/>
        <w:rPr>
          <w:spacing w:val="-3"/>
        </w:rPr>
      </w:pPr>
      <w:r>
        <w:rPr>
          <w:spacing w:val="-3"/>
        </w:rPr>
        <w:t xml:space="preserve">Here the parameter </w:t>
      </w:r>
      <w:r>
        <w:rPr>
          <w:i/>
          <w:iCs/>
          <w:spacing w:val="-3"/>
        </w:rPr>
        <w:t>σ</w:t>
      </w:r>
      <w:r w:rsidRPr="00883A53">
        <w:rPr>
          <w:spacing w:val="-3"/>
          <w:sz w:val="26"/>
          <w:vertAlign w:val="superscript"/>
        </w:rPr>
        <w:t>*</w:t>
      </w:r>
      <w:r>
        <w:rPr>
          <w:spacing w:val="-3"/>
        </w:rPr>
        <w:t xml:space="preserve"> is taken as 1/4</w:t>
      </w:r>
      <w:r>
        <w:rPr>
          <w:i/>
          <w:iCs/>
          <w:spacing w:val="-3"/>
        </w:rPr>
        <w:t>π</w:t>
      </w:r>
      <w:r w:rsidRPr="00883A53">
        <w:rPr>
          <w:spacing w:val="-3"/>
          <w:sz w:val="26"/>
          <w:vertAlign w:val="superscript"/>
        </w:rPr>
        <w:t>2</w:t>
      </w:r>
      <w:r>
        <w:rPr>
          <w:spacing w:val="-3"/>
        </w:rPr>
        <w:t xml:space="preserve">. The parameters </w:t>
      </w:r>
      <w:r>
        <w:rPr>
          <w:i/>
          <w:iCs/>
          <w:spacing w:val="-3"/>
        </w:rPr>
        <w:t>ξ</w:t>
      </w:r>
      <w:r w:rsidRPr="00727E8A">
        <w:rPr>
          <w:spacing w:val="-3"/>
          <w:sz w:val="26"/>
          <w:vertAlign w:val="subscript"/>
        </w:rPr>
        <w:t>t</w:t>
      </w:r>
      <w:r>
        <w:rPr>
          <w:spacing w:val="-3"/>
        </w:rPr>
        <w:t xml:space="preserve"> and </w:t>
      </w:r>
      <w:r>
        <w:rPr>
          <w:i/>
          <w:iCs/>
          <w:spacing w:val="-3"/>
        </w:rPr>
        <w:t>ξ</w:t>
      </w:r>
      <w:r w:rsidRPr="00727E8A">
        <w:rPr>
          <w:spacing w:val="-3"/>
          <w:sz w:val="26"/>
          <w:vertAlign w:val="subscript"/>
        </w:rPr>
        <w:t>c</w:t>
      </w:r>
      <w:r>
        <w:rPr>
          <w:spacing w:val="-3"/>
        </w:rPr>
        <w:t xml:space="preserve"> can be set equal to unity if </w:t>
      </w:r>
      <w:r>
        <w:rPr>
          <w:i/>
          <w:iCs/>
          <w:spacing w:val="-3"/>
        </w:rPr>
        <w:t>P</w:t>
      </w:r>
      <w:r w:rsidRPr="003E0F31">
        <w:rPr>
          <w:spacing w:val="-3"/>
          <w:sz w:val="26"/>
          <w:szCs w:val="26"/>
          <w:vertAlign w:val="subscript"/>
        </w:rPr>
        <w:t>t</w:t>
      </w:r>
      <w:r>
        <w:rPr>
          <w:spacing w:val="-3"/>
        </w:rPr>
        <w:t xml:space="preserve"> and</w:t>
      </w:r>
      <w:r>
        <w:rPr>
          <w:i/>
          <w:iCs/>
          <w:spacing w:val="-3"/>
        </w:rPr>
        <w:t>P</w:t>
      </w:r>
      <w:r w:rsidRPr="003E0F31">
        <w:rPr>
          <w:spacing w:val="-3"/>
          <w:sz w:val="26"/>
          <w:szCs w:val="26"/>
          <w:vertAlign w:val="subscript"/>
        </w:rPr>
        <w:t>c</w:t>
      </w:r>
      <w:r w:rsidR="00BC6A81" w:rsidRPr="00727E8A">
        <w:rPr>
          <w:spacing w:val="-3"/>
          <w:sz w:val="26"/>
          <w:vertAlign w:val="subscript"/>
        </w:rPr>
        <w:t xml:space="preserve"> </w:t>
      </w:r>
      <w:r w:rsidRPr="003E0F31">
        <w:rPr>
          <w:spacing w:val="-3"/>
          <w:sz w:val="26"/>
          <w:szCs w:val="26"/>
        </w:rPr>
        <w:t>«</w:t>
      </w:r>
      <w:r w:rsidR="00BC6A81">
        <w:rPr>
          <w:spacing w:val="-3"/>
        </w:rPr>
        <w:t xml:space="preserve"> </w:t>
      </w:r>
      <w:r>
        <w:rPr>
          <w:spacing w:val="-3"/>
        </w:rPr>
        <w:t xml:space="preserve">1, but may deviate from unity as the velocity approaches either the constitutional supercooling or absolute stability condition. The parameter </w:t>
      </w:r>
      <w:r>
        <w:rPr>
          <w:i/>
          <w:iCs/>
          <w:spacing w:val="-3"/>
        </w:rPr>
        <w:t>G</w:t>
      </w:r>
      <w:r>
        <w:rPr>
          <w:spacing w:val="-3"/>
        </w:rPr>
        <w:t xml:space="preserve"> is the conductivity weighted temperature gradient given by</w:t>
      </w:r>
    </w:p>
    <w:p w14:paraId="1D217043" w14:textId="77777777" w:rsidR="00015B17" w:rsidRDefault="00015B17" w:rsidP="00015B17">
      <w:pPr>
        <w:suppressAutoHyphens/>
        <w:spacing w:line="360" w:lineRule="auto"/>
        <w:jc w:val="both"/>
        <w:rPr>
          <w:spacing w:val="-3"/>
        </w:rPr>
      </w:pPr>
    </w:p>
    <w:p w14:paraId="26DC74A3" w14:textId="77777777" w:rsidR="00015B17" w:rsidRDefault="00015B17" w:rsidP="00015B17">
      <w:pPr>
        <w:suppressAutoHyphens/>
        <w:spacing w:line="360" w:lineRule="auto"/>
        <w:jc w:val="center"/>
        <w:rPr>
          <w:spacing w:val="-3"/>
        </w:rPr>
      </w:pPr>
      <w:r w:rsidRPr="00917D71">
        <w:rPr>
          <w:spacing w:val="-3"/>
          <w:position w:val="-30"/>
        </w:rPr>
        <w:object w:dxaOrig="1780" w:dyaOrig="680" w14:anchorId="0F033D5C">
          <v:shape id="_x0000_i1533" type="#_x0000_t75" style="width:88.85pt;height:33.65pt" o:ole="">
            <v:imagedata r:id="rId984" o:title=""/>
          </v:shape>
          <o:OLEObject Type="Embed" ProgID="Equation.DSMT4" ShapeID="_x0000_i1533" DrawAspect="Content" ObjectID="_1840627099" r:id="rId985"/>
        </w:object>
      </w:r>
      <w:r>
        <w:rPr>
          <w:spacing w:val="-3"/>
        </w:rPr>
        <w:tab/>
      </w:r>
      <w:r>
        <w:rPr>
          <w:spacing w:val="-3"/>
        </w:rPr>
        <w:tab/>
      </w:r>
      <w:r>
        <w:rPr>
          <w:spacing w:val="-3"/>
        </w:rPr>
        <w:tab/>
        <w:t>(7.11)</w:t>
      </w:r>
    </w:p>
    <w:p w14:paraId="727350D4" w14:textId="77777777" w:rsidR="00015B17" w:rsidRDefault="00015B17" w:rsidP="00015B17">
      <w:pPr>
        <w:suppressAutoHyphens/>
        <w:spacing w:line="360" w:lineRule="auto"/>
        <w:jc w:val="center"/>
        <w:rPr>
          <w:spacing w:val="-3"/>
        </w:rPr>
      </w:pPr>
    </w:p>
    <w:p w14:paraId="4CF0B705" w14:textId="77777777" w:rsidR="00015B17" w:rsidRDefault="00015B17" w:rsidP="00015B17">
      <w:pPr>
        <w:suppressAutoHyphens/>
        <w:spacing w:line="360" w:lineRule="auto"/>
        <w:rPr>
          <w:spacing w:val="-3"/>
        </w:rPr>
      </w:pPr>
      <w:r>
        <w:rPr>
          <w:spacing w:val="-3"/>
        </w:rPr>
        <w:t xml:space="preserve">If the conductivities are equal, </w:t>
      </w:r>
      <w:r>
        <w:rPr>
          <w:i/>
          <w:iCs/>
          <w:spacing w:val="-3"/>
        </w:rPr>
        <w:t>G</w:t>
      </w:r>
      <w:r>
        <w:rPr>
          <w:spacing w:val="-3"/>
        </w:rPr>
        <w:t xml:space="preserve"> is simply the mean of the liquid and solid temperature gradients. For free dendritic growth,</w:t>
      </w:r>
      <w:r>
        <w:rPr>
          <w:i/>
          <w:iCs/>
          <w:spacing w:val="-3"/>
        </w:rPr>
        <w:t xml:space="preserve"> G</w:t>
      </w:r>
      <w:r w:rsidRPr="00727E8A">
        <w:rPr>
          <w:spacing w:val="-3"/>
          <w:sz w:val="26"/>
          <w:vertAlign w:val="subscript"/>
        </w:rPr>
        <w:t>S</w:t>
      </w:r>
      <w:r>
        <w:rPr>
          <w:spacing w:val="-3"/>
        </w:rPr>
        <w:t>= 0, and</w:t>
      </w:r>
    </w:p>
    <w:p w14:paraId="49AA2B22" w14:textId="77777777" w:rsidR="00015B17" w:rsidRDefault="00015B17" w:rsidP="00015B17">
      <w:pPr>
        <w:suppressAutoHyphens/>
        <w:spacing w:line="360" w:lineRule="auto"/>
        <w:jc w:val="both"/>
        <w:rPr>
          <w:vanish/>
          <w:spacing w:val="-3"/>
        </w:rPr>
      </w:pPr>
    </w:p>
    <w:p w14:paraId="20459BE8" w14:textId="77777777" w:rsidR="00015B17" w:rsidRDefault="00015B17" w:rsidP="00015B17">
      <w:pPr>
        <w:suppressAutoHyphens/>
        <w:spacing w:line="360" w:lineRule="auto"/>
        <w:jc w:val="both"/>
        <w:rPr>
          <w:spacing w:val="-3"/>
        </w:rPr>
      </w:pPr>
    </w:p>
    <w:p w14:paraId="297AE3FB" w14:textId="77777777" w:rsidR="00015B17" w:rsidRDefault="00015B17" w:rsidP="00015B17">
      <w:pPr>
        <w:suppressAutoHyphens/>
        <w:spacing w:line="360" w:lineRule="auto"/>
        <w:jc w:val="center"/>
        <w:rPr>
          <w:spacing w:val="-3"/>
        </w:rPr>
      </w:pPr>
      <w:r w:rsidRPr="00917D71">
        <w:rPr>
          <w:spacing w:val="-3"/>
          <w:position w:val="-10"/>
        </w:rPr>
        <w:object w:dxaOrig="1300" w:dyaOrig="360" w14:anchorId="0A55A4B4">
          <v:shape id="_x0000_i1534" type="#_x0000_t75" style="width:66.4pt;height:17.75pt" o:ole="">
            <v:imagedata r:id="rId986" o:title=""/>
          </v:shape>
          <o:OLEObject Type="Embed" ProgID="Equation.DSMT4" ShapeID="_x0000_i1534" DrawAspect="Content" ObjectID="_1840627100" r:id="rId987"/>
        </w:object>
      </w:r>
      <w:r>
        <w:rPr>
          <w:spacing w:val="-3"/>
        </w:rPr>
        <w:tab/>
      </w:r>
      <w:r w:rsidR="006E6FC2">
        <w:rPr>
          <w:spacing w:val="-3"/>
        </w:rPr>
        <w:t>.</w:t>
      </w:r>
      <w:r>
        <w:rPr>
          <w:spacing w:val="-3"/>
        </w:rPr>
        <w:tab/>
        <w:t>(7.12)</w:t>
      </w:r>
    </w:p>
    <w:p w14:paraId="6A88DFB6" w14:textId="77777777" w:rsidR="00015B17" w:rsidRDefault="00015B17" w:rsidP="00015B17">
      <w:pPr>
        <w:suppressAutoHyphens/>
        <w:spacing w:line="360" w:lineRule="auto"/>
        <w:jc w:val="both"/>
        <w:rPr>
          <w:spacing w:val="-3"/>
        </w:rPr>
      </w:pPr>
    </w:p>
    <w:p w14:paraId="1FFB268E" w14:textId="77777777" w:rsidR="00015B17" w:rsidRDefault="00015B17" w:rsidP="00015B17">
      <w:pPr>
        <w:suppressAutoHyphens/>
        <w:spacing w:line="360" w:lineRule="auto"/>
        <w:rPr>
          <w:spacing w:val="-3"/>
        </w:rPr>
      </w:pPr>
      <w:r>
        <w:rPr>
          <w:spacing w:val="-3"/>
        </w:rPr>
        <w:t xml:space="preserve">For growth into the supercooled melt </w:t>
      </w:r>
      <w:r w:rsidRPr="008337E7">
        <w:rPr>
          <w:i/>
          <w:spacing w:val="-3"/>
        </w:rPr>
        <w:t>G</w:t>
      </w:r>
      <w:r>
        <w:rPr>
          <w:spacing w:val="-3"/>
        </w:rPr>
        <w:t xml:space="preserve"> is determine</w:t>
      </w:r>
      <w:r w:rsidR="003228EB">
        <w:rPr>
          <w:spacing w:val="-3"/>
        </w:rPr>
        <w:t>d</w:t>
      </w:r>
      <w:r>
        <w:rPr>
          <w:spacing w:val="-3"/>
        </w:rPr>
        <w:t xml:space="preserve"> from Eqn. 7.6. For constrained growth, </w:t>
      </w:r>
      <w:r w:rsidRPr="008337E7">
        <w:rPr>
          <w:i/>
          <w:iCs/>
          <w:spacing w:val="-3"/>
        </w:rPr>
        <w:t>G</w:t>
      </w:r>
      <w:r>
        <w:rPr>
          <w:spacing w:val="-3"/>
        </w:rPr>
        <w:t xml:space="preserve"> is determined by the imposed temperature gradient of the furnace. Either way the operating condition given by the marginal stability hypothesis is significantly larger in comparison to the maximum growth rate hypothesis as seen in Fig. 7.1.</w:t>
      </w:r>
    </w:p>
    <w:p w14:paraId="0102DC79" w14:textId="77777777" w:rsidR="00015B17" w:rsidRDefault="00015B17" w:rsidP="00015B17">
      <w:pPr>
        <w:suppressAutoHyphens/>
        <w:spacing w:line="360" w:lineRule="auto"/>
        <w:rPr>
          <w:spacing w:val="-3"/>
        </w:rPr>
      </w:pPr>
    </w:p>
    <w:p w14:paraId="65D0BAFD" w14:textId="77777777" w:rsidR="00015B17" w:rsidRDefault="00015B17" w:rsidP="00015B17">
      <w:pPr>
        <w:suppressAutoHyphens/>
        <w:spacing w:line="360" w:lineRule="auto"/>
        <w:rPr>
          <w:spacing w:val="-3"/>
        </w:rPr>
      </w:pPr>
      <w:r>
        <w:rPr>
          <w:spacing w:val="-3"/>
        </w:rPr>
        <w:tab/>
        <w:t xml:space="preserve">Using the marginal stability condition, Eqn. 7.8, a complete specification of the dendrite tip can be obtained for free growth or for constrained growth. In the former case, Eqns. 7.2, 7.3 and 7.6 are used in Eqn. 7.8 and solved simultaneously with Eqn. 7.7 to numerically determine the tip radius and velocity for a given value of </w:t>
      </w:r>
      <w:r>
        <w:rPr>
          <w:i/>
          <w:iCs/>
          <w:spacing w:val="-3"/>
        </w:rPr>
        <w:t>ΔT</w:t>
      </w:r>
      <w:r>
        <w:rPr>
          <w:spacing w:val="-3"/>
        </w:rPr>
        <w:t xml:space="preserve">. We refer to the results of this theory as </w:t>
      </w:r>
      <w:r>
        <w:rPr>
          <w:i/>
          <w:iCs/>
          <w:spacing w:val="-3"/>
        </w:rPr>
        <w:t>IV/MS</w:t>
      </w:r>
      <w:r>
        <w:rPr>
          <w:spacing w:val="-3"/>
        </w:rPr>
        <w:t xml:space="preserve"> after the Ivantsov solution using the marginal stability criterion for tip radius selection. A simplified version of this theory for free growth that assumes local interface equilibrium is given by L</w:t>
      </w:r>
      <w:r w:rsidR="00F65F56">
        <w:rPr>
          <w:spacing w:val="-3"/>
        </w:rPr>
        <w:t>ipton</w:t>
      </w:r>
      <w:r>
        <w:rPr>
          <w:spacing w:val="-3"/>
        </w:rPr>
        <w:t xml:space="preserve"> </w:t>
      </w:r>
      <w:r>
        <w:rPr>
          <w:i/>
          <w:iCs/>
          <w:spacing w:val="-3"/>
        </w:rPr>
        <w:t xml:space="preserve">et al. </w:t>
      </w:r>
      <w:r>
        <w:rPr>
          <w:spacing w:val="-3"/>
        </w:rPr>
        <w:t>[1984].</w:t>
      </w:r>
    </w:p>
    <w:p w14:paraId="13A25C1F" w14:textId="77777777" w:rsidR="00015B17" w:rsidRDefault="00015B17" w:rsidP="00015B17">
      <w:pPr>
        <w:suppressAutoHyphens/>
        <w:spacing w:line="360" w:lineRule="auto"/>
        <w:rPr>
          <w:spacing w:val="-3"/>
        </w:rPr>
      </w:pPr>
    </w:p>
    <w:p w14:paraId="56B4D8E4" w14:textId="410B9EA1" w:rsidR="00015B17" w:rsidRDefault="00015B17" w:rsidP="00015B17">
      <w:pPr>
        <w:suppressAutoHyphens/>
        <w:spacing w:line="360" w:lineRule="auto"/>
        <w:rPr>
          <w:spacing w:val="-3"/>
        </w:rPr>
      </w:pPr>
      <w:r>
        <w:rPr>
          <w:spacing w:val="-3"/>
        </w:rPr>
        <w:tab/>
        <w:t xml:space="preserve">An example of the results of the full theory for free growth into an supercooled melt including the high Peclet number corrections (Eqns. 7.9 and 7.10) and the </w:t>
      </w:r>
      <w:r w:rsidR="00F65F56">
        <w:rPr>
          <w:spacing w:val="-3"/>
        </w:rPr>
        <w:t>nonequilibrium</w:t>
      </w:r>
      <w:r>
        <w:rPr>
          <w:spacing w:val="-3"/>
        </w:rPr>
        <w:t xml:space="preserve"> interface conditions for temperature and compositions is shown in Fig. 7.2 for a Ag</w:t>
      </w:r>
      <w:r>
        <w:rPr>
          <w:spacing w:val="-3"/>
        </w:rPr>
        <w:noBreakHyphen/>
        <w:t>15 wt% Cu alloy (B</w:t>
      </w:r>
      <w:r w:rsidR="00F65F56">
        <w:rPr>
          <w:spacing w:val="-3"/>
        </w:rPr>
        <w:t xml:space="preserve">oettinger </w:t>
      </w:r>
      <w:r>
        <w:rPr>
          <w:i/>
          <w:iCs/>
          <w:spacing w:val="-3"/>
        </w:rPr>
        <w:t>et al.</w:t>
      </w:r>
      <w:r>
        <w:rPr>
          <w:spacing w:val="-3"/>
        </w:rPr>
        <w:t>[1988b]).  Fig. 7.2a shows the growth velocity versus supercooling relation.  The dendrite velocity increases with supercooling. Note the more rapid increase in velocity near</w:t>
      </w:r>
      <w:r>
        <w:rPr>
          <w:i/>
          <w:iCs/>
          <w:spacing w:val="-3"/>
        </w:rPr>
        <w:t xml:space="preserve"> ΔT</w:t>
      </w:r>
      <w:r>
        <w:rPr>
          <w:spacing w:val="-3"/>
        </w:rPr>
        <w:t xml:space="preserve"> = 100 K.  Fig. 7.2b shows how the nonequilibrium interface partition coefficient at the tip increases very sharply towards unity due to solute trapping at this same level of supercooling. This indicates the transition to partitionless solidification for the tip.  In fact</w:t>
      </w:r>
      <w:r w:rsidR="008337E7">
        <w:rPr>
          <w:spacing w:val="-3"/>
        </w:rPr>
        <w:t>,</w:t>
      </w:r>
      <w:r>
        <w:rPr>
          <w:spacing w:val="-3"/>
        </w:rPr>
        <w:t xml:space="preserve"> for supercoolings greater than 200 K the dendritic growth rate is the same as that for a pure metal with a melting point equal to the</w:t>
      </w:r>
      <w:r>
        <w:rPr>
          <w:i/>
          <w:iCs/>
          <w:spacing w:val="-3"/>
        </w:rPr>
        <w:t xml:space="preserve"> T</w:t>
      </w:r>
      <w:r w:rsidRPr="00727E8A">
        <w:rPr>
          <w:spacing w:val="-3"/>
          <w:sz w:val="26"/>
          <w:vertAlign w:val="subscript"/>
        </w:rPr>
        <w:t>0</w:t>
      </w:r>
      <w:r>
        <w:rPr>
          <w:spacing w:val="-3"/>
        </w:rPr>
        <w:t xml:space="preserve"> temperature for a</w:t>
      </w:r>
      <w:r w:rsidR="003C5680">
        <w:rPr>
          <w:spacing w:val="-3"/>
        </w:rPr>
        <w:t>n</w:t>
      </w:r>
      <w:r>
        <w:rPr>
          <w:spacing w:val="-3"/>
        </w:rPr>
        <w:t xml:space="preserve"> Ag</w:t>
      </w:r>
      <w:r>
        <w:rPr>
          <w:spacing w:val="-3"/>
        </w:rPr>
        <w:noBreakHyphen/>
        <w:t xml:space="preserve">15 </w:t>
      </w:r>
      <w:r w:rsidRPr="00C971E0">
        <w:rPr>
          <w:spacing w:val="-3"/>
        </w:rPr>
        <w:t>wt</w:t>
      </w:r>
      <w:r>
        <w:rPr>
          <w:spacing w:val="-3"/>
        </w:rPr>
        <w:t xml:space="preserve">% Cu alloy.  Fig. 7.2c shows how the composition of the solid at the dendrite tip depends on supercooling. The composition rises from 5.5 </w:t>
      </w:r>
      <w:r w:rsidRPr="00C971E0">
        <w:rPr>
          <w:spacing w:val="-3"/>
        </w:rPr>
        <w:t>wt</w:t>
      </w:r>
      <w:r>
        <w:rPr>
          <w:spacing w:val="-3"/>
        </w:rPr>
        <w:t>% Cu (</w:t>
      </w:r>
      <w:r w:rsidRPr="001775EE">
        <w:rPr>
          <w:iCs/>
          <w:spacing w:val="-3"/>
          <w:position w:val="-12"/>
        </w:rPr>
        <w:object w:dxaOrig="740" w:dyaOrig="380" w14:anchorId="129C3C4D">
          <v:shape id="_x0000_i1535" type="#_x0000_t75" style="width:36.45pt;height:18.7pt" o:ole="">
            <v:imagedata r:id="rId988" o:title=""/>
          </v:shape>
          <o:OLEObject Type="Embed" ProgID="Equation.DSMT4" ShapeID="_x0000_i1535" DrawAspect="Content" ObjectID="_1840627101" r:id="rId989"/>
        </w:object>
      </w:r>
      <w:r w:rsidRPr="001775EE">
        <w:rPr>
          <w:spacing w:val="-3"/>
        </w:rPr>
        <w:t>)</w:t>
      </w:r>
      <w:r>
        <w:rPr>
          <w:spacing w:val="-3"/>
        </w:rPr>
        <w:t xml:space="preserve"> for low supercooling to 15 </w:t>
      </w:r>
      <w:r w:rsidRPr="00C971E0">
        <w:rPr>
          <w:spacing w:val="-3"/>
        </w:rPr>
        <w:t>wt</w:t>
      </w:r>
      <w:r>
        <w:rPr>
          <w:spacing w:val="-3"/>
        </w:rPr>
        <w:t xml:space="preserve">% Cu for </w:t>
      </w:r>
      <w:r>
        <w:rPr>
          <w:i/>
          <w:iCs/>
          <w:spacing w:val="-3"/>
        </w:rPr>
        <w:t>ΔT</w:t>
      </w:r>
      <w:r w:rsidR="00C24A0D">
        <w:rPr>
          <w:i/>
          <w:iCs/>
          <w:spacing w:val="-3"/>
        </w:rPr>
        <w:t xml:space="preserve"> </w:t>
      </w:r>
      <w:r>
        <w:rPr>
          <w:spacing w:val="-3"/>
        </w:rPr>
        <w:t>=</w:t>
      </w:r>
      <w:r w:rsidR="00C24A0D">
        <w:rPr>
          <w:spacing w:val="-3"/>
        </w:rPr>
        <w:t xml:space="preserve"> </w:t>
      </w:r>
      <w:r>
        <w:rPr>
          <w:spacing w:val="-3"/>
        </w:rPr>
        <w:t xml:space="preserve">100K. This plot shows how microsegregation in dendritic structures can be reduced by increased supercooling. Finally, Fig. 7.2d gives the dendrite tip radius.  The general decline in radius with increased supercooling is sharply arrested at </w:t>
      </w:r>
      <w:r>
        <w:rPr>
          <w:i/>
          <w:iCs/>
          <w:spacing w:val="-3"/>
        </w:rPr>
        <w:t>ΔT</w:t>
      </w:r>
      <w:r>
        <w:rPr>
          <w:spacing w:val="-3"/>
        </w:rPr>
        <w:t>=100</w:t>
      </w:r>
      <w:r w:rsidR="00C24A0D">
        <w:rPr>
          <w:spacing w:val="-3"/>
        </w:rPr>
        <w:t xml:space="preserve"> </w:t>
      </w:r>
      <w:r>
        <w:rPr>
          <w:spacing w:val="-3"/>
        </w:rPr>
        <w:t xml:space="preserve">K as the dendrite tip changes from solute controlled length scales to the larger thermally controlled length scales corresponding to </w:t>
      </w:r>
      <w:r w:rsidRPr="00A207BC">
        <w:rPr>
          <w:spacing w:val="-3"/>
          <w:position w:val="-14"/>
        </w:rPr>
        <w:object w:dxaOrig="1060" w:dyaOrig="400" w14:anchorId="0EC1FE36">
          <v:shape id="_x0000_i1536" type="#_x0000_t75" style="width:53.3pt;height:19.65pt" o:ole="">
            <v:imagedata r:id="rId990" o:title=""/>
          </v:shape>
          <o:OLEObject Type="Embed" ProgID="Equation.DSMT4" ShapeID="_x0000_i1536" DrawAspect="Content" ObjectID="_1840627102" r:id="rId991"/>
        </w:object>
      </w:r>
      <w:r>
        <w:rPr>
          <w:spacing w:val="-3"/>
        </w:rPr>
        <w:t>.</w:t>
      </w:r>
    </w:p>
    <w:p w14:paraId="72F1958A" w14:textId="77777777" w:rsidR="00015B17" w:rsidRDefault="00015B17" w:rsidP="00015B17">
      <w:pPr>
        <w:suppressAutoHyphens/>
        <w:spacing w:line="360" w:lineRule="auto"/>
        <w:rPr>
          <w:spacing w:val="-3"/>
        </w:rPr>
      </w:pPr>
    </w:p>
    <w:p w14:paraId="3902D2DC" w14:textId="300B4C5E" w:rsidR="00015B17" w:rsidRDefault="00015B17" w:rsidP="00015B17">
      <w:pPr>
        <w:suppressAutoHyphens/>
        <w:spacing w:line="360" w:lineRule="auto"/>
        <w:rPr>
          <w:spacing w:val="-3"/>
        </w:rPr>
      </w:pPr>
      <w:r>
        <w:rPr>
          <w:spacing w:val="-3"/>
        </w:rPr>
        <w:tab/>
        <w:t>For constrained growth, prescribed values of</w:t>
      </w:r>
      <w:r>
        <w:rPr>
          <w:i/>
          <w:iCs/>
          <w:spacing w:val="-3"/>
        </w:rPr>
        <w:t xml:space="preserve"> G</w:t>
      </w:r>
      <w:r>
        <w:rPr>
          <w:spacing w:val="-3"/>
        </w:rPr>
        <w:t xml:space="preserve"> and </w:t>
      </w:r>
      <w:r>
        <w:rPr>
          <w:i/>
          <w:iCs/>
          <w:spacing w:val="-3"/>
        </w:rPr>
        <w:t>V</w:t>
      </w:r>
      <w:r>
        <w:rPr>
          <w:spacing w:val="-3"/>
        </w:rPr>
        <w:t xml:space="preserve"> are used in Eqns. 7.2, 7.3 and 7.8 to implicitly give the radius. The radius and velocity are then used to determine </w:t>
      </w:r>
      <w:r>
        <w:rPr>
          <w:i/>
          <w:iCs/>
          <w:spacing w:val="-3"/>
        </w:rPr>
        <w:t>C</w:t>
      </w:r>
      <w:r w:rsidRPr="00727E8A">
        <w:rPr>
          <w:spacing w:val="-3"/>
          <w:sz w:val="26"/>
          <w:vertAlign w:val="subscript"/>
        </w:rPr>
        <w:t>L</w:t>
      </w:r>
      <w:r w:rsidRPr="00883A53">
        <w:rPr>
          <w:spacing w:val="-3"/>
          <w:sz w:val="26"/>
          <w:vertAlign w:val="superscript"/>
        </w:rPr>
        <w:t>*</w:t>
      </w:r>
      <w:r>
        <w:rPr>
          <w:spacing w:val="-3"/>
        </w:rPr>
        <w:t xml:space="preserve"> using Eqn. 7.2 and</w:t>
      </w:r>
      <w:r>
        <w:rPr>
          <w:i/>
          <w:iCs/>
          <w:spacing w:val="-3"/>
        </w:rPr>
        <w:t xml:space="preserve"> T</w:t>
      </w:r>
      <w:r w:rsidRPr="00883A53">
        <w:rPr>
          <w:spacing w:val="-3"/>
          <w:sz w:val="26"/>
          <w:vertAlign w:val="superscript"/>
        </w:rPr>
        <w:fldChar w:fldCharType="begin"/>
      </w:r>
      <w:r w:rsidRPr="00883A53">
        <w:rPr>
          <w:spacing w:val="-3"/>
          <w:sz w:val="26"/>
          <w:vertAlign w:val="superscript"/>
        </w:rPr>
        <w:instrText>ADVANCE \R 1.65</w:instrText>
      </w:r>
      <w:r w:rsidRPr="00883A53">
        <w:rPr>
          <w:spacing w:val="-3"/>
          <w:sz w:val="26"/>
          <w:vertAlign w:val="superscript"/>
        </w:rPr>
        <w:fldChar w:fldCharType="end"/>
      </w:r>
      <w:r w:rsidRPr="00883A53">
        <w:rPr>
          <w:spacing w:val="-3"/>
          <w:sz w:val="26"/>
          <w:vertAlign w:val="superscript"/>
        </w:rPr>
        <w:t>*</w:t>
      </w:r>
      <w:r>
        <w:rPr>
          <w:spacing w:val="-3"/>
        </w:rPr>
        <w:t xml:space="preserve"> using Eqn. 7.</w:t>
      </w:r>
      <w:r w:rsidR="008337E7">
        <w:rPr>
          <w:spacing w:val="-3"/>
        </w:rPr>
        <w:t>4</w:t>
      </w:r>
      <w:r>
        <w:rPr>
          <w:spacing w:val="-3"/>
        </w:rPr>
        <w:t xml:space="preserve">. An example of the results of this theory for constrained growth during directional solidification of Ag-Cu alloys assuming local equilibrium is shown in Fig. 7.3 from </w:t>
      </w:r>
      <w:r w:rsidR="00F65F56">
        <w:rPr>
          <w:spacing w:val="-3"/>
        </w:rPr>
        <w:t xml:space="preserve">Kurz </w:t>
      </w:r>
      <w:r>
        <w:rPr>
          <w:i/>
          <w:iCs/>
          <w:spacing w:val="-3"/>
        </w:rPr>
        <w:t>et al.</w:t>
      </w:r>
      <w:r>
        <w:rPr>
          <w:spacing w:val="-3"/>
        </w:rPr>
        <w:t xml:space="preserve"> [1986].  The calculated tip radius and tip temperature as a function of imposed growth rate for a temperature gradient of 10</w:t>
      </w:r>
      <w:r w:rsidRPr="00883A53">
        <w:rPr>
          <w:spacing w:val="-3"/>
          <w:sz w:val="26"/>
          <w:vertAlign w:val="superscript"/>
        </w:rPr>
        <w:t xml:space="preserve">5 </w:t>
      </w:r>
      <w:r>
        <w:rPr>
          <w:spacing w:val="-3"/>
        </w:rPr>
        <w:t xml:space="preserve">K/cm are given. The general trend for the radius follows </w:t>
      </w:r>
      <w:r>
        <w:rPr>
          <w:i/>
          <w:iCs/>
          <w:spacing w:val="-3"/>
        </w:rPr>
        <w:t>Vr</w:t>
      </w:r>
      <w:r w:rsidRPr="00883A53">
        <w:rPr>
          <w:spacing w:val="-3"/>
          <w:sz w:val="26"/>
          <w:vertAlign w:val="superscript"/>
        </w:rPr>
        <w:t>2</w:t>
      </w:r>
      <w:r w:rsidR="00BC6A81" w:rsidRPr="00883A53">
        <w:rPr>
          <w:spacing w:val="-3"/>
          <w:sz w:val="26"/>
          <w:vertAlign w:val="superscript"/>
        </w:rPr>
        <w:t xml:space="preserve"> </w:t>
      </w:r>
      <w:r>
        <w:rPr>
          <w:spacing w:val="-3"/>
        </w:rPr>
        <w:t>=</w:t>
      </w:r>
      <w:r w:rsidR="00BC6A81">
        <w:rPr>
          <w:spacing w:val="-3"/>
        </w:rPr>
        <w:t xml:space="preserve"> </w:t>
      </w:r>
      <w:r w:rsidRPr="003E0F31">
        <w:rPr>
          <w:i/>
          <w:iCs/>
          <w:spacing w:val="-3"/>
        </w:rPr>
        <w:t>constant</w:t>
      </w:r>
      <w:r>
        <w:rPr>
          <w:spacing w:val="-3"/>
        </w:rPr>
        <w:t xml:space="preserve"> for each alloy. However near the constitutional supercooling and absolute stability velocities the tip radius approaches infinity (planar interface) and deviates from this simple law. The tip temperature is close to the liquidus at intermediate velocities and approaches the solidus temperatures at low and high velocity. A very important result from this theory is that the solid composition at the center of a dendrite, </w:t>
      </w:r>
      <w:r w:rsidRPr="004E5F61">
        <w:rPr>
          <w:spacing w:val="-3"/>
          <w:position w:val="-12"/>
        </w:rPr>
        <w:object w:dxaOrig="560" w:dyaOrig="380" w14:anchorId="365722CC">
          <v:shape id="_x0000_i1537" type="#_x0000_t75" style="width:28.05pt;height:18.7pt" o:ole="">
            <v:imagedata r:id="rId992" o:title=""/>
          </v:shape>
          <o:OLEObject Type="Embed" ProgID="Equation.DSMT4" ShapeID="_x0000_i1537" DrawAspect="Content" ObjectID="_1840627103" r:id="rId993"/>
        </w:object>
      </w:r>
      <w:r>
        <w:rPr>
          <w:spacing w:val="-3"/>
        </w:rPr>
        <w:t xml:space="preserve">is only slightly greater than </w:t>
      </w:r>
      <w:r w:rsidRPr="004E5F61">
        <w:rPr>
          <w:spacing w:val="-3"/>
          <w:position w:val="-12"/>
        </w:rPr>
        <w:object w:dxaOrig="540" w:dyaOrig="380" w14:anchorId="47DECC64">
          <v:shape id="_x0000_i1538" type="#_x0000_t75" style="width:27.1pt;height:18.7pt" o:ole="">
            <v:imagedata r:id="rId994" o:title=""/>
          </v:shape>
          <o:OLEObject Type="Embed" ProgID="Equation.DSMT4" ShapeID="_x0000_i1538" DrawAspect="Content" ObjectID="_1840627104" r:id="rId995"/>
        </w:object>
      </w:r>
      <w:r>
        <w:rPr>
          <w:spacing w:val="-3"/>
        </w:rPr>
        <w:t xml:space="preserve"> at intermediate velocity but increases toward </w:t>
      </w:r>
      <w:r>
        <w:rPr>
          <w:i/>
          <w:iCs/>
          <w:spacing w:val="-3"/>
        </w:rPr>
        <w:t>C</w:t>
      </w:r>
      <w:r w:rsidRPr="00727E8A">
        <w:rPr>
          <w:spacing w:val="-3"/>
          <w:sz w:val="26"/>
          <w:vertAlign w:val="subscript"/>
        </w:rPr>
        <w:t>0</w:t>
      </w:r>
      <w:r>
        <w:rPr>
          <w:spacing w:val="-3"/>
        </w:rPr>
        <w:t xml:space="preserve"> as the velocity </w:t>
      </w:r>
      <w:r w:rsidR="00F65F56">
        <w:rPr>
          <w:spacing w:val="-3"/>
        </w:rPr>
        <w:t xml:space="preserve">decreases towards </w:t>
      </w:r>
      <w:r>
        <w:rPr>
          <w:spacing w:val="-3"/>
        </w:rPr>
        <w:t xml:space="preserve">the constitutional supercooling </w:t>
      </w:r>
      <w:r w:rsidR="00F65F56">
        <w:rPr>
          <w:spacing w:val="-3"/>
        </w:rPr>
        <w:t>limit or increases toward the a</w:t>
      </w:r>
      <w:r>
        <w:rPr>
          <w:spacing w:val="-3"/>
        </w:rPr>
        <w:t xml:space="preserve">bsolute stability </w:t>
      </w:r>
      <w:r w:rsidR="00F65F56">
        <w:rPr>
          <w:spacing w:val="-3"/>
        </w:rPr>
        <w:t>limit</w:t>
      </w:r>
      <w:r>
        <w:rPr>
          <w:spacing w:val="-3"/>
        </w:rPr>
        <w:t>. This result impacts the discussion of microsegregation below.</w:t>
      </w:r>
    </w:p>
    <w:p w14:paraId="3C6001FC" w14:textId="77777777" w:rsidR="00015B17" w:rsidRDefault="00015B17" w:rsidP="00015B17">
      <w:pPr>
        <w:suppressAutoHyphens/>
        <w:spacing w:line="360" w:lineRule="auto"/>
        <w:rPr>
          <w:spacing w:val="-3"/>
        </w:rPr>
      </w:pPr>
    </w:p>
    <w:p w14:paraId="4A390600" w14:textId="77777777" w:rsidR="00015B17" w:rsidRDefault="00015B17" w:rsidP="00015B17">
      <w:pPr>
        <w:suppressAutoHyphens/>
        <w:spacing w:line="360" w:lineRule="auto"/>
        <w:rPr>
          <w:spacing w:val="-3"/>
        </w:rPr>
      </w:pPr>
      <w:r>
        <w:rPr>
          <w:b/>
          <w:bCs/>
          <w:spacing w:val="-3"/>
        </w:rPr>
        <w:t>7.1.4 Approximate Theory for Low Supercooling</w:t>
      </w:r>
    </w:p>
    <w:p w14:paraId="08A80598" w14:textId="77777777" w:rsidR="00015B17" w:rsidRDefault="00015B17" w:rsidP="00015B17">
      <w:pPr>
        <w:suppressAutoHyphens/>
        <w:spacing w:line="360" w:lineRule="auto"/>
        <w:rPr>
          <w:spacing w:val="-3"/>
        </w:rPr>
      </w:pPr>
    </w:p>
    <w:p w14:paraId="30EB58A9" w14:textId="77777777" w:rsidR="00015B17" w:rsidRDefault="00015B17" w:rsidP="00015B17">
      <w:pPr>
        <w:suppressAutoHyphens/>
        <w:spacing w:line="360" w:lineRule="auto"/>
        <w:rPr>
          <w:spacing w:val="-3"/>
        </w:rPr>
      </w:pPr>
      <w:r>
        <w:rPr>
          <w:spacing w:val="-3"/>
        </w:rPr>
        <w:tab/>
        <w:t xml:space="preserve"> For low supercooling, the model presented above can be simplified. For low values of</w:t>
      </w:r>
      <w:r>
        <w:rPr>
          <w:i/>
          <w:iCs/>
          <w:spacing w:val="-3"/>
        </w:rPr>
        <w:t xml:space="preserve"> P</w:t>
      </w:r>
      <w:r w:rsidRPr="00727E8A">
        <w:rPr>
          <w:spacing w:val="-3"/>
          <w:sz w:val="26"/>
          <w:vertAlign w:val="subscript"/>
        </w:rPr>
        <w:t>c</w:t>
      </w:r>
      <w:r>
        <w:rPr>
          <w:spacing w:val="-3"/>
        </w:rPr>
        <w:t xml:space="preserve"> , local equilibrium can be assumed and </w:t>
      </w:r>
      <w:r>
        <w:rPr>
          <w:i/>
          <w:iCs/>
          <w:spacing w:val="-3"/>
        </w:rPr>
        <w:t>I</w:t>
      </w:r>
      <w:r>
        <w:rPr>
          <w:spacing w:val="-3"/>
        </w:rPr>
        <w:t>v</w:t>
      </w:r>
      <w:r w:rsidRPr="004E5F61">
        <w:rPr>
          <w:iCs/>
          <w:spacing w:val="-3"/>
        </w:rPr>
        <w:t>(</w:t>
      </w:r>
      <w:r>
        <w:rPr>
          <w:i/>
          <w:iCs/>
          <w:spacing w:val="-3"/>
        </w:rPr>
        <w:t>P</w:t>
      </w:r>
      <w:r w:rsidRPr="00727E8A">
        <w:rPr>
          <w:spacing w:val="-3"/>
          <w:sz w:val="26"/>
          <w:vertAlign w:val="subscript"/>
        </w:rPr>
        <w:t>c</w:t>
      </w:r>
      <w:r w:rsidRPr="004E5F61">
        <w:rPr>
          <w:iCs/>
          <w:spacing w:val="-3"/>
        </w:rPr>
        <w:t>)</w:t>
      </w:r>
      <w:r>
        <w:rPr>
          <w:spacing w:val="-3"/>
        </w:rPr>
        <w:t xml:space="preserve"> can be approximated by</w:t>
      </w:r>
    </w:p>
    <w:p w14:paraId="4FB506F6" w14:textId="77777777" w:rsidR="00015B17" w:rsidRDefault="00015B17" w:rsidP="00015B17">
      <w:pPr>
        <w:suppressAutoHyphens/>
        <w:spacing w:line="360" w:lineRule="auto"/>
        <w:jc w:val="both"/>
        <w:rPr>
          <w:spacing w:val="-3"/>
        </w:rPr>
      </w:pPr>
    </w:p>
    <w:p w14:paraId="6ED8F4B7" w14:textId="3C7D7150" w:rsidR="00015B17" w:rsidRDefault="00F14A03" w:rsidP="00BC6A81">
      <w:pPr>
        <w:suppressAutoHyphens/>
        <w:spacing w:line="360" w:lineRule="auto"/>
        <w:jc w:val="center"/>
        <w:rPr>
          <w:spacing w:val="-3"/>
        </w:rPr>
      </w:pPr>
      <m:oMath>
        <m:r>
          <w:rPr>
            <w:rFonts w:ascii="Cambria Math"/>
            <w:spacing w:val="-3"/>
          </w:rPr>
          <m:t>Iv(</m:t>
        </m:r>
        <m:sSub>
          <m:sSubPr>
            <m:ctrlPr>
              <w:rPr>
                <w:rFonts w:ascii="Cambria Math" w:hAnsi="Cambria Math"/>
                <w:i/>
                <w:spacing w:val="-3"/>
              </w:rPr>
            </m:ctrlPr>
          </m:sSubPr>
          <m:e>
            <m:r>
              <w:rPr>
                <w:rFonts w:ascii="Cambria Math"/>
                <w:spacing w:val="-3"/>
              </w:rPr>
              <m:t>P</m:t>
            </m:r>
          </m:e>
          <m:sub>
            <m:r>
              <w:rPr>
                <w:rFonts w:ascii="Cambria Math"/>
                <w:spacing w:val="-3"/>
              </w:rPr>
              <m:t>c</m:t>
            </m:r>
          </m:sub>
        </m:sSub>
        <m:r>
          <w:rPr>
            <w:rFonts w:ascii="Cambria Math"/>
            <w:spacing w:val="-3"/>
          </w:rPr>
          <m:t>)</m:t>
        </m:r>
        <m:r>
          <w:rPr>
            <w:rFonts w:ascii="Cambria Math" w:hAnsi="Cambria Math" w:cs="Cambria Math"/>
            <w:spacing w:val="-3"/>
          </w:rPr>
          <m:t>≃</m:t>
        </m:r>
        <m:sSub>
          <m:sSubPr>
            <m:ctrlPr>
              <w:rPr>
                <w:rFonts w:ascii="Cambria Math" w:hAnsi="Cambria Math"/>
                <w:i/>
                <w:spacing w:val="-3"/>
              </w:rPr>
            </m:ctrlPr>
          </m:sSubPr>
          <m:e>
            <m:r>
              <w:rPr>
                <w:rFonts w:ascii="Cambria Math"/>
                <w:spacing w:val="-3"/>
              </w:rPr>
              <m:t>P</m:t>
            </m:r>
          </m:e>
          <m:sub>
            <m:r>
              <w:rPr>
                <w:rFonts w:ascii="Cambria Math"/>
                <w:spacing w:val="-3"/>
              </w:rPr>
              <m:t>c</m:t>
            </m:r>
          </m:sub>
        </m:sSub>
        <m:r>
          <w:rPr>
            <w:rFonts w:ascii="Cambria Math"/>
            <w:spacing w:val="-3"/>
          </w:rPr>
          <m:t>,</m:t>
        </m:r>
      </m:oMath>
      <w:r w:rsidR="00015B17">
        <w:rPr>
          <w:spacing w:val="-3"/>
        </w:rPr>
        <w:tab/>
      </w:r>
      <w:r w:rsidR="00015B17">
        <w:rPr>
          <w:spacing w:val="-3"/>
        </w:rPr>
        <w:tab/>
        <w:t>(7.13)</w:t>
      </w:r>
    </w:p>
    <w:p w14:paraId="1430F929" w14:textId="77777777" w:rsidR="00015B17" w:rsidRDefault="00015B17" w:rsidP="00015B17">
      <w:pPr>
        <w:suppressAutoHyphens/>
        <w:spacing w:line="360" w:lineRule="auto"/>
        <w:jc w:val="center"/>
        <w:rPr>
          <w:spacing w:val="-3"/>
        </w:rPr>
      </w:pPr>
    </w:p>
    <w:p w14:paraId="35D343EE" w14:textId="0D98FE72" w:rsidR="00015B17" w:rsidRDefault="00015B17" w:rsidP="00015B17">
      <w:pPr>
        <w:suppressAutoHyphens/>
        <w:spacing w:line="360" w:lineRule="auto"/>
        <w:rPr>
          <w:spacing w:val="-3"/>
        </w:rPr>
      </w:pPr>
      <w:r>
        <w:rPr>
          <w:spacing w:val="-3"/>
        </w:rPr>
        <w:t>an expression called the hemispherical approximation (</w:t>
      </w:r>
      <w:r w:rsidR="00F65F56">
        <w:rPr>
          <w:spacing w:val="-3"/>
        </w:rPr>
        <w:t xml:space="preserve">Kurz </w:t>
      </w:r>
      <w:r>
        <w:rPr>
          <w:spacing w:val="-3"/>
        </w:rPr>
        <w:t xml:space="preserve">and </w:t>
      </w:r>
      <w:r w:rsidR="00F65F56">
        <w:rPr>
          <w:spacing w:val="-3"/>
        </w:rPr>
        <w:t xml:space="preserve">Fisher </w:t>
      </w:r>
      <w:r>
        <w:rPr>
          <w:spacing w:val="-3"/>
        </w:rPr>
        <w:t>[1981]). This approximation leads to a particularly simple expression for the dendrite velocity as a function of supercooling</w:t>
      </w:r>
    </w:p>
    <w:p w14:paraId="04E1D77C" w14:textId="77777777" w:rsidR="00015B17" w:rsidRDefault="00015B17" w:rsidP="00015B17">
      <w:pPr>
        <w:suppressAutoHyphens/>
        <w:spacing w:line="360" w:lineRule="auto"/>
        <w:jc w:val="center"/>
        <w:rPr>
          <w:spacing w:val="-3"/>
        </w:rPr>
      </w:pPr>
      <w:r w:rsidRPr="00C95749">
        <w:rPr>
          <w:spacing w:val="-3"/>
          <w:position w:val="-30"/>
        </w:rPr>
        <w:object w:dxaOrig="2799" w:dyaOrig="680" w14:anchorId="28C108D2">
          <v:shape id="_x0000_i1539" type="#_x0000_t75" style="width:140.25pt;height:33.65pt" o:ole="">
            <v:imagedata r:id="rId996" o:title=""/>
          </v:shape>
          <o:OLEObject Type="Embed" ProgID="Equation.DSMT4" ShapeID="_x0000_i1539" DrawAspect="Content" ObjectID="_1840627105" r:id="rId997"/>
        </w:object>
      </w:r>
      <w:r>
        <w:rPr>
          <w:spacing w:val="-3"/>
        </w:rPr>
        <w:tab/>
      </w:r>
      <w:r w:rsidR="006E6FC2">
        <w:rPr>
          <w:spacing w:val="-3"/>
        </w:rPr>
        <w:t>,</w:t>
      </w:r>
      <w:r>
        <w:rPr>
          <w:spacing w:val="-3"/>
        </w:rPr>
        <w:tab/>
      </w:r>
      <w:r>
        <w:rPr>
          <w:spacing w:val="-3"/>
        </w:rPr>
        <w:tab/>
        <w:t>(7.14)</w:t>
      </w:r>
    </w:p>
    <w:p w14:paraId="6714513D" w14:textId="77777777" w:rsidR="00015B17" w:rsidRDefault="00015B17" w:rsidP="00015B17">
      <w:pPr>
        <w:suppressAutoHyphens/>
        <w:spacing w:line="360" w:lineRule="auto"/>
        <w:rPr>
          <w:spacing w:val="-3"/>
        </w:rPr>
      </w:pPr>
      <w:r>
        <w:rPr>
          <w:spacing w:val="-3"/>
        </w:rPr>
        <w:t>with a tip radius given by</w:t>
      </w:r>
    </w:p>
    <w:p w14:paraId="117D7CE9" w14:textId="77777777" w:rsidR="00015B17" w:rsidRDefault="00015B17" w:rsidP="00015B17">
      <w:pPr>
        <w:suppressAutoHyphens/>
        <w:spacing w:line="360" w:lineRule="auto"/>
        <w:jc w:val="both"/>
        <w:rPr>
          <w:spacing w:val="-3"/>
        </w:rPr>
      </w:pPr>
    </w:p>
    <w:p w14:paraId="162DB1C4" w14:textId="77777777" w:rsidR="00015B17" w:rsidRDefault="00015B17" w:rsidP="00015B17">
      <w:pPr>
        <w:suppressAutoHyphens/>
        <w:spacing w:line="360" w:lineRule="auto"/>
        <w:jc w:val="center"/>
        <w:rPr>
          <w:spacing w:val="-3"/>
        </w:rPr>
      </w:pPr>
      <w:r w:rsidRPr="00C95749">
        <w:rPr>
          <w:spacing w:val="-3"/>
          <w:position w:val="-32"/>
        </w:rPr>
        <w:object w:dxaOrig="2380" w:dyaOrig="800" w14:anchorId="107C2500">
          <v:shape id="_x0000_i1540" type="#_x0000_t75" style="width:119.7pt;height:40.2pt" o:ole="">
            <v:imagedata r:id="rId998" o:title=""/>
          </v:shape>
          <o:OLEObject Type="Embed" ProgID="Equation.DSMT4" ShapeID="_x0000_i1540" DrawAspect="Content" ObjectID="_1840627106" r:id="rId999"/>
        </w:object>
      </w:r>
      <w:r>
        <w:rPr>
          <w:spacing w:val="-3"/>
        </w:rPr>
        <w:tab/>
      </w:r>
      <w:r>
        <w:rPr>
          <w:spacing w:val="-3"/>
        </w:rPr>
        <w:tab/>
        <w:t>(7.15)</w:t>
      </w:r>
    </w:p>
    <w:p w14:paraId="72096BBD" w14:textId="77777777" w:rsidR="00015B17" w:rsidRDefault="00015B17" w:rsidP="00015B17">
      <w:pPr>
        <w:suppressAutoHyphens/>
        <w:spacing w:line="360" w:lineRule="auto"/>
        <w:jc w:val="center"/>
        <w:rPr>
          <w:spacing w:val="-3"/>
        </w:rPr>
      </w:pPr>
    </w:p>
    <w:p w14:paraId="6E77330F" w14:textId="77777777" w:rsidR="00015B17" w:rsidRDefault="00015B17" w:rsidP="00015B17">
      <w:pPr>
        <w:suppressAutoHyphens/>
        <w:spacing w:line="360" w:lineRule="auto"/>
        <w:rPr>
          <w:spacing w:val="-3"/>
        </w:rPr>
      </w:pPr>
      <w:r>
        <w:rPr>
          <w:spacing w:val="-3"/>
        </w:rPr>
        <w:t xml:space="preserve">These relations can be applied to free growth or to constrained growth. However for the latter, the expressions are only valid when the temperature gradient is small. In this case the supercooling, </w:t>
      </w:r>
      <w:r>
        <w:rPr>
          <w:i/>
          <w:iCs/>
          <w:spacing w:val="-3"/>
        </w:rPr>
        <w:t>ΔT,</w:t>
      </w:r>
      <w:r>
        <w:rPr>
          <w:spacing w:val="-3"/>
        </w:rPr>
        <w:t xml:space="preserve"> in Eqn. 7.14 is the difference between the liquidus temperature for the bulk alloy composition and the dendrite tip temperature.</w:t>
      </w:r>
    </w:p>
    <w:p w14:paraId="6DEEBAF6" w14:textId="77777777" w:rsidR="00015B17" w:rsidRDefault="00015B17" w:rsidP="00015B17">
      <w:pPr>
        <w:suppressAutoHyphens/>
        <w:spacing w:line="360" w:lineRule="auto"/>
        <w:rPr>
          <w:spacing w:val="-3"/>
        </w:rPr>
      </w:pPr>
    </w:p>
    <w:p w14:paraId="7A875A96" w14:textId="77777777" w:rsidR="00015B17" w:rsidRDefault="00015B17" w:rsidP="00015B17">
      <w:pPr>
        <w:suppressAutoHyphens/>
        <w:spacing w:line="360" w:lineRule="auto"/>
        <w:rPr>
          <w:spacing w:val="-3"/>
        </w:rPr>
      </w:pPr>
      <w:r>
        <w:rPr>
          <w:b/>
          <w:bCs/>
          <w:spacing w:val="-3"/>
        </w:rPr>
        <w:t>7.1.5 Experiments on Dendritic Growth</w:t>
      </w:r>
    </w:p>
    <w:p w14:paraId="35AB29FF" w14:textId="77777777" w:rsidR="00015B17" w:rsidRDefault="00015B17" w:rsidP="00015B17">
      <w:pPr>
        <w:suppressAutoHyphens/>
        <w:spacing w:line="360" w:lineRule="auto"/>
        <w:rPr>
          <w:spacing w:val="-3"/>
        </w:rPr>
      </w:pPr>
    </w:p>
    <w:p w14:paraId="0276FF12" w14:textId="049AE3E4" w:rsidR="00015B17" w:rsidRDefault="00015B17" w:rsidP="00015B17">
      <w:pPr>
        <w:suppressAutoHyphens/>
        <w:spacing w:line="360" w:lineRule="auto"/>
        <w:rPr>
          <w:spacing w:val="-3"/>
        </w:rPr>
      </w:pPr>
      <w:r>
        <w:rPr>
          <w:spacing w:val="-3"/>
        </w:rPr>
        <w:tab/>
      </w:r>
      <w:r w:rsidR="00F65F56">
        <w:rPr>
          <w:spacing w:val="-3"/>
        </w:rPr>
        <w:t xml:space="preserve">Chopa </w:t>
      </w:r>
      <w:r>
        <w:rPr>
          <w:i/>
          <w:iCs/>
          <w:spacing w:val="-3"/>
        </w:rPr>
        <w:t>et al.</w:t>
      </w:r>
      <w:r>
        <w:rPr>
          <w:spacing w:val="-3"/>
        </w:rPr>
        <w:t xml:space="preserve"> [1988] have compared the results of the </w:t>
      </w:r>
      <w:r w:rsidR="00F65F56">
        <w:rPr>
          <w:spacing w:val="-3"/>
        </w:rPr>
        <w:t xml:space="preserve">Lipton </w:t>
      </w:r>
      <w:r>
        <w:rPr>
          <w:i/>
          <w:iCs/>
          <w:spacing w:val="-3"/>
        </w:rPr>
        <w:t>et al.</w:t>
      </w:r>
      <w:r>
        <w:rPr>
          <w:spacing w:val="-3"/>
        </w:rPr>
        <w:t xml:space="preserve"> [1984] theory to experiments using succinonitrile-acetone transparent alloys. Their results are shown in Fig. 7.4. One of the most interesting results of the theory and experiments is that the addition of a small amount of solute actually increases the growth rate of the dendrites above that for the pure material for fixed bath supercooling below the liquidus. This effect is due to the destabilizing influence (through</w:t>
      </w:r>
      <w:r>
        <w:rPr>
          <w:i/>
          <w:iCs/>
          <w:spacing w:val="-3"/>
        </w:rPr>
        <w:t xml:space="preserve"> G</w:t>
      </w:r>
      <w:r w:rsidRPr="00727E8A">
        <w:rPr>
          <w:spacing w:val="-3"/>
          <w:sz w:val="26"/>
          <w:vertAlign w:val="subscript"/>
        </w:rPr>
        <w:t>c</w:t>
      </w:r>
      <w:r w:rsidRPr="00883A53">
        <w:rPr>
          <w:spacing w:val="-3"/>
          <w:sz w:val="26"/>
          <w:vertAlign w:val="superscript"/>
        </w:rPr>
        <w:t>*</w:t>
      </w:r>
      <w:r>
        <w:rPr>
          <w:spacing w:val="-3"/>
        </w:rPr>
        <w:t xml:space="preserve"> in Eqn. 7.8) of the solute on the dendrite tip. The solute pushes the marginal wavelength and consequently the tip radius to a smaller value and permits the dendrite to grow at a higher speed compared to the pure material. With further increased levels of solute, the transport difficulties associated with the solute begin to dominate and the dendritic growth rate slows for a fixed supercooling below the liquidus.</w:t>
      </w:r>
    </w:p>
    <w:p w14:paraId="2A240A71" w14:textId="77777777" w:rsidR="00015B17" w:rsidRDefault="00015B17" w:rsidP="00015B17">
      <w:pPr>
        <w:suppressAutoHyphens/>
        <w:spacing w:line="360" w:lineRule="auto"/>
        <w:rPr>
          <w:spacing w:val="-3"/>
        </w:rPr>
      </w:pPr>
    </w:p>
    <w:p w14:paraId="43B14DAC" w14:textId="47DBCF0B" w:rsidR="00015B17" w:rsidRDefault="00015B17" w:rsidP="00015B17">
      <w:pPr>
        <w:suppressAutoHyphens/>
        <w:spacing w:line="360" w:lineRule="auto"/>
        <w:rPr>
          <w:spacing w:val="-3"/>
        </w:rPr>
      </w:pPr>
      <w:r>
        <w:rPr>
          <w:spacing w:val="-3"/>
        </w:rPr>
        <w:tab/>
        <w:t>For high supercoolings (100</w:t>
      </w:r>
      <w:r w:rsidR="00C24A0D">
        <w:rPr>
          <w:spacing w:val="-3"/>
        </w:rPr>
        <w:t xml:space="preserve"> K to </w:t>
      </w:r>
      <w:r>
        <w:rPr>
          <w:spacing w:val="-3"/>
        </w:rPr>
        <w:t>300</w:t>
      </w:r>
      <w:r w:rsidR="00C24A0D">
        <w:rPr>
          <w:spacing w:val="-3"/>
        </w:rPr>
        <w:t xml:space="preserve"> </w:t>
      </w:r>
      <w:r>
        <w:rPr>
          <w:spacing w:val="-3"/>
        </w:rPr>
        <w:t>K), several groups have obtained dendritic growth rate data as a function of bulk supercooling for alloys using carefully designed experiments in levitated samples (</w:t>
      </w:r>
      <w:r w:rsidR="00F65F56">
        <w:rPr>
          <w:spacing w:val="-3"/>
        </w:rPr>
        <w:t xml:space="preserve">Wu </w:t>
      </w:r>
      <w:r>
        <w:rPr>
          <w:i/>
          <w:iCs/>
          <w:spacing w:val="-3"/>
        </w:rPr>
        <w:t>et al.</w:t>
      </w:r>
      <w:r>
        <w:rPr>
          <w:spacing w:val="-3"/>
        </w:rPr>
        <w:t xml:space="preserve"> [1987] and </w:t>
      </w:r>
      <w:r w:rsidR="00F65F56">
        <w:rPr>
          <w:spacing w:val="-3"/>
        </w:rPr>
        <w:t xml:space="preserve">Eckler </w:t>
      </w:r>
      <w:r>
        <w:rPr>
          <w:i/>
          <w:iCs/>
          <w:spacing w:val="-3"/>
        </w:rPr>
        <w:t>et al.</w:t>
      </w:r>
      <w:r>
        <w:rPr>
          <w:spacing w:val="-3"/>
        </w:rPr>
        <w:t xml:space="preserve"> [1992]). Good agreement between theory and experiment has been obtained. Fig. 7.5 shows a summary of experimental data and theoretical predictions of the model that incorporates non-equilibrium interface kinetics for pure Ni and for Ni-B alloys by </w:t>
      </w:r>
      <w:r w:rsidR="00F65F56">
        <w:rPr>
          <w:spacing w:val="-3"/>
        </w:rPr>
        <w:t xml:space="preserve">Eckler </w:t>
      </w:r>
      <w:r>
        <w:rPr>
          <w:i/>
          <w:iCs/>
          <w:spacing w:val="-3"/>
        </w:rPr>
        <w:t>et al.</w:t>
      </w:r>
      <w:r>
        <w:rPr>
          <w:spacing w:val="-3"/>
        </w:rPr>
        <w:t xml:space="preserve"> [1992]. The abrupt increase in velocity at high supercoolings is associated with the transition from solute controlled dendritic growth to thermally controlled growth brought about by the solute trapping (velocity dependent partition coefficient).</w:t>
      </w:r>
    </w:p>
    <w:p w14:paraId="03FD87F2" w14:textId="77777777" w:rsidR="00015B17" w:rsidRDefault="00015B17" w:rsidP="00015B17">
      <w:pPr>
        <w:suppressAutoHyphens/>
        <w:spacing w:line="360" w:lineRule="auto"/>
        <w:rPr>
          <w:spacing w:val="-3"/>
        </w:rPr>
      </w:pPr>
    </w:p>
    <w:p w14:paraId="3054F4D4" w14:textId="7CD6036B" w:rsidR="00015B17" w:rsidRDefault="00015B17" w:rsidP="00015B17">
      <w:pPr>
        <w:suppressAutoHyphens/>
        <w:spacing w:line="360" w:lineRule="auto"/>
        <w:rPr>
          <w:spacing w:val="-3"/>
        </w:rPr>
      </w:pPr>
      <w:r>
        <w:rPr>
          <w:spacing w:val="-3"/>
        </w:rPr>
        <w:tab/>
        <w:t xml:space="preserve">The predictions of the theory for constrained growth have been compared by KURZ </w:t>
      </w:r>
      <w:r>
        <w:rPr>
          <w:i/>
          <w:iCs/>
          <w:spacing w:val="-3"/>
        </w:rPr>
        <w:t>et al.</w:t>
      </w:r>
      <w:r>
        <w:rPr>
          <w:spacing w:val="-3"/>
        </w:rPr>
        <w:t xml:space="preserve"> [1988] to measurements of cell compositions for Ag</w:t>
      </w:r>
      <w:r>
        <w:rPr>
          <w:spacing w:val="-3"/>
        </w:rPr>
        <w:noBreakHyphen/>
        <w:t xml:space="preserve">15 </w:t>
      </w:r>
      <w:r w:rsidRPr="00C971E0">
        <w:rPr>
          <w:spacing w:val="-3"/>
        </w:rPr>
        <w:t>wt</w:t>
      </w:r>
      <w:r>
        <w:rPr>
          <w:spacing w:val="-3"/>
        </w:rPr>
        <w:t>% Cu alloy samples prepared by moving electron beam melting performed by B</w:t>
      </w:r>
      <w:r w:rsidR="006D31DD">
        <w:rPr>
          <w:spacing w:val="-3"/>
        </w:rPr>
        <w:t>oettinger</w:t>
      </w:r>
      <w:r>
        <w:rPr>
          <w:spacing w:val="-3"/>
        </w:rPr>
        <w:t xml:space="preserve">, </w:t>
      </w:r>
      <w:r>
        <w:rPr>
          <w:i/>
          <w:iCs/>
          <w:spacing w:val="-3"/>
        </w:rPr>
        <w:t>et al.</w:t>
      </w:r>
      <w:r>
        <w:rPr>
          <w:spacing w:val="-3"/>
        </w:rPr>
        <w:t xml:space="preserve"> [1987]. Fig. 7.6 shows bars corresponding to the observed range of composition across cells of the Ag-rich phase as a function of growth velocity as measured by</w:t>
      </w:r>
      <w:r w:rsidR="00C971E0">
        <w:rPr>
          <w:spacing w:val="-3"/>
        </w:rPr>
        <w:t xml:space="preserve"> s</w:t>
      </w:r>
      <w:r w:rsidR="00C971E0" w:rsidRPr="00C971E0">
        <w:rPr>
          <w:spacing w:val="-3"/>
        </w:rPr>
        <w:t>canning transmission electron microscopy</w:t>
      </w:r>
      <w:r>
        <w:rPr>
          <w:spacing w:val="-3"/>
        </w:rPr>
        <w:t xml:space="preserve"> </w:t>
      </w:r>
      <w:r w:rsidR="00C971E0">
        <w:rPr>
          <w:spacing w:val="-3"/>
        </w:rPr>
        <w:t>(</w:t>
      </w:r>
      <w:r>
        <w:rPr>
          <w:spacing w:val="-3"/>
        </w:rPr>
        <w:t>STEM</w:t>
      </w:r>
      <w:r w:rsidR="00C971E0">
        <w:rPr>
          <w:spacing w:val="-3"/>
        </w:rPr>
        <w:t>)</w:t>
      </w:r>
      <w:r>
        <w:rPr>
          <w:spacing w:val="-3"/>
        </w:rPr>
        <w:t>. The solid curve shows the results of the present theory. The curve marked IV/MS is the same theory without the inclusion of the velocity dependence of the partition coefficient. The curve BH is the older dendritic growth theory of B</w:t>
      </w:r>
      <w:r w:rsidR="006D31DD">
        <w:rPr>
          <w:spacing w:val="-3"/>
        </w:rPr>
        <w:t>urden</w:t>
      </w:r>
      <w:r>
        <w:rPr>
          <w:spacing w:val="-3"/>
        </w:rPr>
        <w:t xml:space="preserve"> and H</w:t>
      </w:r>
      <w:r w:rsidR="006D31DD">
        <w:rPr>
          <w:spacing w:val="-3"/>
        </w:rPr>
        <w:t>unt</w:t>
      </w:r>
      <w:r>
        <w:rPr>
          <w:spacing w:val="-3"/>
        </w:rPr>
        <w:t xml:space="preserve"> [1974a], [1974b] which uses the maximum growth rate hypothesis rather than the marginal stability analysis. It can be seen that the present formulation is closer to the observed experimental data.</w:t>
      </w:r>
    </w:p>
    <w:p w14:paraId="46413F68" w14:textId="77777777" w:rsidR="00015B17" w:rsidRDefault="00015B17" w:rsidP="00015B17">
      <w:pPr>
        <w:suppressAutoHyphens/>
        <w:spacing w:line="360" w:lineRule="auto"/>
        <w:rPr>
          <w:spacing w:val="-3"/>
        </w:rPr>
      </w:pPr>
    </w:p>
    <w:p w14:paraId="502A632E" w14:textId="77777777" w:rsidR="00015B17" w:rsidRDefault="00015B17" w:rsidP="00015B17">
      <w:pPr>
        <w:suppressAutoHyphens/>
        <w:spacing w:line="360" w:lineRule="auto"/>
        <w:rPr>
          <w:b/>
          <w:bCs/>
          <w:spacing w:val="-3"/>
        </w:rPr>
      </w:pPr>
      <w:r>
        <w:rPr>
          <w:b/>
          <w:bCs/>
          <w:spacing w:val="-3"/>
        </w:rPr>
        <w:t>7.2 Cell and Dendrite Spacings</w:t>
      </w:r>
    </w:p>
    <w:p w14:paraId="052BB2DB" w14:textId="77777777" w:rsidR="00015B17" w:rsidRDefault="00015B17" w:rsidP="00015B17">
      <w:pPr>
        <w:suppressAutoHyphens/>
        <w:spacing w:line="360" w:lineRule="auto"/>
        <w:rPr>
          <w:b/>
          <w:bCs/>
          <w:spacing w:val="-3"/>
        </w:rPr>
      </w:pPr>
    </w:p>
    <w:p w14:paraId="7879388C" w14:textId="77777777" w:rsidR="00015B17" w:rsidRDefault="00015B17" w:rsidP="00015B17">
      <w:pPr>
        <w:suppressAutoHyphens/>
        <w:spacing w:line="360" w:lineRule="auto"/>
        <w:rPr>
          <w:spacing w:val="-3"/>
        </w:rPr>
      </w:pPr>
      <w:r>
        <w:rPr>
          <w:b/>
          <w:bCs/>
          <w:spacing w:val="-3"/>
        </w:rPr>
        <w:t>7.2.1 Numerical Calculations of Arrayed Cell and Dendrite Primary Spacings</w:t>
      </w:r>
    </w:p>
    <w:p w14:paraId="5D7B4D84" w14:textId="77777777" w:rsidR="00015B17" w:rsidRDefault="00015B17" w:rsidP="00015B17">
      <w:pPr>
        <w:suppressAutoHyphens/>
        <w:spacing w:line="360" w:lineRule="auto"/>
        <w:rPr>
          <w:spacing w:val="-3"/>
        </w:rPr>
      </w:pPr>
      <w:r>
        <w:rPr>
          <w:spacing w:val="-3"/>
        </w:rPr>
        <w:tab/>
      </w:r>
    </w:p>
    <w:p w14:paraId="5E59A821" w14:textId="56A2A6B2" w:rsidR="00015B17" w:rsidRDefault="00015B17" w:rsidP="00015B17">
      <w:pPr>
        <w:suppressAutoHyphens/>
        <w:spacing w:line="360" w:lineRule="auto"/>
        <w:rPr>
          <w:spacing w:val="-3"/>
        </w:rPr>
      </w:pPr>
      <w:r>
        <w:rPr>
          <w:spacing w:val="-3"/>
        </w:rPr>
        <w:tab/>
        <w:t xml:space="preserve">During constrained growth, cells and dendrites form arrays with a characteristic spacing transverse to the growth direction called the primary spacing. To model the primary spacing, interactions with neighboring cells/dendrites must be considered.  Hunt &amp; Lu [1996] summarize their efforts using finite difference calculations with a sharp interface model to study cell/dendrite shapes and primary spacings during constrained growth. The diffusion equation for solute in the liquid is solved. Computations are performed for single cells and dendrites with radial symmetry in a cylindrical computational domain of various diameters.  This geometry is used to approximate a hexagonal array of cells or dendrites with a primary spacing equal to the cylinder diameter. Two classes of solutions were obtained, sometimes for the same composition, growth velocity and temperature gradient: those with rounded </w:t>
      </w:r>
      <w:r w:rsidR="00DC4157">
        <w:rPr>
          <w:spacing w:val="-3"/>
        </w:rPr>
        <w:t xml:space="preserve">nearly </w:t>
      </w:r>
      <w:r>
        <w:rPr>
          <w:spacing w:val="-3"/>
        </w:rPr>
        <w:t xml:space="preserve">hemispherical interface shapes and those with parabolic interface shapes. The authors associate these two shapes with cells and dendrites respectively. Side branching was not simulated in the dendrite calculations. Multicell calculations </w:t>
      </w:r>
      <w:r w:rsidR="00C24A0D">
        <w:rPr>
          <w:spacing w:val="-3"/>
        </w:rPr>
        <w:t>were</w:t>
      </w:r>
      <w:r>
        <w:rPr>
          <w:spacing w:val="-3"/>
        </w:rPr>
        <w:t xml:space="preserve"> also </w:t>
      </w:r>
      <w:r>
        <w:rPr>
          <w:spacing w:val="-3"/>
        </w:rPr>
        <w:lastRenderedPageBreak/>
        <w:t xml:space="preserve">performed to examine the stability of arrays of cells and dendrites with various primary spacings.  </w:t>
      </w:r>
    </w:p>
    <w:p w14:paraId="3093D866" w14:textId="77777777" w:rsidR="00015B17" w:rsidRDefault="00015B17" w:rsidP="00015B17">
      <w:pPr>
        <w:suppressAutoHyphens/>
        <w:spacing w:line="360" w:lineRule="auto"/>
        <w:rPr>
          <w:spacing w:val="-3"/>
        </w:rPr>
      </w:pPr>
    </w:p>
    <w:p w14:paraId="32E195CD" w14:textId="53E2B682" w:rsidR="00015B17" w:rsidRDefault="00015B17" w:rsidP="00015B17">
      <w:pPr>
        <w:suppressAutoHyphens/>
        <w:spacing w:line="360" w:lineRule="auto"/>
        <w:rPr>
          <w:spacing w:val="-3"/>
        </w:rPr>
      </w:pPr>
      <w:r>
        <w:rPr>
          <w:spacing w:val="-3"/>
        </w:rPr>
        <w:tab/>
        <w:t>For a very wide primary spacing, only dendritic solutions were obtained and a unique value of tip radius was determined for a given set of growth conditions. This computational regime is thought to approximate isolated dendrites. They confirmed the important role of anisotropy on the selection of the radius of the tip</w:t>
      </w:r>
      <w:r w:rsidR="00DC4157">
        <w:rPr>
          <w:spacing w:val="-3"/>
        </w:rPr>
        <w:t xml:space="preserve"> as developed separately by the microscopic solvability approach.</w:t>
      </w:r>
      <w:r>
        <w:rPr>
          <w:spacing w:val="-3"/>
        </w:rPr>
        <w:t xml:space="preserve"> </w:t>
      </w:r>
    </w:p>
    <w:p w14:paraId="133C9DA9" w14:textId="77777777" w:rsidR="00015B17" w:rsidRDefault="00015B17" w:rsidP="00015B17">
      <w:pPr>
        <w:suppressAutoHyphens/>
        <w:spacing w:line="360" w:lineRule="auto"/>
        <w:rPr>
          <w:spacing w:val="-3"/>
        </w:rPr>
      </w:pPr>
    </w:p>
    <w:p w14:paraId="17791B1D" w14:textId="77777777" w:rsidR="00015B17" w:rsidRDefault="00015B17" w:rsidP="00015B17">
      <w:pPr>
        <w:tabs>
          <w:tab w:val="left" w:pos="-720"/>
        </w:tabs>
        <w:suppressAutoHyphens/>
        <w:spacing w:line="360" w:lineRule="auto"/>
        <w:rPr>
          <w:spacing w:val="-3"/>
        </w:rPr>
      </w:pPr>
      <w:r>
        <w:rPr>
          <w:spacing w:val="-3"/>
        </w:rPr>
        <w:tab/>
        <w:t>For smaller primary spacings, both cell and dendrite solutions could be obtained for the same growth conditions. For each, solutions could be obtained only over a range of primary spacings.  The physical processes that define the adjustment mechanisms to the spacings are shown in Fig. 7.7. The minimum stable cell spacing is determined by overgrowth of one cell by the adjacent cells. The maximum cell spacing occurs when the cell tips become very flat and on the verge of splitting.  For dendrites, the minimum spacing is also determined by overgrowth. The maximum spacing is assumed to be twice the minimum spacing based on an argument regarding the transition of tertiary arms into new primary arms. An example of the range of primary spacing that could be calculated is shown in Fig. 7.8 along with experimental data. Also the existence of a range of spacings for cells for given growth conditions agrees with observations of E</w:t>
      </w:r>
      <w:r w:rsidR="00DC4157">
        <w:rPr>
          <w:spacing w:val="-3"/>
        </w:rPr>
        <w:t>shelman</w:t>
      </w:r>
      <w:r>
        <w:rPr>
          <w:spacing w:val="-3"/>
        </w:rPr>
        <w:t xml:space="preserve"> and T</w:t>
      </w:r>
      <w:r w:rsidR="00DC4157">
        <w:rPr>
          <w:spacing w:val="-3"/>
        </w:rPr>
        <w:t>rivedi</w:t>
      </w:r>
      <w:r>
        <w:rPr>
          <w:spacing w:val="-3"/>
        </w:rPr>
        <w:t xml:space="preserve"> [1988]. </w:t>
      </w:r>
    </w:p>
    <w:p w14:paraId="1C11DC4A" w14:textId="77777777" w:rsidR="00015B17" w:rsidRDefault="00015B17" w:rsidP="00015B17">
      <w:pPr>
        <w:tabs>
          <w:tab w:val="left" w:pos="-720"/>
        </w:tabs>
        <w:suppressAutoHyphens/>
        <w:spacing w:line="360" w:lineRule="auto"/>
        <w:rPr>
          <w:spacing w:val="-3"/>
        </w:rPr>
      </w:pPr>
    </w:p>
    <w:p w14:paraId="743CB18F" w14:textId="3B808DF7" w:rsidR="00015B17" w:rsidRDefault="00015B17" w:rsidP="00015B17">
      <w:pPr>
        <w:suppressAutoHyphens/>
        <w:spacing w:line="360" w:lineRule="auto"/>
        <w:rPr>
          <w:spacing w:val="-3"/>
        </w:rPr>
      </w:pPr>
      <w:r>
        <w:rPr>
          <w:spacing w:val="-3"/>
        </w:rPr>
        <w:tab/>
        <w:t>Employing p</w:t>
      </w:r>
      <w:r w:rsidRPr="00F21AE2">
        <w:rPr>
          <w:spacing w:val="-3"/>
        </w:rPr>
        <w:t xml:space="preserve">hase-field </w:t>
      </w:r>
      <w:r>
        <w:rPr>
          <w:spacing w:val="-3"/>
        </w:rPr>
        <w:t>calculations</w:t>
      </w:r>
      <w:r w:rsidRPr="00F21AE2">
        <w:rPr>
          <w:spacing w:val="-3"/>
        </w:rPr>
        <w:t xml:space="preserve"> of three-dimensional steady-state growth shapes </w:t>
      </w:r>
      <w:r>
        <w:rPr>
          <w:spacing w:val="-3"/>
        </w:rPr>
        <w:t xml:space="preserve">during </w:t>
      </w:r>
      <w:r w:rsidRPr="00F21AE2">
        <w:rPr>
          <w:spacing w:val="-3"/>
        </w:rPr>
        <w:t xml:space="preserve">directional solidification, Gurevich, et al. [2010] </w:t>
      </w:r>
      <w:r>
        <w:rPr>
          <w:spacing w:val="-3"/>
        </w:rPr>
        <w:t xml:space="preserve">also </w:t>
      </w:r>
      <w:r w:rsidRPr="00F21AE2">
        <w:rPr>
          <w:spacing w:val="-3"/>
        </w:rPr>
        <w:t>confirmed the existence of cell</w:t>
      </w:r>
      <w:r>
        <w:rPr>
          <w:spacing w:val="-3"/>
        </w:rPr>
        <w:t xml:space="preserve"> </w:t>
      </w:r>
      <w:r w:rsidRPr="00F21AE2">
        <w:rPr>
          <w:spacing w:val="-3"/>
        </w:rPr>
        <w:t xml:space="preserve">and dendrite growth forms </w:t>
      </w:r>
      <w:r>
        <w:rPr>
          <w:spacing w:val="-3"/>
        </w:rPr>
        <w:t xml:space="preserve">(fingers and needles in their terminology) </w:t>
      </w:r>
      <w:r w:rsidRPr="00F21AE2">
        <w:rPr>
          <w:spacing w:val="-3"/>
        </w:rPr>
        <w:t>for small and large spacings, respectively</w:t>
      </w:r>
      <w:r>
        <w:rPr>
          <w:spacing w:val="-3"/>
        </w:rPr>
        <w:t xml:space="preserve"> as shown in Fig. 7.9. They also found that the two types of shapes merged smoothly as the growth velocity increased.</w:t>
      </w:r>
      <w:r w:rsidRPr="00777CA2">
        <w:rPr>
          <w:spacing w:val="-3"/>
        </w:rPr>
        <w:t xml:space="preserve"> </w:t>
      </w:r>
      <w:r>
        <w:rPr>
          <w:spacing w:val="-3"/>
        </w:rPr>
        <w:t>The existence of the two computed growth shapes for identical velocity and temperature gradient is likely related to the hysteresis observed during the cell to dendrite transition in some alloys (</w:t>
      </w:r>
      <w:r w:rsidR="00DC4157">
        <w:rPr>
          <w:spacing w:val="-3"/>
        </w:rPr>
        <w:t>§</w:t>
      </w:r>
      <w:r>
        <w:rPr>
          <w:spacing w:val="-3"/>
        </w:rPr>
        <w:t xml:space="preserve"> 7.2.2)</w:t>
      </w:r>
      <w:r w:rsidR="00313A29">
        <w:rPr>
          <w:spacing w:val="-3"/>
        </w:rPr>
        <w:t>.</w:t>
      </w:r>
    </w:p>
    <w:p w14:paraId="5774C15F" w14:textId="77777777" w:rsidR="00015B17" w:rsidRPr="00F21AE2" w:rsidRDefault="00015B17" w:rsidP="00015B17">
      <w:pPr>
        <w:tabs>
          <w:tab w:val="left" w:pos="-720"/>
        </w:tabs>
        <w:suppressAutoHyphens/>
        <w:spacing w:line="360" w:lineRule="auto"/>
        <w:rPr>
          <w:spacing w:val="-3"/>
        </w:rPr>
      </w:pPr>
    </w:p>
    <w:p w14:paraId="352B2E42" w14:textId="77777777" w:rsidR="00015B17" w:rsidRDefault="00015B17" w:rsidP="00015B17">
      <w:pPr>
        <w:suppressAutoHyphens/>
        <w:spacing w:line="360" w:lineRule="auto"/>
        <w:rPr>
          <w:spacing w:val="-3"/>
        </w:rPr>
      </w:pPr>
      <w:r>
        <w:rPr>
          <w:spacing w:val="-3"/>
        </w:rPr>
        <w:tab/>
        <w:t xml:space="preserve">The computations described above do not describe the conditions at the root of cells. The walls of adjacent cells never join and a thin layer of liquid persists far behind the cell </w:t>
      </w:r>
      <w:r>
        <w:rPr>
          <w:spacing w:val="-3"/>
        </w:rPr>
        <w:lastRenderedPageBreak/>
        <w:t xml:space="preserve">tips. UNGAR and BROWN [1985] have performed finite element calculations of deep cells using a composite coordinate technique that allows cell walls to fold over and join at the cell roots. In fact small drop-like structures are found to form at the cell roots that may be indicative of the pinch-off and periodic shedding of liquid droplets. Such shedding of liquid droplets may be the cause of spherical second phase particles that occur in some rapidly solidified alloys, BOETTINGER </w:t>
      </w:r>
      <w:r>
        <w:rPr>
          <w:i/>
          <w:iCs/>
          <w:spacing w:val="-3"/>
        </w:rPr>
        <w:t>et al.</w:t>
      </w:r>
      <w:r>
        <w:rPr>
          <w:spacing w:val="-3"/>
        </w:rPr>
        <w:t xml:space="preserve"> [1988]. </w:t>
      </w:r>
    </w:p>
    <w:p w14:paraId="549A5E29" w14:textId="77777777" w:rsidR="00015B17" w:rsidRDefault="00015B17" w:rsidP="00015B17">
      <w:pPr>
        <w:suppressAutoHyphens/>
        <w:spacing w:line="360" w:lineRule="auto"/>
        <w:rPr>
          <w:spacing w:val="-3"/>
        </w:rPr>
      </w:pPr>
    </w:p>
    <w:p w14:paraId="411B2FF9" w14:textId="77777777" w:rsidR="00015B17" w:rsidRDefault="00015B17" w:rsidP="00015B17">
      <w:pPr>
        <w:tabs>
          <w:tab w:val="left" w:pos="-720"/>
        </w:tabs>
        <w:suppressAutoHyphens/>
        <w:spacing w:line="360" w:lineRule="auto"/>
        <w:rPr>
          <w:b/>
          <w:bCs/>
          <w:spacing w:val="-3"/>
        </w:rPr>
      </w:pPr>
      <w:r>
        <w:rPr>
          <w:b/>
          <w:bCs/>
          <w:spacing w:val="-3"/>
        </w:rPr>
        <w:t>7.2.2 Cell to Dendrite Transition</w:t>
      </w:r>
    </w:p>
    <w:p w14:paraId="4B0C3E92" w14:textId="77777777" w:rsidR="00015B17" w:rsidRDefault="00015B17" w:rsidP="00015B17">
      <w:pPr>
        <w:tabs>
          <w:tab w:val="left" w:pos="-720"/>
        </w:tabs>
        <w:suppressAutoHyphens/>
        <w:spacing w:line="360" w:lineRule="auto"/>
        <w:rPr>
          <w:b/>
          <w:bCs/>
          <w:spacing w:val="-3"/>
        </w:rPr>
      </w:pPr>
    </w:p>
    <w:p w14:paraId="2FC93C16" w14:textId="30AC1C0C" w:rsidR="00015B17" w:rsidRDefault="00015B17" w:rsidP="00015B17">
      <w:pPr>
        <w:suppressAutoHyphens/>
        <w:spacing w:line="360" w:lineRule="auto"/>
        <w:rPr>
          <w:spacing w:val="-3"/>
        </w:rPr>
      </w:pPr>
      <w:r>
        <w:rPr>
          <w:spacing w:val="-3"/>
        </w:rPr>
        <w:tab/>
        <w:t>As the solidification velocity is increased for a given alloy composition and temperature gradient, one observes a transition in structure: planar</w:t>
      </w:r>
      <w:r w:rsidR="00561E39">
        <w:rPr>
          <w:spacing w:val="-3"/>
        </w:rPr>
        <w:sym w:font="Symbol" w:char="F0AE"/>
      </w:r>
      <w:r>
        <w:rPr>
          <w:spacing w:val="-3"/>
        </w:rPr>
        <w:t>cellular</w:t>
      </w:r>
      <w:r w:rsidR="00561E39">
        <w:rPr>
          <w:spacing w:val="-3"/>
        </w:rPr>
        <w:sym w:font="Symbol" w:char="F0AE"/>
      </w:r>
      <w:r>
        <w:rPr>
          <w:spacing w:val="-3"/>
        </w:rPr>
        <w:t>dendritic</w:t>
      </w:r>
      <w:r w:rsidR="00561E39">
        <w:rPr>
          <w:spacing w:val="-3"/>
        </w:rPr>
        <w:sym w:font="Symbol" w:char="F0AE"/>
      </w:r>
      <w:r>
        <w:rPr>
          <w:spacing w:val="-3"/>
        </w:rPr>
        <w:t xml:space="preserve"> cellular</w:t>
      </w:r>
      <w:r w:rsidR="00561E39">
        <w:rPr>
          <w:spacing w:val="-3"/>
        </w:rPr>
        <w:sym w:font="Symbol" w:char="F0AE"/>
      </w:r>
      <w:r>
        <w:rPr>
          <w:spacing w:val="-3"/>
        </w:rPr>
        <w:t xml:space="preserve">planar. The lower and upper transitions between planar and cellular structures are given by the modified constitutional supercooling and the absolute stability criteria, respectively (§ 6.4). The transitions between cellular structures and dendritic structures at intermediate velocities are not well understood. Experimental data for the </w:t>
      </w:r>
      <w:r>
        <w:rPr>
          <w:i/>
          <w:iCs/>
          <w:spacing w:val="-3"/>
        </w:rPr>
        <w:t>low velocity transition</w:t>
      </w:r>
      <w:r>
        <w:rPr>
          <w:spacing w:val="-3"/>
        </w:rPr>
        <w:t xml:space="preserve"> were obtained by T</w:t>
      </w:r>
      <w:r w:rsidR="00561E39">
        <w:rPr>
          <w:spacing w:val="-3"/>
        </w:rPr>
        <w:t>iller</w:t>
      </w:r>
      <w:r>
        <w:rPr>
          <w:spacing w:val="-3"/>
        </w:rPr>
        <w:t xml:space="preserve"> and R</w:t>
      </w:r>
      <w:r w:rsidR="00561E39">
        <w:rPr>
          <w:spacing w:val="-3"/>
        </w:rPr>
        <w:t>utter</w:t>
      </w:r>
      <w:r>
        <w:rPr>
          <w:spacing w:val="-3"/>
        </w:rPr>
        <w:t xml:space="preserve"> [1956] and C</w:t>
      </w:r>
      <w:r w:rsidR="00561E39">
        <w:rPr>
          <w:spacing w:val="-3"/>
        </w:rPr>
        <w:t>halmers</w:t>
      </w:r>
      <w:r>
        <w:rPr>
          <w:spacing w:val="-3"/>
        </w:rPr>
        <w:t xml:space="preserve"> [1964] and were fit by the expression</w:t>
      </w:r>
    </w:p>
    <w:p w14:paraId="5612D1B0" w14:textId="77777777" w:rsidR="00015B17" w:rsidRDefault="00015B17" w:rsidP="00015B17">
      <w:pPr>
        <w:tabs>
          <w:tab w:val="left" w:pos="-720"/>
        </w:tabs>
        <w:suppressAutoHyphens/>
        <w:spacing w:line="360" w:lineRule="auto"/>
        <w:jc w:val="both"/>
        <w:rPr>
          <w:spacing w:val="-3"/>
        </w:rPr>
      </w:pPr>
    </w:p>
    <w:p w14:paraId="2B032188" w14:textId="2F882BDA" w:rsidR="00015B17" w:rsidRDefault="00000000" w:rsidP="0059109D">
      <w:pPr>
        <w:tabs>
          <w:tab w:val="left" w:pos="-720"/>
        </w:tabs>
        <w:suppressAutoHyphens/>
        <w:spacing w:line="360" w:lineRule="auto"/>
        <w:jc w:val="center"/>
        <w:rPr>
          <w:spacing w:val="-3"/>
        </w:rPr>
      </w:pPr>
      <m:oMath>
        <m:sSub>
          <m:sSubPr>
            <m:ctrlPr>
              <w:rPr>
                <w:rFonts w:ascii="Cambria Math" w:hAnsi="Cambria Math"/>
                <w:i/>
                <w:spacing w:val="-3"/>
              </w:rPr>
            </m:ctrlPr>
          </m:sSubPr>
          <m:e>
            <m:r>
              <w:rPr>
                <w:rFonts w:ascii="Cambria Math"/>
                <w:spacing w:val="-3"/>
              </w:rPr>
              <m:t>G</m:t>
            </m:r>
          </m:e>
          <m:sub>
            <m:r>
              <w:rPr>
                <w:rFonts w:ascii="Cambria Math"/>
                <w:spacing w:val="-3"/>
              </w:rPr>
              <m:t>L</m:t>
            </m:r>
          </m:sub>
        </m:sSub>
        <m:sSup>
          <m:sSupPr>
            <m:ctrlPr>
              <w:rPr>
                <w:rFonts w:ascii="Cambria Math" w:hAnsi="Cambria Math"/>
                <w:i/>
                <w:spacing w:val="-3"/>
              </w:rPr>
            </m:ctrlPr>
          </m:sSupPr>
          <m:e>
            <m:r>
              <w:rPr>
                <w:rFonts w:ascii="Cambria Math"/>
                <w:spacing w:val="-3"/>
              </w:rPr>
              <m:t>V</m:t>
            </m:r>
          </m:e>
          <m:sup>
            <m:r>
              <w:rPr>
                <w:rFonts w:ascii="Cambria Math"/>
                <w:spacing w:val="-3"/>
              </w:rPr>
              <m:t>1/2</m:t>
            </m:r>
          </m:sup>
        </m:sSup>
        <m:r>
          <w:rPr>
            <w:rFonts w:ascii="Cambria Math"/>
            <w:spacing w:val="-3"/>
          </w:rPr>
          <m:t>=</m:t>
        </m:r>
        <m:r>
          <m:rPr>
            <m:nor/>
          </m:rPr>
          <w:rPr>
            <w:rFonts w:ascii="Cambria Math"/>
            <w:spacing w:val="-3"/>
          </w:rPr>
          <m:t>constant</m:t>
        </m:r>
        <m:r>
          <m:rPr>
            <m:sty m:val="p"/>
          </m:rPr>
          <w:rPr>
            <w:rFonts w:ascii="Cambria Math" w:hAnsi="Cambria Math" w:cs="Cambria Math"/>
            <w:spacing w:val="-3"/>
          </w:rPr>
          <m:t>⋅</m:t>
        </m:r>
        <m:sSub>
          <m:sSubPr>
            <m:ctrlPr>
              <w:rPr>
                <w:rFonts w:ascii="Cambria Math" w:hAnsi="Cambria Math"/>
                <w:spacing w:val="-3"/>
              </w:rPr>
            </m:ctrlPr>
          </m:sSubPr>
          <m:e>
            <m:r>
              <w:rPr>
                <w:rFonts w:ascii="Cambria Math"/>
                <w:spacing w:val="-3"/>
              </w:rPr>
              <m:t>C</m:t>
            </m:r>
          </m:e>
          <m:sub>
            <m:r>
              <w:rPr>
                <w:rFonts w:ascii="Cambria Math"/>
                <w:spacing w:val="-3"/>
              </w:rPr>
              <m:t>0</m:t>
            </m:r>
            <m:ctrlPr>
              <w:rPr>
                <w:rFonts w:ascii="Cambria Math" w:hAnsi="Cambria Math"/>
                <w:i/>
                <w:spacing w:val="-3"/>
              </w:rPr>
            </m:ctrlPr>
          </m:sub>
        </m:sSub>
        <m:r>
          <w:rPr>
            <w:rFonts w:ascii="Cambria Math"/>
            <w:spacing w:val="-3"/>
          </w:rPr>
          <m:t>/</m:t>
        </m:r>
        <m:sSup>
          <m:sSupPr>
            <m:ctrlPr>
              <w:rPr>
                <w:rFonts w:ascii="Cambria Math" w:hAnsi="Cambria Math"/>
                <w:i/>
                <w:spacing w:val="-3"/>
              </w:rPr>
            </m:ctrlPr>
          </m:sSupPr>
          <m:e>
            <m:r>
              <w:rPr>
                <w:rFonts w:ascii="Cambria Math"/>
                <w:spacing w:val="-3"/>
              </w:rPr>
              <m:t>k</m:t>
            </m:r>
          </m:e>
          <m:sup>
            <m:r>
              <w:rPr>
                <w:rFonts w:ascii="Cambria Math"/>
                <w:spacing w:val="-3"/>
              </w:rPr>
              <m:t>E</m:t>
            </m:r>
          </m:sup>
        </m:sSup>
        <m:r>
          <w:rPr>
            <w:rFonts w:ascii="Cambria Math"/>
            <w:spacing w:val="-3"/>
          </w:rPr>
          <m:t>,</m:t>
        </m:r>
      </m:oMath>
      <w:r w:rsidR="00015B17">
        <w:rPr>
          <w:spacing w:val="-3"/>
        </w:rPr>
        <w:tab/>
      </w:r>
      <w:r w:rsidR="00015B17">
        <w:rPr>
          <w:spacing w:val="-3"/>
        </w:rPr>
        <w:tab/>
        <w:t>(7.16)</w:t>
      </w:r>
    </w:p>
    <w:p w14:paraId="322A3B05" w14:textId="77777777" w:rsidR="00015B17" w:rsidRDefault="00015B17" w:rsidP="00015B17">
      <w:pPr>
        <w:tabs>
          <w:tab w:val="left" w:pos="-720"/>
        </w:tabs>
        <w:suppressAutoHyphens/>
        <w:spacing w:line="360" w:lineRule="auto"/>
        <w:jc w:val="center"/>
        <w:rPr>
          <w:spacing w:val="-3"/>
        </w:rPr>
      </w:pPr>
    </w:p>
    <w:p w14:paraId="1926F5C7" w14:textId="77777777" w:rsidR="00015B17" w:rsidRDefault="00015B17" w:rsidP="00015B17">
      <w:pPr>
        <w:tabs>
          <w:tab w:val="left" w:pos="-720"/>
        </w:tabs>
        <w:suppressAutoHyphens/>
        <w:spacing w:line="360" w:lineRule="auto"/>
        <w:rPr>
          <w:spacing w:val="-3"/>
        </w:rPr>
      </w:pPr>
      <w:r>
        <w:rPr>
          <w:spacing w:val="-3"/>
        </w:rPr>
        <w:t>with a constant of proportionality that depends on crystallographic growth direction. Later KURZ and FISHER [1981] proposed the condition</w:t>
      </w:r>
    </w:p>
    <w:p w14:paraId="06AF874C" w14:textId="77777777" w:rsidR="00015B17" w:rsidRDefault="00015B17" w:rsidP="00015B17">
      <w:pPr>
        <w:tabs>
          <w:tab w:val="left" w:pos="-720"/>
        </w:tabs>
        <w:suppressAutoHyphens/>
        <w:spacing w:line="360" w:lineRule="auto"/>
        <w:jc w:val="both"/>
        <w:rPr>
          <w:spacing w:val="-3"/>
        </w:rPr>
      </w:pPr>
    </w:p>
    <w:p w14:paraId="16E62456" w14:textId="77777777" w:rsidR="00015B17" w:rsidRDefault="00561E39" w:rsidP="00015B17">
      <w:pPr>
        <w:tabs>
          <w:tab w:val="left" w:pos="-720"/>
        </w:tabs>
        <w:suppressAutoHyphens/>
        <w:spacing w:line="360" w:lineRule="auto"/>
        <w:jc w:val="center"/>
        <w:rPr>
          <w:spacing w:val="-3"/>
        </w:rPr>
      </w:pPr>
      <w:r w:rsidRPr="00C95749">
        <w:rPr>
          <w:spacing w:val="-3"/>
          <w:position w:val="-30"/>
        </w:rPr>
        <w:object w:dxaOrig="2200" w:dyaOrig="720" w14:anchorId="0856E89F">
          <v:shape id="_x0000_i1541" type="#_x0000_t75" style="width:110.35pt;height:36.45pt" o:ole="">
            <v:imagedata r:id="rId1000" o:title=""/>
          </v:shape>
          <o:OLEObject Type="Embed" ProgID="Equation.DSMT4" ShapeID="_x0000_i1541" DrawAspect="Content" ObjectID="_1840627107" r:id="rId1001"/>
        </w:object>
      </w:r>
      <w:r w:rsidR="00015B17">
        <w:rPr>
          <w:spacing w:val="-3"/>
        </w:rPr>
        <w:tab/>
      </w:r>
      <w:r w:rsidR="00015B17">
        <w:rPr>
          <w:spacing w:val="-3"/>
        </w:rPr>
        <w:tab/>
        <w:t>(7.17)</w:t>
      </w:r>
    </w:p>
    <w:p w14:paraId="160CB3CA" w14:textId="77777777" w:rsidR="00015B17" w:rsidRDefault="00015B17" w:rsidP="00015B17">
      <w:pPr>
        <w:tabs>
          <w:tab w:val="left" w:pos="-720"/>
        </w:tabs>
        <w:suppressAutoHyphens/>
        <w:spacing w:line="360" w:lineRule="auto"/>
        <w:jc w:val="center"/>
        <w:rPr>
          <w:spacing w:val="-3"/>
        </w:rPr>
      </w:pPr>
    </w:p>
    <w:p w14:paraId="0059F6DF" w14:textId="63775C31" w:rsidR="00015B17" w:rsidRDefault="00015B17" w:rsidP="00015B17">
      <w:pPr>
        <w:tabs>
          <w:tab w:val="left" w:pos="-720"/>
        </w:tabs>
        <w:suppressAutoHyphens/>
        <w:spacing w:line="360" w:lineRule="auto"/>
        <w:rPr>
          <w:spacing w:val="-3"/>
        </w:rPr>
      </w:pPr>
      <w:r>
        <w:rPr>
          <w:spacing w:val="-3"/>
        </w:rPr>
        <w:t>which is</w:t>
      </w:r>
      <w:r>
        <w:rPr>
          <w:i/>
          <w:iCs/>
          <w:spacing w:val="-3"/>
        </w:rPr>
        <w:t xml:space="preserve"> </w:t>
      </w:r>
      <w:r w:rsidR="00561E39" w:rsidRPr="00886989">
        <w:rPr>
          <w:i/>
          <w:iCs/>
          <w:spacing w:val="-3"/>
          <w:position w:val="-6"/>
        </w:rPr>
        <w:object w:dxaOrig="320" w:dyaOrig="320" w14:anchorId="0926CD11">
          <v:shape id="_x0000_i1542" type="#_x0000_t75" style="width:16.85pt;height:16.85pt" o:ole="">
            <v:imagedata r:id="rId1002" o:title=""/>
          </v:shape>
          <o:OLEObject Type="Embed" ProgID="Equation.DSMT4" ShapeID="_x0000_i1542" DrawAspect="Content" ObjectID="_1840627108" r:id="rId1003"/>
        </w:object>
      </w:r>
      <w:r>
        <w:rPr>
          <w:spacing w:val="-3"/>
        </w:rPr>
        <w:t xml:space="preserve">times the critical value of </w:t>
      </w:r>
      <w:r>
        <w:rPr>
          <w:i/>
          <w:iCs/>
          <w:spacing w:val="-3"/>
        </w:rPr>
        <w:t>G</w:t>
      </w:r>
      <w:r w:rsidRPr="00727E8A">
        <w:rPr>
          <w:spacing w:val="-3"/>
          <w:sz w:val="26"/>
          <w:vertAlign w:val="subscript"/>
        </w:rPr>
        <w:t>L</w:t>
      </w:r>
      <w:r>
        <w:rPr>
          <w:spacing w:val="-3"/>
        </w:rPr>
        <w:t>/</w:t>
      </w:r>
      <w:r>
        <w:rPr>
          <w:i/>
          <w:iCs/>
          <w:spacing w:val="-3"/>
        </w:rPr>
        <w:t>V</w:t>
      </w:r>
      <w:r>
        <w:rPr>
          <w:spacing w:val="-3"/>
        </w:rPr>
        <w:t xml:space="preserve"> for the plane to cell transition given by Eqn. 6.29).</w:t>
      </w:r>
    </w:p>
    <w:p w14:paraId="16607C1E" w14:textId="77777777" w:rsidR="00015B17" w:rsidRDefault="00015B17" w:rsidP="00015B17">
      <w:pPr>
        <w:tabs>
          <w:tab w:val="left" w:pos="-720"/>
        </w:tabs>
        <w:suppressAutoHyphens/>
        <w:spacing w:line="360" w:lineRule="auto"/>
        <w:rPr>
          <w:spacing w:val="-3"/>
        </w:rPr>
      </w:pPr>
    </w:p>
    <w:p w14:paraId="0E8639BC" w14:textId="7518BB89" w:rsidR="00015B17" w:rsidRDefault="00015B17" w:rsidP="00015B17">
      <w:pPr>
        <w:suppressAutoHyphens/>
        <w:spacing w:line="360" w:lineRule="auto"/>
        <w:rPr>
          <w:spacing w:val="-3"/>
        </w:rPr>
      </w:pPr>
      <w:r>
        <w:rPr>
          <w:spacing w:val="-3"/>
        </w:rPr>
        <w:tab/>
        <w:t>Despite this early work, experiments by S</w:t>
      </w:r>
      <w:r w:rsidR="00561E39">
        <w:rPr>
          <w:spacing w:val="-3"/>
        </w:rPr>
        <w:t>omboonsuk</w:t>
      </w:r>
      <w:r>
        <w:rPr>
          <w:spacing w:val="-3"/>
        </w:rPr>
        <w:t xml:space="preserve"> </w:t>
      </w:r>
      <w:r>
        <w:rPr>
          <w:i/>
          <w:iCs/>
          <w:spacing w:val="-3"/>
        </w:rPr>
        <w:t>et al.</w:t>
      </w:r>
      <w:r>
        <w:rPr>
          <w:spacing w:val="-3"/>
        </w:rPr>
        <w:t xml:space="preserve"> [1984]</w:t>
      </w:r>
      <w:r w:rsidRPr="009006CE">
        <w:rPr>
          <w:spacing w:val="-3"/>
        </w:rPr>
        <w:t xml:space="preserve"> </w:t>
      </w:r>
      <w:r>
        <w:rPr>
          <w:spacing w:val="-3"/>
        </w:rPr>
        <w:t xml:space="preserve">and Trivedi et al. [2003] clearly show that cells and dendrites can coexist at the same velocity and that the </w:t>
      </w:r>
      <w:r>
        <w:rPr>
          <w:spacing w:val="-3"/>
        </w:rPr>
        <w:lastRenderedPageBreak/>
        <w:t>conditions required for the transition are more difficult to calculate. (See B</w:t>
      </w:r>
      <w:r w:rsidR="00561E39">
        <w:rPr>
          <w:spacing w:val="-3"/>
        </w:rPr>
        <w:t>illia</w:t>
      </w:r>
      <w:r>
        <w:rPr>
          <w:spacing w:val="-3"/>
        </w:rPr>
        <w:t xml:space="preserve"> and T</w:t>
      </w:r>
      <w:r w:rsidR="00561E39">
        <w:rPr>
          <w:spacing w:val="-3"/>
        </w:rPr>
        <w:t>rivedi</w:t>
      </w:r>
      <w:r>
        <w:rPr>
          <w:spacing w:val="-3"/>
        </w:rPr>
        <w:t xml:space="preserve"> [1993]). Local variations in primary spacing are seen to occur and when sufficient space exists adjacent to a cell, it will develop side branches. These observations confirm the findings of calculated cell and dendrite structures at the same velocity described in </w:t>
      </w:r>
      <w:r w:rsidR="00561E39">
        <w:rPr>
          <w:spacing w:val="-3"/>
        </w:rPr>
        <w:t>§</w:t>
      </w:r>
      <w:r>
        <w:rPr>
          <w:spacing w:val="-3"/>
        </w:rPr>
        <w:t xml:space="preserve"> 7.2.1. Hunt postulated that the cell to dendrite transition might occur when the tip temperature for the cell becomes lower than that for the dendrite. This postulate also predicts an upper transition velocity from dendrites back to cells with increasing solidification velocity in the rapid solidification regime. This upper transition is observed experimentally but has received no theoretical treatment.</w:t>
      </w:r>
    </w:p>
    <w:p w14:paraId="4E6190EF" w14:textId="77777777" w:rsidR="00015B17" w:rsidRDefault="00015B17" w:rsidP="00015B17">
      <w:pPr>
        <w:tabs>
          <w:tab w:val="left" w:pos="-720"/>
        </w:tabs>
        <w:suppressAutoHyphens/>
        <w:spacing w:line="360" w:lineRule="auto"/>
        <w:rPr>
          <w:spacing w:val="-3"/>
        </w:rPr>
      </w:pPr>
    </w:p>
    <w:p w14:paraId="1001F03C" w14:textId="50DF5AA6" w:rsidR="00015B17" w:rsidRDefault="00015B17" w:rsidP="00015B17">
      <w:pPr>
        <w:suppressAutoHyphens/>
        <w:spacing w:line="360" w:lineRule="auto"/>
        <w:rPr>
          <w:spacing w:val="-3"/>
        </w:rPr>
      </w:pPr>
      <w:r>
        <w:rPr>
          <w:b/>
          <w:bCs/>
          <w:spacing w:val="-3"/>
        </w:rPr>
        <w:t>7.2.3 Analytical Expressions for Primary Spacing</w:t>
      </w:r>
    </w:p>
    <w:p w14:paraId="3569D775" w14:textId="77777777" w:rsidR="00015B17" w:rsidRDefault="00015B17" w:rsidP="00015B17">
      <w:pPr>
        <w:suppressAutoHyphens/>
        <w:spacing w:line="360" w:lineRule="auto"/>
        <w:rPr>
          <w:spacing w:val="-3"/>
        </w:rPr>
      </w:pPr>
    </w:p>
    <w:p w14:paraId="387B7D0B" w14:textId="77777777" w:rsidR="00015B17" w:rsidRDefault="00015B17" w:rsidP="00015B17">
      <w:pPr>
        <w:suppressAutoHyphens/>
        <w:spacing w:line="360" w:lineRule="auto"/>
        <w:rPr>
          <w:spacing w:val="-3"/>
        </w:rPr>
      </w:pPr>
      <w:r>
        <w:rPr>
          <w:spacing w:val="-3"/>
        </w:rPr>
        <w:tab/>
        <w:t>Analytical theories of primary spacing often yield a power law expression over a range of solidification conditions that are not close to the constitutional supercooling or absolute stability velocities given by</w:t>
      </w:r>
    </w:p>
    <w:p w14:paraId="7478EB28" w14:textId="77777777" w:rsidR="00015B17" w:rsidRDefault="00015B17" w:rsidP="00015B17">
      <w:pPr>
        <w:suppressAutoHyphens/>
        <w:spacing w:line="360" w:lineRule="auto"/>
        <w:jc w:val="both"/>
        <w:rPr>
          <w:spacing w:val="-3"/>
        </w:rPr>
      </w:pPr>
    </w:p>
    <w:p w14:paraId="5DE24767" w14:textId="77777777" w:rsidR="00015B17" w:rsidRDefault="00015B17" w:rsidP="00015B17">
      <w:pPr>
        <w:suppressAutoHyphens/>
        <w:spacing w:line="360" w:lineRule="auto"/>
        <w:jc w:val="center"/>
        <w:rPr>
          <w:spacing w:val="-3"/>
        </w:rPr>
      </w:pPr>
      <w:r w:rsidRPr="00C95749">
        <w:rPr>
          <w:spacing w:val="-3"/>
          <w:position w:val="-10"/>
        </w:rPr>
        <w:object w:dxaOrig="1480" w:dyaOrig="360" w14:anchorId="3095CC95">
          <v:shape id="_x0000_i1543" type="#_x0000_t75" style="width:73.85pt;height:17.75pt" o:ole="">
            <v:imagedata r:id="rId1004" o:title=""/>
          </v:shape>
          <o:OLEObject Type="Embed" ProgID="Equation.DSMT4" ShapeID="_x0000_i1543" DrawAspect="Content" ObjectID="_1840627109" r:id="rId1005"/>
        </w:object>
      </w:r>
      <w:r>
        <w:rPr>
          <w:spacing w:val="-3"/>
        </w:rPr>
        <w:t xml:space="preserve"> </w:t>
      </w:r>
      <w:r>
        <w:rPr>
          <w:spacing w:val="-3"/>
        </w:rPr>
        <w:tab/>
      </w:r>
      <w:r>
        <w:rPr>
          <w:spacing w:val="-3"/>
        </w:rPr>
        <w:tab/>
        <w:t>(7.18)</w:t>
      </w:r>
    </w:p>
    <w:p w14:paraId="4CDA2D95" w14:textId="77777777" w:rsidR="00015B17" w:rsidRDefault="00015B17" w:rsidP="00015B17">
      <w:pPr>
        <w:suppressAutoHyphens/>
        <w:spacing w:line="360" w:lineRule="auto"/>
        <w:jc w:val="center"/>
        <w:rPr>
          <w:spacing w:val="-3"/>
        </w:rPr>
      </w:pPr>
    </w:p>
    <w:p w14:paraId="69138DEF" w14:textId="7D10EDB4" w:rsidR="00015B17" w:rsidRDefault="00015B17" w:rsidP="00015B17">
      <w:pPr>
        <w:suppressAutoHyphens/>
        <w:spacing w:line="360" w:lineRule="auto"/>
        <w:rPr>
          <w:spacing w:val="-3"/>
        </w:rPr>
      </w:pPr>
      <w:r>
        <w:rPr>
          <w:spacing w:val="-3"/>
        </w:rPr>
        <w:t xml:space="preserve">The result of the model by </w:t>
      </w:r>
      <w:r w:rsidR="00561E39">
        <w:rPr>
          <w:spacing w:val="-3"/>
        </w:rPr>
        <w:t>Hunt</w:t>
      </w:r>
      <w:r>
        <w:rPr>
          <w:spacing w:val="-3"/>
        </w:rPr>
        <w:t xml:space="preserve"> [1979] coincides closely with the expression derived by </w:t>
      </w:r>
      <w:r w:rsidR="00561E39">
        <w:rPr>
          <w:spacing w:val="-3"/>
        </w:rPr>
        <w:t>Kurz</w:t>
      </w:r>
      <w:r w:rsidR="0042091A">
        <w:rPr>
          <w:spacing w:val="-3"/>
        </w:rPr>
        <w:t xml:space="preserve"> </w:t>
      </w:r>
      <w:r>
        <w:rPr>
          <w:spacing w:val="-3"/>
        </w:rPr>
        <w:t xml:space="preserve">and </w:t>
      </w:r>
      <w:r w:rsidR="00561E39">
        <w:rPr>
          <w:spacing w:val="-3"/>
        </w:rPr>
        <w:t xml:space="preserve">Fisher </w:t>
      </w:r>
      <w:r>
        <w:rPr>
          <w:spacing w:val="-3"/>
        </w:rPr>
        <w:t xml:space="preserve">[1981] using quite different assumptions about the dendrite geometry. The values </w:t>
      </w:r>
      <w:r w:rsidRPr="00F21AE2">
        <w:rPr>
          <w:i/>
          <w:spacing w:val="-3"/>
        </w:rPr>
        <w:t>m</w:t>
      </w:r>
      <w:r>
        <w:rPr>
          <w:i/>
          <w:spacing w:val="-3"/>
        </w:rPr>
        <w:t xml:space="preserve"> </w:t>
      </w:r>
      <w:r>
        <w:rPr>
          <w:spacing w:val="-3"/>
        </w:rPr>
        <w:t xml:space="preserve">= 0.5 and </w:t>
      </w:r>
      <w:r w:rsidRPr="00F21AE2">
        <w:rPr>
          <w:i/>
          <w:spacing w:val="-3"/>
        </w:rPr>
        <w:t>n</w:t>
      </w:r>
      <w:r>
        <w:rPr>
          <w:spacing w:val="-3"/>
        </w:rPr>
        <w:t xml:space="preserve"> = 0.25 were obtained by both with the constant, A</w:t>
      </w:r>
      <w:r w:rsidRPr="00727E8A">
        <w:rPr>
          <w:spacing w:val="-3"/>
          <w:sz w:val="26"/>
          <w:vertAlign w:val="subscript"/>
        </w:rPr>
        <w:t>1</w:t>
      </w:r>
      <w:r>
        <w:rPr>
          <w:spacing w:val="-3"/>
        </w:rPr>
        <w:t xml:space="preserve">, being proportional to the fourth root of the alloy composition for dilute alloys. Thus for a given </w:t>
      </w:r>
      <w:r>
        <w:rPr>
          <w:i/>
          <w:iCs/>
          <w:spacing w:val="-3"/>
        </w:rPr>
        <w:t>V</w:t>
      </w:r>
      <w:r>
        <w:rPr>
          <w:spacing w:val="-3"/>
        </w:rPr>
        <w:t xml:space="preserve"> and</w:t>
      </w:r>
      <w:r>
        <w:rPr>
          <w:i/>
          <w:iCs/>
          <w:spacing w:val="-3"/>
        </w:rPr>
        <w:t xml:space="preserve"> G</w:t>
      </w:r>
      <w:r w:rsidRPr="00727E8A">
        <w:rPr>
          <w:spacing w:val="-3"/>
          <w:sz w:val="26"/>
          <w:vertAlign w:val="subscript"/>
        </w:rPr>
        <w:t>L</w:t>
      </w:r>
      <w:r>
        <w:rPr>
          <w:spacing w:val="-3"/>
        </w:rPr>
        <w:t xml:space="preserve">, the primary spacing is larger for concentrated alloys than for dilute alloys. Traditionally many authors have considered that experimental values of </w:t>
      </w:r>
      <w:r w:rsidRPr="00CC5B40">
        <w:rPr>
          <w:spacing w:val="-3"/>
          <w:position w:val="-10"/>
        </w:rPr>
        <w:object w:dxaOrig="240" w:dyaOrig="340" w14:anchorId="7DD64DF0">
          <v:shape id="_x0000_i1544" type="#_x0000_t75" style="width:12.15pt;height:16.85pt" o:ole="">
            <v:imagedata r:id="rId1006" o:title=""/>
          </v:shape>
          <o:OLEObject Type="Embed" ProgID="Equation.DSMT4" ShapeID="_x0000_i1544" DrawAspect="Content" ObjectID="_1840627110" r:id="rId1007"/>
        </w:object>
      </w:r>
      <w:r>
        <w:rPr>
          <w:spacing w:val="-3"/>
        </w:rPr>
        <w:t xml:space="preserve"> are better correlated to the local cooling rate</w:t>
      </w:r>
      <w:r>
        <w:rPr>
          <w:i/>
          <w:iCs/>
          <w:spacing w:val="-3"/>
        </w:rPr>
        <w:t xml:space="preserve">, </w:t>
      </w:r>
      <w:r w:rsidRPr="009F35A3">
        <w:rPr>
          <w:iCs/>
          <w:spacing w:val="-3"/>
        </w:rPr>
        <w:t>given by the product</w:t>
      </w:r>
      <w:r>
        <w:rPr>
          <w:i/>
          <w:iCs/>
          <w:spacing w:val="-3"/>
        </w:rPr>
        <w:t xml:space="preserve"> G</w:t>
      </w:r>
      <w:r w:rsidRPr="00727E8A">
        <w:rPr>
          <w:i/>
          <w:iCs/>
          <w:spacing w:val="-3"/>
          <w:sz w:val="26"/>
          <w:vertAlign w:val="subscript"/>
        </w:rPr>
        <w:t>L</w:t>
      </w:r>
      <w:r>
        <w:rPr>
          <w:i/>
          <w:iCs/>
          <w:spacing w:val="-3"/>
        </w:rPr>
        <w:t>V</w:t>
      </w:r>
      <w:r>
        <w:rPr>
          <w:spacing w:val="-3"/>
        </w:rPr>
        <w:t xml:space="preserve">, with </w:t>
      </w:r>
      <w:r w:rsidRPr="00CC5B40">
        <w:rPr>
          <w:i/>
          <w:iCs/>
          <w:spacing w:val="-3"/>
          <w:position w:val="-6"/>
        </w:rPr>
        <w:object w:dxaOrig="1140" w:dyaOrig="279" w14:anchorId="2178D9EA">
          <v:shape id="_x0000_i1545" type="#_x0000_t75" style="width:57.05pt;height:14.05pt" o:ole="">
            <v:imagedata r:id="rId1008" o:title=""/>
          </v:shape>
          <o:OLEObject Type="Embed" ProgID="Equation.DSMT4" ShapeID="_x0000_i1545" DrawAspect="Content" ObjectID="_1840627111" r:id="rId1009"/>
        </w:object>
      </w:r>
      <w:r>
        <w:rPr>
          <w:spacing w:val="-3"/>
        </w:rPr>
        <w:t xml:space="preserve"> (F</w:t>
      </w:r>
      <w:r w:rsidR="00561E39">
        <w:rPr>
          <w:spacing w:val="-3"/>
        </w:rPr>
        <w:t>lemings</w:t>
      </w:r>
      <w:r>
        <w:rPr>
          <w:spacing w:val="-3"/>
        </w:rPr>
        <w:t xml:space="preserve"> [1974]; O</w:t>
      </w:r>
      <w:r w:rsidR="00561E39">
        <w:rPr>
          <w:spacing w:val="-3"/>
        </w:rPr>
        <w:t>kamoto</w:t>
      </w:r>
      <w:r>
        <w:rPr>
          <w:spacing w:val="-3"/>
        </w:rPr>
        <w:t xml:space="preserve"> </w:t>
      </w:r>
      <w:r>
        <w:rPr>
          <w:i/>
          <w:iCs/>
          <w:spacing w:val="-3"/>
        </w:rPr>
        <w:t>et al.</w:t>
      </w:r>
      <w:r>
        <w:rPr>
          <w:spacing w:val="-3"/>
        </w:rPr>
        <w:t xml:space="preserve"> [1975]; O</w:t>
      </w:r>
      <w:r w:rsidR="00561E39">
        <w:rPr>
          <w:spacing w:val="-3"/>
        </w:rPr>
        <w:t>kamoto</w:t>
      </w:r>
      <w:r>
        <w:rPr>
          <w:spacing w:val="-3"/>
        </w:rPr>
        <w:t xml:space="preserve"> and K</w:t>
      </w:r>
      <w:r w:rsidR="00561E39">
        <w:rPr>
          <w:spacing w:val="-3"/>
        </w:rPr>
        <w:t>ishitake</w:t>
      </w:r>
      <w:r>
        <w:rPr>
          <w:spacing w:val="-3"/>
        </w:rPr>
        <w:t xml:space="preserve"> [1975]; Y</w:t>
      </w:r>
      <w:r w:rsidR="00561E39">
        <w:rPr>
          <w:spacing w:val="-3"/>
        </w:rPr>
        <w:t>oung</w:t>
      </w:r>
      <w:r>
        <w:rPr>
          <w:spacing w:val="-3"/>
        </w:rPr>
        <w:t xml:space="preserve"> and K</w:t>
      </w:r>
      <w:r w:rsidR="00561E39">
        <w:rPr>
          <w:spacing w:val="-3"/>
        </w:rPr>
        <w:t>irkwood</w:t>
      </w:r>
      <w:r>
        <w:rPr>
          <w:spacing w:val="-3"/>
        </w:rPr>
        <w:t xml:space="preserve"> [1975]).  On the other hand, in steels a broad discrepancy exists for the values of </w:t>
      </w:r>
      <w:r w:rsidRPr="008337E7">
        <w:rPr>
          <w:i/>
          <w:spacing w:val="-3"/>
        </w:rPr>
        <w:t>m</w:t>
      </w:r>
      <w:r>
        <w:rPr>
          <w:spacing w:val="-3"/>
        </w:rPr>
        <w:t xml:space="preserve"> and </w:t>
      </w:r>
      <w:r w:rsidRPr="008337E7">
        <w:rPr>
          <w:i/>
          <w:spacing w:val="-3"/>
        </w:rPr>
        <w:t>n</w:t>
      </w:r>
      <w:r>
        <w:rPr>
          <w:spacing w:val="-3"/>
        </w:rPr>
        <w:t>, although many of the experimental studies have not been performed under controlled solidification conditions. J</w:t>
      </w:r>
      <w:r w:rsidR="00561E39">
        <w:rPr>
          <w:spacing w:val="-3"/>
        </w:rPr>
        <w:t>acobi</w:t>
      </w:r>
      <w:r>
        <w:rPr>
          <w:spacing w:val="-3"/>
        </w:rPr>
        <w:t xml:space="preserve"> and S</w:t>
      </w:r>
      <w:r w:rsidR="00561E39">
        <w:rPr>
          <w:spacing w:val="-3"/>
        </w:rPr>
        <w:t>chwerdtefeger</w:t>
      </w:r>
      <w:r>
        <w:rPr>
          <w:spacing w:val="-3"/>
        </w:rPr>
        <w:t xml:space="preserve"> [1976], controlling</w:t>
      </w:r>
      <w:r>
        <w:rPr>
          <w:i/>
          <w:iCs/>
          <w:spacing w:val="-3"/>
        </w:rPr>
        <w:t xml:space="preserve"> G</w:t>
      </w:r>
      <w:r w:rsidRPr="00727E8A">
        <w:rPr>
          <w:spacing w:val="-3"/>
          <w:sz w:val="26"/>
          <w:vertAlign w:val="subscript"/>
        </w:rPr>
        <w:t>L</w:t>
      </w:r>
      <w:r>
        <w:rPr>
          <w:spacing w:val="-3"/>
        </w:rPr>
        <w:t xml:space="preserve"> and</w:t>
      </w:r>
      <w:r>
        <w:rPr>
          <w:i/>
          <w:iCs/>
          <w:spacing w:val="-3"/>
        </w:rPr>
        <w:t xml:space="preserve"> V </w:t>
      </w:r>
      <w:r>
        <w:rPr>
          <w:spacing w:val="-3"/>
        </w:rPr>
        <w:t>separately, obtained values of</w:t>
      </w:r>
      <w:r>
        <w:rPr>
          <w:i/>
          <w:iCs/>
          <w:spacing w:val="-3"/>
        </w:rPr>
        <w:t xml:space="preserve"> m</w:t>
      </w:r>
      <w:r>
        <w:rPr>
          <w:spacing w:val="-3"/>
        </w:rPr>
        <w:t xml:space="preserve"> = 0.25 and</w:t>
      </w:r>
      <w:r>
        <w:rPr>
          <w:i/>
          <w:iCs/>
          <w:spacing w:val="-3"/>
        </w:rPr>
        <w:t xml:space="preserve"> n</w:t>
      </w:r>
      <w:r>
        <w:rPr>
          <w:spacing w:val="-3"/>
        </w:rPr>
        <w:t xml:space="preserve"> = 0.72. The complexity of modeling primary spacing is indicated by the fact that </w:t>
      </w:r>
      <w:r>
        <w:rPr>
          <w:spacing w:val="-3"/>
        </w:rPr>
        <w:lastRenderedPageBreak/>
        <w:t>values of</w:t>
      </w:r>
      <w:r>
        <w:rPr>
          <w:i/>
          <w:iCs/>
          <w:spacing w:val="-3"/>
        </w:rPr>
        <w:t xml:space="preserve"> m</w:t>
      </w:r>
      <w:r>
        <w:rPr>
          <w:spacing w:val="-3"/>
        </w:rPr>
        <w:t xml:space="preserve"> and</w:t>
      </w:r>
      <w:r>
        <w:rPr>
          <w:i/>
          <w:iCs/>
          <w:spacing w:val="-3"/>
        </w:rPr>
        <w:t xml:space="preserve"> n</w:t>
      </w:r>
      <w:r>
        <w:rPr>
          <w:spacing w:val="-3"/>
        </w:rPr>
        <w:t xml:space="preserve"> fit to the numerical computations of </w:t>
      </w:r>
      <w:r w:rsidR="00561E39">
        <w:rPr>
          <w:spacing w:val="-3"/>
        </w:rPr>
        <w:t xml:space="preserve">Hunt </w:t>
      </w:r>
      <w:r>
        <w:rPr>
          <w:spacing w:val="-3"/>
        </w:rPr>
        <w:t xml:space="preserve">and </w:t>
      </w:r>
      <w:r w:rsidR="00561E39">
        <w:rPr>
          <w:spacing w:val="-3"/>
        </w:rPr>
        <w:t xml:space="preserve">Lu </w:t>
      </w:r>
      <w:r>
        <w:rPr>
          <w:spacing w:val="-3"/>
        </w:rPr>
        <w:t>[1996] depend on the anisotropy of the surface energy.</w:t>
      </w:r>
    </w:p>
    <w:p w14:paraId="2E38FDBD" w14:textId="77777777" w:rsidR="00015B17" w:rsidRDefault="00015B17" w:rsidP="00015B17">
      <w:pPr>
        <w:suppressAutoHyphens/>
        <w:spacing w:line="360" w:lineRule="auto"/>
        <w:rPr>
          <w:spacing w:val="-3"/>
        </w:rPr>
      </w:pPr>
    </w:p>
    <w:p w14:paraId="5B6B156C" w14:textId="77777777" w:rsidR="00015B17" w:rsidRDefault="00015B17" w:rsidP="00015B17">
      <w:pPr>
        <w:suppressAutoHyphens/>
        <w:spacing w:line="360" w:lineRule="auto"/>
        <w:rPr>
          <w:spacing w:val="-3"/>
        </w:rPr>
      </w:pPr>
      <w:r>
        <w:rPr>
          <w:spacing w:val="-3"/>
        </w:rPr>
        <w:tab/>
        <w:t xml:space="preserve">Eqn. 7.18 is often used in conjunction with microstructural measurements to estimate the freezing conditions for various rapid solidification processing techniques. In view of the complexity of modeling </w:t>
      </w:r>
      <w:r w:rsidRPr="00CC5B40">
        <w:rPr>
          <w:spacing w:val="-3"/>
          <w:position w:val="-10"/>
        </w:rPr>
        <w:object w:dxaOrig="240" w:dyaOrig="340" w14:anchorId="344CA4E0">
          <v:shape id="_x0000_i1546" type="#_x0000_t75" style="width:12.15pt;height:16.85pt" o:ole="">
            <v:imagedata r:id="rId1010" o:title=""/>
          </v:shape>
          <o:OLEObject Type="Embed" ProgID="Equation.DSMT4" ShapeID="_x0000_i1546" DrawAspect="Content" ObjectID="_1840627112" r:id="rId1011"/>
        </w:object>
      </w:r>
      <w:r>
        <w:rPr>
          <w:spacing w:val="-3"/>
        </w:rPr>
        <w:t xml:space="preserve"> and the disparity in experimental values even at slow cooling rates, such an approach should be used with great caution.</w:t>
      </w:r>
    </w:p>
    <w:p w14:paraId="3621C14D" w14:textId="77777777" w:rsidR="00015B17" w:rsidRDefault="00015B17" w:rsidP="00015B17">
      <w:pPr>
        <w:suppressAutoHyphens/>
        <w:spacing w:line="360" w:lineRule="auto"/>
        <w:rPr>
          <w:spacing w:val="-3"/>
        </w:rPr>
      </w:pPr>
    </w:p>
    <w:p w14:paraId="4801847C" w14:textId="77777777" w:rsidR="00015B17" w:rsidRDefault="00015B17" w:rsidP="00015B17">
      <w:pPr>
        <w:suppressAutoHyphens/>
        <w:spacing w:line="360" w:lineRule="auto"/>
        <w:rPr>
          <w:b/>
          <w:bCs/>
          <w:spacing w:val="-3"/>
        </w:rPr>
      </w:pPr>
    </w:p>
    <w:p w14:paraId="7D4456E5" w14:textId="77777777" w:rsidR="00015B17" w:rsidRDefault="00015B17" w:rsidP="00015B17">
      <w:pPr>
        <w:suppressAutoHyphens/>
        <w:spacing w:line="360" w:lineRule="auto"/>
        <w:rPr>
          <w:spacing w:val="-3"/>
        </w:rPr>
      </w:pPr>
      <w:r>
        <w:rPr>
          <w:b/>
          <w:bCs/>
          <w:spacing w:val="-3"/>
        </w:rPr>
        <w:t>7.2.4 Secondary Dendrite Arm Spacing</w:t>
      </w:r>
    </w:p>
    <w:p w14:paraId="41C684D4" w14:textId="77777777" w:rsidR="00015B17" w:rsidRDefault="00015B17" w:rsidP="00015B17">
      <w:pPr>
        <w:suppressAutoHyphens/>
        <w:spacing w:line="360" w:lineRule="auto"/>
        <w:rPr>
          <w:spacing w:val="-3"/>
        </w:rPr>
      </w:pPr>
    </w:p>
    <w:p w14:paraId="77E299BF" w14:textId="77777777" w:rsidR="00015B17" w:rsidRDefault="00015B17" w:rsidP="00015B17">
      <w:pPr>
        <w:suppressAutoHyphens/>
        <w:spacing w:line="360" w:lineRule="auto"/>
        <w:rPr>
          <w:spacing w:val="-3"/>
        </w:rPr>
      </w:pPr>
      <w:r>
        <w:rPr>
          <w:spacing w:val="-3"/>
        </w:rPr>
        <w:tab/>
        <w:t xml:space="preserve">During dendritic growth of cubic materials, the paraboloid-shape dendrite tip flutes laterally in the four </w:t>
      </w:r>
      <w:r w:rsidR="008337E7">
        <w:rPr>
          <w:spacing w:val="-3"/>
        </w:rPr>
        <w:t>{</w:t>
      </w:r>
      <w:r>
        <w:rPr>
          <w:spacing w:val="-3"/>
        </w:rPr>
        <w:t>100} longitudinal planes containing the [100] growth direction. Each flute then develops perturbations down the length of the dendrite shaft that become secondary arms as shown in Fig. 7.10. The initial spacing of the secondary arms near the tip has been observed in transparent pure materials and alloys (H</w:t>
      </w:r>
      <w:r w:rsidR="0042091A">
        <w:rPr>
          <w:spacing w:val="-3"/>
        </w:rPr>
        <w:t>uang</w:t>
      </w:r>
      <w:r>
        <w:rPr>
          <w:spacing w:val="-3"/>
        </w:rPr>
        <w:t xml:space="preserve"> and G</w:t>
      </w:r>
      <w:r w:rsidR="0042091A">
        <w:rPr>
          <w:spacing w:val="-3"/>
        </w:rPr>
        <w:t xml:space="preserve">licksman </w:t>
      </w:r>
      <w:r>
        <w:rPr>
          <w:spacing w:val="-3"/>
        </w:rPr>
        <w:t>[1981], T</w:t>
      </w:r>
      <w:r w:rsidR="0042091A">
        <w:rPr>
          <w:spacing w:val="-3"/>
        </w:rPr>
        <w:t>rivedi</w:t>
      </w:r>
      <w:r>
        <w:rPr>
          <w:spacing w:val="-3"/>
        </w:rPr>
        <w:t xml:space="preserve"> and S</w:t>
      </w:r>
      <w:r w:rsidR="0042091A">
        <w:rPr>
          <w:spacing w:val="-3"/>
        </w:rPr>
        <w:t>omboonsuk</w:t>
      </w:r>
      <w:r>
        <w:rPr>
          <w:spacing w:val="-3"/>
        </w:rPr>
        <w:t xml:space="preserve"> [1984]). For both constrained and free growth, the spacing near the tip is approximately 2.5 times the tip radius over a broad range of growth conditions. Theoretical work by L</w:t>
      </w:r>
      <w:r w:rsidR="0042091A">
        <w:rPr>
          <w:spacing w:val="-3"/>
        </w:rPr>
        <w:t>anger</w:t>
      </w:r>
      <w:r>
        <w:rPr>
          <w:spacing w:val="-3"/>
        </w:rPr>
        <w:t xml:space="preserve"> and M</w:t>
      </w:r>
      <w:r w:rsidR="0042091A">
        <w:rPr>
          <w:spacing w:val="-3"/>
        </w:rPr>
        <w:t>ueller</w:t>
      </w:r>
      <w:r>
        <w:rPr>
          <w:spacing w:val="-3"/>
        </w:rPr>
        <w:t>-K</w:t>
      </w:r>
      <w:r w:rsidR="0042091A">
        <w:rPr>
          <w:spacing w:val="-3"/>
        </w:rPr>
        <w:t>rumbhaar</w:t>
      </w:r>
      <w:r>
        <w:rPr>
          <w:spacing w:val="-3"/>
        </w:rPr>
        <w:t xml:space="preserve"> [1981] has also confirmed this relationship, which is related to the question of the tip stability discussed previously.</w:t>
      </w:r>
    </w:p>
    <w:p w14:paraId="4B312155" w14:textId="77777777" w:rsidR="00015B17" w:rsidRDefault="00015B17" w:rsidP="00015B17">
      <w:pPr>
        <w:suppressAutoHyphens/>
        <w:spacing w:line="360" w:lineRule="auto"/>
        <w:rPr>
          <w:spacing w:val="-3"/>
        </w:rPr>
      </w:pPr>
    </w:p>
    <w:p w14:paraId="36D897EA" w14:textId="77777777" w:rsidR="00015B17" w:rsidRDefault="00015B17" w:rsidP="00015B17">
      <w:pPr>
        <w:suppressAutoHyphens/>
        <w:spacing w:line="360" w:lineRule="auto"/>
        <w:rPr>
          <w:spacing w:val="-3"/>
        </w:rPr>
      </w:pPr>
      <w:r>
        <w:rPr>
          <w:spacing w:val="-3"/>
        </w:rPr>
        <w:tab/>
        <w:t>Theoretical questions remain over the physical mechanism of the secondary arms. Two views have emerged, that of Glicksman et al. [2007], Glicksman [201</w:t>
      </w:r>
      <w:r w:rsidR="008337E7">
        <w:rPr>
          <w:spacing w:val="-3"/>
        </w:rPr>
        <w:t>2</w:t>
      </w:r>
      <w:r>
        <w:rPr>
          <w:spacing w:val="-3"/>
        </w:rPr>
        <w:t xml:space="preserve">] and that of Echebarria et al. [2010]. The former, considers only growth into an undercooled melt. They argue that there exists a natural limit process cycle whereby the tip velocity changes slightly with a periodicity that spews out the secondary arms. The later authors find that this mechanism as well as amplification of naturally occurring thermal noise can cause secondary arms in specific cases. </w:t>
      </w:r>
    </w:p>
    <w:p w14:paraId="2E48C446" w14:textId="77777777" w:rsidR="00015B17" w:rsidRDefault="00015B17" w:rsidP="00015B17">
      <w:pPr>
        <w:suppressAutoHyphens/>
        <w:spacing w:line="360" w:lineRule="auto"/>
        <w:rPr>
          <w:spacing w:val="-3"/>
        </w:rPr>
      </w:pPr>
    </w:p>
    <w:p w14:paraId="389E8A38" w14:textId="696F7F28" w:rsidR="00015B17" w:rsidRDefault="00015B17" w:rsidP="00015B17">
      <w:pPr>
        <w:suppressAutoHyphens/>
        <w:spacing w:line="360" w:lineRule="auto"/>
        <w:rPr>
          <w:spacing w:val="-3"/>
        </w:rPr>
      </w:pPr>
      <w:r>
        <w:rPr>
          <w:spacing w:val="-3"/>
        </w:rPr>
        <w:tab/>
        <w:t xml:space="preserve">For cast alloys, </w:t>
      </w:r>
      <w:r w:rsidR="0042091A">
        <w:rPr>
          <w:spacing w:val="-3"/>
        </w:rPr>
        <w:t>secondary arm spacing</w:t>
      </w:r>
      <w:r>
        <w:rPr>
          <w:spacing w:val="-3"/>
        </w:rPr>
        <w:t xml:space="preserve"> is practically important because it sets the length scale associated with the final microsegregation pattern that relates directly to </w:t>
      </w:r>
      <w:r>
        <w:rPr>
          <w:spacing w:val="-3"/>
        </w:rPr>
        <w:lastRenderedPageBreak/>
        <w:t xml:space="preserve">mechanical properties.  The final spacing is usually much coarser than the one formed near the tip and results from coarsening of secondary dendrite arms during residence in the mushy zone.  The observed mechanism of coarsening is the melting or dissolution of smaller arms at the expense of larger arms. Through the Gibbs-Thompson effect, local differences in curvature give rise to slight temperature and/or composition variations along the liquid solid interface. Diffusion of heat and/or solute in response to these differences cause the dissolution of small arms and the growth of others effectively increasing the average spacing of the secondary arms. </w:t>
      </w:r>
    </w:p>
    <w:p w14:paraId="3529698D" w14:textId="77777777" w:rsidR="00015B17" w:rsidRDefault="00015B17" w:rsidP="00015B17">
      <w:pPr>
        <w:suppressAutoHyphens/>
        <w:spacing w:line="360" w:lineRule="auto"/>
        <w:rPr>
          <w:spacing w:val="-3"/>
        </w:rPr>
      </w:pPr>
    </w:p>
    <w:p w14:paraId="10C30C95" w14:textId="77777777" w:rsidR="00015B17" w:rsidRDefault="00015B17" w:rsidP="00015B17">
      <w:pPr>
        <w:suppressAutoHyphens/>
        <w:spacing w:line="360" w:lineRule="auto"/>
        <w:rPr>
          <w:spacing w:val="-3"/>
        </w:rPr>
      </w:pPr>
      <w:r>
        <w:rPr>
          <w:spacing w:val="-3"/>
        </w:rPr>
        <w:tab/>
        <w:t>For all but the most dilute alloys, the rate of coarsening is determined by the diffusion of solute in the liquid (V</w:t>
      </w:r>
      <w:r w:rsidR="0042091A">
        <w:rPr>
          <w:spacing w:val="-3"/>
        </w:rPr>
        <w:t>oorhees</w:t>
      </w:r>
      <w:r>
        <w:rPr>
          <w:spacing w:val="-3"/>
        </w:rPr>
        <w:t xml:space="preserve"> [1990</w:t>
      </w:r>
      <w:r w:rsidR="008337E7">
        <w:rPr>
          <w:spacing w:val="-3"/>
        </w:rPr>
        <w:t xml:space="preserve">]) </w:t>
      </w:r>
      <w:r>
        <w:rPr>
          <w:spacing w:val="-3"/>
        </w:rPr>
        <w:t>rather than by heat. Models were obtained for isothermal coarsening of the secondary arms held in the mushy zone by K</w:t>
      </w:r>
      <w:r w:rsidR="0042091A">
        <w:rPr>
          <w:spacing w:val="-3"/>
        </w:rPr>
        <w:t>attamis</w:t>
      </w:r>
      <w:r>
        <w:rPr>
          <w:spacing w:val="-3"/>
        </w:rPr>
        <w:t xml:space="preserve"> </w:t>
      </w:r>
      <w:r>
        <w:rPr>
          <w:i/>
          <w:iCs/>
          <w:spacing w:val="-3"/>
        </w:rPr>
        <w:t>et al.</w:t>
      </w:r>
      <w:r>
        <w:rPr>
          <w:spacing w:val="-3"/>
        </w:rPr>
        <w:t xml:space="preserve"> [1967] and F</w:t>
      </w:r>
      <w:r w:rsidR="0042091A">
        <w:rPr>
          <w:spacing w:val="-3"/>
        </w:rPr>
        <w:t>eurer</w:t>
      </w:r>
      <w:r>
        <w:rPr>
          <w:spacing w:val="-3"/>
        </w:rPr>
        <w:t xml:space="preserve"> and W</w:t>
      </w:r>
      <w:r w:rsidR="0042091A">
        <w:rPr>
          <w:spacing w:val="-3"/>
        </w:rPr>
        <w:t>underlin</w:t>
      </w:r>
      <w:r>
        <w:rPr>
          <w:spacing w:val="-3"/>
        </w:rPr>
        <w:t xml:space="preserve"> [1977]. The latter obtained an expression for the secondary arm spacing, </w:t>
      </w:r>
      <w:r w:rsidRPr="00CC5B40">
        <w:rPr>
          <w:i/>
          <w:iCs/>
          <w:spacing w:val="-3"/>
          <w:position w:val="-10"/>
        </w:rPr>
        <w:object w:dxaOrig="279" w:dyaOrig="340" w14:anchorId="7B5DE80F">
          <v:shape id="_x0000_i1547" type="#_x0000_t75" style="width:14.05pt;height:16.85pt" o:ole="">
            <v:imagedata r:id="rId1012" o:title=""/>
          </v:shape>
          <o:OLEObject Type="Embed" ProgID="Equation.DSMT4" ShapeID="_x0000_i1547" DrawAspect="Content" ObjectID="_1840627113" r:id="rId1013"/>
        </w:object>
      </w:r>
      <w:r>
        <w:rPr>
          <w:spacing w:val="-3"/>
        </w:rPr>
        <w:t>, given by</w:t>
      </w:r>
    </w:p>
    <w:p w14:paraId="25C6791C" w14:textId="77777777" w:rsidR="00015B17" w:rsidRDefault="00015B17" w:rsidP="00015B17">
      <w:pPr>
        <w:tabs>
          <w:tab w:val="right" w:pos="8838"/>
        </w:tabs>
        <w:suppressAutoHyphens/>
        <w:spacing w:line="360" w:lineRule="auto"/>
        <w:jc w:val="both"/>
        <w:rPr>
          <w:spacing w:val="-3"/>
        </w:rPr>
      </w:pPr>
      <w:r>
        <w:rPr>
          <w:spacing w:val="-3"/>
        </w:rPr>
        <w:tab/>
      </w:r>
    </w:p>
    <w:p w14:paraId="4A20FDDD" w14:textId="77777777" w:rsidR="00015B17" w:rsidRDefault="00015B17" w:rsidP="00015B17">
      <w:pPr>
        <w:tabs>
          <w:tab w:val="left" w:pos="-720"/>
        </w:tabs>
        <w:suppressAutoHyphens/>
        <w:spacing w:line="360" w:lineRule="auto"/>
        <w:jc w:val="center"/>
        <w:rPr>
          <w:spacing w:val="-3"/>
        </w:rPr>
      </w:pPr>
      <w:r w:rsidRPr="00C95749">
        <w:rPr>
          <w:spacing w:val="-3"/>
          <w:position w:val="-14"/>
        </w:rPr>
        <w:object w:dxaOrig="1760" w:dyaOrig="400" w14:anchorId="5C9C7A9D">
          <v:shape id="_x0000_i1548" type="#_x0000_t75" style="width:88.85pt;height:19.65pt" o:ole="">
            <v:imagedata r:id="rId1014" o:title=""/>
          </v:shape>
          <o:OLEObject Type="Embed" ProgID="Equation.DSMT4" ShapeID="_x0000_i1548" DrawAspect="Content" ObjectID="_1840627114" r:id="rId1015"/>
        </w:object>
      </w:r>
      <w:r>
        <w:rPr>
          <w:spacing w:val="-3"/>
        </w:rPr>
        <w:tab/>
      </w:r>
      <w:r>
        <w:rPr>
          <w:spacing w:val="-3"/>
        </w:rPr>
        <w:tab/>
      </w:r>
      <w:r>
        <w:rPr>
          <w:spacing w:val="-3"/>
        </w:rPr>
        <w:tab/>
      </w:r>
      <w:r>
        <w:rPr>
          <w:spacing w:val="-3"/>
        </w:rPr>
        <w:tab/>
        <w:t>(7.19)</w:t>
      </w:r>
    </w:p>
    <w:p w14:paraId="6EB7E731" w14:textId="77777777" w:rsidR="00015B17" w:rsidRDefault="00015B17" w:rsidP="00015B17">
      <w:pPr>
        <w:tabs>
          <w:tab w:val="left" w:pos="-720"/>
        </w:tabs>
        <w:suppressAutoHyphens/>
        <w:spacing w:line="360" w:lineRule="auto"/>
        <w:rPr>
          <w:spacing w:val="-3"/>
        </w:rPr>
      </w:pPr>
      <w:r>
        <w:rPr>
          <w:spacing w:val="-3"/>
        </w:rPr>
        <w:t>where</w:t>
      </w:r>
    </w:p>
    <w:p w14:paraId="202D2FD3" w14:textId="77777777" w:rsidR="00015B17" w:rsidRDefault="00015B17" w:rsidP="00015B17">
      <w:pPr>
        <w:tabs>
          <w:tab w:val="left" w:pos="-720"/>
        </w:tabs>
        <w:suppressAutoHyphens/>
        <w:spacing w:line="360" w:lineRule="auto"/>
        <w:jc w:val="both"/>
        <w:rPr>
          <w:vanish/>
          <w:spacing w:val="-3"/>
        </w:rPr>
      </w:pPr>
    </w:p>
    <w:p w14:paraId="00907039" w14:textId="77777777" w:rsidR="00015B17" w:rsidRDefault="00015B17" w:rsidP="00015B17">
      <w:pPr>
        <w:tabs>
          <w:tab w:val="left" w:pos="-720"/>
        </w:tabs>
        <w:suppressAutoHyphens/>
        <w:spacing w:line="360" w:lineRule="auto"/>
        <w:jc w:val="both"/>
        <w:rPr>
          <w:spacing w:val="-3"/>
        </w:rPr>
      </w:pPr>
    </w:p>
    <w:p w14:paraId="402DE185" w14:textId="77777777" w:rsidR="00015B17" w:rsidRDefault="00015B17" w:rsidP="00015B17">
      <w:pPr>
        <w:tabs>
          <w:tab w:val="left" w:pos="-720"/>
        </w:tabs>
        <w:suppressAutoHyphens/>
        <w:spacing w:line="360" w:lineRule="auto"/>
        <w:jc w:val="center"/>
        <w:rPr>
          <w:spacing w:val="-3"/>
        </w:rPr>
      </w:pPr>
      <w:r w:rsidRPr="00C95749">
        <w:rPr>
          <w:spacing w:val="-3"/>
          <w:position w:val="-30"/>
        </w:rPr>
        <w:object w:dxaOrig="2960" w:dyaOrig="680" w14:anchorId="7A18B9EA">
          <v:shape id="_x0000_i1549" type="#_x0000_t75" style="width:148.7pt;height:33.65pt" o:ole="">
            <v:imagedata r:id="rId1016" o:title=""/>
          </v:shape>
          <o:OLEObject Type="Embed" ProgID="Equation.DSMT4" ShapeID="_x0000_i1549" DrawAspect="Content" ObjectID="_1840627115" r:id="rId1017"/>
        </w:object>
      </w:r>
      <w:r>
        <w:rPr>
          <w:spacing w:val="-3"/>
        </w:rPr>
        <w:tab/>
      </w:r>
      <w:r>
        <w:rPr>
          <w:spacing w:val="-3"/>
        </w:rPr>
        <w:tab/>
        <w:t>(7.20)</w:t>
      </w:r>
    </w:p>
    <w:p w14:paraId="3B31889B" w14:textId="77777777" w:rsidR="00015B17" w:rsidRDefault="00015B17" w:rsidP="00015B17">
      <w:pPr>
        <w:tabs>
          <w:tab w:val="left" w:pos="-720"/>
        </w:tabs>
        <w:suppressAutoHyphens/>
        <w:spacing w:line="360" w:lineRule="auto"/>
        <w:jc w:val="center"/>
        <w:rPr>
          <w:spacing w:val="-3"/>
        </w:rPr>
      </w:pPr>
    </w:p>
    <w:p w14:paraId="765266B7" w14:textId="77777777" w:rsidR="00015B17" w:rsidRDefault="00015B17" w:rsidP="00015B17">
      <w:pPr>
        <w:tabs>
          <w:tab w:val="left" w:pos="-720"/>
        </w:tabs>
        <w:suppressAutoHyphens/>
        <w:spacing w:line="360" w:lineRule="auto"/>
        <w:rPr>
          <w:spacing w:val="-3"/>
        </w:rPr>
      </w:pPr>
      <w:r>
        <w:rPr>
          <w:spacing w:val="-3"/>
        </w:rPr>
        <w:t xml:space="preserve">where </w:t>
      </w:r>
      <w:r w:rsidRPr="00B03078">
        <w:rPr>
          <w:i/>
          <w:iCs/>
          <w:spacing w:val="-3"/>
        </w:rPr>
        <w:t>C</w:t>
      </w:r>
      <w:r w:rsidRPr="003E0F31">
        <w:rPr>
          <w:i/>
          <w:iCs/>
          <w:spacing w:val="-3"/>
          <w:sz w:val="26"/>
          <w:vertAlign w:val="subscript"/>
        </w:rPr>
        <w:t>b</w:t>
      </w:r>
      <w:r>
        <w:rPr>
          <w:spacing w:val="-3"/>
        </w:rPr>
        <w:t xml:space="preserve"> is the final composition of the liquid at the base of the dendrite</w:t>
      </w:r>
      <w:r w:rsidR="00245A3F">
        <w:rPr>
          <w:spacing w:val="-3"/>
        </w:rPr>
        <w:t xml:space="preserve"> and </w:t>
      </w:r>
      <w:r w:rsidR="00245A3F" w:rsidRPr="003E0F31">
        <w:rPr>
          <w:i/>
          <w:iCs/>
          <w:spacing w:val="-3"/>
        </w:rPr>
        <w:t>t</w:t>
      </w:r>
      <w:r w:rsidR="00245A3F" w:rsidRPr="003E0F31">
        <w:rPr>
          <w:i/>
          <w:iCs/>
          <w:spacing w:val="-3"/>
          <w:sz w:val="26"/>
          <w:vertAlign w:val="subscript"/>
        </w:rPr>
        <w:t>f</w:t>
      </w:r>
      <w:r w:rsidR="00245A3F">
        <w:rPr>
          <w:spacing w:val="-3"/>
        </w:rPr>
        <w:t xml:space="preserve"> is the final solidification time</w:t>
      </w:r>
      <w:r>
        <w:rPr>
          <w:spacing w:val="-3"/>
        </w:rPr>
        <w:t xml:space="preserve">. When solidification is completed by a eutectic reaction, </w:t>
      </w:r>
      <w:r>
        <w:rPr>
          <w:i/>
          <w:iCs/>
          <w:spacing w:val="-3"/>
        </w:rPr>
        <w:t>C</w:t>
      </w:r>
      <w:r w:rsidRPr="00727E8A">
        <w:rPr>
          <w:spacing w:val="-3"/>
          <w:sz w:val="26"/>
          <w:vertAlign w:val="subscript"/>
        </w:rPr>
        <w:t>b</w:t>
      </w:r>
      <w:r>
        <w:rPr>
          <w:spacing w:val="-3"/>
        </w:rPr>
        <w:t xml:space="preserve"> is equal to the eutectic composition. The numerical factor in Eqn. 7.19 depends on the details of the geometry of the coarsening process and the dendritic structure and should be viewed as approximate. For directional solidification the local solidification time can be approximated by</w:t>
      </w:r>
    </w:p>
    <w:p w14:paraId="523B7477" w14:textId="77777777" w:rsidR="00015B17" w:rsidRDefault="00015B17" w:rsidP="00015B17">
      <w:pPr>
        <w:tabs>
          <w:tab w:val="left" w:pos="-720"/>
        </w:tabs>
        <w:suppressAutoHyphens/>
        <w:spacing w:line="360" w:lineRule="auto"/>
        <w:jc w:val="both"/>
        <w:rPr>
          <w:spacing w:val="-3"/>
        </w:rPr>
      </w:pPr>
    </w:p>
    <w:p w14:paraId="4DEFC7FB" w14:textId="77777777" w:rsidR="00015B17" w:rsidRDefault="00015B17" w:rsidP="00015B17">
      <w:pPr>
        <w:tabs>
          <w:tab w:val="left" w:pos="-720"/>
        </w:tabs>
        <w:suppressAutoHyphens/>
        <w:spacing w:line="360" w:lineRule="auto"/>
        <w:jc w:val="center"/>
        <w:rPr>
          <w:spacing w:val="-3"/>
        </w:rPr>
      </w:pPr>
      <w:r w:rsidRPr="00C95749">
        <w:rPr>
          <w:spacing w:val="-3"/>
          <w:position w:val="-30"/>
        </w:rPr>
        <w:object w:dxaOrig="1040" w:dyaOrig="720" w14:anchorId="21A140E4">
          <v:shape id="_x0000_i1550" type="#_x0000_t75" style="width:52.35pt;height:36.45pt" o:ole="">
            <v:imagedata r:id="rId1018" o:title=""/>
          </v:shape>
          <o:OLEObject Type="Embed" ProgID="Equation.DSMT4" ShapeID="_x0000_i1550" DrawAspect="Content" ObjectID="_1840627116" r:id="rId1019"/>
        </w:object>
      </w:r>
      <w:r>
        <w:rPr>
          <w:spacing w:val="-3"/>
        </w:rPr>
        <w:tab/>
      </w:r>
      <w:r>
        <w:rPr>
          <w:spacing w:val="-3"/>
        </w:rPr>
        <w:tab/>
      </w:r>
      <w:r>
        <w:rPr>
          <w:spacing w:val="-3"/>
        </w:rPr>
        <w:tab/>
      </w:r>
      <w:r>
        <w:rPr>
          <w:spacing w:val="-3"/>
        </w:rPr>
        <w:tab/>
      </w:r>
      <w:r>
        <w:rPr>
          <w:spacing w:val="-3"/>
        </w:rPr>
        <w:tab/>
        <w:t>(7.21)</w:t>
      </w:r>
    </w:p>
    <w:p w14:paraId="02D7BE5B" w14:textId="77777777" w:rsidR="00015B17" w:rsidRDefault="00015B17" w:rsidP="00015B17">
      <w:pPr>
        <w:tabs>
          <w:tab w:val="left" w:pos="-720"/>
        </w:tabs>
        <w:suppressAutoHyphens/>
        <w:spacing w:line="360" w:lineRule="auto"/>
        <w:jc w:val="center"/>
        <w:rPr>
          <w:spacing w:val="-3"/>
        </w:rPr>
      </w:pPr>
    </w:p>
    <w:p w14:paraId="29AE5831" w14:textId="38E1E25E" w:rsidR="00015B17" w:rsidRDefault="00015B17" w:rsidP="00015B17">
      <w:pPr>
        <w:tabs>
          <w:tab w:val="left" w:pos="-720"/>
        </w:tabs>
        <w:suppressAutoHyphens/>
        <w:spacing w:line="360" w:lineRule="auto"/>
        <w:rPr>
          <w:spacing w:val="-3"/>
        </w:rPr>
      </w:pPr>
      <w:r>
        <w:rPr>
          <w:spacing w:val="-3"/>
        </w:rPr>
        <w:t xml:space="preserve">where </w:t>
      </w:r>
      <w:r>
        <w:rPr>
          <w:i/>
          <w:iCs/>
          <w:spacing w:val="-3"/>
        </w:rPr>
        <w:t>ΔT</w:t>
      </w:r>
      <w:r w:rsidRPr="00727E8A">
        <w:rPr>
          <w:i/>
          <w:spacing w:val="-3"/>
          <w:sz w:val="26"/>
          <w:vertAlign w:val="subscript"/>
        </w:rPr>
        <w:t>f</w:t>
      </w:r>
      <w:r>
        <w:rPr>
          <w:spacing w:val="-3"/>
        </w:rPr>
        <w:t xml:space="preserve"> </w:t>
      </w:r>
      <w:r w:rsidR="008337E7">
        <w:rPr>
          <w:spacing w:val="-3"/>
        </w:rPr>
        <w:t xml:space="preserve"> </w:t>
      </w:r>
      <w:r>
        <w:rPr>
          <w:spacing w:val="-3"/>
        </w:rPr>
        <w:t xml:space="preserve">is the temperature difference between the dendrite tip and the base of the dendrite. </w:t>
      </w:r>
      <w:r w:rsidR="006018BA">
        <w:rPr>
          <w:spacing w:val="-3"/>
        </w:rPr>
        <w:t>Thus,</w:t>
      </w:r>
      <w:r>
        <w:rPr>
          <w:spacing w:val="-3"/>
        </w:rPr>
        <w:t xml:space="preserve"> for a given growth velocity and temperature gradient </w:t>
      </w:r>
      <w:r w:rsidRPr="00B5052C">
        <w:rPr>
          <w:spacing w:val="-3"/>
          <w:position w:val="-10"/>
        </w:rPr>
        <w:object w:dxaOrig="279" w:dyaOrig="340" w14:anchorId="42434079">
          <v:shape id="_x0000_i1551" type="#_x0000_t75" style="width:14.05pt;height:16.85pt" o:ole="">
            <v:imagedata r:id="rId1020" o:title=""/>
          </v:shape>
          <o:OLEObject Type="Embed" ProgID="Equation.DSMT4" ShapeID="_x0000_i1551" DrawAspect="Content" ObjectID="_1840627117" r:id="rId1021"/>
        </w:object>
      </w:r>
      <w:r>
        <w:rPr>
          <w:spacing w:val="-3"/>
        </w:rPr>
        <w:t xml:space="preserve"> decreases with increasing composition. Eqn. 7.20 has been extended to multicomponent alloys by Rappaz and Boettinger [1999].</w:t>
      </w:r>
    </w:p>
    <w:p w14:paraId="207A0CF2" w14:textId="77777777" w:rsidR="00015B17" w:rsidRDefault="00015B17" w:rsidP="00015B17">
      <w:pPr>
        <w:tabs>
          <w:tab w:val="left" w:pos="-720"/>
        </w:tabs>
        <w:suppressAutoHyphens/>
        <w:spacing w:line="360" w:lineRule="auto"/>
        <w:rPr>
          <w:spacing w:val="-3"/>
        </w:rPr>
      </w:pPr>
    </w:p>
    <w:p w14:paraId="054F72CA" w14:textId="77777777" w:rsidR="00015B17" w:rsidRDefault="00015B17" w:rsidP="00015B17">
      <w:pPr>
        <w:tabs>
          <w:tab w:val="left" w:pos="-720"/>
        </w:tabs>
        <w:suppressAutoHyphens/>
        <w:spacing w:line="360" w:lineRule="auto"/>
        <w:rPr>
          <w:spacing w:val="-3"/>
        </w:rPr>
      </w:pPr>
      <w:r>
        <w:rPr>
          <w:spacing w:val="-3"/>
        </w:rPr>
        <w:tab/>
      </w:r>
      <w:smartTag w:uri="urn:schemas-microsoft-com:office:smarttags" w:element="City">
        <w:smartTag w:uri="urn:schemas-microsoft-com:office:smarttags" w:element="place">
          <w:r>
            <w:rPr>
              <w:spacing w:val="-3"/>
            </w:rPr>
            <w:t>K</w:t>
          </w:r>
          <w:r w:rsidR="0042091A">
            <w:rPr>
              <w:spacing w:val="-3"/>
            </w:rPr>
            <w:t>irkwood</w:t>
          </w:r>
        </w:smartTag>
      </w:smartTag>
      <w:r>
        <w:rPr>
          <w:spacing w:val="-3"/>
        </w:rPr>
        <w:t xml:space="preserve"> [1985] obtained the above result only when the cooling rate is small compared to </w:t>
      </w:r>
      <w:r w:rsidRPr="00CD472E">
        <w:rPr>
          <w:i/>
          <w:iCs/>
          <w:spacing w:val="-3"/>
          <w:position w:val="-14"/>
        </w:rPr>
        <w:object w:dxaOrig="900" w:dyaOrig="380" w14:anchorId="290D2D09">
          <v:shape id="_x0000_i1552" type="#_x0000_t75" style="width:44.9pt;height:18.7pt" o:ole="">
            <v:imagedata r:id="rId1022" o:title=""/>
          </v:shape>
          <o:OLEObject Type="Embed" ProgID="Equation.DSMT4" ShapeID="_x0000_i1552" DrawAspect="Content" ObjectID="_1840627118" r:id="rId1023"/>
        </w:object>
      </w:r>
      <w:r>
        <w:rPr>
          <w:iCs/>
          <w:spacing w:val="-3"/>
        </w:rPr>
        <w:t xml:space="preserve">. </w:t>
      </w:r>
      <w:r>
        <w:rPr>
          <w:spacing w:val="-3"/>
        </w:rPr>
        <w:t xml:space="preserve">At larger cooling rates, the strict dependence </w:t>
      </w:r>
      <w:r w:rsidRPr="00CD472E">
        <w:rPr>
          <w:spacing w:val="-3"/>
          <w:position w:val="-14"/>
        </w:rPr>
        <w:object w:dxaOrig="1120" w:dyaOrig="420" w14:anchorId="79858C41">
          <v:shape id="_x0000_i1553" type="#_x0000_t75" style="width:55.15pt;height:20.55pt" o:ole="">
            <v:imagedata r:id="rId1024" o:title=""/>
          </v:shape>
          <o:OLEObject Type="Embed" ProgID="Equation.DSMT4" ShapeID="_x0000_i1553" DrawAspect="Content" ObjectID="_1840627119" r:id="rId1025"/>
        </w:object>
      </w:r>
      <w:r>
        <w:rPr>
          <w:spacing w:val="-3"/>
        </w:rPr>
        <w:t xml:space="preserve">was not obtained and he ascribed the scatter in </w:t>
      </w:r>
      <w:r w:rsidRPr="00B5052C">
        <w:rPr>
          <w:spacing w:val="-3"/>
          <w:position w:val="-10"/>
        </w:rPr>
        <w:object w:dxaOrig="279" w:dyaOrig="340" w14:anchorId="13629F97">
          <v:shape id="_x0000_i1554" type="#_x0000_t75" style="width:14.05pt;height:16.85pt" o:ole="">
            <v:imagedata r:id="rId1020" o:title=""/>
          </v:shape>
          <o:OLEObject Type="Embed" ProgID="Equation.DSMT4" ShapeID="_x0000_i1554" DrawAspect="Content" ObjectID="_1840627120" r:id="rId1026"/>
        </w:object>
      </w:r>
      <w:r>
        <w:rPr>
          <w:spacing w:val="-3"/>
        </w:rPr>
        <w:t>vs.</w:t>
      </w:r>
      <w:r>
        <w:rPr>
          <w:iCs/>
          <w:spacing w:val="-3"/>
        </w:rPr>
        <w:t xml:space="preserve"> </w:t>
      </w:r>
      <w:r w:rsidRPr="00B5052C">
        <w:rPr>
          <w:iCs/>
          <w:spacing w:val="-3"/>
          <w:position w:val="-14"/>
        </w:rPr>
        <w:object w:dxaOrig="240" w:dyaOrig="380" w14:anchorId="49910EA4">
          <v:shape id="_x0000_i1555" type="#_x0000_t75" style="width:12.15pt;height:18.7pt" o:ole="">
            <v:imagedata r:id="rId1027" o:title=""/>
          </v:shape>
          <o:OLEObject Type="Embed" ProgID="Equation.DSMT4" ShapeID="_x0000_i1555" DrawAspect="Content" ObjectID="_1840627121" r:id="rId1028"/>
        </w:object>
      </w:r>
      <w:r>
        <w:rPr>
          <w:spacing w:val="-3"/>
        </w:rPr>
        <w:t>data to this effect. In real solidification processes, coarsening takes place simultaneously with the subsequent increase in the fraction solid during cooling. M</w:t>
      </w:r>
      <w:r w:rsidR="0042091A">
        <w:rPr>
          <w:spacing w:val="-3"/>
        </w:rPr>
        <w:t>ortensen</w:t>
      </w:r>
      <w:r>
        <w:rPr>
          <w:spacing w:val="-3"/>
        </w:rPr>
        <w:t xml:space="preserve"> [1991</w:t>
      </w:r>
      <w:r w:rsidRPr="00197F94">
        <w:rPr>
          <w:spacing w:val="-3"/>
        </w:rPr>
        <w:t>] p</w:t>
      </w:r>
      <w:r>
        <w:rPr>
          <w:spacing w:val="-3"/>
        </w:rPr>
        <w:t xml:space="preserve">resents a model that includes this effect. </w:t>
      </w:r>
    </w:p>
    <w:p w14:paraId="53F35ED0" w14:textId="77777777" w:rsidR="00015B17" w:rsidRDefault="00015B17" w:rsidP="00015B17">
      <w:pPr>
        <w:tabs>
          <w:tab w:val="left" w:pos="-720"/>
        </w:tabs>
        <w:suppressAutoHyphens/>
        <w:spacing w:line="360" w:lineRule="auto"/>
        <w:rPr>
          <w:spacing w:val="-3"/>
        </w:rPr>
      </w:pPr>
    </w:p>
    <w:p w14:paraId="3A892A94" w14:textId="4CB5F29C" w:rsidR="00015B17" w:rsidRPr="00C21551" w:rsidRDefault="00015B17" w:rsidP="00015B17">
      <w:pPr>
        <w:suppressAutoHyphens/>
        <w:spacing w:line="360" w:lineRule="auto"/>
        <w:rPr>
          <w:spacing w:val="-3"/>
        </w:rPr>
      </w:pPr>
      <w:r>
        <w:rPr>
          <w:spacing w:val="-3"/>
        </w:rPr>
        <w:tab/>
      </w:r>
      <w:r w:rsidR="00000E89">
        <w:rPr>
          <w:spacing w:val="-3"/>
        </w:rPr>
        <w:t>E</w:t>
      </w:r>
      <w:r>
        <w:rPr>
          <w:spacing w:val="-3"/>
        </w:rPr>
        <w:t>xperimental work has focused on a more complete measurement of the geometry of the dendritic structure (</w:t>
      </w:r>
      <w:r w:rsidRPr="00DA5E9F">
        <w:rPr>
          <w:spacing w:val="-3"/>
        </w:rPr>
        <w:t>Fife</w:t>
      </w:r>
      <w:r>
        <w:rPr>
          <w:spacing w:val="-3"/>
        </w:rPr>
        <w:t xml:space="preserve"> </w:t>
      </w:r>
      <w:r w:rsidRPr="00DA5E9F">
        <w:rPr>
          <w:spacing w:val="-3"/>
        </w:rPr>
        <w:t>and Voorhees</w:t>
      </w:r>
      <w:r>
        <w:rPr>
          <w:spacing w:val="-3"/>
        </w:rPr>
        <w:t xml:space="preserve"> [</w:t>
      </w:r>
      <w:r w:rsidRPr="00DA5E9F">
        <w:rPr>
          <w:spacing w:val="-3"/>
        </w:rPr>
        <w:t>2009</w:t>
      </w:r>
      <w:r>
        <w:rPr>
          <w:spacing w:val="-3"/>
        </w:rPr>
        <w:t xml:space="preserve">], </w:t>
      </w:r>
      <w:r w:rsidRPr="00DA5E9F">
        <w:rPr>
          <w:spacing w:val="-3"/>
        </w:rPr>
        <w:t xml:space="preserve">Genau </w:t>
      </w:r>
      <w:r>
        <w:rPr>
          <w:spacing w:val="-3"/>
        </w:rPr>
        <w:t>et al.</w:t>
      </w:r>
      <w:r w:rsidRPr="00DA5E9F">
        <w:rPr>
          <w:spacing w:val="-3"/>
        </w:rPr>
        <w:t xml:space="preserve"> </w:t>
      </w:r>
      <w:r>
        <w:rPr>
          <w:spacing w:val="-3"/>
        </w:rPr>
        <w:t>[</w:t>
      </w:r>
      <w:r w:rsidRPr="00DA5E9F">
        <w:rPr>
          <w:spacing w:val="-3"/>
        </w:rPr>
        <w:t>2009</w:t>
      </w:r>
      <w:r>
        <w:rPr>
          <w:spacing w:val="-3"/>
        </w:rPr>
        <w:t xml:space="preserve">] and </w:t>
      </w:r>
      <w:r w:rsidRPr="00DA5E9F">
        <w:rPr>
          <w:spacing w:val="-3"/>
        </w:rPr>
        <w:t xml:space="preserve">Aagesen, </w:t>
      </w:r>
      <w:r>
        <w:rPr>
          <w:spacing w:val="-3"/>
        </w:rPr>
        <w:t xml:space="preserve">et al. [2010]). Mean and Gauss curvature measurements of the </w:t>
      </w:r>
      <w:r w:rsidR="00941335">
        <w:rPr>
          <w:spacing w:val="-3"/>
        </w:rPr>
        <w:t xml:space="preserve">3-D </w:t>
      </w:r>
      <w:r>
        <w:rPr>
          <w:spacing w:val="-3"/>
        </w:rPr>
        <w:t xml:space="preserve">structures </w:t>
      </w:r>
      <w:r w:rsidRPr="00C21551">
        <w:rPr>
          <w:spacing w:val="-3"/>
        </w:rPr>
        <w:t>from point to point along th</w:t>
      </w:r>
      <w:r>
        <w:rPr>
          <w:spacing w:val="-3"/>
        </w:rPr>
        <w:t xml:space="preserve">e entire liquid solid interface as well as surface area per unit volume replace the simple linear secondary arm spacing. These </w:t>
      </w:r>
      <w:r w:rsidRPr="00C21551">
        <w:rPr>
          <w:spacing w:val="-3"/>
        </w:rPr>
        <w:t>curvatures, which can be positive and/or negative, change with time</w:t>
      </w:r>
      <w:r>
        <w:rPr>
          <w:spacing w:val="-3"/>
        </w:rPr>
        <w:t xml:space="preserve"> during coarsening</w:t>
      </w:r>
      <w:r w:rsidRPr="00C21551">
        <w:rPr>
          <w:spacing w:val="-3"/>
        </w:rPr>
        <w:t>. Th</w:t>
      </w:r>
      <w:r>
        <w:rPr>
          <w:spacing w:val="-3"/>
        </w:rPr>
        <w:t>ese</w:t>
      </w:r>
      <w:r w:rsidRPr="00C21551">
        <w:rPr>
          <w:spacing w:val="-3"/>
        </w:rPr>
        <w:t xml:space="preserve"> data </w:t>
      </w:r>
      <w:r>
        <w:rPr>
          <w:spacing w:val="-3"/>
        </w:rPr>
        <w:t xml:space="preserve">have been </w:t>
      </w:r>
      <w:r w:rsidRPr="00C21551">
        <w:rPr>
          <w:spacing w:val="-3"/>
        </w:rPr>
        <w:t>duplicate</w:t>
      </w:r>
      <w:r>
        <w:rPr>
          <w:spacing w:val="-3"/>
        </w:rPr>
        <w:t>d</w:t>
      </w:r>
      <w:r w:rsidRPr="00C21551">
        <w:rPr>
          <w:spacing w:val="-3"/>
        </w:rPr>
        <w:t xml:space="preserve"> with theory and modeling</w:t>
      </w:r>
      <w:r>
        <w:rPr>
          <w:spacing w:val="-3"/>
        </w:rPr>
        <w:t xml:space="preserve"> and a clearer picture of mushy zone coarsening is emerging.</w:t>
      </w:r>
      <w:r w:rsidR="00941335">
        <w:rPr>
          <w:spacing w:val="-3"/>
        </w:rPr>
        <w:t xml:space="preserve"> Advances in direct observation of coarsening in metallic alloys using synchrotron radiation are also shedding new information on secondary arm coarsening (Rivulcaba et al. (2009)).</w:t>
      </w:r>
    </w:p>
    <w:p w14:paraId="3B334183" w14:textId="77777777" w:rsidR="00015B17" w:rsidRDefault="00015B17" w:rsidP="00015B17">
      <w:pPr>
        <w:suppressAutoHyphens/>
        <w:spacing w:line="360" w:lineRule="auto"/>
        <w:rPr>
          <w:spacing w:val="-3"/>
        </w:rPr>
      </w:pPr>
    </w:p>
    <w:p w14:paraId="38651EF3" w14:textId="77777777" w:rsidR="00015B17" w:rsidRDefault="00015B17" w:rsidP="00015B17">
      <w:pPr>
        <w:tabs>
          <w:tab w:val="left" w:pos="-720"/>
        </w:tabs>
        <w:suppressAutoHyphens/>
        <w:spacing w:line="360" w:lineRule="auto"/>
        <w:rPr>
          <w:b/>
          <w:bCs/>
          <w:spacing w:val="-3"/>
        </w:rPr>
      </w:pPr>
      <w:r>
        <w:rPr>
          <w:b/>
          <w:bCs/>
          <w:spacing w:val="-3"/>
        </w:rPr>
        <w:t>7.3 Microsegregation</w:t>
      </w:r>
    </w:p>
    <w:p w14:paraId="1A611A62" w14:textId="77777777" w:rsidR="00015B17" w:rsidRDefault="00015B17" w:rsidP="00015B17">
      <w:pPr>
        <w:tabs>
          <w:tab w:val="left" w:pos="-720"/>
        </w:tabs>
        <w:suppressAutoHyphens/>
        <w:spacing w:line="360" w:lineRule="auto"/>
        <w:rPr>
          <w:spacing w:val="-3"/>
        </w:rPr>
      </w:pPr>
    </w:p>
    <w:p w14:paraId="1A3DEDBB" w14:textId="77777777" w:rsidR="00015B17" w:rsidRDefault="00015B17" w:rsidP="00015B17">
      <w:pPr>
        <w:tabs>
          <w:tab w:val="left" w:pos="-720"/>
        </w:tabs>
        <w:suppressAutoHyphens/>
        <w:spacing w:line="360" w:lineRule="auto"/>
        <w:rPr>
          <w:spacing w:val="-3"/>
        </w:rPr>
      </w:pPr>
      <w:r>
        <w:rPr>
          <w:spacing w:val="-3"/>
        </w:rPr>
        <w:tab/>
        <w:t xml:space="preserve">Microsegregation is the pattern of composition variation that remains in a solidified alloy. It includes the composition variation across cells or dendrites as well as the formation of other phases in the intercellular or interdendritic regions. One of the major goals of microsegregation analysis is the prediction of the volume fraction of eutectic or other secondary phases that may form between the cells and/or dendrites of the primary phase. </w:t>
      </w:r>
    </w:p>
    <w:p w14:paraId="54D5E763" w14:textId="77777777" w:rsidR="00015B17" w:rsidRDefault="00015B17" w:rsidP="00015B17">
      <w:pPr>
        <w:tabs>
          <w:tab w:val="left" w:pos="-720"/>
        </w:tabs>
        <w:suppressAutoHyphens/>
        <w:spacing w:line="360" w:lineRule="auto"/>
        <w:rPr>
          <w:spacing w:val="-3"/>
        </w:rPr>
      </w:pPr>
    </w:p>
    <w:p w14:paraId="2D1AB39B" w14:textId="77777777" w:rsidR="00015B17" w:rsidRDefault="00015B17" w:rsidP="00015B17">
      <w:pPr>
        <w:tabs>
          <w:tab w:val="left" w:pos="-720"/>
        </w:tabs>
        <w:suppressAutoHyphens/>
        <w:spacing w:line="360" w:lineRule="auto"/>
        <w:rPr>
          <w:spacing w:val="-3"/>
        </w:rPr>
      </w:pPr>
      <w:r>
        <w:rPr>
          <w:b/>
          <w:bCs/>
          <w:spacing w:val="-3"/>
        </w:rPr>
        <w:lastRenderedPageBreak/>
        <w:t>7.3.1 Phase field approach to modeling microsegregation during dendritic growth</w:t>
      </w:r>
    </w:p>
    <w:p w14:paraId="746917B3" w14:textId="77777777" w:rsidR="00015B17" w:rsidRDefault="00015B17" w:rsidP="00015B17">
      <w:pPr>
        <w:tabs>
          <w:tab w:val="left" w:pos="-720"/>
        </w:tabs>
        <w:suppressAutoHyphens/>
        <w:spacing w:line="360" w:lineRule="auto"/>
        <w:rPr>
          <w:spacing w:val="-3"/>
        </w:rPr>
      </w:pPr>
    </w:p>
    <w:p w14:paraId="7EBF186C" w14:textId="77777777" w:rsidR="00015B17" w:rsidRDefault="00015B17" w:rsidP="00015B17">
      <w:pPr>
        <w:tabs>
          <w:tab w:val="left" w:pos="-720"/>
        </w:tabs>
        <w:suppressAutoHyphens/>
        <w:spacing w:line="360" w:lineRule="auto"/>
        <w:rPr>
          <w:spacing w:val="-3"/>
        </w:rPr>
      </w:pPr>
      <w:r>
        <w:rPr>
          <w:spacing w:val="-3"/>
        </w:rPr>
        <w:tab/>
        <w:t xml:space="preserve">The microsegregation that occurs during dendritic solidification is extremely complex with details that can best be predicted using the phase field method.  </w:t>
      </w:r>
      <w:r w:rsidRPr="00EE429A">
        <w:rPr>
          <w:spacing w:val="-3"/>
        </w:rPr>
        <w:t>F</w:t>
      </w:r>
      <w:r w:rsidR="001D1192">
        <w:rPr>
          <w:spacing w:val="-3"/>
        </w:rPr>
        <w:t>ig.</w:t>
      </w:r>
      <w:r>
        <w:rPr>
          <w:spacing w:val="-3"/>
        </w:rPr>
        <w:t>7. 11</w:t>
      </w:r>
      <w:r w:rsidRPr="00EE429A">
        <w:rPr>
          <w:spacing w:val="-3"/>
        </w:rPr>
        <w:t xml:space="preserve"> </w:t>
      </w:r>
      <w:r>
        <w:rPr>
          <w:spacing w:val="-3"/>
        </w:rPr>
        <w:t xml:space="preserve">from </w:t>
      </w:r>
      <w:r w:rsidRPr="00EE429A">
        <w:rPr>
          <w:spacing w:val="-3"/>
        </w:rPr>
        <w:t xml:space="preserve">Warren </w:t>
      </w:r>
      <w:r>
        <w:rPr>
          <w:spacing w:val="-3"/>
        </w:rPr>
        <w:t>&amp;</w:t>
      </w:r>
      <w:r w:rsidRPr="00EE429A">
        <w:rPr>
          <w:spacing w:val="-3"/>
        </w:rPr>
        <w:t xml:space="preserve"> Boettinger </w:t>
      </w:r>
      <w:r w:rsidRPr="00197F94">
        <w:rPr>
          <w:spacing w:val="-3"/>
        </w:rPr>
        <w:t>[1995]</w:t>
      </w:r>
      <w:r w:rsidRPr="00C5419F">
        <w:rPr>
          <w:spacing w:val="-3"/>
        </w:rPr>
        <w:t xml:space="preserve"> </w:t>
      </w:r>
      <w:r>
        <w:rPr>
          <w:spacing w:val="-3"/>
        </w:rPr>
        <w:t xml:space="preserve">shows snap shots of 2-D calculations of the dendrite tip region a) and b) and the interdendritic region c) and d)  for </w:t>
      </w:r>
      <w:r w:rsidRPr="00EE429A">
        <w:rPr>
          <w:spacing w:val="-3"/>
        </w:rPr>
        <w:t>two different values of the solid diffusion coefficient</w:t>
      </w:r>
      <w:r>
        <w:rPr>
          <w:spacing w:val="-3"/>
        </w:rPr>
        <w:t xml:space="preserve">. The different colors indicate the composition. The rejection of solute into the liquid around the tip region is clearly seen. Less obvious are the small changes in the shades of blue of the liquid in the interdendritic liquid that governs secondary arm coarsening deep in the mushy zone. The complex microsegregation patterns in the solid are apparent with larger gradients evident for the case with the small solid diffusion coefficient. </w:t>
      </w:r>
    </w:p>
    <w:p w14:paraId="0418E4BE" w14:textId="77777777" w:rsidR="00015B17" w:rsidRDefault="00015B17" w:rsidP="00015B17">
      <w:pPr>
        <w:tabs>
          <w:tab w:val="left" w:pos="-720"/>
        </w:tabs>
        <w:suppressAutoHyphens/>
        <w:spacing w:line="360" w:lineRule="auto"/>
        <w:rPr>
          <w:spacing w:val="-3"/>
        </w:rPr>
      </w:pPr>
    </w:p>
    <w:p w14:paraId="4A0C0A17" w14:textId="77777777" w:rsidR="00015B17" w:rsidRDefault="00015B17" w:rsidP="00015B17">
      <w:pPr>
        <w:tabs>
          <w:tab w:val="left" w:pos="-720"/>
        </w:tabs>
        <w:suppressAutoHyphens/>
        <w:spacing w:line="360" w:lineRule="auto"/>
        <w:rPr>
          <w:spacing w:val="-3"/>
        </w:rPr>
      </w:pPr>
      <w:r>
        <w:rPr>
          <w:spacing w:val="-3"/>
        </w:rPr>
        <w:tab/>
        <w:t xml:space="preserve">Microsegregation can be quantified with modern energy dispersive x-ray measurement of composition.  Pixel by pixel quantitative analysis is now possible. A histogram of the number of pixels with composition within predefined bins can be obtained.  In a binary alloy where monotonic solid composition versus fraction solid behavior is expected, the histogram can be integrated (accumulated) to provide a composition versus (area) fraction measurement. </w:t>
      </w:r>
      <w:r w:rsidRPr="006C4CE8">
        <w:rPr>
          <w:spacing w:val="-3"/>
        </w:rPr>
        <w:t>An example of this procedure was performed by Boettinger &amp;</w:t>
      </w:r>
      <w:r>
        <w:rPr>
          <w:spacing w:val="-3"/>
        </w:rPr>
        <w:t xml:space="preserve"> </w:t>
      </w:r>
      <w:r w:rsidRPr="006C4CE8">
        <w:rPr>
          <w:spacing w:val="-3"/>
        </w:rPr>
        <w:t>Warren (1996)</w:t>
      </w:r>
      <w:r>
        <w:rPr>
          <w:spacing w:val="-3"/>
        </w:rPr>
        <w:t xml:space="preserve"> </w:t>
      </w:r>
      <w:r w:rsidRPr="006C4CE8">
        <w:rPr>
          <w:spacing w:val="-3"/>
        </w:rPr>
        <w:t>on microsegregation pattern</w:t>
      </w:r>
      <w:r>
        <w:rPr>
          <w:spacing w:val="-3"/>
        </w:rPr>
        <w:t>s</w:t>
      </w:r>
      <w:r w:rsidRPr="006C4CE8">
        <w:rPr>
          <w:spacing w:val="-3"/>
        </w:rPr>
        <w:t xml:space="preserve"> predicted by the phase field method for a rapidly growing dendrite </w:t>
      </w:r>
      <w:r>
        <w:rPr>
          <w:spacing w:val="-3"/>
        </w:rPr>
        <w:t>growing into an initially undercooled melt and also subject to external heat extraction</w:t>
      </w:r>
      <w:r w:rsidRPr="006C4CE8">
        <w:rPr>
          <w:spacing w:val="-3"/>
        </w:rPr>
        <w:t>. Fig. 7.12</w:t>
      </w:r>
      <w:r>
        <w:rPr>
          <w:spacing w:val="-3"/>
        </w:rPr>
        <w:t xml:space="preserve"> summarizes the result </w:t>
      </w:r>
      <w:r w:rsidRPr="006C4CE8">
        <w:rPr>
          <w:spacing w:val="-3"/>
        </w:rPr>
        <w:t xml:space="preserve">and </w:t>
      </w:r>
      <w:r>
        <w:rPr>
          <w:spacing w:val="-3"/>
        </w:rPr>
        <w:t xml:space="preserve">makes </w:t>
      </w:r>
      <w:r w:rsidRPr="006C4CE8">
        <w:rPr>
          <w:spacing w:val="-3"/>
        </w:rPr>
        <w:t>compar</w:t>
      </w:r>
      <w:r>
        <w:rPr>
          <w:spacing w:val="-3"/>
        </w:rPr>
        <w:t xml:space="preserve">ison to the </w:t>
      </w:r>
      <w:r w:rsidRPr="006C4CE8">
        <w:rPr>
          <w:spacing w:val="-3"/>
        </w:rPr>
        <w:t xml:space="preserve">simple Scheil prediction. One notes </w:t>
      </w:r>
      <w:r>
        <w:rPr>
          <w:spacing w:val="-3"/>
        </w:rPr>
        <w:t xml:space="preserve">in (c) </w:t>
      </w:r>
      <w:r w:rsidRPr="006C4CE8">
        <w:rPr>
          <w:spacing w:val="-3"/>
        </w:rPr>
        <w:t>that the composition at low fraction solid is well above the value predicted by the Scheil equation. This effect</w:t>
      </w:r>
      <w:r>
        <w:rPr>
          <w:spacing w:val="-3"/>
        </w:rPr>
        <w:t xml:space="preserve"> </w:t>
      </w:r>
      <w:r w:rsidRPr="006C4CE8">
        <w:rPr>
          <w:spacing w:val="-3"/>
        </w:rPr>
        <w:t>is exaggerated here due to the very rapid dendrite tip growth in</w:t>
      </w:r>
      <w:r>
        <w:rPr>
          <w:spacing w:val="-3"/>
        </w:rPr>
        <w:t xml:space="preserve"> </w:t>
      </w:r>
      <w:r w:rsidRPr="006C4CE8">
        <w:rPr>
          <w:spacing w:val="-3"/>
        </w:rPr>
        <w:t>t</w:t>
      </w:r>
      <w:r>
        <w:rPr>
          <w:spacing w:val="-3"/>
        </w:rPr>
        <w:t>he</w:t>
      </w:r>
      <w:r w:rsidRPr="006C4CE8">
        <w:rPr>
          <w:spacing w:val="-3"/>
        </w:rPr>
        <w:t xml:space="preserve"> initially undercooled melt. On</w:t>
      </w:r>
      <w:r>
        <w:rPr>
          <w:spacing w:val="-3"/>
        </w:rPr>
        <w:t>e</w:t>
      </w:r>
      <w:r w:rsidRPr="006C4CE8">
        <w:rPr>
          <w:spacing w:val="-3"/>
        </w:rPr>
        <w:t xml:space="preserve"> also note</w:t>
      </w:r>
      <w:r w:rsidR="00EF5C63">
        <w:rPr>
          <w:spacing w:val="-3"/>
        </w:rPr>
        <w:t>s</w:t>
      </w:r>
      <w:r w:rsidRPr="006C4CE8">
        <w:rPr>
          <w:spacing w:val="-3"/>
        </w:rPr>
        <w:t xml:space="preserve"> the flatness of the composition vs</w:t>
      </w:r>
      <w:r>
        <w:rPr>
          <w:spacing w:val="-3"/>
        </w:rPr>
        <w:t>.</w:t>
      </w:r>
      <w:r w:rsidRPr="006C4CE8">
        <w:rPr>
          <w:spacing w:val="-3"/>
        </w:rPr>
        <w:t xml:space="preserve"> fraction </w:t>
      </w:r>
      <w:r>
        <w:rPr>
          <w:spacing w:val="-3"/>
        </w:rPr>
        <w:t xml:space="preserve">solid </w:t>
      </w:r>
      <w:r w:rsidRPr="006C4CE8">
        <w:rPr>
          <w:spacing w:val="-3"/>
        </w:rPr>
        <w:t>curve during the initial port</w:t>
      </w:r>
      <w:r>
        <w:rPr>
          <w:spacing w:val="-3"/>
        </w:rPr>
        <w:t>i</w:t>
      </w:r>
      <w:r w:rsidRPr="006C4CE8">
        <w:rPr>
          <w:spacing w:val="-3"/>
        </w:rPr>
        <w:t>on of fast growth. Th</w:t>
      </w:r>
      <w:r>
        <w:rPr>
          <w:spacing w:val="-3"/>
        </w:rPr>
        <w:t xml:space="preserve">e modest effect of the variation of external heat extraction during recalescence and a variation of the ratio of liquid to solid diffusivity is also shown. </w:t>
      </w:r>
    </w:p>
    <w:p w14:paraId="4AEBEF9E" w14:textId="77777777" w:rsidR="00015B17" w:rsidRDefault="00015B17" w:rsidP="00015B17">
      <w:pPr>
        <w:tabs>
          <w:tab w:val="left" w:pos="-720"/>
        </w:tabs>
        <w:suppressAutoHyphens/>
        <w:spacing w:line="360" w:lineRule="auto"/>
        <w:rPr>
          <w:spacing w:val="-3"/>
        </w:rPr>
      </w:pPr>
    </w:p>
    <w:p w14:paraId="3875580E" w14:textId="11BF895D" w:rsidR="00015B17" w:rsidRDefault="00015B17" w:rsidP="00015B17">
      <w:pPr>
        <w:tabs>
          <w:tab w:val="left" w:pos="-720"/>
        </w:tabs>
        <w:suppressAutoHyphens/>
        <w:spacing w:line="360" w:lineRule="auto"/>
        <w:rPr>
          <w:spacing w:val="-3"/>
        </w:rPr>
      </w:pPr>
      <w:r w:rsidRPr="006C4CE8">
        <w:rPr>
          <w:spacing w:val="-3"/>
        </w:rPr>
        <w:t xml:space="preserve"> </w:t>
      </w:r>
      <w:r>
        <w:rPr>
          <w:spacing w:val="-3"/>
        </w:rPr>
        <w:tab/>
        <w:t xml:space="preserve">With this as a backdrop, we now proceed to describe much simpler methods to model microsegregation, The simplest approaches to describe microsegregation considers a volume in the solidifying material small enough to be isothermal at any instant but large </w:t>
      </w:r>
      <w:r>
        <w:rPr>
          <w:spacing w:val="-3"/>
        </w:rPr>
        <w:lastRenderedPageBreak/>
        <w:t>enough to capture the cell or dendrite spacing</w:t>
      </w:r>
      <w:r w:rsidR="008337E7">
        <w:rPr>
          <w:spacing w:val="-3"/>
        </w:rPr>
        <w:t>.</w:t>
      </w:r>
      <w:r>
        <w:rPr>
          <w:spacing w:val="-3"/>
        </w:rPr>
        <w:t xml:space="preserve"> Such a volume is shown in Fig. 7.13. We discuss the Scheil approach and then proceed to modify the approach. </w:t>
      </w:r>
    </w:p>
    <w:p w14:paraId="08BFE66F" w14:textId="77777777" w:rsidR="008C2954" w:rsidRDefault="008C2954" w:rsidP="00015B17">
      <w:pPr>
        <w:tabs>
          <w:tab w:val="left" w:pos="-720"/>
        </w:tabs>
        <w:suppressAutoHyphens/>
        <w:spacing w:line="360" w:lineRule="auto"/>
        <w:rPr>
          <w:spacing w:val="-3"/>
        </w:rPr>
      </w:pPr>
    </w:p>
    <w:p w14:paraId="44F7DF87" w14:textId="77777777" w:rsidR="00015B17" w:rsidRPr="00200803" w:rsidRDefault="00015B17" w:rsidP="00015B17">
      <w:pPr>
        <w:tabs>
          <w:tab w:val="left" w:pos="-720"/>
        </w:tabs>
        <w:suppressAutoHyphens/>
        <w:spacing w:line="360" w:lineRule="auto"/>
        <w:rPr>
          <w:b/>
          <w:spacing w:val="-3"/>
        </w:rPr>
      </w:pPr>
      <w:r w:rsidRPr="00200803">
        <w:rPr>
          <w:b/>
          <w:spacing w:val="-3"/>
        </w:rPr>
        <w:t>7.3.</w:t>
      </w:r>
      <w:r w:rsidR="00F472BF">
        <w:rPr>
          <w:b/>
          <w:spacing w:val="-3"/>
        </w:rPr>
        <w:t>2</w:t>
      </w:r>
      <w:r>
        <w:rPr>
          <w:b/>
          <w:spacing w:val="-3"/>
        </w:rPr>
        <w:t xml:space="preserve"> Scheil approximation</w:t>
      </w:r>
    </w:p>
    <w:p w14:paraId="74472883" w14:textId="77777777" w:rsidR="00015B17" w:rsidRDefault="00015B17" w:rsidP="00015B17">
      <w:pPr>
        <w:tabs>
          <w:tab w:val="left" w:pos="-720"/>
        </w:tabs>
        <w:suppressAutoHyphens/>
        <w:spacing w:line="360" w:lineRule="auto"/>
        <w:rPr>
          <w:spacing w:val="-3"/>
        </w:rPr>
      </w:pPr>
      <w:r>
        <w:rPr>
          <w:spacing w:val="-3"/>
        </w:rPr>
        <w:t>.</w:t>
      </w:r>
    </w:p>
    <w:p w14:paraId="68EA2E10" w14:textId="77777777" w:rsidR="00015B17" w:rsidRDefault="00015B17" w:rsidP="00015B17">
      <w:pPr>
        <w:tabs>
          <w:tab w:val="left" w:pos="-720"/>
        </w:tabs>
        <w:suppressAutoHyphens/>
        <w:spacing w:line="360" w:lineRule="auto"/>
        <w:rPr>
          <w:spacing w:val="-3"/>
        </w:rPr>
      </w:pPr>
      <w:r>
        <w:rPr>
          <w:spacing w:val="-3"/>
        </w:rPr>
        <w:tab/>
        <w:t>The simplest approximation for the prediction of microsegregation during dendritic solidification uses the Scheil equation described in § 6.2.2 but applied to the small volume considered in Fig. 7.13. With this approach no assumptions are actually necessary concerning the geometry of the freezing solid until one desires to convert from fraction solid to distance in a cast microstructure. For example, the dependence of volume fraction solid on distance,</w:t>
      </w:r>
      <w:r>
        <w:rPr>
          <w:i/>
          <w:iCs/>
          <w:spacing w:val="-3"/>
        </w:rPr>
        <w:t xml:space="preserve"> r</w:t>
      </w:r>
      <w:r w:rsidRPr="00727E8A">
        <w:rPr>
          <w:spacing w:val="-3"/>
          <w:sz w:val="26"/>
          <w:vertAlign w:val="subscript"/>
        </w:rPr>
        <w:t>1</w:t>
      </w:r>
      <w:r>
        <w:rPr>
          <w:spacing w:val="-3"/>
        </w:rPr>
        <w:t xml:space="preserve"> from the center of a cell or dendrite with radial symmetry with a primary spacing, </w:t>
      </w:r>
      <w:r w:rsidRPr="00A73F0A">
        <w:rPr>
          <w:spacing w:val="-3"/>
          <w:position w:val="-10"/>
        </w:rPr>
        <w:object w:dxaOrig="240" w:dyaOrig="340" w14:anchorId="0499E855">
          <v:shape id="_x0000_i1556" type="#_x0000_t75" style="width:12.15pt;height:16.85pt" o:ole="">
            <v:imagedata r:id="rId1029" o:title=""/>
          </v:shape>
          <o:OLEObject Type="Embed" ProgID="Equation.DSMT4" ShapeID="_x0000_i1556" DrawAspect="Content" ObjectID="_1840627122" r:id="rId1030"/>
        </w:object>
      </w:r>
      <w:r>
        <w:rPr>
          <w:spacing w:val="-3"/>
        </w:rPr>
        <w:t>, can be obtained the expression,</w:t>
      </w:r>
    </w:p>
    <w:p w14:paraId="7AF5FB0B" w14:textId="77777777" w:rsidR="00015B17" w:rsidRDefault="00015B17" w:rsidP="00015B17">
      <w:pPr>
        <w:tabs>
          <w:tab w:val="left" w:pos="-720"/>
        </w:tabs>
        <w:suppressAutoHyphens/>
        <w:spacing w:line="360" w:lineRule="auto"/>
        <w:jc w:val="center"/>
        <w:rPr>
          <w:spacing w:val="-3"/>
        </w:rPr>
      </w:pPr>
      <w:r w:rsidRPr="00C95749">
        <w:rPr>
          <w:spacing w:val="-3"/>
          <w:position w:val="-32"/>
        </w:rPr>
        <w:object w:dxaOrig="1480" w:dyaOrig="800" w14:anchorId="1F72A819">
          <v:shape id="_x0000_i1557" type="#_x0000_t75" style="width:73.85pt;height:40.2pt" o:ole="">
            <v:imagedata r:id="rId1031" o:title=""/>
          </v:shape>
          <o:OLEObject Type="Embed" ProgID="Equation.DSMT4" ShapeID="_x0000_i1557" DrawAspect="Content" ObjectID="_1840627123" r:id="rId1032"/>
        </w:object>
      </w:r>
      <w:r>
        <w:rPr>
          <w:spacing w:val="-3"/>
        </w:rPr>
        <w:tab/>
      </w:r>
      <w:r>
        <w:rPr>
          <w:spacing w:val="-3"/>
        </w:rPr>
        <w:tab/>
      </w:r>
      <w:r>
        <w:rPr>
          <w:spacing w:val="-3"/>
        </w:rPr>
        <w:tab/>
        <w:t>(7.22)</w:t>
      </w:r>
    </w:p>
    <w:p w14:paraId="49ACD007" w14:textId="77777777" w:rsidR="00015B17" w:rsidRDefault="00015B17" w:rsidP="00015B17">
      <w:pPr>
        <w:tabs>
          <w:tab w:val="left" w:pos="-720"/>
        </w:tabs>
        <w:suppressAutoHyphens/>
        <w:spacing w:line="360" w:lineRule="auto"/>
        <w:jc w:val="center"/>
        <w:rPr>
          <w:spacing w:val="-3"/>
        </w:rPr>
      </w:pPr>
    </w:p>
    <w:p w14:paraId="05B58047" w14:textId="77777777" w:rsidR="00015B17" w:rsidRDefault="00015B17" w:rsidP="00015B17">
      <w:pPr>
        <w:tabs>
          <w:tab w:val="left" w:pos="-720"/>
        </w:tabs>
        <w:suppressAutoHyphens/>
        <w:spacing w:line="360" w:lineRule="auto"/>
        <w:rPr>
          <w:spacing w:val="-3"/>
        </w:rPr>
      </w:pPr>
      <w:r>
        <w:rPr>
          <w:spacing w:val="-3"/>
        </w:rPr>
        <w:t>Other geometries require other relationships between fraction solid and distance.</w:t>
      </w:r>
    </w:p>
    <w:p w14:paraId="1F06CE34" w14:textId="77777777" w:rsidR="00015B17" w:rsidRDefault="00015B17" w:rsidP="00015B17">
      <w:pPr>
        <w:tabs>
          <w:tab w:val="left" w:pos="-720"/>
        </w:tabs>
        <w:suppressAutoHyphens/>
        <w:spacing w:line="360" w:lineRule="auto"/>
        <w:rPr>
          <w:spacing w:val="-3"/>
        </w:rPr>
      </w:pPr>
    </w:p>
    <w:p w14:paraId="63217363" w14:textId="75E26AFE" w:rsidR="00015B17" w:rsidRDefault="00015B17" w:rsidP="00015B17">
      <w:pPr>
        <w:tabs>
          <w:tab w:val="left" w:pos="-720"/>
        </w:tabs>
        <w:suppressAutoHyphens/>
        <w:spacing w:line="360" w:lineRule="auto"/>
        <w:rPr>
          <w:spacing w:val="-3"/>
        </w:rPr>
      </w:pPr>
      <w:r>
        <w:rPr>
          <w:spacing w:val="-3"/>
        </w:rPr>
        <w:tab/>
        <w:t xml:space="preserve">A comparison of the Scheil solidification of alloys with three different binary phase diagrams is shown in Fig. 7.14.  The volume under consideration (shown as a rectangular box) can be thought of moving downward through the structure as the solidification occurs.  Solidification will always start at the liquidus temperature under the assumptions of the Scheil equation. The first phase to form is the </w:t>
      </w:r>
      <w:r w:rsidRPr="00660173">
        <w:rPr>
          <w:spacing w:val="-3"/>
          <w:position w:val="-6"/>
        </w:rPr>
        <w:object w:dxaOrig="240" w:dyaOrig="220" w14:anchorId="0CA788CC">
          <v:shape id="_x0000_i1558" type="#_x0000_t75" style="width:12.15pt;height:10.3pt" o:ole="">
            <v:imagedata r:id="rId1033" o:title=""/>
          </v:shape>
          <o:OLEObject Type="Embed" ProgID="Equation.DSMT4" ShapeID="_x0000_i1558" DrawAspect="Content" ObjectID="_1840627124" r:id="rId1034"/>
        </w:object>
      </w:r>
      <w:r>
        <w:rPr>
          <w:spacing w:val="-3"/>
        </w:rPr>
        <w:t xml:space="preserve"> phase in all three cases and is depicted as a large cell in the microstructure sketch even though it might be dendritic in reality. As solidification continues, the box moves downward and the fraction of solid in the box increases.  The entire liquid po</w:t>
      </w:r>
      <w:r w:rsidR="008337E7">
        <w:rPr>
          <w:spacing w:val="-3"/>
        </w:rPr>
        <w:t>r</w:t>
      </w:r>
      <w:r>
        <w:rPr>
          <w:spacing w:val="-3"/>
        </w:rPr>
        <w:t xml:space="preserve">tion of the box becomes enriched uniformly in component B following the liquidus curve. However the entire solid composition does not follow the solidus curves. Only the increment of solid forming at each instant follows the solidus curve leaving behind a microsegregated solid.  The Scheil equation, or the other analytical approaches described below, is used to describe only the dendritic stage of solidification. As the fraction of solid increases (the box moves down further), the liquid composition and the temperature may approach (a) a eutectic point or (b, c) a peritectic point where the liquidus </w:t>
      </w:r>
      <w:r>
        <w:rPr>
          <w:spacing w:val="-3"/>
        </w:rPr>
        <w:lastRenderedPageBreak/>
        <w:t xml:space="preserve">curve for a second phase is intersected. In the former case, one ceases to employ the Scheil description and the remaining liquid usually freezes along a planar interface (i.e., at one temperature) as two phase eutectic mixture of </w:t>
      </w:r>
      <w:r w:rsidRPr="00363963">
        <w:rPr>
          <w:spacing w:val="-3"/>
          <w:position w:val="-6"/>
        </w:rPr>
        <w:object w:dxaOrig="240" w:dyaOrig="220" w14:anchorId="1237B90D">
          <v:shape id="_x0000_i1559" type="#_x0000_t75" style="width:12.15pt;height:10.3pt" o:ole="">
            <v:imagedata r:id="rId1035" o:title=""/>
          </v:shape>
          <o:OLEObject Type="Embed" ProgID="Equation.DSMT4" ShapeID="_x0000_i1559" DrawAspect="Content" ObjectID="_1840627125" r:id="rId1036"/>
        </w:object>
      </w:r>
      <w:r>
        <w:rPr>
          <w:spacing w:val="-3"/>
        </w:rPr>
        <w:t xml:space="preserve">and </w:t>
      </w:r>
      <w:r w:rsidRPr="00660173">
        <w:rPr>
          <w:spacing w:val="-3"/>
          <w:position w:val="-10"/>
        </w:rPr>
        <w:object w:dxaOrig="240" w:dyaOrig="320" w14:anchorId="7EC2F160">
          <v:shape id="_x0000_i1560" type="#_x0000_t75" style="width:12.15pt;height:16.85pt" o:ole="">
            <v:imagedata r:id="rId1037" o:title=""/>
          </v:shape>
          <o:OLEObject Type="Embed" ProgID="Equation.DSMT4" ShapeID="_x0000_i1560" DrawAspect="Content" ObjectID="_1840627126" r:id="rId1038"/>
        </w:object>
      </w:r>
      <w:r>
        <w:rPr>
          <w:spacing w:val="-3"/>
        </w:rPr>
        <w:t xml:space="preserve"> phases.  If a peritectic </w:t>
      </w:r>
      <w:r w:rsidR="008C2954">
        <w:rPr>
          <w:spacing w:val="-3"/>
        </w:rPr>
        <w:t xml:space="preserve">feature </w:t>
      </w:r>
      <w:r>
        <w:rPr>
          <w:spacing w:val="-3"/>
        </w:rPr>
        <w:t xml:space="preserve">is present in the phase diagram, solidification of the peritectic </w:t>
      </w:r>
      <w:r w:rsidRPr="00660173">
        <w:rPr>
          <w:spacing w:val="-3"/>
          <w:position w:val="-10"/>
        </w:rPr>
        <w:object w:dxaOrig="240" w:dyaOrig="320" w14:anchorId="17B2DEEC">
          <v:shape id="_x0000_i1561" type="#_x0000_t75" style="width:12.15pt;height:16.85pt" o:ole="">
            <v:imagedata r:id="rId1039" o:title=""/>
          </v:shape>
          <o:OLEObject Type="Embed" ProgID="Equation.DSMT4" ShapeID="_x0000_i1561" DrawAspect="Content" ObjectID="_1840627127" r:id="rId1040"/>
        </w:object>
      </w:r>
      <w:r>
        <w:rPr>
          <w:spacing w:val="-3"/>
        </w:rPr>
        <w:t xml:space="preserve"> phase will begin as the primary </w:t>
      </w:r>
      <w:r w:rsidRPr="00660173">
        <w:rPr>
          <w:spacing w:val="-3"/>
          <w:position w:val="-6"/>
        </w:rPr>
        <w:object w:dxaOrig="240" w:dyaOrig="220" w14:anchorId="441EBEB4">
          <v:shape id="_x0000_i1562" type="#_x0000_t75" style="width:12.15pt;height:10.3pt" o:ole="">
            <v:imagedata r:id="rId1041" o:title=""/>
          </v:shape>
          <o:OLEObject Type="Embed" ProgID="Equation.DSMT4" ShapeID="_x0000_i1562" DrawAspect="Content" ObjectID="_1840627128" r:id="rId1042"/>
        </w:object>
      </w:r>
      <w:r>
        <w:rPr>
          <w:spacing w:val="-3"/>
        </w:rPr>
        <w:t xml:space="preserve"> or first phase ceases. This leads to a coating of the second phase over the dendrite. Under the assumption of the Scheil equation</w:t>
      </w:r>
      <w:r w:rsidR="008C2954">
        <w:rPr>
          <w:spacing w:val="-3"/>
        </w:rPr>
        <w:t>,</w:t>
      </w:r>
      <w:r>
        <w:rPr>
          <w:spacing w:val="-3"/>
        </w:rPr>
        <w:t xml:space="preserve"> no solid diffusion occurs and the boundary between the </w:t>
      </w:r>
      <w:r w:rsidRPr="00363963">
        <w:rPr>
          <w:spacing w:val="-3"/>
          <w:position w:val="-6"/>
        </w:rPr>
        <w:object w:dxaOrig="240" w:dyaOrig="220" w14:anchorId="6A86D75B">
          <v:shape id="_x0000_i1563" type="#_x0000_t75" style="width:12.15pt;height:10.3pt" o:ole="">
            <v:imagedata r:id="rId1043" o:title=""/>
          </v:shape>
          <o:OLEObject Type="Embed" ProgID="Equation.DSMT4" ShapeID="_x0000_i1563" DrawAspect="Content" ObjectID="_1840627129" r:id="rId1044"/>
        </w:object>
      </w:r>
      <w:r>
        <w:rPr>
          <w:spacing w:val="-3"/>
        </w:rPr>
        <w:t xml:space="preserve"> and </w:t>
      </w:r>
      <w:r w:rsidRPr="00363963">
        <w:rPr>
          <w:spacing w:val="-3"/>
          <w:position w:val="-10"/>
        </w:rPr>
        <w:object w:dxaOrig="240" w:dyaOrig="320" w14:anchorId="5200A156">
          <v:shape id="_x0000_i1564" type="#_x0000_t75" style="width:12.15pt;height:16.85pt" o:ole="">
            <v:imagedata r:id="rId1045" o:title=""/>
          </v:shape>
          <o:OLEObject Type="Embed" ProgID="Equation.DSMT4" ShapeID="_x0000_i1564" DrawAspect="Content" ObjectID="_1840627130" r:id="rId1046"/>
        </w:object>
      </w:r>
      <w:r>
        <w:rPr>
          <w:spacing w:val="-3"/>
        </w:rPr>
        <w:t xml:space="preserve"> in the microstructure sketch remains vertical. That is, no solid state reaction occurs. In (b), solidification is completed with the coating of the </w:t>
      </w:r>
      <w:r w:rsidRPr="00660173">
        <w:rPr>
          <w:spacing w:val="-3"/>
          <w:position w:val="-10"/>
        </w:rPr>
        <w:object w:dxaOrig="240" w:dyaOrig="320" w14:anchorId="7D3A53EE">
          <v:shape id="_x0000_i1565" type="#_x0000_t75" style="width:12.15pt;height:16.85pt" o:ole="">
            <v:imagedata r:id="rId1039" o:title=""/>
          </v:shape>
          <o:OLEObject Type="Embed" ProgID="Equation.DSMT4" ShapeID="_x0000_i1565" DrawAspect="Content" ObjectID="_1840627131" r:id="rId1047"/>
        </w:object>
      </w:r>
      <w:r>
        <w:rPr>
          <w:spacing w:val="-3"/>
        </w:rPr>
        <w:t xml:space="preserve"> phase while in (c) the final liquid freezes as a two phase eutectic mixture of  </w:t>
      </w:r>
      <w:r w:rsidRPr="00660173">
        <w:rPr>
          <w:spacing w:val="-3"/>
          <w:position w:val="-10"/>
        </w:rPr>
        <w:object w:dxaOrig="240" w:dyaOrig="320" w14:anchorId="41B2BCAF">
          <v:shape id="_x0000_i1566" type="#_x0000_t75" style="width:12.15pt;height:16.85pt" o:ole="">
            <v:imagedata r:id="rId1037" o:title=""/>
          </v:shape>
          <o:OLEObject Type="Embed" ProgID="Equation.DSMT4" ShapeID="_x0000_i1566" DrawAspect="Content" ObjectID="_1840627132" r:id="rId1048"/>
        </w:object>
      </w:r>
      <w:r>
        <w:rPr>
          <w:spacing w:val="-3"/>
        </w:rPr>
        <w:t xml:space="preserve"> and </w:t>
      </w:r>
      <w:r w:rsidRPr="00B76448">
        <w:rPr>
          <w:spacing w:val="-3"/>
          <w:position w:val="-10"/>
        </w:rPr>
        <w:object w:dxaOrig="200" w:dyaOrig="260" w14:anchorId="00FD5CB8">
          <v:shape id="_x0000_i1567" type="#_x0000_t75" style="width:10.3pt;height:13.1pt" o:ole="">
            <v:imagedata r:id="rId1049" o:title=""/>
          </v:shape>
          <o:OLEObject Type="Embed" ProgID="Equation.DSMT4" ShapeID="_x0000_i1567" DrawAspect="Content" ObjectID="_1840627133" r:id="rId1050"/>
        </w:object>
      </w:r>
      <w:r>
        <w:rPr>
          <w:spacing w:val="-3"/>
        </w:rPr>
        <w:t xml:space="preserve">  phases.   More details about eutectic and peritectic solidification will be presented in § 8.</w:t>
      </w:r>
    </w:p>
    <w:p w14:paraId="15547648" w14:textId="77777777" w:rsidR="00015B17" w:rsidRDefault="00015B17" w:rsidP="00015B17">
      <w:pPr>
        <w:tabs>
          <w:tab w:val="left" w:pos="-720"/>
        </w:tabs>
        <w:suppressAutoHyphens/>
        <w:spacing w:line="360" w:lineRule="auto"/>
        <w:rPr>
          <w:spacing w:val="-3"/>
        </w:rPr>
      </w:pPr>
    </w:p>
    <w:p w14:paraId="644A6F69" w14:textId="77777777" w:rsidR="00015B17" w:rsidRDefault="00015B17" w:rsidP="00015B17">
      <w:pPr>
        <w:tabs>
          <w:tab w:val="left" w:pos="-720"/>
        </w:tabs>
        <w:suppressAutoHyphens/>
        <w:spacing w:line="360" w:lineRule="auto"/>
        <w:rPr>
          <w:spacing w:val="-3"/>
        </w:rPr>
      </w:pPr>
      <w:r>
        <w:rPr>
          <w:spacing w:val="-3"/>
        </w:rPr>
        <w:t xml:space="preserve">For the case of Fig. 7.14a, the fraction of eutectic that forms can be evaluated by determining the amount of liquid that remains when the liquid composition reaches the eutectic composition. This fraction of liquid would then be converted to a fraction of eutectic, </w:t>
      </w:r>
      <w:r w:rsidRPr="00F71747">
        <w:rPr>
          <w:spacing w:val="-3"/>
          <w:position w:val="-12"/>
        </w:rPr>
        <w:object w:dxaOrig="300" w:dyaOrig="360" w14:anchorId="12DABBD7">
          <v:shape id="_x0000_i1568" type="#_x0000_t75" style="width:14.95pt;height:17.75pt" o:ole="">
            <v:imagedata r:id="rId1051" o:title=""/>
          </v:shape>
          <o:OLEObject Type="Embed" ProgID="Equation.DSMT4" ShapeID="_x0000_i1568" DrawAspect="Content" ObjectID="_1840627134" r:id="rId1052"/>
        </w:object>
      </w:r>
      <w:r>
        <w:rPr>
          <w:spacing w:val="-3"/>
        </w:rPr>
        <w:t xml:space="preserve"> given by</w:t>
      </w:r>
    </w:p>
    <w:p w14:paraId="16A10562" w14:textId="77777777" w:rsidR="00015B17" w:rsidRDefault="00015B17" w:rsidP="00015B17">
      <w:pPr>
        <w:tabs>
          <w:tab w:val="left" w:pos="-720"/>
        </w:tabs>
        <w:suppressAutoHyphens/>
        <w:spacing w:line="360" w:lineRule="auto"/>
        <w:rPr>
          <w:spacing w:val="-3"/>
        </w:rPr>
      </w:pPr>
    </w:p>
    <w:p w14:paraId="3A584C34" w14:textId="77777777" w:rsidR="00015B17" w:rsidRDefault="00015B17" w:rsidP="00015B17">
      <w:pPr>
        <w:tabs>
          <w:tab w:val="left" w:pos="-720"/>
        </w:tabs>
        <w:suppressAutoHyphens/>
        <w:spacing w:line="360" w:lineRule="auto"/>
        <w:jc w:val="center"/>
        <w:rPr>
          <w:spacing w:val="-3"/>
        </w:rPr>
      </w:pPr>
      <w:r w:rsidRPr="00F71747">
        <w:rPr>
          <w:spacing w:val="-3"/>
          <w:position w:val="-32"/>
        </w:rPr>
        <w:object w:dxaOrig="1420" w:dyaOrig="900" w14:anchorId="6C64D509">
          <v:shape id="_x0000_i1569" type="#_x0000_t75" style="width:71.05pt;height:44.9pt" o:ole="">
            <v:imagedata r:id="rId1053" o:title=""/>
          </v:shape>
          <o:OLEObject Type="Embed" ProgID="Equation.DSMT4" ShapeID="_x0000_i1569" DrawAspect="Content" ObjectID="_1840627135" r:id="rId1054"/>
        </w:object>
      </w:r>
      <w:r>
        <w:rPr>
          <w:spacing w:val="-3"/>
        </w:rPr>
        <w:t>.</w:t>
      </w:r>
      <w:r>
        <w:rPr>
          <w:spacing w:val="-3"/>
        </w:rPr>
        <w:tab/>
        <w:t>(7.23)</w:t>
      </w:r>
    </w:p>
    <w:p w14:paraId="68704B4B" w14:textId="77777777" w:rsidR="00015B17" w:rsidRDefault="00015B17" w:rsidP="00015B17">
      <w:pPr>
        <w:tabs>
          <w:tab w:val="left" w:pos="-720"/>
        </w:tabs>
        <w:suppressAutoHyphens/>
        <w:spacing w:line="360" w:lineRule="auto"/>
        <w:jc w:val="both"/>
        <w:rPr>
          <w:spacing w:val="-3"/>
        </w:rPr>
      </w:pPr>
    </w:p>
    <w:p w14:paraId="3705655F" w14:textId="77777777" w:rsidR="00015B17" w:rsidRDefault="00015B17" w:rsidP="00015B17">
      <w:pPr>
        <w:tabs>
          <w:tab w:val="left" w:pos="-720"/>
        </w:tabs>
        <w:suppressAutoHyphens/>
        <w:spacing w:line="360" w:lineRule="auto"/>
        <w:rPr>
          <w:spacing w:val="-3"/>
        </w:rPr>
      </w:pPr>
      <w:r>
        <w:rPr>
          <w:spacing w:val="-3"/>
        </w:rPr>
        <w:tab/>
        <w:t>That the Scheil equation gives a good first approximation to dendritic microsegregation in the columnar zone of ingots has been proven, among other authors, by K</w:t>
      </w:r>
      <w:r w:rsidR="008C2954">
        <w:rPr>
          <w:spacing w:val="-3"/>
        </w:rPr>
        <w:t>attamis</w:t>
      </w:r>
      <w:r>
        <w:rPr>
          <w:spacing w:val="-3"/>
        </w:rPr>
        <w:t xml:space="preserve"> and F</w:t>
      </w:r>
      <w:r w:rsidR="008C2954">
        <w:rPr>
          <w:spacing w:val="-3"/>
        </w:rPr>
        <w:t>lemings</w:t>
      </w:r>
      <w:r>
        <w:rPr>
          <w:spacing w:val="-3"/>
        </w:rPr>
        <w:t xml:space="preserve"> [1965] for low alloy steels and W</w:t>
      </w:r>
      <w:r w:rsidR="008C2954">
        <w:rPr>
          <w:spacing w:val="-3"/>
        </w:rPr>
        <w:t>einberg</w:t>
      </w:r>
      <w:r>
        <w:rPr>
          <w:spacing w:val="-3"/>
        </w:rPr>
        <w:t xml:space="preserve"> and T</w:t>
      </w:r>
      <w:r w:rsidR="008C2954">
        <w:rPr>
          <w:spacing w:val="-3"/>
        </w:rPr>
        <w:t>eghtsoonian</w:t>
      </w:r>
      <w:r>
        <w:rPr>
          <w:spacing w:val="-3"/>
        </w:rPr>
        <w:t xml:space="preserve"> [1972] for Cu-base alloys.  </w:t>
      </w:r>
    </w:p>
    <w:p w14:paraId="650EC148" w14:textId="77777777" w:rsidR="00015B17" w:rsidRDefault="00015B17" w:rsidP="00015B17">
      <w:pPr>
        <w:tabs>
          <w:tab w:val="left" w:pos="-720"/>
        </w:tabs>
        <w:suppressAutoHyphens/>
        <w:spacing w:line="360" w:lineRule="auto"/>
        <w:rPr>
          <w:spacing w:val="-3"/>
        </w:rPr>
      </w:pPr>
    </w:p>
    <w:p w14:paraId="0219C3D9" w14:textId="77777777" w:rsidR="00015B17" w:rsidRDefault="00015B17" w:rsidP="00015B17">
      <w:pPr>
        <w:tabs>
          <w:tab w:val="left" w:pos="-720"/>
        </w:tabs>
        <w:suppressAutoHyphens/>
        <w:spacing w:line="360" w:lineRule="auto"/>
        <w:rPr>
          <w:b/>
          <w:spacing w:val="-3"/>
        </w:rPr>
      </w:pPr>
      <w:r w:rsidRPr="00200803">
        <w:rPr>
          <w:b/>
          <w:spacing w:val="-3"/>
        </w:rPr>
        <w:t>7.3.</w:t>
      </w:r>
      <w:r w:rsidR="00F472BF">
        <w:rPr>
          <w:b/>
          <w:spacing w:val="-3"/>
        </w:rPr>
        <w:t>3.</w:t>
      </w:r>
      <w:r>
        <w:rPr>
          <w:b/>
          <w:spacing w:val="-3"/>
        </w:rPr>
        <w:t xml:space="preserve"> </w:t>
      </w:r>
      <w:r w:rsidR="00F472BF">
        <w:rPr>
          <w:b/>
          <w:spacing w:val="-3"/>
        </w:rPr>
        <w:t xml:space="preserve">Modification of the </w:t>
      </w:r>
      <w:r>
        <w:rPr>
          <w:b/>
          <w:spacing w:val="-3"/>
        </w:rPr>
        <w:t xml:space="preserve">Scheil approach </w:t>
      </w:r>
    </w:p>
    <w:p w14:paraId="317B0365" w14:textId="77777777" w:rsidR="00F472BF" w:rsidRPr="00200803" w:rsidRDefault="00F472BF" w:rsidP="00015B17">
      <w:pPr>
        <w:tabs>
          <w:tab w:val="left" w:pos="-720"/>
        </w:tabs>
        <w:suppressAutoHyphens/>
        <w:spacing w:line="360" w:lineRule="auto"/>
        <w:rPr>
          <w:b/>
          <w:spacing w:val="-3"/>
        </w:rPr>
      </w:pPr>
    </w:p>
    <w:p w14:paraId="573E0FEF" w14:textId="7582A3DF" w:rsidR="00015B17" w:rsidRDefault="00015B17" w:rsidP="008C2954">
      <w:pPr>
        <w:tabs>
          <w:tab w:val="left" w:pos="-720"/>
        </w:tabs>
        <w:suppressAutoHyphens/>
        <w:spacing w:line="360" w:lineRule="auto"/>
        <w:rPr>
          <w:spacing w:val="-3"/>
        </w:rPr>
      </w:pPr>
      <w:r>
        <w:rPr>
          <w:spacing w:val="-3"/>
        </w:rPr>
        <w:tab/>
        <w:t xml:space="preserve">The predictions of the Scheil equation establish an upper bound on the severity of microsegregation, for example, as determined by the predicted fraction of eutectic. </w:t>
      </w:r>
      <w:r w:rsidR="008C2954">
        <w:rPr>
          <w:spacing w:val="-3"/>
        </w:rPr>
        <w:t xml:space="preserve">Battle [1992] and Kraft and Chang (1997) present a comparison of various microsegregation models. </w:t>
      </w:r>
      <w:r>
        <w:rPr>
          <w:spacing w:val="-3"/>
        </w:rPr>
        <w:t xml:space="preserve">Effects that alter the predicted Scheil microsegregation are: (a) the variation in cell </w:t>
      </w:r>
      <w:r>
        <w:rPr>
          <w:spacing w:val="-3"/>
        </w:rPr>
        <w:lastRenderedPageBreak/>
        <w:t xml:space="preserve">or dendrite tip composition with growth conditions; (b) the degree of lateral liquid mixing between the cells or dendrites; and (c) diffusion in the solid. All of these corrections are made in a single comprehensive analysis by Tong and Beckermann [1998] that uses solute </w:t>
      </w:r>
      <w:r w:rsidRPr="00CF77CC">
        <w:rPr>
          <w:i/>
          <w:spacing w:val="-3"/>
        </w:rPr>
        <w:t>Fourier</w:t>
      </w:r>
      <w:r>
        <w:rPr>
          <w:spacing w:val="-3"/>
        </w:rPr>
        <w:t xml:space="preserve"> numbers in the liquid and solid. They point out that with the exception of a solute species like C in Fe, one rarely needs to correct for solid and liquid diffusion under the same growth conditions for the same alloy. Correction for limited liquid diffusion </w:t>
      </w:r>
      <w:r w:rsidR="00CC7B9D">
        <w:rPr>
          <w:spacing w:val="-3"/>
        </w:rPr>
        <w:t>is</w:t>
      </w:r>
      <w:r>
        <w:rPr>
          <w:spacing w:val="-3"/>
        </w:rPr>
        <w:t xml:space="preserve"> needed at high growth rates whereas corrections for solid diffusion are important for slower solidification. </w:t>
      </w:r>
    </w:p>
    <w:p w14:paraId="02F6374B" w14:textId="77777777" w:rsidR="00015B17" w:rsidRDefault="00015B17" w:rsidP="00015B17">
      <w:pPr>
        <w:tabs>
          <w:tab w:val="left" w:pos="-720"/>
        </w:tabs>
        <w:suppressAutoHyphens/>
        <w:spacing w:line="360" w:lineRule="auto"/>
        <w:rPr>
          <w:spacing w:val="-3"/>
        </w:rPr>
      </w:pPr>
    </w:p>
    <w:p w14:paraId="3AB3E833" w14:textId="77777777" w:rsidR="00015B17" w:rsidRDefault="00015B17" w:rsidP="00015B17">
      <w:pPr>
        <w:tabs>
          <w:tab w:val="left" w:pos="-720"/>
        </w:tabs>
        <w:suppressAutoHyphens/>
        <w:spacing w:line="360" w:lineRule="auto"/>
        <w:rPr>
          <w:b/>
          <w:spacing w:val="-3"/>
        </w:rPr>
      </w:pPr>
      <w:r w:rsidRPr="0021688A">
        <w:rPr>
          <w:b/>
          <w:spacing w:val="-3"/>
        </w:rPr>
        <w:t>7.3.</w:t>
      </w:r>
      <w:r w:rsidR="00F472BF">
        <w:rPr>
          <w:b/>
          <w:spacing w:val="-3"/>
        </w:rPr>
        <w:t>3</w:t>
      </w:r>
      <w:r w:rsidRPr="0021688A">
        <w:rPr>
          <w:b/>
          <w:spacing w:val="-3"/>
        </w:rPr>
        <w:t>.1 Liquid diffusion</w:t>
      </w:r>
    </w:p>
    <w:p w14:paraId="22DFCFF6" w14:textId="77777777" w:rsidR="00015B17" w:rsidRDefault="00015B17" w:rsidP="00015B17">
      <w:pPr>
        <w:tabs>
          <w:tab w:val="left" w:pos="-720"/>
        </w:tabs>
        <w:suppressAutoHyphens/>
        <w:spacing w:line="360" w:lineRule="auto"/>
        <w:rPr>
          <w:spacing w:val="-3"/>
        </w:rPr>
      </w:pPr>
    </w:p>
    <w:p w14:paraId="7F39DC44" w14:textId="2FD58DFC" w:rsidR="00015B17" w:rsidRDefault="00015B17" w:rsidP="00015B17">
      <w:pPr>
        <w:tabs>
          <w:tab w:val="left" w:pos="-720"/>
        </w:tabs>
        <w:suppressAutoHyphens/>
        <w:spacing w:line="360" w:lineRule="auto"/>
        <w:rPr>
          <w:spacing w:val="-3"/>
        </w:rPr>
      </w:pPr>
      <w:r>
        <w:rPr>
          <w:spacing w:val="-3"/>
        </w:rPr>
        <w:tab/>
        <w:t>The simplest method to break the assumption of complete liquid mixing was proposed by Flood and Hunt [1987</w:t>
      </w:r>
      <w:r w:rsidR="004F3C8D">
        <w:rPr>
          <w:spacing w:val="-3"/>
        </w:rPr>
        <w:t>b</w:t>
      </w:r>
      <w:r>
        <w:rPr>
          <w:spacing w:val="-3"/>
        </w:rPr>
        <w:t xml:space="preserve">] and used by Gandin et al. [1999] is called the </w:t>
      </w:r>
      <w:r w:rsidRPr="0069793D">
        <w:rPr>
          <w:i/>
          <w:spacing w:val="-3"/>
        </w:rPr>
        <w:t>truncated Scheil</w:t>
      </w:r>
      <w:r>
        <w:rPr>
          <w:spacing w:val="-3"/>
        </w:rPr>
        <w:t xml:space="preserve"> approach. This was modified by Boettinger et al. [1998] to ensure solute conservation as follows. The composition at the dendrite tip, </w:t>
      </w:r>
      <w:r w:rsidRPr="0004179E">
        <w:rPr>
          <w:spacing w:val="-3"/>
          <w:position w:val="-12"/>
        </w:rPr>
        <w:object w:dxaOrig="400" w:dyaOrig="380" w14:anchorId="734DACDF">
          <v:shape id="_x0000_i1570" type="#_x0000_t75" style="width:19.65pt;height:18.7pt" o:ole="">
            <v:imagedata r:id="rId1055" o:title=""/>
          </v:shape>
          <o:OLEObject Type="Embed" ProgID="Equation.DSMT4" ShapeID="_x0000_i1570" DrawAspect="Content" ObjectID="_1840627136" r:id="rId1056"/>
        </w:object>
      </w:r>
      <w:r>
        <w:rPr>
          <w:spacing w:val="-3"/>
        </w:rPr>
        <w:t xml:space="preserve">based on a local estimate of the bulk supercooling or the isotherm velocity and temperature gradient is obtained using Eqn, 7.2. The lever rule (conservation of solute) is then employed using this liquid tip composition, the corresponding solid composition at the tip of </w:t>
      </w:r>
      <w:r w:rsidRPr="0004179E">
        <w:rPr>
          <w:spacing w:val="-3"/>
          <w:position w:val="-12"/>
        </w:rPr>
        <w:object w:dxaOrig="639" w:dyaOrig="380" w14:anchorId="05EDCD25">
          <v:shape id="_x0000_i1571" type="#_x0000_t75" style="width:31.8pt;height:18.7pt" o:ole="">
            <v:imagedata r:id="rId1057" o:title=""/>
          </v:shape>
          <o:OLEObject Type="Embed" ProgID="Equation.DSMT4" ShapeID="_x0000_i1571" DrawAspect="Content" ObjectID="_1840627137" r:id="rId1058"/>
        </w:object>
      </w:r>
      <w:r>
        <w:rPr>
          <w:spacing w:val="-3"/>
        </w:rPr>
        <w:t xml:space="preserve">, and the bulk alloy composition </w:t>
      </w:r>
      <w:r w:rsidRPr="00DC3F92">
        <w:rPr>
          <w:position w:val="-12"/>
        </w:rPr>
        <w:object w:dxaOrig="300" w:dyaOrig="360" w14:anchorId="0EE3A7BC">
          <v:shape id="_x0000_i1572" type="#_x0000_t75" style="width:14.95pt;height:17.75pt" o:ole="">
            <v:imagedata r:id="rId1059" o:title=""/>
          </v:shape>
          <o:OLEObject Type="Embed" ProgID="Equation.DSMT4" ShapeID="_x0000_i1572" DrawAspect="Content" ObjectID="_1840627138" r:id="rId1060"/>
        </w:object>
      </w:r>
      <w:r>
        <w:rPr>
          <w:spacing w:val="-3"/>
        </w:rPr>
        <w:t xml:space="preserve">to compute a fraction of solid at the tip </w:t>
      </w:r>
      <w:r w:rsidRPr="00DC3F92">
        <w:rPr>
          <w:position w:val="-12"/>
        </w:rPr>
        <w:object w:dxaOrig="400" w:dyaOrig="380" w14:anchorId="4EA69FFA">
          <v:shape id="_x0000_i1573" type="#_x0000_t75" style="width:19.65pt;height:18.7pt" o:ole="">
            <v:imagedata r:id="rId1061" o:title=""/>
          </v:shape>
          <o:OLEObject Type="Embed" ProgID="Equation.DSMT4" ShapeID="_x0000_i1573" DrawAspect="Content" ObjectID="_1840627139" r:id="rId1062"/>
        </w:object>
      </w:r>
      <w:r w:rsidR="008C2954">
        <w:rPr>
          <w:spacing w:val="-3"/>
        </w:rPr>
        <w:t>from a solute balance,</w:t>
      </w:r>
    </w:p>
    <w:p w14:paraId="69C41CFA" w14:textId="77777777" w:rsidR="00015B17" w:rsidRDefault="00015B17" w:rsidP="00015B17">
      <w:pPr>
        <w:tabs>
          <w:tab w:val="left" w:pos="-720"/>
        </w:tabs>
        <w:suppressAutoHyphens/>
        <w:spacing w:line="360" w:lineRule="auto"/>
        <w:jc w:val="both"/>
        <w:rPr>
          <w:spacing w:val="-3"/>
        </w:rPr>
      </w:pPr>
    </w:p>
    <w:p w14:paraId="2398A1D3" w14:textId="77777777" w:rsidR="00015B17" w:rsidRPr="00B76448" w:rsidRDefault="00015B17" w:rsidP="00015B17">
      <w:pPr>
        <w:tabs>
          <w:tab w:val="left" w:pos="-720"/>
        </w:tabs>
        <w:suppressAutoHyphens/>
        <w:spacing w:line="360" w:lineRule="auto"/>
        <w:jc w:val="center"/>
        <w:rPr>
          <w:spacing w:val="-3"/>
        </w:rPr>
      </w:pPr>
      <w:r w:rsidRPr="0004179E">
        <w:rPr>
          <w:color w:val="FF0000"/>
          <w:spacing w:val="-3"/>
          <w:position w:val="-16"/>
        </w:rPr>
        <w:object w:dxaOrig="2880" w:dyaOrig="440" w14:anchorId="69541B00">
          <v:shape id="_x0000_i1574" type="#_x0000_t75" style="width:2in;height:21.5pt" o:ole="">
            <v:imagedata r:id="rId1063" o:title=""/>
          </v:shape>
          <o:OLEObject Type="Embed" ProgID="Equation.DSMT4" ShapeID="_x0000_i1574" DrawAspect="Content" ObjectID="_1840627140" r:id="rId1064"/>
        </w:object>
      </w:r>
      <w:r>
        <w:rPr>
          <w:color w:val="FF0000"/>
          <w:spacing w:val="-3"/>
        </w:rPr>
        <w:tab/>
      </w:r>
      <w:r>
        <w:rPr>
          <w:spacing w:val="-3"/>
        </w:rPr>
        <w:t>(7.24)</w:t>
      </w:r>
    </w:p>
    <w:p w14:paraId="3184F0EC" w14:textId="2EB4CCA6" w:rsidR="00015B17" w:rsidRPr="00F71747" w:rsidRDefault="008C2954" w:rsidP="003E0F31">
      <w:pPr>
        <w:tabs>
          <w:tab w:val="left" w:pos="-720"/>
        </w:tabs>
        <w:suppressAutoHyphens/>
        <w:spacing w:line="360" w:lineRule="auto"/>
        <w:rPr>
          <w:spacing w:val="-3"/>
        </w:rPr>
      </w:pPr>
      <w:r>
        <w:rPr>
          <w:spacing w:val="-3"/>
        </w:rPr>
        <w:t>giving</w:t>
      </w:r>
    </w:p>
    <w:p w14:paraId="541B5C55" w14:textId="77777777" w:rsidR="00015B17" w:rsidRPr="0004179E" w:rsidRDefault="00015B17" w:rsidP="00015B17">
      <w:pPr>
        <w:tabs>
          <w:tab w:val="left" w:pos="-720"/>
        </w:tabs>
        <w:suppressAutoHyphens/>
        <w:spacing w:line="360" w:lineRule="auto"/>
        <w:jc w:val="center"/>
        <w:rPr>
          <w:color w:val="FF0000"/>
          <w:spacing w:val="-3"/>
        </w:rPr>
      </w:pPr>
    </w:p>
    <w:p w14:paraId="38B21779" w14:textId="77777777" w:rsidR="00015B17" w:rsidRPr="00B76448" w:rsidRDefault="00015B17" w:rsidP="00015B17">
      <w:pPr>
        <w:tabs>
          <w:tab w:val="left" w:pos="-720"/>
        </w:tabs>
        <w:suppressAutoHyphens/>
        <w:spacing w:line="360" w:lineRule="auto"/>
        <w:jc w:val="center"/>
        <w:rPr>
          <w:spacing w:val="-3"/>
        </w:rPr>
      </w:pPr>
      <w:r w:rsidRPr="002A53A3">
        <w:rPr>
          <w:color w:val="FF0000"/>
          <w:spacing w:val="-3"/>
          <w:position w:val="-32"/>
        </w:rPr>
        <w:object w:dxaOrig="2160" w:dyaOrig="760" w14:anchorId="5A9CBF64">
          <v:shape id="_x0000_i1575" type="#_x0000_t75" style="width:108.45pt;height:38.35pt" o:ole="">
            <v:imagedata r:id="rId1065" o:title=""/>
          </v:shape>
          <o:OLEObject Type="Embed" ProgID="Equation.DSMT4" ShapeID="_x0000_i1575" DrawAspect="Content" ObjectID="_1840627141" r:id="rId1066"/>
        </w:object>
      </w:r>
      <w:r w:rsidR="008C2954">
        <w:rPr>
          <w:color w:val="FF0000"/>
          <w:spacing w:val="-3"/>
        </w:rPr>
        <w:t>.</w:t>
      </w:r>
      <w:r>
        <w:rPr>
          <w:color w:val="FF0000"/>
          <w:spacing w:val="-3"/>
        </w:rPr>
        <w:tab/>
      </w:r>
      <w:r w:rsidR="006E6FC2">
        <w:rPr>
          <w:color w:val="FF0000"/>
          <w:spacing w:val="-3"/>
        </w:rPr>
        <w:t>.</w:t>
      </w:r>
      <w:r>
        <w:rPr>
          <w:color w:val="FF0000"/>
          <w:spacing w:val="-3"/>
        </w:rPr>
        <w:tab/>
      </w:r>
      <w:r w:rsidRPr="00B76448">
        <w:rPr>
          <w:spacing w:val="-3"/>
        </w:rPr>
        <w:t>(7.</w:t>
      </w:r>
      <w:r>
        <w:rPr>
          <w:spacing w:val="-3"/>
        </w:rPr>
        <w:t>25)</w:t>
      </w:r>
    </w:p>
    <w:p w14:paraId="233B5AB2" w14:textId="77777777" w:rsidR="00015B17" w:rsidRDefault="00015B17" w:rsidP="00015B17">
      <w:pPr>
        <w:tabs>
          <w:tab w:val="left" w:pos="-720"/>
        </w:tabs>
        <w:suppressAutoHyphens/>
        <w:spacing w:line="360" w:lineRule="auto"/>
        <w:jc w:val="both"/>
        <w:rPr>
          <w:spacing w:val="-3"/>
        </w:rPr>
      </w:pPr>
    </w:p>
    <w:p w14:paraId="37131B0F" w14:textId="691BB672" w:rsidR="00015B17" w:rsidRDefault="00015B17" w:rsidP="00015B17">
      <w:pPr>
        <w:tabs>
          <w:tab w:val="left" w:pos="-720"/>
        </w:tabs>
        <w:suppressAutoHyphens/>
        <w:spacing w:line="360" w:lineRule="auto"/>
        <w:rPr>
          <w:spacing w:val="-3"/>
        </w:rPr>
      </w:pPr>
      <w:r>
        <w:rPr>
          <w:spacing w:val="-3"/>
        </w:rPr>
        <w:t xml:space="preserve">This liquid tip composition and value of the fraction solid at the tip are then used as initial values for the integration of the Scheil equation in differential form (Eqn. </w:t>
      </w:r>
      <w:r w:rsidR="00045CB5">
        <w:rPr>
          <w:spacing w:val="-3"/>
        </w:rPr>
        <w:t>6</w:t>
      </w:r>
      <w:r>
        <w:rPr>
          <w:spacing w:val="-3"/>
        </w:rPr>
        <w:t>.12) to predict the remainder of the microsegregation profile. In a sense, this treats the dendrite tip as if it is squared off. The result is</w:t>
      </w:r>
    </w:p>
    <w:p w14:paraId="7301D15B" w14:textId="77777777" w:rsidR="00015B17" w:rsidRDefault="00015B17" w:rsidP="00015B17">
      <w:pPr>
        <w:tabs>
          <w:tab w:val="left" w:pos="-720"/>
        </w:tabs>
        <w:suppressAutoHyphens/>
        <w:spacing w:line="360" w:lineRule="auto"/>
        <w:jc w:val="both"/>
        <w:rPr>
          <w:spacing w:val="-3"/>
        </w:rPr>
      </w:pPr>
    </w:p>
    <w:p w14:paraId="27C99821" w14:textId="77777777" w:rsidR="00015B17" w:rsidRDefault="00015B17" w:rsidP="00015B17">
      <w:pPr>
        <w:tabs>
          <w:tab w:val="left" w:pos="-720"/>
        </w:tabs>
        <w:suppressAutoHyphens/>
        <w:spacing w:line="360" w:lineRule="auto"/>
        <w:jc w:val="center"/>
        <w:rPr>
          <w:spacing w:val="-3"/>
        </w:rPr>
      </w:pPr>
      <w:r w:rsidRPr="002A53A3">
        <w:rPr>
          <w:spacing w:val="-3"/>
          <w:position w:val="-58"/>
        </w:rPr>
        <w:object w:dxaOrig="3420" w:dyaOrig="1280" w14:anchorId="4A674ADA">
          <v:shape id="_x0000_i1576" type="#_x0000_t75" style="width:171.1pt;height:63.6pt" o:ole="">
            <v:imagedata r:id="rId1067" o:title=""/>
          </v:shape>
          <o:OLEObject Type="Embed" ProgID="Equation.DSMT4" ShapeID="_x0000_i1576" DrawAspect="Content" ObjectID="_1840627142" r:id="rId1068"/>
        </w:object>
      </w:r>
      <w:r>
        <w:rPr>
          <w:spacing w:val="-3"/>
        </w:rPr>
        <w:tab/>
      </w:r>
      <w:r w:rsidR="006E6FC2">
        <w:rPr>
          <w:spacing w:val="-3"/>
        </w:rPr>
        <w:t xml:space="preserve">.     </w:t>
      </w:r>
      <w:r>
        <w:rPr>
          <w:spacing w:val="-3"/>
        </w:rPr>
        <w:t>(7.26)</w:t>
      </w:r>
    </w:p>
    <w:p w14:paraId="7BDDFE6E" w14:textId="77777777" w:rsidR="00015B17" w:rsidRDefault="00015B17" w:rsidP="00015B17">
      <w:pPr>
        <w:tabs>
          <w:tab w:val="left" w:pos="-720"/>
        </w:tabs>
        <w:suppressAutoHyphens/>
        <w:spacing w:line="360" w:lineRule="auto"/>
        <w:jc w:val="both"/>
        <w:rPr>
          <w:spacing w:val="-3"/>
        </w:rPr>
      </w:pPr>
    </w:p>
    <w:p w14:paraId="0E76B701" w14:textId="77777777" w:rsidR="00015B17" w:rsidRDefault="00015B17" w:rsidP="00015B17">
      <w:pPr>
        <w:tabs>
          <w:tab w:val="left" w:pos="-720"/>
        </w:tabs>
        <w:suppressAutoHyphens/>
        <w:spacing w:line="360" w:lineRule="auto"/>
        <w:rPr>
          <w:spacing w:val="-3"/>
        </w:rPr>
      </w:pPr>
      <w:r>
        <w:rPr>
          <w:spacing w:val="-3"/>
        </w:rPr>
        <w:t>The corresponding fraction of eutectic for a phase diagram as in Fig. 7.14a is given by</w:t>
      </w:r>
    </w:p>
    <w:p w14:paraId="7B574A59" w14:textId="77777777" w:rsidR="00015B17" w:rsidRDefault="00015B17" w:rsidP="00015B17">
      <w:pPr>
        <w:tabs>
          <w:tab w:val="left" w:pos="-720"/>
        </w:tabs>
        <w:suppressAutoHyphens/>
        <w:spacing w:line="360" w:lineRule="auto"/>
        <w:jc w:val="both"/>
        <w:rPr>
          <w:spacing w:val="-3"/>
        </w:rPr>
      </w:pPr>
    </w:p>
    <w:p w14:paraId="5ECC1FE2" w14:textId="77777777" w:rsidR="00015B17" w:rsidRDefault="00015B17" w:rsidP="00015B17">
      <w:pPr>
        <w:tabs>
          <w:tab w:val="left" w:pos="-720"/>
        </w:tabs>
        <w:suppressAutoHyphens/>
        <w:spacing w:line="360" w:lineRule="auto"/>
        <w:jc w:val="center"/>
        <w:rPr>
          <w:spacing w:val="-3"/>
        </w:rPr>
      </w:pPr>
      <w:r w:rsidRPr="00F71747">
        <w:rPr>
          <w:spacing w:val="-3"/>
          <w:position w:val="-32"/>
        </w:rPr>
        <w:object w:dxaOrig="2340" w:dyaOrig="900" w14:anchorId="77AF59C5">
          <v:shape id="_x0000_i1577" type="#_x0000_t75" style="width:116.9pt;height:44.9pt" o:ole="">
            <v:imagedata r:id="rId1069" o:title=""/>
          </v:shape>
          <o:OLEObject Type="Embed" ProgID="Equation.DSMT4" ShapeID="_x0000_i1577" DrawAspect="Content" ObjectID="_1840627143" r:id="rId1070"/>
        </w:object>
      </w:r>
      <w:r>
        <w:rPr>
          <w:spacing w:val="-3"/>
        </w:rPr>
        <w:tab/>
      </w:r>
      <w:r w:rsidR="006E6FC2">
        <w:rPr>
          <w:spacing w:val="-3"/>
        </w:rPr>
        <w:t>.</w:t>
      </w:r>
      <w:r>
        <w:rPr>
          <w:spacing w:val="-3"/>
        </w:rPr>
        <w:tab/>
        <w:t>(7.27)</w:t>
      </w:r>
    </w:p>
    <w:p w14:paraId="57EFFC23" w14:textId="77777777" w:rsidR="00015B17" w:rsidRDefault="00015B17" w:rsidP="00015B17">
      <w:pPr>
        <w:tabs>
          <w:tab w:val="left" w:pos="-720"/>
        </w:tabs>
        <w:suppressAutoHyphens/>
        <w:spacing w:line="360" w:lineRule="auto"/>
        <w:jc w:val="both"/>
        <w:rPr>
          <w:spacing w:val="-3"/>
        </w:rPr>
      </w:pPr>
    </w:p>
    <w:p w14:paraId="2CA8BF28" w14:textId="77777777" w:rsidR="00015B17" w:rsidRDefault="00015B17" w:rsidP="00015B17">
      <w:pPr>
        <w:tabs>
          <w:tab w:val="left" w:pos="-720"/>
        </w:tabs>
        <w:suppressAutoHyphens/>
        <w:spacing w:line="360" w:lineRule="auto"/>
        <w:rPr>
          <w:spacing w:val="-3"/>
        </w:rPr>
      </w:pPr>
      <w:r>
        <w:rPr>
          <w:spacing w:val="-3"/>
        </w:rPr>
        <w:tab/>
        <w:t>A method that patches the two parts of the truncated Scheil prediction into a smoothly varying result was obtained by GIOVANOLA and KURZ [1990]. They employed a method that uses the IV/MS prediction for the tip composition without assuming complete mixing between the dendrites near the tip region. They employ a polynomial to connect the tip composition to a composition well behind the tips where the complete mixing assumption is valid. The solid composition vs. fraction solid relation is determined by numerically solving algebraic equations</w:t>
      </w:r>
      <w:r w:rsidR="00F00528">
        <w:rPr>
          <w:spacing w:val="-3"/>
        </w:rPr>
        <w:t xml:space="preserve">. </w:t>
      </w:r>
      <w:r>
        <w:rPr>
          <w:spacing w:val="-3"/>
        </w:rPr>
        <w:t xml:space="preserve">The semi-analytical method of Tong and Beckermann [1998] is a later approach to this problem. </w:t>
      </w:r>
    </w:p>
    <w:p w14:paraId="60BA1F58" w14:textId="77777777" w:rsidR="00F00528" w:rsidRDefault="00F00528" w:rsidP="00015B17">
      <w:pPr>
        <w:tabs>
          <w:tab w:val="left" w:pos="-720"/>
        </w:tabs>
        <w:suppressAutoHyphens/>
        <w:spacing w:line="360" w:lineRule="auto"/>
        <w:rPr>
          <w:spacing w:val="-3"/>
        </w:rPr>
      </w:pPr>
    </w:p>
    <w:p w14:paraId="5F516D8D" w14:textId="18E55478" w:rsidR="00015B17" w:rsidRDefault="00015B17" w:rsidP="00015B17">
      <w:pPr>
        <w:tabs>
          <w:tab w:val="left" w:pos="-720"/>
        </w:tabs>
        <w:suppressAutoHyphens/>
        <w:spacing w:line="360" w:lineRule="auto"/>
        <w:rPr>
          <w:spacing w:val="-3"/>
        </w:rPr>
      </w:pPr>
      <w:r>
        <w:rPr>
          <w:spacing w:val="-3"/>
        </w:rPr>
        <w:tab/>
        <w:t>Regardless of the exact model used, the most important metallurgical feature of microsegregation models that employ</w:t>
      </w:r>
      <w:r w:rsidR="00045CB5">
        <w:rPr>
          <w:spacing w:val="-3"/>
        </w:rPr>
        <w:t>s</w:t>
      </w:r>
      <w:r>
        <w:rPr>
          <w:spacing w:val="-3"/>
        </w:rPr>
        <w:t xml:space="preserve"> dendrite tip kinetics is the alteration of the composition of solid that forms at</w:t>
      </w:r>
      <w:r>
        <w:rPr>
          <w:i/>
          <w:iCs/>
          <w:spacing w:val="-3"/>
        </w:rPr>
        <w:t xml:space="preserve"> f</w:t>
      </w:r>
      <w:r w:rsidRPr="00727E8A">
        <w:rPr>
          <w:spacing w:val="-3"/>
          <w:sz w:val="26"/>
          <w:vertAlign w:val="subscript"/>
        </w:rPr>
        <w:t>S</w:t>
      </w:r>
      <w:r w:rsidR="00563DFD">
        <w:rPr>
          <w:spacing w:val="-3"/>
          <w:sz w:val="26"/>
          <w:vertAlign w:val="subscript"/>
        </w:rPr>
        <w:t xml:space="preserve"> </w:t>
      </w:r>
      <w:r>
        <w:rPr>
          <w:spacing w:val="-3"/>
        </w:rPr>
        <w:t>=</w:t>
      </w:r>
      <w:r w:rsidR="00563DFD">
        <w:rPr>
          <w:spacing w:val="-3"/>
        </w:rPr>
        <w:t xml:space="preserve"> </w:t>
      </w:r>
      <w:r>
        <w:rPr>
          <w:spacing w:val="-3"/>
        </w:rPr>
        <w:t xml:space="preserve">0. The Scheil equation implicitly assumes that no solute is built up in front of the dendrite tip. Thus the first solid to form has composition, </w:t>
      </w:r>
      <w:r>
        <w:rPr>
          <w:i/>
          <w:iCs/>
          <w:spacing w:val="-3"/>
        </w:rPr>
        <w:t>k</w:t>
      </w:r>
      <w:r w:rsidRPr="00883A53">
        <w:rPr>
          <w:i/>
          <w:iCs/>
          <w:spacing w:val="-3"/>
          <w:sz w:val="26"/>
          <w:vertAlign w:val="superscript"/>
        </w:rPr>
        <w:t>E</w:t>
      </w:r>
      <w:r>
        <w:rPr>
          <w:i/>
          <w:iCs/>
          <w:spacing w:val="-3"/>
        </w:rPr>
        <w:t>C</w:t>
      </w:r>
      <w:r w:rsidRPr="00727E8A">
        <w:rPr>
          <w:spacing w:val="-3"/>
          <w:sz w:val="26"/>
          <w:vertAlign w:val="subscript"/>
        </w:rPr>
        <w:t>0</w:t>
      </w:r>
      <w:r>
        <w:rPr>
          <w:spacing w:val="-3"/>
        </w:rPr>
        <w:t>. Increasing levels of solute in the liquid at the tip correspondingly increase</w:t>
      </w:r>
      <w:r w:rsidR="008C2954">
        <w:rPr>
          <w:spacing w:val="-3"/>
        </w:rPr>
        <w:t>s</w:t>
      </w:r>
      <w:r>
        <w:rPr>
          <w:spacing w:val="-3"/>
        </w:rPr>
        <w:t xml:space="preserve"> the amount of solute in the solid along the central spine of the dendrite trunk </w:t>
      </w:r>
      <w:r w:rsidR="008C2954">
        <w:rPr>
          <w:spacing w:val="-3"/>
        </w:rPr>
        <w:t xml:space="preserve">(and secondary arms) </w:t>
      </w:r>
      <w:r>
        <w:rPr>
          <w:spacing w:val="-3"/>
        </w:rPr>
        <w:t>leaving less solute to accumulate in the interdendritic liquid regions at high fraction solid. Thus in a simple eutectic type system, for example, the amount of eutectic (and hence solid phase) that forms in interdendritic regions will be reduced compared to the Scheil prediction. Alternately, for a peritectic phase diagram, a smaller fraction of peritectic phase would coat the primary dendritic structure.</w:t>
      </w:r>
    </w:p>
    <w:p w14:paraId="51E49A5B" w14:textId="77777777" w:rsidR="00015B17" w:rsidRDefault="00015B17" w:rsidP="00015B17">
      <w:pPr>
        <w:tabs>
          <w:tab w:val="left" w:pos="-720"/>
        </w:tabs>
        <w:suppressAutoHyphens/>
        <w:spacing w:line="360" w:lineRule="auto"/>
        <w:rPr>
          <w:spacing w:val="-3"/>
        </w:rPr>
      </w:pPr>
    </w:p>
    <w:p w14:paraId="4A02709F" w14:textId="7B2928EE" w:rsidR="00015B17" w:rsidRDefault="00015B17" w:rsidP="00015B17">
      <w:pPr>
        <w:tabs>
          <w:tab w:val="left" w:pos="-720"/>
        </w:tabs>
        <w:suppressAutoHyphens/>
        <w:spacing w:line="360" w:lineRule="auto"/>
        <w:rPr>
          <w:spacing w:val="-3"/>
        </w:rPr>
      </w:pPr>
      <w:r>
        <w:rPr>
          <w:spacing w:val="-3"/>
        </w:rPr>
        <w:tab/>
        <w:t>In the rapid solidification regime, other effects such as the variation of the partition coefficient with tip velocity can be included. Microsegregation profile must be measured in the TEM due to the small primary spacings.  Bendersky and Boettinger [198</w:t>
      </w:r>
      <w:r w:rsidR="008337E7">
        <w:rPr>
          <w:spacing w:val="-3"/>
        </w:rPr>
        <w:t>5</w:t>
      </w:r>
      <w:r>
        <w:rPr>
          <w:spacing w:val="-3"/>
        </w:rPr>
        <w:t xml:space="preserve">] and Boettinger et al, [1987] measured the composition profiles across very fine dendritic cells of Ag-15 </w:t>
      </w:r>
      <w:r w:rsidRPr="00BD495B">
        <w:rPr>
          <w:spacing w:val="-3"/>
        </w:rPr>
        <w:t>wt</w:t>
      </w:r>
      <w:r>
        <w:rPr>
          <w:spacing w:val="-3"/>
        </w:rPr>
        <w:t xml:space="preserve"> % Cu alloy.  The cores of the cells were found to have relatively flat solute profiles in general agreement with the simple truncated Scheil prediction. Their results at a growth velocity of 0.12 </w:t>
      </w:r>
      <w:r w:rsidRPr="001B068D">
        <w:rPr>
          <w:i/>
          <w:iCs/>
          <w:spacing w:val="-3"/>
        </w:rPr>
        <w:t>ms</w:t>
      </w:r>
      <w:r w:rsidRPr="00883A53">
        <w:rPr>
          <w:spacing w:val="-3"/>
          <w:sz w:val="26"/>
          <w:vertAlign w:val="superscript"/>
        </w:rPr>
        <w:t>-1</w:t>
      </w:r>
      <w:r>
        <w:rPr>
          <w:spacing w:val="-3"/>
        </w:rPr>
        <w:t xml:space="preserve"> has been used for comparison to various models as shown in Fig. 7.15 taken from Tong and Beckermann [1998]. </w:t>
      </w:r>
    </w:p>
    <w:p w14:paraId="5AA75C40" w14:textId="77777777" w:rsidR="00015B17" w:rsidRDefault="00015B17" w:rsidP="00015B17">
      <w:pPr>
        <w:tabs>
          <w:tab w:val="left" w:pos="-720"/>
        </w:tabs>
        <w:suppressAutoHyphens/>
        <w:spacing w:line="360" w:lineRule="auto"/>
        <w:rPr>
          <w:spacing w:val="-3"/>
        </w:rPr>
      </w:pPr>
    </w:p>
    <w:p w14:paraId="618AF0F1" w14:textId="320B092D" w:rsidR="00015B17" w:rsidRDefault="00015B17" w:rsidP="00015B17">
      <w:pPr>
        <w:tabs>
          <w:tab w:val="left" w:pos="-720"/>
        </w:tabs>
        <w:suppressAutoHyphens/>
        <w:spacing w:line="360" w:lineRule="auto"/>
        <w:rPr>
          <w:spacing w:val="-3"/>
        </w:rPr>
      </w:pPr>
      <w:r>
        <w:rPr>
          <w:spacing w:val="-3"/>
        </w:rPr>
        <w:tab/>
        <w:t xml:space="preserve">The computation method of </w:t>
      </w:r>
      <w:r w:rsidR="008C2954">
        <w:rPr>
          <w:spacing w:val="-3"/>
        </w:rPr>
        <w:t xml:space="preserve">Lu </w:t>
      </w:r>
      <w:r>
        <w:rPr>
          <w:i/>
          <w:iCs/>
          <w:spacing w:val="-3"/>
        </w:rPr>
        <w:t>et al.</w:t>
      </w:r>
      <w:r>
        <w:rPr>
          <w:spacing w:val="-3"/>
        </w:rPr>
        <w:t xml:space="preserve"> [1994] or phase field calculations yield the most detailed information about the details of microsegregation over a broad range of growth conditions.</w:t>
      </w:r>
    </w:p>
    <w:p w14:paraId="2A4A4AC2" w14:textId="77777777" w:rsidR="00015B17" w:rsidRDefault="00015B17" w:rsidP="00015B17">
      <w:pPr>
        <w:tabs>
          <w:tab w:val="left" w:pos="-720"/>
        </w:tabs>
        <w:suppressAutoHyphens/>
        <w:spacing w:line="360" w:lineRule="auto"/>
        <w:rPr>
          <w:spacing w:val="-3"/>
        </w:rPr>
      </w:pPr>
    </w:p>
    <w:p w14:paraId="7F22BBF4" w14:textId="77777777" w:rsidR="00015B17" w:rsidRPr="0069793D" w:rsidRDefault="00015B17" w:rsidP="00015B17">
      <w:pPr>
        <w:tabs>
          <w:tab w:val="left" w:pos="-720"/>
        </w:tabs>
        <w:suppressAutoHyphens/>
        <w:spacing w:line="360" w:lineRule="auto"/>
        <w:rPr>
          <w:b/>
          <w:spacing w:val="-3"/>
        </w:rPr>
      </w:pPr>
      <w:r w:rsidRPr="00200803">
        <w:rPr>
          <w:b/>
          <w:spacing w:val="-3"/>
        </w:rPr>
        <w:t>7.3.</w:t>
      </w:r>
      <w:r w:rsidR="00F472BF">
        <w:rPr>
          <w:b/>
          <w:spacing w:val="-3"/>
        </w:rPr>
        <w:t>3</w:t>
      </w:r>
      <w:r>
        <w:rPr>
          <w:b/>
          <w:spacing w:val="-3"/>
        </w:rPr>
        <w:t xml:space="preserve">.2 </w:t>
      </w:r>
      <w:r w:rsidR="00F472BF">
        <w:rPr>
          <w:b/>
          <w:spacing w:val="-3"/>
        </w:rPr>
        <w:t>S</w:t>
      </w:r>
      <w:r>
        <w:rPr>
          <w:b/>
          <w:spacing w:val="-3"/>
        </w:rPr>
        <w:t>olid diffusion</w:t>
      </w:r>
    </w:p>
    <w:p w14:paraId="72918AC8" w14:textId="77777777" w:rsidR="00015B17" w:rsidRPr="0069793D" w:rsidRDefault="00015B17" w:rsidP="00015B17">
      <w:pPr>
        <w:tabs>
          <w:tab w:val="left" w:pos="-720"/>
        </w:tabs>
        <w:suppressAutoHyphens/>
        <w:spacing w:line="360" w:lineRule="auto"/>
        <w:rPr>
          <w:b/>
          <w:spacing w:val="-3"/>
        </w:rPr>
      </w:pPr>
    </w:p>
    <w:p w14:paraId="54860055" w14:textId="77777777" w:rsidR="00015B17" w:rsidRPr="0069793D" w:rsidRDefault="00015B17" w:rsidP="00015B17">
      <w:pPr>
        <w:tabs>
          <w:tab w:val="left" w:pos="-720"/>
        </w:tabs>
        <w:suppressAutoHyphens/>
        <w:spacing w:line="360" w:lineRule="auto"/>
        <w:rPr>
          <w:spacing w:val="-3"/>
        </w:rPr>
      </w:pPr>
      <w:r w:rsidRPr="0069793D">
        <w:rPr>
          <w:spacing w:val="-3"/>
        </w:rPr>
        <w:tab/>
        <w:t>B</w:t>
      </w:r>
      <w:r w:rsidR="008C2954" w:rsidRPr="0069793D">
        <w:rPr>
          <w:spacing w:val="-3"/>
        </w:rPr>
        <w:t>rody</w:t>
      </w:r>
      <w:r w:rsidRPr="0069793D">
        <w:rPr>
          <w:spacing w:val="-3"/>
        </w:rPr>
        <w:t xml:space="preserve"> and F</w:t>
      </w:r>
      <w:r w:rsidR="008C2954" w:rsidRPr="0069793D">
        <w:rPr>
          <w:spacing w:val="-3"/>
        </w:rPr>
        <w:t>lemings</w:t>
      </w:r>
      <w:r w:rsidRPr="0069793D">
        <w:rPr>
          <w:spacing w:val="-3"/>
        </w:rPr>
        <w:t xml:space="preserve"> [1966] were the first to account for diffusion in the solid as a correction to the Scheil approach. They retained the assumption of complete liquid mixing, but permitted diffusion in the solid. The solute balance Eqn. 6.12 </w:t>
      </w:r>
      <w:r>
        <w:rPr>
          <w:spacing w:val="-3"/>
        </w:rPr>
        <w:t xml:space="preserve">is </w:t>
      </w:r>
      <w:r w:rsidRPr="0069793D">
        <w:rPr>
          <w:spacing w:val="-3"/>
        </w:rPr>
        <w:t xml:space="preserve">modified to </w:t>
      </w:r>
    </w:p>
    <w:p w14:paraId="33C7A973" w14:textId="77777777" w:rsidR="00015B17" w:rsidRPr="0069793D" w:rsidRDefault="00015B17" w:rsidP="00015B17">
      <w:pPr>
        <w:tabs>
          <w:tab w:val="left" w:pos="-720"/>
        </w:tabs>
        <w:suppressAutoHyphens/>
        <w:spacing w:line="360" w:lineRule="auto"/>
        <w:jc w:val="both"/>
        <w:rPr>
          <w:spacing w:val="-3"/>
        </w:rPr>
      </w:pPr>
    </w:p>
    <w:p w14:paraId="0DBC8230" w14:textId="77777777" w:rsidR="00015B17" w:rsidRPr="0069793D" w:rsidRDefault="00015B17" w:rsidP="00015B17">
      <w:pPr>
        <w:tabs>
          <w:tab w:val="left" w:pos="-720"/>
        </w:tabs>
        <w:suppressAutoHyphens/>
        <w:spacing w:line="360" w:lineRule="auto"/>
        <w:jc w:val="center"/>
        <w:rPr>
          <w:spacing w:val="-3"/>
        </w:rPr>
      </w:pPr>
      <w:r w:rsidRPr="0069793D">
        <w:rPr>
          <w:spacing w:val="-3"/>
          <w:position w:val="-30"/>
        </w:rPr>
        <w:object w:dxaOrig="4239" w:dyaOrig="760" w14:anchorId="1D13CCD6">
          <v:shape id="_x0000_i1578" type="#_x0000_t75" style="width:212.25pt;height:38.35pt" o:ole="">
            <v:imagedata r:id="rId1071" o:title=""/>
          </v:shape>
          <o:OLEObject Type="Embed" ProgID="Equation.DSMT4" ShapeID="_x0000_i1578" DrawAspect="Content" ObjectID="_1840627144" r:id="rId1072"/>
        </w:object>
      </w:r>
      <w:r w:rsidRPr="0069793D">
        <w:rPr>
          <w:spacing w:val="-3"/>
        </w:rPr>
        <w:tab/>
      </w:r>
      <w:r w:rsidR="008337E7">
        <w:rPr>
          <w:spacing w:val="-3"/>
        </w:rPr>
        <w:t>,</w:t>
      </w:r>
      <w:r w:rsidRPr="0069793D">
        <w:rPr>
          <w:spacing w:val="-3"/>
        </w:rPr>
        <w:tab/>
        <w:t>(</w:t>
      </w:r>
      <w:r>
        <w:rPr>
          <w:spacing w:val="-3"/>
        </w:rPr>
        <w:t>7.28</w:t>
      </w:r>
      <w:r w:rsidRPr="0069793D">
        <w:rPr>
          <w:spacing w:val="-3"/>
        </w:rPr>
        <w:t>)</w:t>
      </w:r>
    </w:p>
    <w:p w14:paraId="13DB2403" w14:textId="77777777" w:rsidR="00015B17" w:rsidRPr="0069793D" w:rsidRDefault="00015B17" w:rsidP="00015B17">
      <w:pPr>
        <w:tabs>
          <w:tab w:val="left" w:pos="-720"/>
        </w:tabs>
        <w:suppressAutoHyphens/>
        <w:spacing w:line="360" w:lineRule="auto"/>
        <w:jc w:val="both"/>
        <w:rPr>
          <w:spacing w:val="-3"/>
        </w:rPr>
      </w:pPr>
    </w:p>
    <w:p w14:paraId="59013FE2" w14:textId="77777777" w:rsidR="00015B17" w:rsidRDefault="008337E7" w:rsidP="00015B17">
      <w:pPr>
        <w:tabs>
          <w:tab w:val="left" w:pos="-720"/>
        </w:tabs>
        <w:suppressAutoHyphens/>
        <w:spacing w:line="360" w:lineRule="auto"/>
        <w:rPr>
          <w:spacing w:val="-3"/>
        </w:rPr>
      </w:pPr>
      <w:r>
        <w:rPr>
          <w:spacing w:val="-3"/>
        </w:rPr>
        <w:t>w</w:t>
      </w:r>
      <w:r w:rsidR="00015B17" w:rsidRPr="0069793D">
        <w:rPr>
          <w:spacing w:val="-3"/>
        </w:rPr>
        <w:t xml:space="preserve">here the term on the </w:t>
      </w:r>
      <w:r>
        <w:rPr>
          <w:spacing w:val="-3"/>
        </w:rPr>
        <w:t xml:space="preserve">right </w:t>
      </w:r>
      <w:r w:rsidR="00015B17" w:rsidRPr="0069793D">
        <w:rPr>
          <w:spacing w:val="-3"/>
        </w:rPr>
        <w:t xml:space="preserve">hand side involves the concentration gradient in the solid at the liquid solid interface.  They then approximated the solute concentration gradient in the solid at the </w:t>
      </w:r>
      <w:r w:rsidR="004201E7">
        <w:rPr>
          <w:spacing w:val="-3"/>
        </w:rPr>
        <w:t>L-S</w:t>
      </w:r>
      <w:r w:rsidR="00015B17" w:rsidRPr="0069793D">
        <w:rPr>
          <w:spacing w:val="-3"/>
        </w:rPr>
        <w:t xml:space="preserve"> interface and derived the following expressions:</w:t>
      </w:r>
    </w:p>
    <w:p w14:paraId="1FFCB52B" w14:textId="77777777" w:rsidR="00015B17" w:rsidRPr="0069793D" w:rsidRDefault="00015B17" w:rsidP="00015B17">
      <w:pPr>
        <w:tabs>
          <w:tab w:val="left" w:pos="-720"/>
        </w:tabs>
        <w:suppressAutoHyphens/>
        <w:spacing w:line="360" w:lineRule="auto"/>
        <w:jc w:val="both"/>
        <w:rPr>
          <w:spacing w:val="-3"/>
        </w:rPr>
      </w:pPr>
    </w:p>
    <w:p w14:paraId="3CBEF3F6" w14:textId="77777777" w:rsidR="00015B17" w:rsidRPr="0069793D" w:rsidRDefault="00015B17" w:rsidP="00015B17">
      <w:pPr>
        <w:tabs>
          <w:tab w:val="left" w:pos="-720"/>
        </w:tabs>
        <w:suppressAutoHyphens/>
        <w:spacing w:line="360" w:lineRule="auto"/>
        <w:jc w:val="center"/>
        <w:rPr>
          <w:spacing w:val="-3"/>
        </w:rPr>
      </w:pPr>
      <w:r w:rsidRPr="0069793D">
        <w:rPr>
          <w:spacing w:val="-3"/>
          <w:position w:val="-32"/>
        </w:rPr>
        <w:object w:dxaOrig="2659" w:dyaOrig="840" w14:anchorId="1BA5E15F">
          <v:shape id="_x0000_i1579" type="#_x0000_t75" style="width:132.8pt;height:41.15pt" o:ole="">
            <v:imagedata r:id="rId1073" o:title=""/>
          </v:shape>
          <o:OLEObject Type="Embed" ProgID="Equation.DSMT4" ShapeID="_x0000_i1579" DrawAspect="Content" ObjectID="_1840627145" r:id="rId1074"/>
        </w:object>
      </w:r>
      <w:r w:rsidRPr="0069793D">
        <w:rPr>
          <w:spacing w:val="-3"/>
          <w:position w:val="-32"/>
        </w:rPr>
        <w:tab/>
      </w:r>
      <w:r w:rsidRPr="0069793D">
        <w:rPr>
          <w:spacing w:val="-3"/>
          <w:position w:val="-32"/>
        </w:rPr>
        <w:tab/>
      </w:r>
      <w:r w:rsidRPr="0069793D">
        <w:rPr>
          <w:spacing w:val="-3"/>
          <w:position w:val="-32"/>
        </w:rPr>
        <w:tab/>
      </w:r>
      <w:r w:rsidRPr="0069793D">
        <w:rPr>
          <w:spacing w:val="-3"/>
          <w:position w:val="-32"/>
        </w:rPr>
        <w:tab/>
        <w:t>(</w:t>
      </w:r>
      <w:r>
        <w:rPr>
          <w:spacing w:val="-3"/>
          <w:position w:val="-32"/>
        </w:rPr>
        <w:t>7.29</w:t>
      </w:r>
      <w:r w:rsidRPr="0069793D">
        <w:rPr>
          <w:spacing w:val="-3"/>
          <w:position w:val="-32"/>
        </w:rPr>
        <w:t>)</w:t>
      </w:r>
    </w:p>
    <w:p w14:paraId="04A1E6D5" w14:textId="77777777" w:rsidR="00015B17" w:rsidRPr="0069793D" w:rsidRDefault="00015B17" w:rsidP="00015B17">
      <w:pPr>
        <w:tabs>
          <w:tab w:val="left" w:pos="-720"/>
        </w:tabs>
        <w:suppressAutoHyphens/>
        <w:spacing w:line="360" w:lineRule="auto"/>
        <w:jc w:val="both"/>
        <w:rPr>
          <w:spacing w:val="-3"/>
        </w:rPr>
      </w:pPr>
      <w:r w:rsidRPr="0069793D">
        <w:rPr>
          <w:spacing w:val="-3"/>
        </w:rPr>
        <w:t>and</w:t>
      </w:r>
    </w:p>
    <w:p w14:paraId="52213146" w14:textId="77777777" w:rsidR="00015B17" w:rsidRDefault="00015B17" w:rsidP="00015B17">
      <w:pPr>
        <w:tabs>
          <w:tab w:val="left" w:pos="-720"/>
        </w:tabs>
        <w:suppressAutoHyphens/>
        <w:spacing w:line="360" w:lineRule="auto"/>
        <w:jc w:val="center"/>
        <w:rPr>
          <w:spacing w:val="-3"/>
          <w:position w:val="-32"/>
        </w:rPr>
      </w:pPr>
      <w:r w:rsidRPr="0069793D">
        <w:rPr>
          <w:spacing w:val="-3"/>
          <w:position w:val="-12"/>
        </w:rPr>
        <w:object w:dxaOrig="3700" w:dyaOrig="480" w14:anchorId="45C3B2C2">
          <v:shape id="_x0000_i1580" type="#_x0000_t75" style="width:184.2pt;height:24.3pt" o:ole="">
            <v:imagedata r:id="rId1075" o:title=""/>
          </v:shape>
          <o:OLEObject Type="Embed" ProgID="Equation.DSMT4" ShapeID="_x0000_i1580" DrawAspect="Content" ObjectID="_1840627146" r:id="rId1076"/>
        </w:object>
      </w:r>
      <w:r w:rsidR="006E6FC2">
        <w:rPr>
          <w:spacing w:val="-3"/>
          <w:position w:val="-12"/>
        </w:rPr>
        <w:t>.</w:t>
      </w:r>
      <w:r w:rsidRPr="0069793D">
        <w:rPr>
          <w:spacing w:val="-3"/>
          <w:position w:val="-12"/>
        </w:rPr>
        <w:tab/>
      </w:r>
      <w:r w:rsidRPr="0069793D">
        <w:rPr>
          <w:spacing w:val="-3"/>
          <w:position w:val="-12"/>
        </w:rPr>
        <w:tab/>
      </w:r>
      <w:r>
        <w:rPr>
          <w:spacing w:val="-3"/>
          <w:position w:val="-32"/>
        </w:rPr>
        <w:t>(7.30</w:t>
      </w:r>
      <w:r w:rsidRPr="0069793D">
        <w:rPr>
          <w:spacing w:val="-3"/>
          <w:position w:val="-32"/>
        </w:rPr>
        <w:t>)</w:t>
      </w:r>
    </w:p>
    <w:p w14:paraId="5E6C3799" w14:textId="77777777" w:rsidR="00015B17" w:rsidRPr="0069793D" w:rsidRDefault="00015B17" w:rsidP="00015B17">
      <w:pPr>
        <w:tabs>
          <w:tab w:val="left" w:pos="-720"/>
        </w:tabs>
        <w:suppressAutoHyphens/>
        <w:spacing w:line="360" w:lineRule="auto"/>
        <w:jc w:val="center"/>
        <w:rPr>
          <w:spacing w:val="-3"/>
        </w:rPr>
      </w:pPr>
    </w:p>
    <w:p w14:paraId="789DDB5E" w14:textId="75141FA1" w:rsidR="00015B17" w:rsidRPr="0069793D" w:rsidRDefault="00015B17" w:rsidP="00015B17">
      <w:pPr>
        <w:tabs>
          <w:tab w:val="left" w:pos="-720"/>
        </w:tabs>
        <w:suppressAutoHyphens/>
        <w:spacing w:line="360" w:lineRule="auto"/>
        <w:rPr>
          <w:spacing w:val="-3"/>
        </w:rPr>
      </w:pPr>
      <w:r w:rsidRPr="0069793D">
        <w:rPr>
          <w:spacing w:val="-3"/>
        </w:rPr>
        <w:t>Eqn. (</w:t>
      </w:r>
      <w:r>
        <w:rPr>
          <w:spacing w:val="-3"/>
        </w:rPr>
        <w:t>7.29</w:t>
      </w:r>
      <w:r w:rsidRPr="0069793D">
        <w:rPr>
          <w:spacing w:val="-3"/>
        </w:rPr>
        <w:t xml:space="preserve">) considers the case where </w:t>
      </w:r>
      <w:r w:rsidRPr="0069793D">
        <w:rPr>
          <w:iCs/>
          <w:spacing w:val="-3"/>
        </w:rPr>
        <w:t>the growth rate</w:t>
      </w:r>
      <w:r w:rsidRPr="0069793D">
        <w:rPr>
          <w:spacing w:val="-3"/>
        </w:rPr>
        <w:t xml:space="preserve"> is constant and Eqn. (</w:t>
      </w:r>
      <w:r>
        <w:rPr>
          <w:spacing w:val="-3"/>
        </w:rPr>
        <w:t>7.30</w:t>
      </w:r>
      <w:r w:rsidRPr="0069793D">
        <w:rPr>
          <w:spacing w:val="-3"/>
        </w:rPr>
        <w:t xml:space="preserve">) considers the case where the growth is parabolic, </w:t>
      </w:r>
      <w:r w:rsidR="00563DFD" w:rsidRPr="0069793D">
        <w:rPr>
          <w:spacing w:val="-3"/>
        </w:rPr>
        <w:t>i.e.,</w:t>
      </w:r>
      <w:r w:rsidRPr="0069793D">
        <w:rPr>
          <w:i/>
          <w:iCs/>
          <w:spacing w:val="-3"/>
        </w:rPr>
        <w:t xml:space="preserve"> V~t</w:t>
      </w:r>
      <w:r w:rsidRPr="00883A53">
        <w:rPr>
          <w:spacing w:val="-3"/>
          <w:sz w:val="26"/>
          <w:vertAlign w:val="superscript"/>
        </w:rPr>
        <w:fldChar w:fldCharType="begin"/>
      </w:r>
      <w:r w:rsidRPr="00883A53">
        <w:rPr>
          <w:spacing w:val="-3"/>
          <w:sz w:val="26"/>
          <w:vertAlign w:val="superscript"/>
        </w:rPr>
        <w:instrText>ADVANCE \R 1.65</w:instrText>
      </w:r>
      <w:r w:rsidRPr="00883A53">
        <w:rPr>
          <w:spacing w:val="-3"/>
          <w:sz w:val="26"/>
          <w:vertAlign w:val="superscript"/>
        </w:rPr>
        <w:fldChar w:fldCharType="end"/>
      </w:r>
      <w:r w:rsidRPr="00883A53">
        <w:rPr>
          <w:spacing w:val="-3"/>
          <w:sz w:val="26"/>
          <w:vertAlign w:val="superscript"/>
        </w:rPr>
        <w:t>-½</w:t>
      </w:r>
      <w:r w:rsidRPr="0069793D">
        <w:rPr>
          <w:spacing w:val="-3"/>
        </w:rPr>
        <w:t xml:space="preserve">. The solid solute Fourier number </w:t>
      </w:r>
      <w:r w:rsidRPr="0069793D">
        <w:rPr>
          <w:spacing w:val="-3"/>
          <w:position w:val="-14"/>
        </w:rPr>
        <w:object w:dxaOrig="1400" w:dyaOrig="440" w14:anchorId="7FAD8D9F">
          <v:shape id="_x0000_i1581" type="#_x0000_t75" style="width:70.15pt;height:21.5pt" o:ole="">
            <v:imagedata r:id="rId1077" o:title=""/>
          </v:shape>
          <o:OLEObject Type="Embed" ProgID="Equation.DSMT4" ShapeID="_x0000_i1581" DrawAspect="Content" ObjectID="_1840627147" r:id="rId1078"/>
        </w:object>
      </w:r>
      <w:r w:rsidRPr="0069793D">
        <w:rPr>
          <w:spacing w:val="-3"/>
        </w:rPr>
        <w:t xml:space="preserve"> is a measure of the extent of diffusion of solute in the solid where </w:t>
      </w:r>
      <w:r w:rsidRPr="0069793D">
        <w:rPr>
          <w:i/>
          <w:iCs/>
          <w:spacing w:val="-3"/>
        </w:rPr>
        <w:t>t</w:t>
      </w:r>
      <w:r w:rsidRPr="00727E8A">
        <w:rPr>
          <w:spacing w:val="-3"/>
          <w:sz w:val="26"/>
          <w:vertAlign w:val="subscript"/>
        </w:rPr>
        <w:t>f</w:t>
      </w:r>
      <w:r w:rsidRPr="0069793D">
        <w:rPr>
          <w:spacing w:val="-3"/>
        </w:rPr>
        <w:t xml:space="preserve"> = local solidification time.  B</w:t>
      </w:r>
      <w:r w:rsidR="00C82682" w:rsidRPr="0069793D">
        <w:rPr>
          <w:spacing w:val="-3"/>
        </w:rPr>
        <w:t>rody</w:t>
      </w:r>
      <w:r w:rsidRPr="0069793D">
        <w:rPr>
          <w:spacing w:val="-3"/>
        </w:rPr>
        <w:t xml:space="preserve"> and F</w:t>
      </w:r>
      <w:r w:rsidR="00C82682" w:rsidRPr="0069793D">
        <w:rPr>
          <w:spacing w:val="-3"/>
        </w:rPr>
        <w:t>lemings</w:t>
      </w:r>
      <w:r w:rsidRPr="0069793D">
        <w:rPr>
          <w:spacing w:val="-3"/>
        </w:rPr>
        <w:t xml:space="preserve"> [1966] also obtained the more exact numerical solutions of the solid diffusion equation.</w:t>
      </w:r>
    </w:p>
    <w:p w14:paraId="5AF5AFD7" w14:textId="77777777" w:rsidR="00015B17" w:rsidRPr="0069793D" w:rsidRDefault="00015B17" w:rsidP="00015B17">
      <w:pPr>
        <w:tabs>
          <w:tab w:val="left" w:pos="-720"/>
        </w:tabs>
        <w:suppressAutoHyphens/>
        <w:spacing w:line="360" w:lineRule="auto"/>
        <w:rPr>
          <w:spacing w:val="-3"/>
        </w:rPr>
      </w:pPr>
    </w:p>
    <w:p w14:paraId="1E67AD57" w14:textId="6E91D3D5" w:rsidR="00015B17" w:rsidRDefault="00015B17" w:rsidP="00015B17">
      <w:pPr>
        <w:tabs>
          <w:tab w:val="left" w:pos="-720"/>
        </w:tabs>
        <w:suppressAutoHyphens/>
        <w:spacing w:line="360" w:lineRule="auto"/>
        <w:rPr>
          <w:spacing w:val="-3"/>
        </w:rPr>
      </w:pPr>
      <w:r w:rsidRPr="0069793D">
        <w:rPr>
          <w:spacing w:val="-3"/>
        </w:rPr>
        <w:tab/>
        <w:t xml:space="preserve">Eqn. (6.17) and (6.18) are good approximations only when </w:t>
      </w:r>
      <w:r w:rsidRPr="0069793D">
        <w:rPr>
          <w:i/>
          <w:iCs/>
          <w:spacing w:val="-3"/>
          <w:position w:val="-12"/>
        </w:rPr>
        <w:object w:dxaOrig="780" w:dyaOrig="360" w14:anchorId="401F021A">
          <v:shape id="_x0000_i1582" type="#_x0000_t75" style="width:40.2pt;height:17.75pt" o:ole="">
            <v:imagedata r:id="rId1079" o:title=""/>
          </v:shape>
          <o:OLEObject Type="Embed" ProgID="Equation.DSMT4" ShapeID="_x0000_i1582" DrawAspect="Content" ObjectID="_1840627148" r:id="rId1080"/>
        </w:object>
      </w:r>
      <w:r w:rsidRPr="0069793D">
        <w:rPr>
          <w:spacing w:val="-3"/>
        </w:rPr>
        <w:t xml:space="preserve">, i.e., with limited solid diffusion during the solidification process. </w:t>
      </w:r>
      <w:r w:rsidR="00C82682" w:rsidRPr="0069793D">
        <w:rPr>
          <w:spacing w:val="-3"/>
        </w:rPr>
        <w:t>K</w:t>
      </w:r>
      <w:r w:rsidR="00C82682">
        <w:rPr>
          <w:spacing w:val="-3"/>
        </w:rPr>
        <w:t>urz</w:t>
      </w:r>
      <w:r w:rsidR="00C82682" w:rsidRPr="0069793D">
        <w:rPr>
          <w:spacing w:val="-3"/>
        </w:rPr>
        <w:t xml:space="preserve"> </w:t>
      </w:r>
      <w:r w:rsidRPr="0069793D">
        <w:rPr>
          <w:spacing w:val="-3"/>
        </w:rPr>
        <w:t xml:space="preserve">and </w:t>
      </w:r>
      <w:r w:rsidR="00C82682" w:rsidRPr="0069793D">
        <w:rPr>
          <w:spacing w:val="-3"/>
        </w:rPr>
        <w:t>C</w:t>
      </w:r>
      <w:r w:rsidR="00C82682">
        <w:rPr>
          <w:spacing w:val="-3"/>
        </w:rPr>
        <w:t>lyne</w:t>
      </w:r>
      <w:r w:rsidR="00C82682" w:rsidRPr="0069793D">
        <w:rPr>
          <w:spacing w:val="-3"/>
        </w:rPr>
        <w:t xml:space="preserve"> </w:t>
      </w:r>
      <w:r w:rsidRPr="0069793D">
        <w:rPr>
          <w:spacing w:val="-3"/>
        </w:rPr>
        <w:t>[1981] and O</w:t>
      </w:r>
      <w:r w:rsidR="00C82682" w:rsidRPr="0069793D">
        <w:rPr>
          <w:spacing w:val="-3"/>
        </w:rPr>
        <w:t>hnaka</w:t>
      </w:r>
      <w:r w:rsidRPr="0069793D">
        <w:rPr>
          <w:spacing w:val="-3"/>
        </w:rPr>
        <w:t xml:space="preserve"> [1986] modified this approach to obtain the two proper limiting cases corresponding to the Scheil equation (no solid diffusion, </w:t>
      </w:r>
      <w:r w:rsidRPr="0069793D">
        <w:rPr>
          <w:i/>
          <w:iCs/>
          <w:spacing w:val="-3"/>
          <w:position w:val="-12"/>
        </w:rPr>
        <w:object w:dxaOrig="680" w:dyaOrig="360" w14:anchorId="00A0644F">
          <v:shape id="_x0000_i1583" type="#_x0000_t75" style="width:33.65pt;height:17.75pt" o:ole="">
            <v:imagedata r:id="rId1081" o:title=""/>
          </v:shape>
          <o:OLEObject Type="Embed" ProgID="Equation.DSMT4" ShapeID="_x0000_i1583" DrawAspect="Content" ObjectID="_1840627149" r:id="rId1082"/>
        </w:object>
      </w:r>
      <w:r w:rsidRPr="0069793D">
        <w:rPr>
          <w:iCs/>
          <w:spacing w:val="-3"/>
        </w:rPr>
        <w:t>)</w:t>
      </w:r>
      <w:r w:rsidRPr="0069793D">
        <w:rPr>
          <w:spacing w:val="-3"/>
        </w:rPr>
        <w:t xml:space="preserve"> and to the lever rule (complete solid diffusion, </w:t>
      </w:r>
      <w:r w:rsidRPr="0069793D">
        <w:rPr>
          <w:i/>
          <w:iCs/>
          <w:spacing w:val="-3"/>
          <w:position w:val="-12"/>
        </w:rPr>
        <w:object w:dxaOrig="740" w:dyaOrig="360" w14:anchorId="2434DB68">
          <v:shape id="_x0000_i1584" type="#_x0000_t75" style="width:36.45pt;height:17.75pt" o:ole="">
            <v:imagedata r:id="rId1083" o:title=""/>
          </v:shape>
          <o:OLEObject Type="Embed" ProgID="Equation.DSMT4" ShapeID="_x0000_i1584" DrawAspect="Content" ObjectID="_1840627150" r:id="rId1084"/>
        </w:object>
      </w:r>
      <w:r w:rsidRPr="0069793D">
        <w:rPr>
          <w:iCs/>
          <w:spacing w:val="-3"/>
        </w:rPr>
        <w:t xml:space="preserve">) by modifying the </w:t>
      </w:r>
      <w:r w:rsidRPr="0069793D">
        <w:rPr>
          <w:spacing w:val="-3"/>
        </w:rPr>
        <w:t xml:space="preserve">parameter </w:t>
      </w:r>
      <w:r w:rsidRPr="0069793D">
        <w:rPr>
          <w:spacing w:val="-3"/>
          <w:position w:val="-12"/>
        </w:rPr>
        <w:object w:dxaOrig="300" w:dyaOrig="360" w14:anchorId="1AD1DACF">
          <v:shape id="_x0000_i1585" type="#_x0000_t75" style="width:14.95pt;height:17.75pt" o:ole="">
            <v:imagedata r:id="rId1085" o:title=""/>
          </v:shape>
          <o:OLEObject Type="Embed" ProgID="Equation.DSMT4" ShapeID="_x0000_i1585" DrawAspect="Content" ObjectID="_1840627151" r:id="rId1086"/>
        </w:object>
      </w:r>
      <w:r w:rsidRPr="0069793D">
        <w:rPr>
          <w:spacing w:val="-3"/>
        </w:rPr>
        <w:t>. The model of O</w:t>
      </w:r>
      <w:r w:rsidR="00C82682">
        <w:rPr>
          <w:spacing w:val="-3"/>
        </w:rPr>
        <w:t>h</w:t>
      </w:r>
      <w:r w:rsidRPr="0069793D">
        <w:rPr>
          <w:spacing w:val="-3"/>
        </w:rPr>
        <w:t xml:space="preserve">naka </w:t>
      </w:r>
      <w:r>
        <w:rPr>
          <w:spacing w:val="-3"/>
        </w:rPr>
        <w:t>for parabolic growth also has the correct limiting case; viz.,</w:t>
      </w:r>
    </w:p>
    <w:p w14:paraId="0A719B1B" w14:textId="77777777" w:rsidR="00015B17" w:rsidRDefault="00015B17" w:rsidP="00015B17">
      <w:pPr>
        <w:tabs>
          <w:tab w:val="left" w:pos="-720"/>
        </w:tabs>
        <w:suppressAutoHyphens/>
        <w:spacing w:line="360" w:lineRule="auto"/>
        <w:rPr>
          <w:spacing w:val="-3"/>
        </w:rPr>
      </w:pPr>
    </w:p>
    <w:p w14:paraId="43580CA3" w14:textId="77777777" w:rsidR="00015B17" w:rsidRDefault="00015B17" w:rsidP="00015B17">
      <w:pPr>
        <w:tabs>
          <w:tab w:val="left" w:pos="-720"/>
        </w:tabs>
        <w:suppressAutoHyphens/>
        <w:spacing w:line="360" w:lineRule="auto"/>
        <w:jc w:val="center"/>
        <w:rPr>
          <w:spacing w:val="-3"/>
        </w:rPr>
      </w:pPr>
      <w:r w:rsidRPr="0069793D">
        <w:rPr>
          <w:spacing w:val="-3"/>
          <w:position w:val="-12"/>
        </w:rPr>
        <w:object w:dxaOrig="2240" w:dyaOrig="480" w14:anchorId="7FC3F4C0">
          <v:shape id="_x0000_i1586" type="#_x0000_t75" style="width:112.2pt;height:24.3pt" o:ole="">
            <v:imagedata r:id="rId1087" o:title=""/>
          </v:shape>
          <o:OLEObject Type="Embed" ProgID="Equation.DSMT4" ShapeID="_x0000_i1586" DrawAspect="Content" ObjectID="_1840627152" r:id="rId1088"/>
        </w:object>
      </w:r>
      <w:r w:rsidR="006E6FC2">
        <w:rPr>
          <w:spacing w:val="-3"/>
          <w:position w:val="-12"/>
        </w:rPr>
        <w:t>,</w:t>
      </w:r>
      <w:r>
        <w:rPr>
          <w:spacing w:val="-3"/>
          <w:position w:val="-12"/>
        </w:rPr>
        <w:tab/>
        <w:t>(7.31)</w:t>
      </w:r>
    </w:p>
    <w:p w14:paraId="23E99B0A" w14:textId="77777777" w:rsidR="00015B17" w:rsidRDefault="00015B17" w:rsidP="00015B17">
      <w:pPr>
        <w:tabs>
          <w:tab w:val="left" w:pos="-720"/>
        </w:tabs>
        <w:suppressAutoHyphens/>
        <w:spacing w:line="360" w:lineRule="auto"/>
        <w:jc w:val="both"/>
        <w:rPr>
          <w:spacing w:val="-3"/>
        </w:rPr>
      </w:pPr>
    </w:p>
    <w:p w14:paraId="53ED8F98" w14:textId="77777777" w:rsidR="00015B17" w:rsidRDefault="00015B17" w:rsidP="00015B17">
      <w:pPr>
        <w:tabs>
          <w:tab w:val="left" w:pos="-720"/>
        </w:tabs>
        <w:suppressAutoHyphens/>
        <w:spacing w:line="360" w:lineRule="auto"/>
        <w:rPr>
          <w:spacing w:val="-3"/>
        </w:rPr>
      </w:pPr>
      <w:r>
        <w:rPr>
          <w:spacing w:val="-3"/>
        </w:rPr>
        <w:t>with</w:t>
      </w:r>
    </w:p>
    <w:p w14:paraId="5BAAA690" w14:textId="77777777" w:rsidR="00015B17" w:rsidRDefault="00015B17" w:rsidP="00015B17">
      <w:pPr>
        <w:tabs>
          <w:tab w:val="left" w:pos="-720"/>
        </w:tabs>
        <w:suppressAutoHyphens/>
        <w:spacing w:line="360" w:lineRule="auto"/>
        <w:jc w:val="center"/>
        <w:rPr>
          <w:spacing w:val="-3"/>
        </w:rPr>
      </w:pPr>
      <w:r w:rsidRPr="00674EBD">
        <w:rPr>
          <w:spacing w:val="-3"/>
          <w:position w:val="-30"/>
        </w:rPr>
        <w:object w:dxaOrig="1440" w:dyaOrig="680" w14:anchorId="1B915F21">
          <v:shape id="_x0000_i1587" type="#_x0000_t75" style="width:1in;height:33.65pt" o:ole="">
            <v:imagedata r:id="rId1089" o:title=""/>
          </v:shape>
          <o:OLEObject Type="Embed" ProgID="Equation.DSMT4" ShapeID="_x0000_i1587" DrawAspect="Content" ObjectID="_1840627153" r:id="rId1090"/>
        </w:object>
      </w:r>
      <w:r w:rsidR="006E6FC2">
        <w:rPr>
          <w:spacing w:val="-3"/>
        </w:rPr>
        <w:t>.</w:t>
      </w:r>
      <w:r>
        <w:rPr>
          <w:spacing w:val="-3"/>
        </w:rPr>
        <w:tab/>
      </w:r>
      <w:r>
        <w:rPr>
          <w:spacing w:val="-3"/>
        </w:rPr>
        <w:tab/>
        <w:t>(7.33)</w:t>
      </w:r>
    </w:p>
    <w:p w14:paraId="3CC4D52E" w14:textId="77777777" w:rsidR="00015B17" w:rsidRDefault="00015B17" w:rsidP="00015B17">
      <w:pPr>
        <w:tabs>
          <w:tab w:val="left" w:pos="-720"/>
        </w:tabs>
        <w:suppressAutoHyphens/>
        <w:spacing w:line="360" w:lineRule="auto"/>
        <w:jc w:val="both"/>
        <w:rPr>
          <w:spacing w:val="-3"/>
        </w:rPr>
      </w:pPr>
    </w:p>
    <w:p w14:paraId="66330AA5" w14:textId="6B788099" w:rsidR="00015B17" w:rsidRDefault="00015B17" w:rsidP="00015B17">
      <w:pPr>
        <w:tabs>
          <w:tab w:val="left" w:pos="-720"/>
        </w:tabs>
        <w:suppressAutoHyphens/>
        <w:spacing w:line="360" w:lineRule="auto"/>
        <w:rPr>
          <w:spacing w:val="-3"/>
        </w:rPr>
      </w:pPr>
      <w:r>
        <w:rPr>
          <w:spacing w:val="-3"/>
        </w:rPr>
        <w:t xml:space="preserve">The fraction of eutectic </w:t>
      </w:r>
      <w:r w:rsidR="00C82682">
        <w:rPr>
          <w:spacing w:val="-3"/>
        </w:rPr>
        <w:t>in this case is</w:t>
      </w:r>
      <w:r>
        <w:rPr>
          <w:spacing w:val="-3"/>
        </w:rPr>
        <w:t xml:space="preserve"> given by </w:t>
      </w:r>
    </w:p>
    <w:p w14:paraId="4F2C39FA" w14:textId="77777777" w:rsidR="00015B17" w:rsidRDefault="00015B17" w:rsidP="00015B17">
      <w:pPr>
        <w:tabs>
          <w:tab w:val="left" w:pos="-720"/>
        </w:tabs>
        <w:suppressAutoHyphens/>
        <w:spacing w:line="360" w:lineRule="auto"/>
        <w:jc w:val="both"/>
        <w:rPr>
          <w:spacing w:val="-3"/>
        </w:rPr>
      </w:pPr>
    </w:p>
    <w:p w14:paraId="6EB90415" w14:textId="77777777" w:rsidR="00015B17" w:rsidRDefault="00015B17" w:rsidP="00015B17">
      <w:pPr>
        <w:tabs>
          <w:tab w:val="left" w:pos="-720"/>
        </w:tabs>
        <w:suppressAutoHyphens/>
        <w:spacing w:line="360" w:lineRule="auto"/>
        <w:jc w:val="center"/>
        <w:rPr>
          <w:spacing w:val="-3"/>
        </w:rPr>
      </w:pPr>
      <w:r w:rsidRPr="00B820B0">
        <w:rPr>
          <w:spacing w:val="-3"/>
          <w:position w:val="-48"/>
        </w:rPr>
        <w:object w:dxaOrig="2460" w:dyaOrig="1080" w14:anchorId="32FB2A1D">
          <v:shape id="_x0000_i1588" type="#_x0000_t75" style="width:123.45pt;height:55.15pt" o:ole="">
            <v:imagedata r:id="rId1091" o:title=""/>
          </v:shape>
          <o:OLEObject Type="Embed" ProgID="Equation.DSMT4" ShapeID="_x0000_i1588" DrawAspect="Content" ObjectID="_1840627154" r:id="rId1092"/>
        </w:object>
      </w:r>
      <w:r>
        <w:rPr>
          <w:spacing w:val="-3"/>
        </w:rPr>
        <w:tab/>
      </w:r>
      <w:r w:rsidR="006E6FC2">
        <w:rPr>
          <w:spacing w:val="-3"/>
        </w:rPr>
        <w:t>,</w:t>
      </w:r>
      <w:r>
        <w:rPr>
          <w:spacing w:val="-3"/>
        </w:rPr>
        <w:tab/>
        <w:t>(7.34)</w:t>
      </w:r>
    </w:p>
    <w:p w14:paraId="4ADE98C8" w14:textId="77777777" w:rsidR="00015B17" w:rsidRDefault="00015B17" w:rsidP="00015B17">
      <w:pPr>
        <w:tabs>
          <w:tab w:val="left" w:pos="-720"/>
        </w:tabs>
        <w:suppressAutoHyphens/>
        <w:spacing w:line="360" w:lineRule="auto"/>
        <w:jc w:val="center"/>
        <w:rPr>
          <w:spacing w:val="-3"/>
        </w:rPr>
      </w:pPr>
    </w:p>
    <w:p w14:paraId="589813EF" w14:textId="1FE23F0D" w:rsidR="00015B17" w:rsidRDefault="00C82682" w:rsidP="00015B17">
      <w:pPr>
        <w:tabs>
          <w:tab w:val="left" w:pos="-720"/>
        </w:tabs>
        <w:suppressAutoHyphens/>
        <w:spacing w:line="360" w:lineRule="auto"/>
        <w:rPr>
          <w:spacing w:val="-3"/>
        </w:rPr>
      </w:pPr>
      <w:r>
        <w:rPr>
          <w:spacing w:val="-3"/>
        </w:rPr>
        <w:t>which</w:t>
      </w:r>
      <w:r w:rsidR="006E6FC2">
        <w:rPr>
          <w:spacing w:val="-3"/>
        </w:rPr>
        <w:t xml:space="preserve"> recovers</w:t>
      </w:r>
      <w:r w:rsidR="00015B17">
        <w:rPr>
          <w:spacing w:val="-3"/>
        </w:rPr>
        <w:t xml:space="preserve"> the Scheil expression for </w:t>
      </w:r>
      <w:r w:rsidR="00015B17" w:rsidRPr="00B820B0">
        <w:rPr>
          <w:spacing w:val="-3"/>
          <w:position w:val="-12"/>
        </w:rPr>
        <w:object w:dxaOrig="300" w:dyaOrig="360" w14:anchorId="688B6C0E">
          <v:shape id="_x0000_i1589" type="#_x0000_t75" style="width:14.95pt;height:17.75pt" o:ole="">
            <v:imagedata r:id="rId1093" o:title=""/>
          </v:shape>
          <o:OLEObject Type="Embed" ProgID="Equation.DSMT4" ShapeID="_x0000_i1589" DrawAspect="Content" ObjectID="_1840627155" r:id="rId1094"/>
        </w:object>
      </w:r>
      <w:r w:rsidR="00015B17">
        <w:rPr>
          <w:spacing w:val="-3"/>
        </w:rPr>
        <w:t xml:space="preserve"> if </w:t>
      </w:r>
      <w:r w:rsidR="00015B17" w:rsidRPr="00B820B0">
        <w:rPr>
          <w:spacing w:val="-3"/>
          <w:position w:val="-14"/>
        </w:rPr>
        <w:object w:dxaOrig="1340" w:dyaOrig="400" w14:anchorId="47BD46E7">
          <v:shape id="_x0000_i1590" type="#_x0000_t75" style="width:66.4pt;height:19.65pt" o:ole="">
            <v:imagedata r:id="rId1095" o:title=""/>
          </v:shape>
          <o:OLEObject Type="Embed" ProgID="Equation.DSMT4" ShapeID="_x0000_i1590" DrawAspect="Content" ObjectID="_1840627156" r:id="rId1096"/>
        </w:object>
      </w:r>
      <w:r w:rsidR="00015B17">
        <w:rPr>
          <w:spacing w:val="-3"/>
        </w:rPr>
        <w:t>.</w:t>
      </w:r>
    </w:p>
    <w:p w14:paraId="5D41AB83" w14:textId="77777777" w:rsidR="00015B17" w:rsidRPr="0069793D" w:rsidRDefault="00015B17" w:rsidP="00015B17">
      <w:pPr>
        <w:tabs>
          <w:tab w:val="left" w:pos="-720"/>
        </w:tabs>
        <w:suppressAutoHyphens/>
        <w:spacing w:line="360" w:lineRule="auto"/>
        <w:rPr>
          <w:spacing w:val="-3"/>
        </w:rPr>
      </w:pPr>
    </w:p>
    <w:p w14:paraId="3B5DABD0" w14:textId="4599999C" w:rsidR="00015B17" w:rsidRPr="0069793D" w:rsidRDefault="00015B17" w:rsidP="00015B17">
      <w:pPr>
        <w:tabs>
          <w:tab w:val="left" w:pos="-720"/>
        </w:tabs>
        <w:suppressAutoHyphens/>
        <w:spacing w:line="360" w:lineRule="auto"/>
        <w:rPr>
          <w:spacing w:val="-3"/>
        </w:rPr>
      </w:pPr>
      <w:r>
        <w:rPr>
          <w:spacing w:val="-3"/>
        </w:rPr>
        <w:tab/>
      </w:r>
      <w:r w:rsidRPr="0069793D">
        <w:rPr>
          <w:spacing w:val="-3"/>
        </w:rPr>
        <w:t xml:space="preserve">Another approximation for back-diffusion has been given by </w:t>
      </w:r>
      <w:r w:rsidR="00C82682" w:rsidRPr="0069793D">
        <w:rPr>
          <w:spacing w:val="-3"/>
        </w:rPr>
        <w:t>W</w:t>
      </w:r>
      <w:r w:rsidR="00C82682">
        <w:rPr>
          <w:spacing w:val="-3"/>
        </w:rPr>
        <w:t>ang</w:t>
      </w:r>
      <w:r w:rsidR="00C82682" w:rsidRPr="0069793D">
        <w:rPr>
          <w:spacing w:val="-3"/>
        </w:rPr>
        <w:t xml:space="preserve"> </w:t>
      </w:r>
      <w:r w:rsidRPr="0069793D">
        <w:rPr>
          <w:spacing w:val="-3"/>
        </w:rPr>
        <w:t>and B</w:t>
      </w:r>
      <w:r w:rsidR="00C82682" w:rsidRPr="0069793D">
        <w:rPr>
          <w:spacing w:val="-3"/>
        </w:rPr>
        <w:t>eckermann</w:t>
      </w:r>
      <w:r w:rsidRPr="0069793D">
        <w:rPr>
          <w:spacing w:val="-3"/>
        </w:rPr>
        <w:t xml:space="preserve"> [1993] who find a differential equation for solute balance </w:t>
      </w:r>
    </w:p>
    <w:p w14:paraId="139521A2" w14:textId="77777777" w:rsidR="00015B17" w:rsidRPr="0069793D" w:rsidRDefault="00015B17" w:rsidP="00015B17">
      <w:pPr>
        <w:tabs>
          <w:tab w:val="left" w:pos="-720"/>
        </w:tabs>
        <w:suppressAutoHyphens/>
        <w:spacing w:line="360" w:lineRule="auto"/>
        <w:rPr>
          <w:spacing w:val="-3"/>
        </w:rPr>
      </w:pPr>
    </w:p>
    <w:p w14:paraId="5B37F9E0" w14:textId="77777777" w:rsidR="00015B17" w:rsidRPr="0069793D" w:rsidRDefault="00015B17" w:rsidP="00015B17">
      <w:pPr>
        <w:tabs>
          <w:tab w:val="left" w:pos="-720"/>
        </w:tabs>
        <w:suppressAutoHyphens/>
        <w:spacing w:line="360" w:lineRule="auto"/>
        <w:jc w:val="center"/>
        <w:rPr>
          <w:spacing w:val="-3"/>
        </w:rPr>
      </w:pPr>
      <w:r w:rsidRPr="0069793D">
        <w:rPr>
          <w:spacing w:val="-3"/>
          <w:position w:val="-34"/>
        </w:rPr>
        <w:object w:dxaOrig="4560" w:dyaOrig="800" w14:anchorId="4355E263">
          <v:shape id="_x0000_i1591" type="#_x0000_t75" style="width:228.15pt;height:40.2pt" o:ole="">
            <v:imagedata r:id="rId1097" o:title=""/>
          </v:shape>
          <o:OLEObject Type="Embed" ProgID="Equation.DSMT4" ShapeID="_x0000_i1591" DrawAspect="Content" ObjectID="_1840627157" r:id="rId1098"/>
        </w:object>
      </w:r>
      <w:r w:rsidRPr="0069793D">
        <w:rPr>
          <w:spacing w:val="-3"/>
        </w:rPr>
        <w:t xml:space="preserve"> </w:t>
      </w:r>
      <w:r w:rsidR="006E6FC2">
        <w:rPr>
          <w:spacing w:val="-3"/>
        </w:rPr>
        <w:t>,</w:t>
      </w:r>
      <w:r w:rsidRPr="0069793D">
        <w:rPr>
          <w:spacing w:val="-3"/>
        </w:rPr>
        <w:t xml:space="preserve">   </w:t>
      </w:r>
      <w:r w:rsidRPr="0069793D">
        <w:rPr>
          <w:spacing w:val="-3"/>
        </w:rPr>
        <w:tab/>
        <w:t>(</w:t>
      </w:r>
      <w:r>
        <w:rPr>
          <w:spacing w:val="-3"/>
        </w:rPr>
        <w:t>7.35</w:t>
      </w:r>
      <w:r w:rsidRPr="0069793D">
        <w:rPr>
          <w:spacing w:val="-3"/>
        </w:rPr>
        <w:t>)</w:t>
      </w:r>
    </w:p>
    <w:p w14:paraId="0D79DECB" w14:textId="77777777" w:rsidR="00015B17" w:rsidRPr="0069793D" w:rsidRDefault="00015B17" w:rsidP="00015B17">
      <w:pPr>
        <w:tabs>
          <w:tab w:val="left" w:pos="-720"/>
        </w:tabs>
        <w:suppressAutoHyphens/>
        <w:spacing w:line="360" w:lineRule="auto"/>
        <w:jc w:val="center"/>
        <w:rPr>
          <w:spacing w:val="-3"/>
        </w:rPr>
      </w:pPr>
    </w:p>
    <w:p w14:paraId="1764D21D" w14:textId="77777777" w:rsidR="00015B17" w:rsidRPr="0069793D" w:rsidRDefault="008337E7" w:rsidP="00015B17">
      <w:pPr>
        <w:tabs>
          <w:tab w:val="left" w:pos="-720"/>
        </w:tabs>
        <w:suppressAutoHyphens/>
        <w:spacing w:line="360" w:lineRule="auto"/>
        <w:jc w:val="both"/>
        <w:rPr>
          <w:spacing w:val="-3"/>
        </w:rPr>
      </w:pPr>
      <w:r>
        <w:rPr>
          <w:spacing w:val="-3"/>
        </w:rPr>
        <w:t>w</w:t>
      </w:r>
      <w:r w:rsidR="00015B17" w:rsidRPr="0069793D">
        <w:rPr>
          <w:spacing w:val="-3"/>
        </w:rPr>
        <w:t xml:space="preserve">here their value of </w:t>
      </w:r>
      <w:r w:rsidR="00015B17" w:rsidRPr="0069793D">
        <w:rPr>
          <w:spacing w:val="-3"/>
          <w:position w:val="-14"/>
        </w:rPr>
        <w:object w:dxaOrig="1520" w:dyaOrig="440" w14:anchorId="50DABAF8">
          <v:shape id="_x0000_i1592" type="#_x0000_t75" style="width:75.75pt;height:21.5pt" o:ole="">
            <v:imagedata r:id="rId1099" o:title=""/>
          </v:shape>
          <o:OLEObject Type="Embed" ProgID="Equation.DSMT4" ShapeID="_x0000_i1592" DrawAspect="Content" ObjectID="_1840627158" r:id="rId1100"/>
        </w:object>
      </w:r>
      <w:r w:rsidR="00015B17" w:rsidRPr="0069793D">
        <w:rPr>
          <w:spacing w:val="-3"/>
        </w:rPr>
        <w:t xml:space="preserve">. Eqn </w:t>
      </w:r>
      <w:r w:rsidR="00015B17">
        <w:rPr>
          <w:spacing w:val="-3"/>
        </w:rPr>
        <w:t>7.35</w:t>
      </w:r>
      <w:r w:rsidR="00015B17" w:rsidRPr="0069793D">
        <w:rPr>
          <w:spacing w:val="-3"/>
        </w:rPr>
        <w:t xml:space="preserve"> has an integral solution </w:t>
      </w:r>
    </w:p>
    <w:p w14:paraId="11DD5723" w14:textId="77777777" w:rsidR="00015B17" w:rsidRPr="0069793D" w:rsidRDefault="00015B17" w:rsidP="00015B17">
      <w:pPr>
        <w:tabs>
          <w:tab w:val="left" w:pos="-720"/>
        </w:tabs>
        <w:suppressAutoHyphens/>
        <w:spacing w:line="360" w:lineRule="auto"/>
        <w:rPr>
          <w:spacing w:val="-3"/>
        </w:rPr>
      </w:pPr>
    </w:p>
    <w:p w14:paraId="7364A0D2" w14:textId="77777777" w:rsidR="00015B17" w:rsidRPr="0069793D" w:rsidRDefault="00015B17" w:rsidP="00015B17">
      <w:pPr>
        <w:tabs>
          <w:tab w:val="left" w:pos="-720"/>
        </w:tabs>
        <w:suppressAutoHyphens/>
        <w:spacing w:line="360" w:lineRule="auto"/>
        <w:jc w:val="center"/>
        <w:rPr>
          <w:spacing w:val="-3"/>
        </w:rPr>
      </w:pPr>
      <w:r w:rsidRPr="0069793D">
        <w:rPr>
          <w:spacing w:val="-3"/>
          <w:position w:val="-32"/>
        </w:rPr>
        <w:object w:dxaOrig="5660" w:dyaOrig="840" w14:anchorId="72438F1D">
          <v:shape id="_x0000_i1593" type="#_x0000_t75" style="width:283.3pt;height:42.1pt" o:ole="">
            <v:imagedata r:id="rId1101" o:title=""/>
          </v:shape>
          <o:OLEObject Type="Embed" ProgID="Equation.DSMT4" ShapeID="_x0000_i1593" DrawAspect="Content" ObjectID="_1840627159" r:id="rId1102"/>
        </w:object>
      </w:r>
      <w:r w:rsidRPr="0069793D">
        <w:rPr>
          <w:spacing w:val="-3"/>
        </w:rPr>
        <w:t xml:space="preserve"> </w:t>
      </w:r>
      <w:r w:rsidRPr="0069793D">
        <w:rPr>
          <w:spacing w:val="-3"/>
        </w:rPr>
        <w:tab/>
      </w:r>
      <w:r w:rsidR="006E6FC2">
        <w:rPr>
          <w:spacing w:val="-3"/>
        </w:rPr>
        <w:t>,</w:t>
      </w:r>
      <w:r w:rsidRPr="0069793D">
        <w:rPr>
          <w:spacing w:val="-3"/>
        </w:rPr>
        <w:tab/>
        <w:t>(</w:t>
      </w:r>
      <w:r>
        <w:rPr>
          <w:spacing w:val="-3"/>
        </w:rPr>
        <w:t>7.36</w:t>
      </w:r>
      <w:r w:rsidRPr="0069793D">
        <w:rPr>
          <w:spacing w:val="-3"/>
        </w:rPr>
        <w:t>)</w:t>
      </w:r>
    </w:p>
    <w:p w14:paraId="767A8096" w14:textId="77777777" w:rsidR="00015B17" w:rsidRPr="0069793D" w:rsidRDefault="00015B17" w:rsidP="00015B17">
      <w:pPr>
        <w:tabs>
          <w:tab w:val="left" w:pos="-720"/>
        </w:tabs>
        <w:suppressAutoHyphens/>
        <w:spacing w:line="360" w:lineRule="auto"/>
        <w:jc w:val="center"/>
        <w:rPr>
          <w:spacing w:val="-3"/>
        </w:rPr>
      </w:pPr>
    </w:p>
    <w:p w14:paraId="54A3F4B3" w14:textId="77777777" w:rsidR="00015B17" w:rsidRPr="0069793D" w:rsidRDefault="00015B17" w:rsidP="00015B17">
      <w:pPr>
        <w:tabs>
          <w:tab w:val="left" w:pos="-720"/>
        </w:tabs>
        <w:suppressAutoHyphens/>
        <w:spacing w:line="360" w:lineRule="auto"/>
        <w:rPr>
          <w:spacing w:val="-3"/>
        </w:rPr>
      </w:pPr>
      <w:r w:rsidRPr="0069793D">
        <w:rPr>
          <w:spacing w:val="-3"/>
        </w:rPr>
        <w:t xml:space="preserve">that must be evaluated numerically to give the liquid composition as a function of fraction solid. Beckermann and Wang’s approach also has the proper limits of global equilibrium and Scheil freezing for </w:t>
      </w:r>
      <w:r w:rsidRPr="0069793D">
        <w:rPr>
          <w:spacing w:val="-3"/>
          <w:position w:val="-12"/>
        </w:rPr>
        <w:object w:dxaOrig="840" w:dyaOrig="360" w14:anchorId="24D62F44">
          <v:shape id="_x0000_i1594" type="#_x0000_t75" style="width:42.1pt;height:17.75pt" o:ole="">
            <v:imagedata r:id="rId1103" o:title=""/>
          </v:shape>
          <o:OLEObject Type="Embed" ProgID="Equation.DSMT4" ShapeID="_x0000_i1594" DrawAspect="Content" ObjectID="_1840627160" r:id="rId1104"/>
        </w:object>
      </w:r>
      <w:r w:rsidRPr="0069793D">
        <w:rPr>
          <w:spacing w:val="-3"/>
        </w:rPr>
        <w:t xml:space="preserve">and </w:t>
      </w:r>
      <w:r w:rsidRPr="0069793D">
        <w:rPr>
          <w:spacing w:val="-3"/>
          <w:position w:val="-12"/>
        </w:rPr>
        <w:object w:dxaOrig="780" w:dyaOrig="360" w14:anchorId="47E0148D">
          <v:shape id="_x0000_i1595" type="#_x0000_t75" style="width:40.2pt;height:17.75pt" o:ole="">
            <v:imagedata r:id="rId1105" o:title=""/>
          </v:shape>
          <o:OLEObject Type="Embed" ProgID="Equation.DSMT4" ShapeID="_x0000_i1595" DrawAspect="Content" ObjectID="_1840627161" r:id="rId1106"/>
        </w:object>
      </w:r>
      <w:r w:rsidR="00C82682">
        <w:rPr>
          <w:spacing w:val="-3"/>
        </w:rPr>
        <w:t xml:space="preserve">, </w:t>
      </w:r>
      <w:r w:rsidRPr="0069793D">
        <w:rPr>
          <w:spacing w:val="-3"/>
        </w:rPr>
        <w:t>respectively. Corrections due to solid diffusion are very important for extremely slow solidification or when solid diffusion is very rapid as in the case of interstitial solutes, as for carbon</w:t>
      </w:r>
      <w:r w:rsidRPr="0069793D">
        <w:rPr>
          <w:i/>
          <w:spacing w:val="-3"/>
        </w:rPr>
        <w:t xml:space="preserve"> </w:t>
      </w:r>
      <w:r w:rsidRPr="0069793D">
        <w:rPr>
          <w:spacing w:val="-3"/>
        </w:rPr>
        <w:t>in steels (Schneider and Beckermann [1995]).</w:t>
      </w:r>
    </w:p>
    <w:p w14:paraId="30EF5AC2" w14:textId="77777777" w:rsidR="00015B17" w:rsidRPr="0069793D" w:rsidRDefault="00015B17" w:rsidP="00015B17">
      <w:pPr>
        <w:tabs>
          <w:tab w:val="left" w:pos="-720"/>
        </w:tabs>
        <w:suppressAutoHyphens/>
        <w:spacing w:line="360" w:lineRule="auto"/>
        <w:rPr>
          <w:spacing w:val="-3"/>
        </w:rPr>
      </w:pPr>
    </w:p>
    <w:p w14:paraId="6979953F" w14:textId="77777777" w:rsidR="00015B17" w:rsidRPr="0069793D" w:rsidRDefault="00015B17" w:rsidP="00015B17">
      <w:pPr>
        <w:tabs>
          <w:tab w:val="left" w:pos="-720"/>
        </w:tabs>
        <w:suppressAutoHyphens/>
        <w:spacing w:line="360" w:lineRule="auto"/>
        <w:rPr>
          <w:spacing w:val="-3"/>
        </w:rPr>
      </w:pPr>
      <w:r w:rsidRPr="0069793D">
        <w:rPr>
          <w:spacing w:val="-3"/>
        </w:rPr>
        <w:tab/>
        <w:t xml:space="preserve">While the above methods do permit one to calculate the fraction of solid versus temperature curve that is required for heat flow modeling for use in Eqn. 2.9 or 2.10, they only give the value of </w:t>
      </w:r>
      <w:r w:rsidRPr="0069793D">
        <w:rPr>
          <w:i/>
          <w:iCs/>
          <w:spacing w:val="-3"/>
        </w:rPr>
        <w:t>C</w:t>
      </w:r>
      <w:r w:rsidRPr="00727E8A">
        <w:rPr>
          <w:spacing w:val="-3"/>
          <w:sz w:val="26"/>
          <w:vertAlign w:val="subscript"/>
        </w:rPr>
        <w:t>S</w:t>
      </w:r>
      <w:r w:rsidRPr="0069793D">
        <w:rPr>
          <w:spacing w:val="-3"/>
        </w:rPr>
        <w:t xml:space="preserve"> at the </w:t>
      </w:r>
      <w:r w:rsidR="004201E7">
        <w:rPr>
          <w:spacing w:val="-3"/>
        </w:rPr>
        <w:t>L-S</w:t>
      </w:r>
      <w:r w:rsidRPr="0069793D">
        <w:rPr>
          <w:spacing w:val="-3"/>
        </w:rPr>
        <w:t xml:space="preserve"> interface and do not give the solute profile that remains in the solid after solidification. Full numerical solutions can overcome these limitations.  </w:t>
      </w:r>
    </w:p>
    <w:p w14:paraId="785F8ABE" w14:textId="77777777" w:rsidR="00015B17" w:rsidRPr="0096416C" w:rsidRDefault="00015B17" w:rsidP="00015B17">
      <w:pPr>
        <w:spacing w:line="360" w:lineRule="auto"/>
        <w:rPr>
          <w:spacing w:val="-3"/>
        </w:rPr>
      </w:pPr>
    </w:p>
    <w:p w14:paraId="045A9AB5" w14:textId="77777777" w:rsidR="00015B17" w:rsidRDefault="00015B17" w:rsidP="00015B17">
      <w:pPr>
        <w:spacing w:line="360" w:lineRule="auto"/>
        <w:rPr>
          <w:spacing w:val="-3"/>
        </w:rPr>
      </w:pPr>
      <w:r>
        <w:rPr>
          <w:b/>
          <w:bCs/>
          <w:spacing w:val="-3"/>
        </w:rPr>
        <w:t>7.4 Solidification of Ternary Alloys</w:t>
      </w:r>
    </w:p>
    <w:p w14:paraId="22EDB2A6" w14:textId="77777777" w:rsidR="00015B17" w:rsidRDefault="00015B17" w:rsidP="00015B17">
      <w:pPr>
        <w:tabs>
          <w:tab w:val="left" w:pos="-720"/>
        </w:tabs>
        <w:suppressAutoHyphens/>
        <w:spacing w:line="360" w:lineRule="auto"/>
        <w:rPr>
          <w:spacing w:val="-3"/>
        </w:rPr>
      </w:pPr>
    </w:p>
    <w:p w14:paraId="13EB5A2E" w14:textId="70AE5E00" w:rsidR="00015B17" w:rsidRDefault="00015B17" w:rsidP="00015B17">
      <w:pPr>
        <w:tabs>
          <w:tab w:val="left" w:pos="-720"/>
        </w:tabs>
        <w:suppressAutoHyphens/>
        <w:spacing w:line="360" w:lineRule="auto"/>
        <w:rPr>
          <w:spacing w:val="-3"/>
        </w:rPr>
      </w:pPr>
      <w:r>
        <w:rPr>
          <w:spacing w:val="-3"/>
        </w:rPr>
        <w:tab/>
        <w:t>Practical alloys typically contain many components</w:t>
      </w:r>
      <w:r w:rsidR="00245A3F">
        <w:rPr>
          <w:spacing w:val="-3"/>
        </w:rPr>
        <w:t>.</w:t>
      </w:r>
      <w:r>
        <w:rPr>
          <w:spacing w:val="-3"/>
        </w:rPr>
        <w:t xml:space="preserve"> </w:t>
      </w:r>
      <w:r w:rsidR="00245A3F">
        <w:rPr>
          <w:spacing w:val="-3"/>
        </w:rPr>
        <w:t xml:space="preserve">Thus, </w:t>
      </w:r>
      <w:r>
        <w:rPr>
          <w:spacing w:val="-3"/>
        </w:rPr>
        <w:t xml:space="preserve">a discussion of solidification in ternary alloys is appropriate and the study of ternary phase diagrams is essential. Much of the complexity of systems containing more than three components can be understood conceptually with the study of ternary systems.  The essential difference from </w:t>
      </w:r>
      <w:r>
        <w:rPr>
          <w:spacing w:val="-3"/>
        </w:rPr>
        <w:lastRenderedPageBreak/>
        <w:t>binary systems is the need to specify tie-line information.  Tie-lines are isothermal lines that connect the concentrations of the two phases in two phase regions of the</w:t>
      </w:r>
      <w:r w:rsidR="00C82682">
        <w:rPr>
          <w:spacing w:val="-3"/>
        </w:rPr>
        <w:t xml:space="preserve"> 3 dimensional ternary </w:t>
      </w:r>
      <w:r>
        <w:rPr>
          <w:spacing w:val="-3"/>
        </w:rPr>
        <w:t xml:space="preserve">phase diagram, for example for the liquid and solid. </w:t>
      </w:r>
      <w:r w:rsidR="00C82682">
        <w:rPr>
          <w:spacing w:val="-3"/>
        </w:rPr>
        <w:t xml:space="preserve">The concept of tie lines need not be geometrical however. They represent a functional relationship between concentration values that describe the liquid and those that specify the solid; thus they can be generalized to any number of components. </w:t>
      </w:r>
      <w:r>
        <w:rPr>
          <w:spacing w:val="-3"/>
        </w:rPr>
        <w:t xml:space="preserve">Two dimensional temperature vs. composition </w:t>
      </w:r>
      <w:r w:rsidR="00245A3F">
        <w:rPr>
          <w:spacing w:val="-3"/>
        </w:rPr>
        <w:t xml:space="preserve">sections </w:t>
      </w:r>
      <w:r>
        <w:rPr>
          <w:spacing w:val="-3"/>
        </w:rPr>
        <w:t>diagrams for ternary systems only indicate the identity of the phase present and a temperature and average composition, but not their individual phase compositions because tie-lines rarely lie in the plane of the section shown.</w:t>
      </w:r>
    </w:p>
    <w:p w14:paraId="46EF6250" w14:textId="77777777" w:rsidR="00015B17" w:rsidRDefault="00015B17" w:rsidP="00015B17">
      <w:pPr>
        <w:tabs>
          <w:tab w:val="left" w:pos="-720"/>
        </w:tabs>
        <w:suppressAutoHyphens/>
        <w:spacing w:line="360" w:lineRule="auto"/>
        <w:rPr>
          <w:spacing w:val="-3"/>
        </w:rPr>
      </w:pPr>
    </w:p>
    <w:p w14:paraId="689B7B77" w14:textId="77777777" w:rsidR="00015B17" w:rsidRDefault="00015B17" w:rsidP="00015B17">
      <w:pPr>
        <w:tabs>
          <w:tab w:val="left" w:pos="-720"/>
        </w:tabs>
        <w:suppressAutoHyphens/>
        <w:spacing w:line="360" w:lineRule="auto"/>
        <w:rPr>
          <w:spacing w:val="-3"/>
        </w:rPr>
      </w:pPr>
      <w:r>
        <w:rPr>
          <w:spacing w:val="-3"/>
        </w:rPr>
        <w:tab/>
        <w:t xml:space="preserve"> Many texts are available for the study of ternary phase diagrams. Examples include </w:t>
      </w:r>
      <w:smartTag w:uri="urn:schemas-microsoft-com:office:smarttags" w:element="place">
        <w:r>
          <w:rPr>
            <w:spacing w:val="-3"/>
          </w:rPr>
          <w:t>Rhines</w:t>
        </w:r>
      </w:smartTag>
      <w:r>
        <w:rPr>
          <w:spacing w:val="-3"/>
        </w:rPr>
        <w:t xml:space="preserve"> [1956], Massing and Rodgers [1960],</w:t>
      </w:r>
      <w:r w:rsidRPr="00E567FC">
        <w:rPr>
          <w:spacing w:val="-3"/>
        </w:rPr>
        <w:t xml:space="preserve"> </w:t>
      </w:r>
      <w:r>
        <w:rPr>
          <w:spacing w:val="-3"/>
        </w:rPr>
        <w:t xml:space="preserve">Prince [1966], and West [1982]. One difficulty with these standard texts is that discussions of solidification always assume global equilibrium during cooling. The greatest value comes from learning the structure of the phase diagrams but then using them to describe conditions of local interface equilibrium for understanding and modeling solidification. </w:t>
      </w:r>
    </w:p>
    <w:p w14:paraId="2FDC6D5B" w14:textId="77777777" w:rsidR="00015B17" w:rsidRDefault="00015B17" w:rsidP="00015B17">
      <w:pPr>
        <w:tabs>
          <w:tab w:val="left" w:pos="-720"/>
        </w:tabs>
        <w:suppressAutoHyphens/>
        <w:spacing w:line="360" w:lineRule="auto"/>
        <w:rPr>
          <w:spacing w:val="-3"/>
        </w:rPr>
      </w:pPr>
    </w:p>
    <w:p w14:paraId="365C0FD4" w14:textId="6C591424" w:rsidR="00015B17" w:rsidRDefault="00015B17" w:rsidP="00015B17">
      <w:pPr>
        <w:tabs>
          <w:tab w:val="left" w:pos="-720"/>
        </w:tabs>
        <w:suppressAutoHyphens/>
        <w:spacing w:line="360" w:lineRule="auto"/>
        <w:rPr>
          <w:spacing w:val="-3"/>
        </w:rPr>
      </w:pPr>
      <w:r>
        <w:rPr>
          <w:spacing w:val="-3"/>
        </w:rPr>
        <w:tab/>
        <w:t xml:space="preserve">Depending </w:t>
      </w:r>
      <w:r w:rsidR="008337E7">
        <w:rPr>
          <w:spacing w:val="-3"/>
        </w:rPr>
        <w:t xml:space="preserve">on </w:t>
      </w:r>
      <w:r>
        <w:rPr>
          <w:spacing w:val="-3"/>
        </w:rPr>
        <w:t>the alloy system</w:t>
      </w:r>
      <w:r w:rsidR="008337E7">
        <w:rPr>
          <w:spacing w:val="-3"/>
        </w:rPr>
        <w:t>,</w:t>
      </w:r>
      <w:r>
        <w:rPr>
          <w:spacing w:val="-3"/>
        </w:rPr>
        <w:t xml:space="preserve"> primary solidification can be followed by secondary products. Three phase equilibrium between a liquid and two solid phases occurs routinely in ternary systems and is represented graphically by isothermal tie-triangles, for example binary eutectic reactions (</w:t>
      </w:r>
      <w:r w:rsidRPr="009E0F26">
        <w:rPr>
          <w:spacing w:val="-3"/>
          <w:position w:val="-10"/>
        </w:rPr>
        <w:object w:dxaOrig="1100" w:dyaOrig="320" w14:anchorId="7A813EAF">
          <v:shape id="_x0000_i1596" type="#_x0000_t75" style="width:55.15pt;height:16.85pt" o:ole="">
            <v:imagedata r:id="rId1107" o:title=""/>
          </v:shape>
          <o:OLEObject Type="Embed" ProgID="Equation.DSMT4" ShapeID="_x0000_i1596" DrawAspect="Content" ObjectID="_1840627162" r:id="rId1108"/>
        </w:object>
      </w:r>
      <w:r>
        <w:rPr>
          <w:spacing w:val="-3"/>
        </w:rPr>
        <w:t>) and binary peritectic reactions (</w:t>
      </w:r>
      <w:r w:rsidRPr="009E0F26">
        <w:rPr>
          <w:spacing w:val="-3"/>
          <w:position w:val="-10"/>
        </w:rPr>
        <w:object w:dxaOrig="1100" w:dyaOrig="320" w14:anchorId="4B4EBB21">
          <v:shape id="_x0000_i1597" type="#_x0000_t75" style="width:55.15pt;height:16.85pt" o:ole="">
            <v:imagedata r:id="rId1109" o:title=""/>
          </v:shape>
          <o:OLEObject Type="Embed" ProgID="Equation.DSMT4" ShapeID="_x0000_i1597" DrawAspect="Content" ObjectID="_1840627163" r:id="rId1110"/>
        </w:object>
      </w:r>
      <w:r>
        <w:rPr>
          <w:spacing w:val="-3"/>
        </w:rPr>
        <w:t xml:space="preserve">) in a ternary system. Such three phase equilibria can occur over a range of temperature in contrast to a binary system and are called monovariant in a ternary system at constant pressure.  Lower temperature phase diagram </w:t>
      </w:r>
      <w:r w:rsidR="00C82682">
        <w:rPr>
          <w:spacing w:val="-3"/>
        </w:rPr>
        <w:t>features are</w:t>
      </w:r>
      <w:r>
        <w:rPr>
          <w:spacing w:val="-3"/>
        </w:rPr>
        <w:t xml:space="preserve"> indicated to occur at a fixed temperature and involve four phases. In a ternary system these are invariant reactions. There are three types, </w:t>
      </w:r>
      <w:r w:rsidRPr="006A2FE7">
        <w:rPr>
          <w:spacing w:val="-3"/>
          <w:position w:val="-10"/>
        </w:rPr>
        <w:object w:dxaOrig="1440" w:dyaOrig="320" w14:anchorId="266DCF0F">
          <v:shape id="_x0000_i1598" type="#_x0000_t75" style="width:1in;height:16.85pt" o:ole="">
            <v:imagedata r:id="rId1111" o:title=""/>
          </v:shape>
          <o:OLEObject Type="Embed" ProgID="Equation.DSMT4" ShapeID="_x0000_i1598" DrawAspect="Content" ObjectID="_1840627164" r:id="rId1112"/>
        </w:object>
      </w:r>
      <w:r>
        <w:rPr>
          <w:spacing w:val="-3"/>
        </w:rPr>
        <w:t xml:space="preserve"> (ternary eutectic) and </w:t>
      </w:r>
      <w:r w:rsidRPr="006A2FE7">
        <w:rPr>
          <w:spacing w:val="-3"/>
          <w:position w:val="-10"/>
        </w:rPr>
        <w:object w:dxaOrig="1440" w:dyaOrig="320" w14:anchorId="5DAD45C5">
          <v:shape id="_x0000_i1599" type="#_x0000_t75" style="width:1in;height:16.85pt" o:ole="">
            <v:imagedata r:id="rId1113" o:title=""/>
          </v:shape>
          <o:OLEObject Type="Embed" ProgID="Equation.DSMT4" ShapeID="_x0000_i1599" DrawAspect="Content" ObjectID="_1840627165" r:id="rId1114"/>
        </w:object>
      </w:r>
      <w:r>
        <w:rPr>
          <w:spacing w:val="-3"/>
        </w:rPr>
        <w:t xml:space="preserve"> (quasi-peritectic) and the rare </w:t>
      </w:r>
      <w:r w:rsidRPr="006A2FE7">
        <w:rPr>
          <w:spacing w:val="-3"/>
          <w:position w:val="-10"/>
        </w:rPr>
        <w:object w:dxaOrig="1440" w:dyaOrig="320" w14:anchorId="5B5A6FCE">
          <v:shape id="_x0000_i1600" type="#_x0000_t75" style="width:1in;height:16.85pt" o:ole="">
            <v:imagedata r:id="rId1115" o:title=""/>
          </v:shape>
          <o:OLEObject Type="Embed" ProgID="Equation.DSMT4" ShapeID="_x0000_i1600" DrawAspect="Content" ObjectID="_1840627166" r:id="rId1116"/>
        </w:object>
      </w:r>
      <w:r>
        <w:rPr>
          <w:spacing w:val="-3"/>
        </w:rPr>
        <w:t xml:space="preserve"> (ternary peritectic)</w:t>
      </w:r>
      <w:r w:rsidRPr="00883A53">
        <w:rPr>
          <w:rStyle w:val="FootnoteReference"/>
          <w:spacing w:val="-3"/>
          <w:sz w:val="26"/>
        </w:rPr>
        <w:footnoteReference w:id="2"/>
      </w:r>
      <w:r>
        <w:rPr>
          <w:spacing w:val="-3"/>
        </w:rPr>
        <w:t>. However</w:t>
      </w:r>
      <w:r w:rsidR="008337E7">
        <w:rPr>
          <w:spacing w:val="-3"/>
        </w:rPr>
        <w:t>,</w:t>
      </w:r>
      <w:r>
        <w:rPr>
          <w:spacing w:val="-3"/>
        </w:rPr>
        <w:t xml:space="preserve"> in analogy with a peritectic invariant in a binary alloy, the last two indicate merely a liquid composition and temperature where a </w:t>
      </w:r>
      <w:r>
        <w:rPr>
          <w:spacing w:val="-3"/>
        </w:rPr>
        <w:lastRenderedPageBreak/>
        <w:t>“switching” of the products of solidification occur in most solidification situations. A discussion of the microstructure produced by some of the phase diagram features is described forthwith.</w:t>
      </w:r>
      <w:r w:rsidRPr="00D93CB1">
        <w:rPr>
          <w:spacing w:val="-3"/>
        </w:rPr>
        <w:t xml:space="preserve"> </w:t>
      </w:r>
    </w:p>
    <w:p w14:paraId="04D814B5" w14:textId="77777777" w:rsidR="00015B17" w:rsidRDefault="00015B17" w:rsidP="00015B17">
      <w:pPr>
        <w:tabs>
          <w:tab w:val="left" w:pos="-720"/>
        </w:tabs>
        <w:suppressAutoHyphens/>
        <w:spacing w:line="360" w:lineRule="auto"/>
        <w:rPr>
          <w:spacing w:val="-3"/>
        </w:rPr>
      </w:pPr>
    </w:p>
    <w:p w14:paraId="709F0B50" w14:textId="77777777" w:rsidR="00015B17" w:rsidRDefault="00015B17" w:rsidP="00015B17">
      <w:pPr>
        <w:tabs>
          <w:tab w:val="left" w:pos="-720"/>
        </w:tabs>
        <w:suppressAutoHyphens/>
        <w:spacing w:line="360" w:lineRule="auto"/>
        <w:rPr>
          <w:spacing w:val="-3"/>
        </w:rPr>
      </w:pPr>
      <w:r>
        <w:rPr>
          <w:spacing w:val="-3"/>
        </w:rPr>
        <w:tab/>
        <w:t xml:space="preserve">For solidification </w:t>
      </w:r>
      <w:r w:rsidR="008337E7">
        <w:rPr>
          <w:spacing w:val="-3"/>
        </w:rPr>
        <w:t xml:space="preserve">of </w:t>
      </w:r>
      <w:r>
        <w:rPr>
          <w:spacing w:val="-3"/>
        </w:rPr>
        <w:t xml:space="preserve">a single solid phase from a ternary liquid, the tie lines can be described by a pair of partition coefficients,  </w:t>
      </w:r>
      <w:r w:rsidRPr="00463337">
        <w:rPr>
          <w:spacing w:val="-3"/>
          <w:position w:val="-12"/>
        </w:rPr>
        <w:object w:dxaOrig="1300" w:dyaOrig="380" w14:anchorId="3780187D">
          <v:shape id="_x0000_i1601" type="#_x0000_t75" style="width:66.4pt;height:18.7pt" o:ole="">
            <v:imagedata r:id="rId1117" o:title=""/>
          </v:shape>
          <o:OLEObject Type="Embed" ProgID="Equation.DSMT4" ShapeID="_x0000_i1601" DrawAspect="Content" ObjectID="_1840627167" r:id="rId1118"/>
        </w:object>
      </w:r>
      <w:r>
        <w:rPr>
          <w:spacing w:val="-3"/>
        </w:rPr>
        <w:t xml:space="preserve"> for the relationship between the solid and liquid concentration for each alloying addition.  In general these are not constants and depend on temperature and/or concentration themselves. Use of a Calphad type approach as described in § 3 is best in these situations to quantify how the composition of liquid and solid phases are related.    </w:t>
      </w:r>
    </w:p>
    <w:p w14:paraId="2081F8AC" w14:textId="77777777" w:rsidR="00015B17" w:rsidRDefault="00015B17" w:rsidP="00015B17">
      <w:pPr>
        <w:tabs>
          <w:tab w:val="left" w:pos="-720"/>
        </w:tabs>
        <w:suppressAutoHyphens/>
        <w:spacing w:line="360" w:lineRule="auto"/>
        <w:rPr>
          <w:spacing w:val="-3"/>
        </w:rPr>
      </w:pPr>
    </w:p>
    <w:p w14:paraId="352D94A9" w14:textId="77777777" w:rsidR="00015B17" w:rsidRDefault="00015B17" w:rsidP="00015B17">
      <w:pPr>
        <w:tabs>
          <w:tab w:val="left" w:pos="-720"/>
        </w:tabs>
        <w:suppressAutoHyphens/>
        <w:spacing w:line="360" w:lineRule="auto"/>
        <w:rPr>
          <w:spacing w:val="-3"/>
        </w:rPr>
      </w:pPr>
      <w:r>
        <w:rPr>
          <w:spacing w:val="-3"/>
        </w:rPr>
        <w:tab/>
        <w:t>For the dendritic growth of the primary phase, the Scheil approach can be utilized, and if desired, a dendrite tip model constructed.</w:t>
      </w:r>
      <w:r w:rsidRPr="002729A1">
        <w:rPr>
          <w:spacing w:val="-3"/>
        </w:rPr>
        <w:t xml:space="preserve"> </w:t>
      </w:r>
      <w:r>
        <w:rPr>
          <w:spacing w:val="-3"/>
        </w:rPr>
        <w:t xml:space="preserve"> For a treatment of the kinetics of the dendrite tip in a multicomponent alloy, Ivantsov solutions are obtained for each solute to determine the composition of each solute at the dendrite tip. The marginal stability criterion for the multicomponent alloy is applied to determine the tip radius as shown by B</w:t>
      </w:r>
      <w:r w:rsidR="00C82682">
        <w:rPr>
          <w:spacing w:val="-3"/>
        </w:rPr>
        <w:t>obadilla</w:t>
      </w:r>
      <w:r>
        <w:rPr>
          <w:spacing w:val="-3"/>
        </w:rPr>
        <w:t xml:space="preserve"> </w:t>
      </w:r>
      <w:r>
        <w:rPr>
          <w:i/>
          <w:iCs/>
          <w:spacing w:val="-3"/>
        </w:rPr>
        <w:t>et al.</w:t>
      </w:r>
      <w:r>
        <w:rPr>
          <w:spacing w:val="-3"/>
        </w:rPr>
        <w:t xml:space="preserve"> [1989] and R</w:t>
      </w:r>
      <w:r w:rsidR="00C82682">
        <w:rPr>
          <w:spacing w:val="-3"/>
        </w:rPr>
        <w:t>appaz</w:t>
      </w:r>
      <w:r>
        <w:rPr>
          <w:spacing w:val="-3"/>
        </w:rPr>
        <w:t xml:space="preserve"> </w:t>
      </w:r>
      <w:r>
        <w:rPr>
          <w:i/>
          <w:iCs/>
          <w:spacing w:val="-3"/>
        </w:rPr>
        <w:t>et al.</w:t>
      </w:r>
      <w:r>
        <w:rPr>
          <w:spacing w:val="-3"/>
        </w:rPr>
        <w:t xml:space="preserve"> [1990]. Rappaz and Boettinger [1999] have extended both dendrite tip equations as well as the secondary arm spacing prediction to multicomponent alloys and to situations with unequal liquid diffusion coefficients for the components.</w:t>
      </w:r>
    </w:p>
    <w:p w14:paraId="30ACD762" w14:textId="77777777" w:rsidR="00015B17" w:rsidRDefault="00015B17" w:rsidP="00015B17">
      <w:pPr>
        <w:tabs>
          <w:tab w:val="left" w:pos="-720"/>
        </w:tabs>
        <w:suppressAutoHyphens/>
        <w:spacing w:line="360" w:lineRule="auto"/>
        <w:rPr>
          <w:spacing w:val="-3"/>
        </w:rPr>
      </w:pPr>
    </w:p>
    <w:p w14:paraId="71CFA915" w14:textId="77777777" w:rsidR="00015B17" w:rsidRDefault="00015B17" w:rsidP="00015B17">
      <w:pPr>
        <w:tabs>
          <w:tab w:val="left" w:pos="-720"/>
        </w:tabs>
        <w:suppressAutoHyphens/>
        <w:spacing w:line="360" w:lineRule="auto"/>
        <w:rPr>
          <w:spacing w:val="-3"/>
        </w:rPr>
      </w:pPr>
      <w:r>
        <w:rPr>
          <w:spacing w:val="-3"/>
        </w:rPr>
        <w:tab/>
        <w:t>Use of the Scheil approach to determine the solidification path is quite useful and will be explore</w:t>
      </w:r>
      <w:r w:rsidR="008337E7">
        <w:rPr>
          <w:spacing w:val="-3"/>
        </w:rPr>
        <w:t>d</w:t>
      </w:r>
      <w:r>
        <w:rPr>
          <w:spacing w:val="-3"/>
        </w:rPr>
        <w:t xml:space="preserve"> in some detail. The solidification path for an </w:t>
      </w:r>
      <w:r w:rsidRPr="003451C6">
        <w:rPr>
          <w:i/>
          <w:spacing w:val="-3"/>
        </w:rPr>
        <w:t>n</w:t>
      </w:r>
      <w:r>
        <w:rPr>
          <w:spacing w:val="-3"/>
        </w:rPr>
        <w:t xml:space="preserve">-component alloy is the composition of liquid (and thus solid) as a function of fraction solid obtained from the set of </w:t>
      </w:r>
      <w:r w:rsidRPr="003451C6">
        <w:rPr>
          <w:spacing w:val="-3"/>
          <w:position w:val="-6"/>
        </w:rPr>
        <w:object w:dxaOrig="480" w:dyaOrig="279" w14:anchorId="48384768">
          <v:shape id="_x0000_i1602" type="#_x0000_t75" style="width:24.3pt;height:14.05pt" o:ole="">
            <v:imagedata r:id="rId1119" o:title=""/>
          </v:shape>
          <o:OLEObject Type="Embed" ProgID="Equation.DSMT4" ShapeID="_x0000_i1602" DrawAspect="Content" ObjectID="_1840627168" r:id="rId1120"/>
        </w:object>
      </w:r>
      <w:r>
        <w:rPr>
          <w:spacing w:val="-3"/>
        </w:rPr>
        <w:t xml:space="preserve"> equations</w:t>
      </w:r>
    </w:p>
    <w:p w14:paraId="46968CB4" w14:textId="77777777" w:rsidR="00015B17" w:rsidRDefault="00015B17" w:rsidP="00015B17">
      <w:pPr>
        <w:tabs>
          <w:tab w:val="left" w:pos="-720"/>
        </w:tabs>
        <w:suppressAutoHyphens/>
        <w:spacing w:line="360" w:lineRule="auto"/>
        <w:jc w:val="both"/>
        <w:rPr>
          <w:spacing w:val="-3"/>
        </w:rPr>
      </w:pPr>
    </w:p>
    <w:p w14:paraId="18A0BBD2" w14:textId="77777777" w:rsidR="00015B17" w:rsidRDefault="00015B17" w:rsidP="00015B17">
      <w:pPr>
        <w:tabs>
          <w:tab w:val="left" w:pos="-720"/>
        </w:tabs>
        <w:suppressAutoHyphens/>
        <w:spacing w:line="360" w:lineRule="auto"/>
        <w:jc w:val="center"/>
        <w:rPr>
          <w:spacing w:val="-3"/>
        </w:rPr>
      </w:pPr>
      <w:r w:rsidRPr="00037DAD">
        <w:rPr>
          <w:spacing w:val="-3"/>
          <w:position w:val="-30"/>
        </w:rPr>
        <w:object w:dxaOrig="1939" w:dyaOrig="720" w14:anchorId="32182C03">
          <v:shape id="_x0000_i1603" type="#_x0000_t75" style="width:97.25pt;height:36.45pt" o:ole="">
            <v:imagedata r:id="rId1121" o:title=""/>
          </v:shape>
          <o:OLEObject Type="Embed" ProgID="Equation.DSMT4" ShapeID="_x0000_i1603" DrawAspect="Content" ObjectID="_1840627169" r:id="rId1122"/>
        </w:object>
      </w:r>
      <w:r>
        <w:rPr>
          <w:spacing w:val="-3"/>
        </w:rPr>
        <w:tab/>
      </w:r>
      <w:r>
        <w:rPr>
          <w:spacing w:val="-3"/>
        </w:rPr>
        <w:tab/>
      </w:r>
      <w:r>
        <w:rPr>
          <w:spacing w:val="-3"/>
        </w:rPr>
        <w:tab/>
        <w:t>(7.37)</w:t>
      </w:r>
    </w:p>
    <w:p w14:paraId="69522660" w14:textId="77777777" w:rsidR="00015B17" w:rsidRDefault="00015B17" w:rsidP="00015B17">
      <w:pPr>
        <w:tabs>
          <w:tab w:val="left" w:pos="-720"/>
        </w:tabs>
        <w:suppressAutoHyphens/>
        <w:spacing w:line="360" w:lineRule="auto"/>
        <w:jc w:val="center"/>
        <w:rPr>
          <w:spacing w:val="-3"/>
        </w:rPr>
      </w:pPr>
    </w:p>
    <w:p w14:paraId="0F972ED5" w14:textId="200E565B" w:rsidR="00015B17" w:rsidRDefault="00015B17" w:rsidP="00015B17">
      <w:pPr>
        <w:tabs>
          <w:tab w:val="left" w:pos="-720"/>
        </w:tabs>
        <w:suppressAutoHyphens/>
        <w:spacing w:line="360" w:lineRule="auto"/>
        <w:rPr>
          <w:spacing w:val="-3"/>
        </w:rPr>
      </w:pPr>
      <w:r>
        <w:rPr>
          <w:spacing w:val="-3"/>
        </w:rPr>
        <w:t>that are uncoupled if</w:t>
      </w:r>
      <w:r>
        <w:rPr>
          <w:i/>
          <w:iCs/>
          <w:spacing w:val="-3"/>
        </w:rPr>
        <w:t xml:space="preserve"> </w:t>
      </w:r>
      <w:r w:rsidRPr="00756AC7">
        <w:rPr>
          <w:i/>
          <w:iCs/>
          <w:spacing w:val="-3"/>
          <w:position w:val="-12"/>
        </w:rPr>
        <w:object w:dxaOrig="1600" w:dyaOrig="380" w14:anchorId="645D30A6">
          <v:shape id="_x0000_i1604" type="#_x0000_t75" style="width:80.4pt;height:18.7pt" o:ole="">
            <v:imagedata r:id="rId1123" o:title=""/>
          </v:shape>
          <o:OLEObject Type="Embed" ProgID="Equation.DSMT4" ShapeID="_x0000_i1604" DrawAspect="Content" ObjectID="_1840627170" r:id="rId1124"/>
        </w:object>
      </w:r>
      <w:r>
        <w:rPr>
          <w:spacing w:val="-3"/>
        </w:rPr>
        <w:t>do not depend on the composition of the other species. If the</w:t>
      </w:r>
      <w:r w:rsidRPr="00756AC7">
        <w:rPr>
          <w:spacing w:val="-3"/>
          <w:position w:val="-12"/>
        </w:rPr>
        <w:object w:dxaOrig="380" w:dyaOrig="380" w14:anchorId="66204E08">
          <v:shape id="_x0000_i1605" type="#_x0000_t75" style="width:18.7pt;height:18.7pt" o:ole="">
            <v:imagedata r:id="rId1125" o:title=""/>
          </v:shape>
          <o:OLEObject Type="Embed" ProgID="Equation.DSMT4" ShapeID="_x0000_i1605" DrawAspect="Content" ObjectID="_1840627171" r:id="rId1126"/>
        </w:object>
      </w:r>
      <w:r>
        <w:rPr>
          <w:spacing w:val="-3"/>
        </w:rPr>
        <w:t xml:space="preserve"> and </w:t>
      </w:r>
      <w:r w:rsidRPr="00644B30">
        <w:rPr>
          <w:spacing w:val="-3"/>
          <w:position w:val="-12"/>
        </w:rPr>
        <w:object w:dxaOrig="320" w:dyaOrig="380" w14:anchorId="005E812C">
          <v:shape id="_x0000_i1606" type="#_x0000_t75" style="width:16.85pt;height:18.7pt" o:ole="">
            <v:imagedata r:id="rId1127" o:title=""/>
          </v:shape>
          <o:OLEObject Type="Embed" ProgID="Equation.DSMT4" ShapeID="_x0000_i1606" DrawAspect="Content" ObjectID="_1840627172" r:id="rId1128"/>
        </w:object>
      </w:r>
      <w:r>
        <w:rPr>
          <w:spacing w:val="-3"/>
        </w:rPr>
        <w:t xml:space="preserve"> are constants, then for an alloy of initial composition </w:t>
      </w:r>
      <w:r>
        <w:rPr>
          <w:i/>
          <w:iCs/>
          <w:spacing w:val="-3"/>
        </w:rPr>
        <w:t>C</w:t>
      </w:r>
      <w:r w:rsidRPr="00727E8A">
        <w:rPr>
          <w:spacing w:val="-3"/>
          <w:sz w:val="26"/>
          <w:vertAlign w:val="subscript"/>
        </w:rPr>
        <w:t>0i</w:t>
      </w:r>
      <w:r>
        <w:rPr>
          <w:spacing w:val="-3"/>
        </w:rPr>
        <w:t>,</w:t>
      </w:r>
    </w:p>
    <w:p w14:paraId="35EC61D1" w14:textId="77777777" w:rsidR="00015B17" w:rsidRDefault="00015B17" w:rsidP="00015B17">
      <w:pPr>
        <w:tabs>
          <w:tab w:val="left" w:pos="-720"/>
        </w:tabs>
        <w:suppressAutoHyphens/>
        <w:spacing w:line="360" w:lineRule="auto"/>
        <w:jc w:val="both"/>
        <w:rPr>
          <w:spacing w:val="-3"/>
        </w:rPr>
      </w:pPr>
    </w:p>
    <w:p w14:paraId="487170DB" w14:textId="77777777" w:rsidR="00015B17" w:rsidRDefault="00015B17" w:rsidP="00015B17">
      <w:pPr>
        <w:tabs>
          <w:tab w:val="left" w:pos="-720"/>
        </w:tabs>
        <w:suppressAutoHyphens/>
        <w:spacing w:line="360" w:lineRule="auto"/>
        <w:jc w:val="center"/>
        <w:rPr>
          <w:spacing w:val="-3"/>
        </w:rPr>
      </w:pPr>
      <w:r w:rsidRPr="00756AC7">
        <w:rPr>
          <w:spacing w:val="-3"/>
          <w:position w:val="-50"/>
        </w:rPr>
        <w:object w:dxaOrig="3500" w:dyaOrig="1120" w14:anchorId="448E168D">
          <v:shape id="_x0000_i1607" type="#_x0000_t75" style="width:175.8pt;height:55.15pt" o:ole="">
            <v:imagedata r:id="rId1129" o:title=""/>
          </v:shape>
          <o:OLEObject Type="Embed" ProgID="Equation.DSMT4" ShapeID="_x0000_i1607" DrawAspect="Content" ObjectID="_1840627173" r:id="rId1130"/>
        </w:object>
      </w:r>
      <w:r>
        <w:rPr>
          <w:spacing w:val="-3"/>
        </w:rPr>
        <w:tab/>
      </w:r>
      <w:r>
        <w:rPr>
          <w:spacing w:val="-3"/>
        </w:rPr>
        <w:tab/>
      </w:r>
      <w:r w:rsidR="006E6FC2">
        <w:rPr>
          <w:spacing w:val="-3"/>
        </w:rPr>
        <w:t>,</w:t>
      </w:r>
      <w:r>
        <w:rPr>
          <w:spacing w:val="-3"/>
        </w:rPr>
        <w:tab/>
        <w:t>(7.38)</w:t>
      </w:r>
    </w:p>
    <w:p w14:paraId="43036AE8" w14:textId="77777777" w:rsidR="00015B17" w:rsidRDefault="00015B17" w:rsidP="00015B17">
      <w:pPr>
        <w:tabs>
          <w:tab w:val="left" w:pos="-720"/>
        </w:tabs>
        <w:suppressAutoHyphens/>
        <w:spacing w:line="360" w:lineRule="auto"/>
        <w:jc w:val="center"/>
        <w:rPr>
          <w:spacing w:val="-3"/>
        </w:rPr>
      </w:pPr>
    </w:p>
    <w:p w14:paraId="75292EF4" w14:textId="77777777" w:rsidR="00015B17" w:rsidRDefault="00015B17" w:rsidP="00015B17">
      <w:pPr>
        <w:tabs>
          <w:tab w:val="left" w:pos="-720"/>
        </w:tabs>
        <w:suppressAutoHyphens/>
        <w:spacing w:line="360" w:lineRule="auto"/>
        <w:rPr>
          <w:spacing w:val="-3"/>
        </w:rPr>
      </w:pPr>
      <w:r>
        <w:rPr>
          <w:spacing w:val="-3"/>
        </w:rPr>
        <w:t xml:space="preserve">during primary solidification. For a ternary alloy a plot of </w:t>
      </w:r>
      <w:r w:rsidRPr="004750E5">
        <w:rPr>
          <w:spacing w:val="-3"/>
          <w:position w:val="-10"/>
        </w:rPr>
        <w:object w:dxaOrig="380" w:dyaOrig="360" w14:anchorId="1A040774">
          <v:shape id="_x0000_i1608" type="#_x0000_t75" style="width:18.7pt;height:17.75pt" o:ole="">
            <v:imagedata r:id="rId1131" o:title=""/>
          </v:shape>
          <o:OLEObject Type="Embed" ProgID="Equation.DSMT4" ShapeID="_x0000_i1608" DrawAspect="Content" ObjectID="_1840627174" r:id="rId1132"/>
        </w:object>
      </w:r>
      <w:r>
        <w:rPr>
          <w:spacing w:val="-3"/>
        </w:rPr>
        <w:t xml:space="preserve"> vs. </w:t>
      </w:r>
      <w:r w:rsidRPr="004750E5">
        <w:rPr>
          <w:spacing w:val="-3"/>
          <w:position w:val="-10"/>
        </w:rPr>
        <w:object w:dxaOrig="400" w:dyaOrig="360" w14:anchorId="279EA20B">
          <v:shape id="_x0000_i1609" type="#_x0000_t75" style="width:19.65pt;height:17.75pt" o:ole="">
            <v:imagedata r:id="rId1133" o:title=""/>
          </v:shape>
          <o:OLEObject Type="Embed" ProgID="Equation.DSMT4" ShapeID="_x0000_i1609" DrawAspect="Content" ObjectID="_1840627175" r:id="rId1134"/>
        </w:object>
      </w:r>
      <w:r>
        <w:rPr>
          <w:spacing w:val="-3"/>
        </w:rPr>
        <w:t xml:space="preserve"> on the liquidus surface of the phase diagram shows the solidification path. One then determines the fraction solid at which the liquid path crosses a monovariant line. If the line is of eutectic character, simultaneous solidification of two solid phases occurs and the liquid composition follows this path of the </w:t>
      </w:r>
      <w:r w:rsidR="00245A3F">
        <w:rPr>
          <w:spacing w:val="-3"/>
        </w:rPr>
        <w:t xml:space="preserve">monovariant </w:t>
      </w:r>
      <w:r>
        <w:rPr>
          <w:spacing w:val="-3"/>
        </w:rPr>
        <w:t xml:space="preserve">line during eutectic solidification as the temperature decreases. </w:t>
      </w:r>
      <w:r w:rsidRPr="008852CA">
        <w:rPr>
          <w:spacing w:val="-3"/>
        </w:rPr>
        <w:t>Analytical description of monovariant eutectic solidification path is given by Mehrabian</w:t>
      </w:r>
      <w:r>
        <w:rPr>
          <w:spacing w:val="-3"/>
        </w:rPr>
        <w:t xml:space="preserve"> and Flemings [1970]</w:t>
      </w:r>
      <w:r w:rsidRPr="008852CA">
        <w:rPr>
          <w:spacing w:val="-3"/>
        </w:rPr>
        <w:t xml:space="preserve">. </w:t>
      </w:r>
      <w:r>
        <w:rPr>
          <w:spacing w:val="-3"/>
        </w:rPr>
        <w:t xml:space="preserve">If the solidification path for primary solidification crosses a monovariant peritectic line, solidification switches to single phase growth of the new phase. The Scheil equation is then applied using values of </w:t>
      </w:r>
      <w:r w:rsidRPr="00C56A40">
        <w:rPr>
          <w:position w:val="-12"/>
        </w:rPr>
        <w:object w:dxaOrig="380" w:dyaOrig="380" w14:anchorId="0BBB3C9E">
          <v:shape id="_x0000_i1610" type="#_x0000_t75" style="width:18.7pt;height:18.7pt" o:ole="">
            <v:imagedata r:id="rId1135" o:title=""/>
          </v:shape>
          <o:OLEObject Type="Embed" ProgID="Equation.DSMT4" ShapeID="_x0000_i1610" DrawAspect="Content" ObjectID="_1840627176" r:id="rId1136"/>
        </w:object>
      </w:r>
      <w:r>
        <w:t xml:space="preserve"> </w:t>
      </w:r>
      <w:r w:rsidRPr="008852CA">
        <w:t xml:space="preserve">and </w:t>
      </w:r>
      <w:r w:rsidRPr="00C56A40">
        <w:rPr>
          <w:position w:val="-12"/>
        </w:rPr>
        <w:object w:dxaOrig="320" w:dyaOrig="380" w14:anchorId="29112ADA">
          <v:shape id="_x0000_i1611" type="#_x0000_t75" style="width:16.85pt;height:18.7pt" o:ole="">
            <v:imagedata r:id="rId1137" o:title=""/>
          </v:shape>
          <o:OLEObject Type="Embed" ProgID="Equation.DSMT4" ShapeID="_x0000_i1611" DrawAspect="Content" ObjectID="_1840627177" r:id="rId1138"/>
        </w:object>
      </w:r>
      <w:r>
        <w:rPr>
          <w:spacing w:val="-3"/>
        </w:rPr>
        <w:t xml:space="preserve">for the new solid phase but with the appropriate starting value for </w:t>
      </w:r>
      <w:r w:rsidRPr="008852CA">
        <w:rPr>
          <w:spacing w:val="-3"/>
          <w:position w:val="-12"/>
        </w:rPr>
        <w:object w:dxaOrig="279" w:dyaOrig="360" w14:anchorId="12A5C28B">
          <v:shape id="_x0000_i1612" type="#_x0000_t75" style="width:14.05pt;height:17.75pt" o:ole="">
            <v:imagedata r:id="rId1139" o:title=""/>
          </v:shape>
          <o:OLEObject Type="Embed" ProgID="Equation.DSMT4" ShapeID="_x0000_i1612" DrawAspect="Content" ObjectID="_1840627178" r:id="rId1140"/>
        </w:object>
      </w:r>
      <w:r>
        <w:rPr>
          <w:spacing w:val="-3"/>
        </w:rPr>
        <w:t>.</w:t>
      </w:r>
      <w:r w:rsidR="00245A3F">
        <w:rPr>
          <w:spacing w:val="-3"/>
        </w:rPr>
        <w:t xml:space="preserve"> The solidification path does not follow the monovariant peritectic line.</w:t>
      </w:r>
      <w:r>
        <w:rPr>
          <w:spacing w:val="-3"/>
        </w:rPr>
        <w:t xml:space="preserve">  </w:t>
      </w:r>
    </w:p>
    <w:p w14:paraId="47FB3D54" w14:textId="77777777" w:rsidR="00015B17" w:rsidRDefault="00015B17" w:rsidP="00015B17">
      <w:pPr>
        <w:tabs>
          <w:tab w:val="left" w:pos="-720"/>
        </w:tabs>
        <w:suppressAutoHyphens/>
        <w:spacing w:line="360" w:lineRule="auto"/>
        <w:rPr>
          <w:spacing w:val="-3"/>
        </w:rPr>
      </w:pPr>
    </w:p>
    <w:p w14:paraId="0C6C8E92" w14:textId="77777777" w:rsidR="00C77A79" w:rsidRDefault="00015B17" w:rsidP="00015B17">
      <w:pPr>
        <w:tabs>
          <w:tab w:val="left" w:pos="-720"/>
        </w:tabs>
        <w:suppressAutoHyphens/>
        <w:spacing w:line="360" w:lineRule="auto"/>
        <w:rPr>
          <w:spacing w:val="-3"/>
        </w:rPr>
      </w:pPr>
      <w:r>
        <w:rPr>
          <w:spacing w:val="-3"/>
        </w:rPr>
        <w:tab/>
      </w:r>
      <w:r w:rsidR="00F02BEB">
        <w:rPr>
          <w:spacing w:val="-3"/>
        </w:rPr>
        <w:t>A</w:t>
      </w:r>
      <w:r>
        <w:rPr>
          <w:spacing w:val="-3"/>
        </w:rPr>
        <w:t xml:space="preserve"> comparison of the Scheil solidification of alloys with </w:t>
      </w:r>
      <w:r w:rsidR="008337E7">
        <w:rPr>
          <w:spacing w:val="-3"/>
        </w:rPr>
        <w:t xml:space="preserve">three </w:t>
      </w:r>
      <w:r>
        <w:rPr>
          <w:spacing w:val="-3"/>
        </w:rPr>
        <w:t xml:space="preserve">different ternary phase diagrams is shown schematically in Fig. 7.16.  As in Fig. 7.14, the volume under consideration can be thought of moving down through the structure as the solidification occurs.  </w:t>
      </w:r>
      <w:r w:rsidR="00C77A79">
        <w:rPr>
          <w:spacing w:val="-3"/>
        </w:rPr>
        <w:t>The</w:t>
      </w:r>
      <w:r w:rsidR="008337E7" w:rsidRPr="0079061F">
        <w:rPr>
          <w:spacing w:val="-3"/>
          <w:position w:val="-6"/>
        </w:rPr>
        <w:object w:dxaOrig="240" w:dyaOrig="220" w14:anchorId="7C24FDB3">
          <v:shape id="_x0000_i1613" type="#_x0000_t75" style="width:12.15pt;height:10.3pt" o:ole="">
            <v:imagedata r:id="rId1033" o:title=""/>
          </v:shape>
          <o:OLEObject Type="Embed" ProgID="Equation.DSMT4" ShapeID="_x0000_i1613" DrawAspect="Content" ObjectID="_1840627179" r:id="rId1141"/>
        </w:object>
      </w:r>
      <w:r w:rsidR="008337E7">
        <w:rPr>
          <w:spacing w:val="-3"/>
        </w:rPr>
        <w:t>,</w:t>
      </w:r>
      <w:r w:rsidR="008337E7" w:rsidRPr="008337E7">
        <w:rPr>
          <w:spacing w:val="-3"/>
          <w:position w:val="-10"/>
        </w:rPr>
        <w:object w:dxaOrig="240" w:dyaOrig="320" w14:anchorId="3225A680">
          <v:shape id="_x0000_i1614" type="#_x0000_t75" style="width:12.15pt;height:16.85pt" o:ole="">
            <v:imagedata r:id="rId1142" o:title=""/>
          </v:shape>
          <o:OLEObject Type="Embed" ProgID="Equation.DSMT4" ShapeID="_x0000_i1614" DrawAspect="Content" ObjectID="_1840627180" r:id="rId1143"/>
        </w:object>
      </w:r>
      <w:r w:rsidR="008337E7">
        <w:rPr>
          <w:spacing w:val="-3"/>
        </w:rPr>
        <w:t xml:space="preserve">, and </w:t>
      </w:r>
      <w:r w:rsidR="008337E7" w:rsidRPr="008337E7">
        <w:rPr>
          <w:spacing w:val="-3"/>
          <w:position w:val="-10"/>
        </w:rPr>
        <w:object w:dxaOrig="200" w:dyaOrig="260" w14:anchorId="69715AAF">
          <v:shape id="_x0000_i1615" type="#_x0000_t75" style="width:10.3pt;height:13.1pt" o:ole="">
            <v:imagedata r:id="rId1144" o:title=""/>
          </v:shape>
          <o:OLEObject Type="Embed" ProgID="Equation.DSMT4" ShapeID="_x0000_i1615" DrawAspect="Content" ObjectID="_1840627181" r:id="rId1145"/>
        </w:object>
      </w:r>
      <w:r w:rsidR="008337E7">
        <w:rPr>
          <w:spacing w:val="-3"/>
        </w:rPr>
        <w:t xml:space="preserve"> phases are solid solutions based on pure A, B, and C respectively. </w:t>
      </w:r>
      <w:r w:rsidR="00C77A79">
        <w:rPr>
          <w:spacing w:val="-3"/>
        </w:rPr>
        <w:t xml:space="preserve">The </w:t>
      </w:r>
      <w:r w:rsidR="00CD458E" w:rsidRPr="00CD458E">
        <w:rPr>
          <w:spacing w:val="-3"/>
          <w:position w:val="-6"/>
        </w:rPr>
        <w:object w:dxaOrig="220" w:dyaOrig="279" w14:anchorId="3CB0D1C7">
          <v:shape id="_x0000_i1616" type="#_x0000_t75" style="width:10.3pt;height:14.05pt" o:ole="">
            <v:imagedata r:id="rId1146" o:title=""/>
          </v:shape>
          <o:OLEObject Type="Embed" ProgID="Equation.DSMT4" ShapeID="_x0000_i1616" DrawAspect="Content" ObjectID="_1840627182" r:id="rId1147"/>
        </w:object>
      </w:r>
      <w:r w:rsidR="00CD458E">
        <w:rPr>
          <w:spacing w:val="-3"/>
        </w:rPr>
        <w:t>phase is an intermetallic</w:t>
      </w:r>
      <w:r w:rsidR="00245A3F">
        <w:rPr>
          <w:spacing w:val="-3"/>
        </w:rPr>
        <w:t xml:space="preserve"> phase</w:t>
      </w:r>
      <w:r w:rsidR="00CD458E">
        <w:rPr>
          <w:spacing w:val="-3"/>
        </w:rPr>
        <w:t xml:space="preserve"> based in the A-B system. In Fig. 7.16(b), the intermetallic forms from the melt congruently, whereas in Fig. 7.16(c) it forms </w:t>
      </w:r>
      <w:r w:rsidR="009D6B43">
        <w:rPr>
          <w:spacing w:val="-3"/>
        </w:rPr>
        <w:t xml:space="preserve">incongruently </w:t>
      </w:r>
      <w:r w:rsidR="00CD458E">
        <w:rPr>
          <w:spacing w:val="-3"/>
        </w:rPr>
        <w:t xml:space="preserve">by a peritectic reaction. </w:t>
      </w:r>
    </w:p>
    <w:p w14:paraId="3BA61C5B" w14:textId="77777777" w:rsidR="00C77A79" w:rsidRDefault="00C77A79" w:rsidP="00015B17">
      <w:pPr>
        <w:tabs>
          <w:tab w:val="left" w:pos="-720"/>
        </w:tabs>
        <w:suppressAutoHyphens/>
        <w:spacing w:line="360" w:lineRule="auto"/>
        <w:rPr>
          <w:spacing w:val="-3"/>
        </w:rPr>
      </w:pPr>
      <w:r>
        <w:rPr>
          <w:spacing w:val="-3"/>
        </w:rPr>
        <w:tab/>
      </w:r>
    </w:p>
    <w:p w14:paraId="6E9A9411" w14:textId="77777777" w:rsidR="00015B17" w:rsidRDefault="00C77A79" w:rsidP="00015B17">
      <w:pPr>
        <w:tabs>
          <w:tab w:val="left" w:pos="-720"/>
        </w:tabs>
        <w:suppressAutoHyphens/>
        <w:spacing w:line="360" w:lineRule="auto"/>
        <w:rPr>
          <w:spacing w:val="-3"/>
        </w:rPr>
      </w:pPr>
      <w:r>
        <w:rPr>
          <w:spacing w:val="-3"/>
        </w:rPr>
        <w:tab/>
      </w:r>
      <w:r w:rsidR="00015B17">
        <w:rPr>
          <w:spacing w:val="-3"/>
        </w:rPr>
        <w:t>Solidification start</w:t>
      </w:r>
      <w:r w:rsidR="00CD458E">
        <w:rPr>
          <w:spacing w:val="-3"/>
        </w:rPr>
        <w:t>s</w:t>
      </w:r>
      <w:r w:rsidR="00015B17">
        <w:rPr>
          <w:spacing w:val="-3"/>
        </w:rPr>
        <w:t xml:space="preserve"> at the liquidus temperature. </w:t>
      </w:r>
      <w:r w:rsidR="00015B17" w:rsidRPr="0079061F">
        <w:rPr>
          <w:spacing w:val="-3"/>
        </w:rPr>
        <w:t xml:space="preserve">The first phase to form is the </w:t>
      </w:r>
      <w:r w:rsidR="00015B17" w:rsidRPr="0079061F">
        <w:rPr>
          <w:spacing w:val="-3"/>
          <w:position w:val="-6"/>
        </w:rPr>
        <w:object w:dxaOrig="240" w:dyaOrig="220" w14:anchorId="666C8FD7">
          <v:shape id="_x0000_i1617" type="#_x0000_t75" style="width:12.15pt;height:10.3pt" o:ole="">
            <v:imagedata r:id="rId1033" o:title=""/>
          </v:shape>
          <o:OLEObject Type="Embed" ProgID="Equation.DSMT4" ShapeID="_x0000_i1617" DrawAspect="Content" ObjectID="_1840627183" r:id="rId1148"/>
        </w:object>
      </w:r>
      <w:r w:rsidR="00015B17" w:rsidRPr="0079061F">
        <w:rPr>
          <w:spacing w:val="-3"/>
        </w:rPr>
        <w:t xml:space="preserve">phase in </w:t>
      </w:r>
      <w:r w:rsidR="00CD458E">
        <w:rPr>
          <w:spacing w:val="-3"/>
        </w:rPr>
        <w:t xml:space="preserve">all </w:t>
      </w:r>
      <w:r w:rsidR="00015B17" w:rsidRPr="0079061F">
        <w:rPr>
          <w:spacing w:val="-3"/>
        </w:rPr>
        <w:t xml:space="preserve">cases and is depicted as a large cell in the microstructure sketch even though it might be dendritic in reality. </w:t>
      </w:r>
      <w:r w:rsidR="00015B17">
        <w:rPr>
          <w:spacing w:val="-3"/>
        </w:rPr>
        <w:t xml:space="preserve"> </w:t>
      </w:r>
      <w:r w:rsidR="00CD458E">
        <w:rPr>
          <w:spacing w:val="-3"/>
        </w:rPr>
        <w:t>A</w:t>
      </w:r>
      <w:r w:rsidR="00015B17" w:rsidRPr="0079061F">
        <w:rPr>
          <w:spacing w:val="-3"/>
        </w:rPr>
        <w:t xml:space="preserve">s the solidification continues, the box moves downward </w:t>
      </w:r>
      <w:r w:rsidR="00CD458E">
        <w:rPr>
          <w:spacing w:val="-3"/>
        </w:rPr>
        <w:t>until</w:t>
      </w:r>
      <w:r w:rsidR="00CD458E" w:rsidRPr="0079061F">
        <w:rPr>
          <w:spacing w:val="-3"/>
        </w:rPr>
        <w:t xml:space="preserve"> </w:t>
      </w:r>
      <w:r w:rsidR="00015B17" w:rsidRPr="0079061F">
        <w:rPr>
          <w:spacing w:val="-3"/>
        </w:rPr>
        <w:t>the entire liquid po</w:t>
      </w:r>
      <w:r>
        <w:rPr>
          <w:spacing w:val="-3"/>
        </w:rPr>
        <w:t>r</w:t>
      </w:r>
      <w:r w:rsidR="00015B17" w:rsidRPr="0079061F">
        <w:rPr>
          <w:spacing w:val="-3"/>
        </w:rPr>
        <w:t xml:space="preserve">tion of the box becomes enriched in component B and C following the liquidus surface. If </w:t>
      </w:r>
      <w:r w:rsidR="00CD458E">
        <w:rPr>
          <w:spacing w:val="-3"/>
        </w:rPr>
        <w:t xml:space="preserve">the solid solution </w:t>
      </w:r>
      <w:r w:rsidR="00CD458E" w:rsidRPr="0079061F">
        <w:rPr>
          <w:spacing w:val="-3"/>
          <w:position w:val="-6"/>
        </w:rPr>
        <w:object w:dxaOrig="240" w:dyaOrig="220" w14:anchorId="6DD70F0F">
          <v:shape id="_x0000_i1618" type="#_x0000_t75" style="width:12.15pt;height:10.3pt" o:ole="">
            <v:imagedata r:id="rId1033" o:title=""/>
          </v:shape>
          <o:OLEObject Type="Embed" ProgID="Equation.DSMT4" ShapeID="_x0000_i1618" DrawAspect="Content" ObjectID="_1840627184" r:id="rId1149"/>
        </w:object>
      </w:r>
      <w:r w:rsidR="00CD458E">
        <w:rPr>
          <w:spacing w:val="-3"/>
        </w:rPr>
        <w:t xml:space="preserve">were </w:t>
      </w:r>
      <w:r w:rsidR="00015B17" w:rsidRPr="0079061F">
        <w:rPr>
          <w:spacing w:val="-3"/>
        </w:rPr>
        <w:t>pure A (</w:t>
      </w:r>
      <w:r w:rsidR="00015B17" w:rsidRPr="0079061F">
        <w:rPr>
          <w:spacing w:val="-3"/>
          <w:position w:val="-12"/>
        </w:rPr>
        <w:object w:dxaOrig="1180" w:dyaOrig="380" w14:anchorId="6E699820">
          <v:shape id="_x0000_i1619" type="#_x0000_t75" style="width:58.9pt;height:18.7pt" o:ole="">
            <v:imagedata r:id="rId1150" o:title=""/>
          </v:shape>
          <o:OLEObject Type="Embed" ProgID="Equation.DSMT4" ShapeID="_x0000_i1619" DrawAspect="Content" ObjectID="_1840627185" r:id="rId1151"/>
        </w:object>
      </w:r>
      <w:r w:rsidR="00015B17" w:rsidRPr="0079061F">
        <w:rPr>
          <w:spacing w:val="-3"/>
        </w:rPr>
        <w:t>)</w:t>
      </w:r>
      <w:r w:rsidR="00CD458E">
        <w:rPr>
          <w:spacing w:val="-3"/>
        </w:rPr>
        <w:t>,</w:t>
      </w:r>
      <w:r w:rsidR="00015B17" w:rsidRPr="0079061F">
        <w:rPr>
          <w:spacing w:val="-3"/>
        </w:rPr>
        <w:t xml:space="preserve"> the liquid </w:t>
      </w:r>
      <w:r>
        <w:rPr>
          <w:spacing w:val="-3"/>
        </w:rPr>
        <w:t xml:space="preserve">composition </w:t>
      </w:r>
      <w:r w:rsidR="00015B17" w:rsidRPr="0079061F">
        <w:rPr>
          <w:spacing w:val="-3"/>
        </w:rPr>
        <w:lastRenderedPageBreak/>
        <w:t>would follow a linear path directly away from the A corner of the phase diagram.</w:t>
      </w:r>
      <w:r w:rsidR="00015B17">
        <w:rPr>
          <w:spacing w:val="-3"/>
        </w:rPr>
        <w:t xml:space="preserve"> </w:t>
      </w:r>
      <w:r w:rsidR="00015B17" w:rsidRPr="0079061F">
        <w:rPr>
          <w:spacing w:val="-3"/>
        </w:rPr>
        <w:t xml:space="preserve"> I</w:t>
      </w:r>
      <w:r w:rsidR="00015B17">
        <w:rPr>
          <w:spacing w:val="-3"/>
        </w:rPr>
        <w:t>f</w:t>
      </w:r>
      <w:r w:rsidR="00015B17" w:rsidRPr="0079061F">
        <w:rPr>
          <w:spacing w:val="-3"/>
        </w:rPr>
        <w:t xml:space="preserve"> </w:t>
      </w:r>
      <w:r w:rsidR="00015B17" w:rsidRPr="001B6B7D">
        <w:rPr>
          <w:spacing w:val="-3"/>
          <w:position w:val="-12"/>
        </w:rPr>
        <w:object w:dxaOrig="1200" w:dyaOrig="380" w14:anchorId="63FDF032">
          <v:shape id="_x0000_i1620" type="#_x0000_t75" style="width:59.85pt;height:18.7pt" o:ole="">
            <v:imagedata r:id="rId1152" o:title=""/>
          </v:shape>
          <o:OLEObject Type="Embed" ProgID="Equation.DSMT4" ShapeID="_x0000_i1620" DrawAspect="Content" ObjectID="_1840627186" r:id="rId1153"/>
        </w:object>
      </w:r>
      <w:r w:rsidR="00015B17">
        <w:rPr>
          <w:spacing w:val="-3"/>
        </w:rPr>
        <w:t>,</w:t>
      </w:r>
      <w:r w:rsidR="00015B17" w:rsidRPr="0079061F">
        <w:rPr>
          <w:spacing w:val="-3"/>
        </w:rPr>
        <w:t xml:space="preserve"> the prediction of the Scheil equation would induc</w:t>
      </w:r>
      <w:r w:rsidR="00015B17">
        <w:rPr>
          <w:spacing w:val="-3"/>
        </w:rPr>
        <w:t xml:space="preserve">e </w:t>
      </w:r>
      <w:r w:rsidR="00015B17" w:rsidRPr="0079061F">
        <w:rPr>
          <w:spacing w:val="-3"/>
        </w:rPr>
        <w:t>curvature</w:t>
      </w:r>
      <w:r w:rsidR="00015B17">
        <w:rPr>
          <w:spacing w:val="-3"/>
        </w:rPr>
        <w:t xml:space="preserve"> in the path</w:t>
      </w:r>
      <w:r w:rsidR="00015B17" w:rsidRPr="0079061F">
        <w:rPr>
          <w:spacing w:val="-3"/>
        </w:rPr>
        <w:t xml:space="preserve">.  Only the increment of </w:t>
      </w:r>
      <w:r w:rsidR="00015B17" w:rsidRPr="0079061F">
        <w:rPr>
          <w:spacing w:val="-3"/>
          <w:position w:val="-6"/>
        </w:rPr>
        <w:object w:dxaOrig="240" w:dyaOrig="220" w14:anchorId="1FF48FA6">
          <v:shape id="_x0000_i1621" type="#_x0000_t75" style="width:12.15pt;height:10.3pt" o:ole="">
            <v:imagedata r:id="rId1154" o:title=""/>
          </v:shape>
          <o:OLEObject Type="Embed" ProgID="Equation.DSMT4" ShapeID="_x0000_i1621" DrawAspect="Content" ObjectID="_1840627187" r:id="rId1155"/>
        </w:object>
      </w:r>
      <w:r w:rsidR="00015B17">
        <w:rPr>
          <w:spacing w:val="-3"/>
        </w:rPr>
        <w:t xml:space="preserve"> phase </w:t>
      </w:r>
      <w:r w:rsidR="00015B17" w:rsidRPr="0079061F">
        <w:rPr>
          <w:spacing w:val="-3"/>
        </w:rPr>
        <w:t>solid forming at each instant follows the solidus</w:t>
      </w:r>
      <w:r w:rsidR="00015B17">
        <w:rPr>
          <w:spacing w:val="-3"/>
        </w:rPr>
        <w:t xml:space="preserve"> surface (not shown)</w:t>
      </w:r>
      <w:r w:rsidR="00015B17" w:rsidRPr="0079061F">
        <w:rPr>
          <w:spacing w:val="-3"/>
        </w:rPr>
        <w:t xml:space="preserve"> leaving behind a microsegregated solid.  As the fraction of solid increase</w:t>
      </w:r>
      <w:r w:rsidR="00015B17">
        <w:rPr>
          <w:spacing w:val="-3"/>
        </w:rPr>
        <w:t>s (the box moves down further),</w:t>
      </w:r>
      <w:r w:rsidR="00015B17" w:rsidRPr="0079061F">
        <w:rPr>
          <w:spacing w:val="-3"/>
        </w:rPr>
        <w:t xml:space="preserve"> the liquid composition and the temperature approach </w:t>
      </w:r>
      <w:r w:rsidR="00015B17">
        <w:rPr>
          <w:spacing w:val="-3"/>
        </w:rPr>
        <w:t xml:space="preserve">the </w:t>
      </w:r>
      <w:r w:rsidR="00015B17" w:rsidRPr="0079061F">
        <w:rPr>
          <w:spacing w:val="-3"/>
        </w:rPr>
        <w:t xml:space="preserve">monovariant </w:t>
      </w:r>
      <w:r w:rsidR="00015B17">
        <w:rPr>
          <w:spacing w:val="-3"/>
        </w:rPr>
        <w:t xml:space="preserve">lines on the </w:t>
      </w:r>
      <w:r w:rsidR="00C82682">
        <w:rPr>
          <w:spacing w:val="-3"/>
        </w:rPr>
        <w:t xml:space="preserve">liquidus surface of the </w:t>
      </w:r>
      <w:r w:rsidR="00015B17">
        <w:rPr>
          <w:spacing w:val="-3"/>
        </w:rPr>
        <w:t>phase diagrams.</w:t>
      </w:r>
    </w:p>
    <w:p w14:paraId="3B2F352E" w14:textId="77777777" w:rsidR="00015B17" w:rsidRDefault="00015B17" w:rsidP="00015B17">
      <w:pPr>
        <w:tabs>
          <w:tab w:val="left" w:pos="-720"/>
        </w:tabs>
        <w:suppressAutoHyphens/>
        <w:spacing w:line="360" w:lineRule="auto"/>
        <w:rPr>
          <w:spacing w:val="-3"/>
        </w:rPr>
      </w:pPr>
    </w:p>
    <w:p w14:paraId="1D17F9DC" w14:textId="77777777" w:rsidR="00015B17" w:rsidRDefault="00015B17" w:rsidP="00015B17">
      <w:pPr>
        <w:tabs>
          <w:tab w:val="left" w:pos="-720"/>
        </w:tabs>
        <w:suppressAutoHyphens/>
        <w:spacing w:line="360" w:lineRule="auto"/>
        <w:rPr>
          <w:spacing w:val="-3"/>
        </w:rPr>
      </w:pPr>
      <w:r>
        <w:rPr>
          <w:spacing w:val="-3"/>
        </w:rPr>
        <w:tab/>
        <w:t xml:space="preserve">For cases (a) </w:t>
      </w:r>
      <w:r w:rsidRPr="0079061F">
        <w:rPr>
          <w:spacing w:val="-3"/>
        </w:rPr>
        <w:t xml:space="preserve">and (b) </w:t>
      </w:r>
      <w:r>
        <w:rPr>
          <w:spacing w:val="-3"/>
        </w:rPr>
        <w:t xml:space="preserve">the monovariant lines are of eutectic character and constitute valleys on their respective liquidus surfaces. However unlike a </w:t>
      </w:r>
      <w:r w:rsidRPr="0079061F">
        <w:rPr>
          <w:spacing w:val="-3"/>
        </w:rPr>
        <w:t xml:space="preserve">eutectic </w:t>
      </w:r>
      <w:r>
        <w:rPr>
          <w:spacing w:val="-3"/>
        </w:rPr>
        <w:t xml:space="preserve">in a binary system, this eutectic forms over a range of temperature and the remaining liquid in the box follows the valley. The solid forming during this process is a two phase mixture composed of </w:t>
      </w:r>
      <w:r w:rsidRPr="0004794A">
        <w:rPr>
          <w:spacing w:val="-3"/>
          <w:position w:val="-6"/>
        </w:rPr>
        <w:object w:dxaOrig="240" w:dyaOrig="220" w14:anchorId="043792D9">
          <v:shape id="_x0000_i1622" type="#_x0000_t75" style="width:12.15pt;height:10.3pt" o:ole="">
            <v:imagedata r:id="rId1156" o:title=""/>
          </v:shape>
          <o:OLEObject Type="Embed" ProgID="Equation.DSMT4" ShapeID="_x0000_i1622" DrawAspect="Content" ObjectID="_1840627188" r:id="rId1157"/>
        </w:object>
      </w:r>
      <w:r w:rsidR="00C77A79">
        <w:rPr>
          <w:spacing w:val="-3"/>
        </w:rPr>
        <w:t>+</w:t>
      </w:r>
      <w:r w:rsidRPr="0004794A">
        <w:rPr>
          <w:spacing w:val="-3"/>
          <w:position w:val="-10"/>
        </w:rPr>
        <w:object w:dxaOrig="240" w:dyaOrig="320" w14:anchorId="63094381">
          <v:shape id="_x0000_i1623" type="#_x0000_t75" style="width:12.15pt;height:16.85pt" o:ole="">
            <v:imagedata r:id="rId1158" o:title=""/>
          </v:shape>
          <o:OLEObject Type="Embed" ProgID="Equation.DSMT4" ShapeID="_x0000_i1623" DrawAspect="Content" ObjectID="_1840627189" r:id="rId1159"/>
        </w:object>
      </w:r>
      <w:r>
        <w:rPr>
          <w:spacing w:val="-3"/>
        </w:rPr>
        <w:t xml:space="preserve"> </w:t>
      </w:r>
      <w:r w:rsidR="00C77A79">
        <w:rPr>
          <w:spacing w:val="-3"/>
        </w:rPr>
        <w:t xml:space="preserve">(Fig. 7.16(a)) or </w:t>
      </w:r>
      <w:r w:rsidR="00C77A79" w:rsidRPr="0004794A">
        <w:rPr>
          <w:spacing w:val="-3"/>
          <w:position w:val="-6"/>
        </w:rPr>
        <w:object w:dxaOrig="240" w:dyaOrig="220" w14:anchorId="756FA04D">
          <v:shape id="_x0000_i1624" type="#_x0000_t75" style="width:12.15pt;height:10.3pt" o:ole="">
            <v:imagedata r:id="rId1156" o:title=""/>
          </v:shape>
          <o:OLEObject Type="Embed" ProgID="Equation.DSMT4" ShapeID="_x0000_i1624" DrawAspect="Content" ObjectID="_1840627190" r:id="rId1160"/>
        </w:object>
      </w:r>
      <w:r w:rsidR="00C77A79">
        <w:rPr>
          <w:spacing w:val="-3"/>
        </w:rPr>
        <w:t xml:space="preserve">+ </w:t>
      </w:r>
      <w:r w:rsidR="00C77A79" w:rsidRPr="00CD458E">
        <w:rPr>
          <w:spacing w:val="-3"/>
          <w:position w:val="-6"/>
        </w:rPr>
        <w:object w:dxaOrig="220" w:dyaOrig="279" w14:anchorId="56658E27">
          <v:shape id="_x0000_i1625" type="#_x0000_t75" style="width:10.3pt;height:14.05pt" o:ole="">
            <v:imagedata r:id="rId1146" o:title=""/>
          </v:shape>
          <o:OLEObject Type="Embed" ProgID="Equation.DSMT4" ShapeID="_x0000_i1625" DrawAspect="Content" ObjectID="_1840627191" r:id="rId1161"/>
        </w:object>
      </w:r>
      <w:r w:rsidR="00C77A79">
        <w:rPr>
          <w:spacing w:val="-3"/>
        </w:rPr>
        <w:t xml:space="preserve"> (Fig. 7.16(b)) </w:t>
      </w:r>
      <w:r>
        <w:rPr>
          <w:spacing w:val="-3"/>
        </w:rPr>
        <w:t xml:space="preserve">as shown schematically.  </w:t>
      </w:r>
      <w:r w:rsidR="00C82682">
        <w:rPr>
          <w:spacing w:val="-3"/>
        </w:rPr>
        <w:t xml:space="preserve">The phase compositions as well as the phase fraction of the eutectic left in the solid microstructure will in general vary as the liquid descends the liquidus valley. </w:t>
      </w:r>
      <w:r>
        <w:rPr>
          <w:spacing w:val="-3"/>
        </w:rPr>
        <w:t xml:space="preserve">The case where the </w:t>
      </w:r>
      <w:r w:rsidR="00C82682">
        <w:rPr>
          <w:spacing w:val="-3"/>
        </w:rPr>
        <w:t xml:space="preserve">liquid </w:t>
      </w:r>
      <w:r>
        <w:rPr>
          <w:spacing w:val="-3"/>
        </w:rPr>
        <w:t xml:space="preserve">path crosses a peritectic monovariant line </w:t>
      </w:r>
      <w:r w:rsidR="00C77A79">
        <w:rPr>
          <w:spacing w:val="-3"/>
        </w:rPr>
        <w:t xml:space="preserve">is shown Fig. 7.16(c). Here, solidification switches from </w:t>
      </w:r>
      <w:r w:rsidR="00C77A79" w:rsidRPr="0004794A">
        <w:rPr>
          <w:spacing w:val="-3"/>
          <w:position w:val="-6"/>
        </w:rPr>
        <w:object w:dxaOrig="240" w:dyaOrig="220" w14:anchorId="110B4277">
          <v:shape id="_x0000_i1626" type="#_x0000_t75" style="width:12.15pt;height:10.3pt" o:ole="">
            <v:imagedata r:id="rId1156" o:title=""/>
          </v:shape>
          <o:OLEObject Type="Embed" ProgID="Equation.DSMT4" ShapeID="_x0000_i1626" DrawAspect="Content" ObjectID="_1840627192" r:id="rId1162"/>
        </w:object>
      </w:r>
      <w:r w:rsidR="00C77A79">
        <w:rPr>
          <w:spacing w:val="-3"/>
        </w:rPr>
        <w:t xml:space="preserve"> to </w:t>
      </w:r>
      <w:r w:rsidR="00C77A79" w:rsidRPr="00CD458E">
        <w:rPr>
          <w:spacing w:val="-3"/>
          <w:position w:val="-6"/>
        </w:rPr>
        <w:object w:dxaOrig="220" w:dyaOrig="279" w14:anchorId="78018FF7">
          <v:shape id="_x0000_i1627" type="#_x0000_t75" style="width:10.3pt;height:14.05pt" o:ole="">
            <v:imagedata r:id="rId1146" o:title=""/>
          </v:shape>
          <o:OLEObject Type="Embed" ProgID="Equation.DSMT4" ShapeID="_x0000_i1627" DrawAspect="Content" ObjectID="_1840627193" r:id="rId1163"/>
        </w:object>
      </w:r>
      <w:r w:rsidR="00C77A79">
        <w:rPr>
          <w:spacing w:val="-3"/>
        </w:rPr>
        <w:t xml:space="preserve"> phase. The </w:t>
      </w:r>
      <w:r w:rsidR="00C77A79" w:rsidRPr="00CD458E">
        <w:rPr>
          <w:spacing w:val="-3"/>
          <w:position w:val="-6"/>
        </w:rPr>
        <w:object w:dxaOrig="220" w:dyaOrig="279" w14:anchorId="6EFCF488">
          <v:shape id="_x0000_i1628" type="#_x0000_t75" style="width:10.3pt;height:14.05pt" o:ole="">
            <v:imagedata r:id="rId1146" o:title=""/>
          </v:shape>
          <o:OLEObject Type="Embed" ProgID="Equation.DSMT4" ShapeID="_x0000_i1628" DrawAspect="Content" ObjectID="_1840627194" r:id="rId1164"/>
        </w:object>
      </w:r>
      <w:r w:rsidR="00C77A79">
        <w:rPr>
          <w:spacing w:val="-3"/>
        </w:rPr>
        <w:t xml:space="preserve">phase forms a coating on the </w:t>
      </w:r>
      <w:r w:rsidR="00C77A79" w:rsidRPr="0004794A">
        <w:rPr>
          <w:spacing w:val="-3"/>
          <w:position w:val="-6"/>
        </w:rPr>
        <w:object w:dxaOrig="240" w:dyaOrig="220" w14:anchorId="793E04B5">
          <v:shape id="_x0000_i1629" type="#_x0000_t75" style="width:12.15pt;height:10.3pt" o:ole="">
            <v:imagedata r:id="rId1156" o:title=""/>
          </v:shape>
          <o:OLEObject Type="Embed" ProgID="Equation.DSMT4" ShapeID="_x0000_i1629" DrawAspect="Content" ObjectID="_1840627195" r:id="rId1165"/>
        </w:object>
      </w:r>
      <w:r w:rsidR="00C77A79">
        <w:rPr>
          <w:spacing w:val="-3"/>
        </w:rPr>
        <w:t xml:space="preserve"> phase. </w:t>
      </w:r>
    </w:p>
    <w:p w14:paraId="3BD91FB9" w14:textId="77777777" w:rsidR="00C77A79" w:rsidRDefault="00C77A79" w:rsidP="00015B17">
      <w:pPr>
        <w:tabs>
          <w:tab w:val="left" w:pos="-720"/>
        </w:tabs>
        <w:suppressAutoHyphens/>
        <w:spacing w:line="360" w:lineRule="auto"/>
        <w:rPr>
          <w:spacing w:val="-3"/>
        </w:rPr>
      </w:pPr>
    </w:p>
    <w:p w14:paraId="13A2DBE5" w14:textId="4857CD67" w:rsidR="00015B17" w:rsidRDefault="00015B17" w:rsidP="00015B17">
      <w:pPr>
        <w:tabs>
          <w:tab w:val="left" w:pos="-720"/>
        </w:tabs>
        <w:suppressAutoHyphens/>
        <w:spacing w:line="360" w:lineRule="auto"/>
        <w:rPr>
          <w:spacing w:val="-3"/>
        </w:rPr>
      </w:pPr>
      <w:r>
        <w:rPr>
          <w:spacing w:val="-3"/>
        </w:rPr>
        <w:tab/>
        <w:t xml:space="preserve">For Fig 7.16 a) the liquid at lower temperature finally reaches the ternary eutectic composition </w:t>
      </w:r>
      <w:r w:rsidR="00C77A79">
        <w:rPr>
          <w:spacing w:val="-3"/>
        </w:rPr>
        <w:t xml:space="preserve">and </w:t>
      </w:r>
      <w:r>
        <w:rPr>
          <w:spacing w:val="-3"/>
        </w:rPr>
        <w:t xml:space="preserve">forms a three phase microstructure at a single temperature with a planar </w:t>
      </w:r>
      <w:r w:rsidR="00C77A79">
        <w:rPr>
          <w:spacing w:val="-3"/>
        </w:rPr>
        <w:t>L-S</w:t>
      </w:r>
      <w:r>
        <w:rPr>
          <w:spacing w:val="-3"/>
        </w:rPr>
        <w:t xml:space="preserve"> interface. For Fig. 7.16 b), the liquid encounters a special point where two eutectic valleys meet to from a third that continues down in temperature. This point represents the liquid composition of the invariant reaction, </w:t>
      </w:r>
      <w:r w:rsidR="00C77A79" w:rsidRPr="003451C6">
        <w:rPr>
          <w:spacing w:val="-3"/>
          <w:position w:val="-10"/>
        </w:rPr>
        <w:object w:dxaOrig="1420" w:dyaOrig="320" w14:anchorId="5B4784F8">
          <v:shape id="_x0000_i1630" type="#_x0000_t75" style="width:71.05pt;height:16.85pt" o:ole="">
            <v:imagedata r:id="rId1166" o:title=""/>
          </v:shape>
          <o:OLEObject Type="Embed" ProgID="Equation.DSMT4" ShapeID="_x0000_i1630" DrawAspect="Content" ObjectID="_1840627196" r:id="rId1167"/>
        </w:object>
      </w:r>
      <w:r>
        <w:rPr>
          <w:spacing w:val="-3"/>
        </w:rPr>
        <w:t xml:space="preserve">. When the liquid reaches this point on the phase diagram, the solidification switches from </w:t>
      </w:r>
      <w:r w:rsidR="00C82682">
        <w:rPr>
          <w:spacing w:val="-3"/>
        </w:rPr>
        <w:t xml:space="preserve">leaving a </w:t>
      </w:r>
      <w:r>
        <w:rPr>
          <w:spacing w:val="-3"/>
        </w:rPr>
        <w:t xml:space="preserve">two phase coating </w:t>
      </w:r>
      <w:r w:rsidR="00C77A79">
        <w:rPr>
          <w:spacing w:val="-3"/>
        </w:rPr>
        <w:t xml:space="preserve">of </w:t>
      </w:r>
      <w:r w:rsidR="00C77A79" w:rsidRPr="0004794A">
        <w:rPr>
          <w:spacing w:val="-3"/>
          <w:position w:val="-6"/>
        </w:rPr>
        <w:object w:dxaOrig="240" w:dyaOrig="220" w14:anchorId="61C5099D">
          <v:shape id="_x0000_i1631" type="#_x0000_t75" style="width:12.15pt;height:10.3pt" o:ole="">
            <v:imagedata r:id="rId1156" o:title=""/>
          </v:shape>
          <o:OLEObject Type="Embed" ProgID="Equation.DSMT4" ShapeID="_x0000_i1631" DrawAspect="Content" ObjectID="_1840627197" r:id="rId1168"/>
        </w:object>
      </w:r>
      <w:r w:rsidR="00C77A79">
        <w:rPr>
          <w:spacing w:val="-3"/>
        </w:rPr>
        <w:t xml:space="preserve">+ </w:t>
      </w:r>
      <w:r w:rsidR="00C77A79" w:rsidRPr="00CD458E">
        <w:rPr>
          <w:spacing w:val="-3"/>
          <w:position w:val="-6"/>
        </w:rPr>
        <w:object w:dxaOrig="220" w:dyaOrig="279" w14:anchorId="5F0EBEF9">
          <v:shape id="_x0000_i1632" type="#_x0000_t75" style="width:10.3pt;height:14.05pt" o:ole="">
            <v:imagedata r:id="rId1146" o:title=""/>
          </v:shape>
          <o:OLEObject Type="Embed" ProgID="Equation.DSMT4" ShapeID="_x0000_i1632" DrawAspect="Content" ObjectID="_1840627198" r:id="rId1169"/>
        </w:object>
      </w:r>
      <w:r>
        <w:rPr>
          <w:spacing w:val="-3"/>
        </w:rPr>
        <w:t xml:space="preserve">on the original dendrite to </w:t>
      </w:r>
      <w:r w:rsidR="00C82682">
        <w:rPr>
          <w:spacing w:val="-3"/>
        </w:rPr>
        <w:t xml:space="preserve">leaving an addition coating </w:t>
      </w:r>
      <w:r>
        <w:rPr>
          <w:spacing w:val="-3"/>
        </w:rPr>
        <w:t xml:space="preserve">of a different two phase </w:t>
      </w:r>
      <w:r w:rsidR="00C82682">
        <w:rPr>
          <w:spacing w:val="-3"/>
        </w:rPr>
        <w:t xml:space="preserve">eutectic </w:t>
      </w:r>
      <w:r>
        <w:rPr>
          <w:spacing w:val="-3"/>
        </w:rPr>
        <w:t xml:space="preserve">of </w:t>
      </w:r>
      <w:r w:rsidR="00C77A79" w:rsidRPr="00CD458E">
        <w:rPr>
          <w:spacing w:val="-3"/>
          <w:position w:val="-6"/>
        </w:rPr>
        <w:object w:dxaOrig="220" w:dyaOrig="279" w14:anchorId="53C148B9">
          <v:shape id="_x0000_i1633" type="#_x0000_t75" style="width:10.3pt;height:14.05pt" o:ole="">
            <v:imagedata r:id="rId1146" o:title=""/>
          </v:shape>
          <o:OLEObject Type="Embed" ProgID="Equation.DSMT4" ShapeID="_x0000_i1633" DrawAspect="Content" ObjectID="_1840627199" r:id="rId1170"/>
        </w:object>
      </w:r>
      <w:r w:rsidR="00C77A79">
        <w:rPr>
          <w:spacing w:val="-3"/>
        </w:rPr>
        <w:t xml:space="preserve">+ </w:t>
      </w:r>
      <w:r w:rsidR="00C77A79" w:rsidRPr="008C775A">
        <w:rPr>
          <w:spacing w:val="-3"/>
          <w:position w:val="-10"/>
        </w:rPr>
        <w:object w:dxaOrig="200" w:dyaOrig="260" w14:anchorId="390FBB1F">
          <v:shape id="_x0000_i1634" type="#_x0000_t75" style="width:10.3pt;height:13.1pt" o:ole="">
            <v:imagedata r:id="rId1171" o:title=""/>
          </v:shape>
          <o:OLEObject Type="Embed" ProgID="Equation.DSMT4" ShapeID="_x0000_i1634" DrawAspect="Content" ObjectID="_1840627200" r:id="rId1172"/>
        </w:object>
      </w:r>
      <w:r>
        <w:rPr>
          <w:spacing w:val="-3"/>
        </w:rPr>
        <w:t>. Solidification of this alloy is finally completed at a ternary eutectic point where</w:t>
      </w:r>
      <w:r w:rsidRPr="008C775A">
        <w:rPr>
          <w:spacing w:val="-3"/>
          <w:position w:val="-10"/>
        </w:rPr>
        <w:object w:dxaOrig="240" w:dyaOrig="320" w14:anchorId="2B8A6CE7">
          <v:shape id="_x0000_i1635" type="#_x0000_t75" style="width:12.15pt;height:16.85pt" o:ole="">
            <v:imagedata r:id="rId1173" o:title=""/>
          </v:shape>
          <o:OLEObject Type="Embed" ProgID="Equation.DSMT4" ShapeID="_x0000_i1635" DrawAspect="Content" ObjectID="_1840627201" r:id="rId1174"/>
        </w:object>
      </w:r>
      <w:r>
        <w:rPr>
          <w:spacing w:val="-3"/>
        </w:rPr>
        <w:t>,</w:t>
      </w:r>
      <w:r w:rsidR="00C77A79" w:rsidRPr="008C775A">
        <w:rPr>
          <w:spacing w:val="-3"/>
          <w:position w:val="-6"/>
        </w:rPr>
        <w:object w:dxaOrig="220" w:dyaOrig="279" w14:anchorId="7880AF2F">
          <v:shape id="_x0000_i1636" type="#_x0000_t75" style="width:10.3pt;height:14.05pt" o:ole="">
            <v:imagedata r:id="rId1175" o:title=""/>
          </v:shape>
          <o:OLEObject Type="Embed" ProgID="Equation.DSMT4" ShapeID="_x0000_i1636" DrawAspect="Content" ObjectID="_1840627202" r:id="rId1176"/>
        </w:object>
      </w:r>
      <w:r w:rsidR="00C77A79">
        <w:rPr>
          <w:spacing w:val="-3"/>
        </w:rPr>
        <w:t>, and</w:t>
      </w:r>
      <w:r>
        <w:rPr>
          <w:spacing w:val="-3"/>
        </w:rPr>
        <w:t xml:space="preserve"> </w:t>
      </w:r>
      <w:r w:rsidRPr="008C775A">
        <w:rPr>
          <w:spacing w:val="-3"/>
          <w:position w:val="-10"/>
        </w:rPr>
        <w:object w:dxaOrig="200" w:dyaOrig="260" w14:anchorId="7BCD9309">
          <v:shape id="_x0000_i1637" type="#_x0000_t75" style="width:10.3pt;height:13.1pt" o:ole="">
            <v:imagedata r:id="rId1171" o:title=""/>
          </v:shape>
          <o:OLEObject Type="Embed" ProgID="Equation.DSMT4" ShapeID="_x0000_i1637" DrawAspect="Content" ObjectID="_1840627203" r:id="rId1177"/>
        </w:object>
      </w:r>
      <w:r>
        <w:rPr>
          <w:spacing w:val="-3"/>
        </w:rPr>
        <w:t xml:space="preserve"> phase</w:t>
      </w:r>
      <w:r w:rsidR="00C77A79">
        <w:rPr>
          <w:spacing w:val="-3"/>
        </w:rPr>
        <w:t>s</w:t>
      </w:r>
      <w:r>
        <w:rPr>
          <w:spacing w:val="-3"/>
        </w:rPr>
        <w:t xml:space="preserve"> form at a single temperature (planar liquid-solid interface).</w:t>
      </w:r>
      <w:r w:rsidR="00C77A79">
        <w:rPr>
          <w:spacing w:val="-3"/>
        </w:rPr>
        <w:t xml:space="preserve"> For the case of Fig. 7.16(c), the path traverses the </w:t>
      </w:r>
      <w:r w:rsidR="00C77A79" w:rsidRPr="008C775A">
        <w:rPr>
          <w:spacing w:val="-3"/>
          <w:position w:val="-6"/>
        </w:rPr>
        <w:object w:dxaOrig="220" w:dyaOrig="279" w14:anchorId="188EAEF1">
          <v:shape id="_x0000_i1638" type="#_x0000_t75" style="width:10.3pt;height:14.05pt" o:ole="">
            <v:imagedata r:id="rId1175" o:title=""/>
          </v:shape>
          <o:OLEObject Type="Embed" ProgID="Equation.DSMT4" ShapeID="_x0000_i1638" DrawAspect="Content" ObjectID="_1840627204" r:id="rId1178"/>
        </w:object>
      </w:r>
      <w:r w:rsidR="00C77A79">
        <w:rPr>
          <w:spacing w:val="-3"/>
        </w:rPr>
        <w:t xml:space="preserve"> liquidus surface, between temperatures T</w:t>
      </w:r>
      <w:r w:rsidR="00C77A79" w:rsidRPr="00727E8A">
        <w:rPr>
          <w:spacing w:val="-3"/>
          <w:sz w:val="26"/>
          <w:vertAlign w:val="subscript"/>
        </w:rPr>
        <w:t>1</w:t>
      </w:r>
      <w:r w:rsidR="00C77A79">
        <w:rPr>
          <w:spacing w:val="-3"/>
        </w:rPr>
        <w:t xml:space="preserve"> and T</w:t>
      </w:r>
      <w:r w:rsidR="00C77A79" w:rsidRPr="00727E8A">
        <w:rPr>
          <w:spacing w:val="-3"/>
          <w:sz w:val="26"/>
          <w:vertAlign w:val="subscript"/>
        </w:rPr>
        <w:t>3</w:t>
      </w:r>
      <w:r w:rsidR="00C77A79">
        <w:rPr>
          <w:spacing w:val="-3"/>
        </w:rPr>
        <w:t xml:space="preserve"> until it intersects the monovariant eutectic valley </w:t>
      </w:r>
      <w:r w:rsidR="00C77A79" w:rsidRPr="00C77A79">
        <w:rPr>
          <w:spacing w:val="-3"/>
          <w:position w:val="-10"/>
        </w:rPr>
        <w:object w:dxaOrig="1040" w:dyaOrig="320" w14:anchorId="34DA11F8">
          <v:shape id="_x0000_i1639" type="#_x0000_t75" style="width:52.35pt;height:16.85pt" o:ole="">
            <v:imagedata r:id="rId1179" o:title=""/>
          </v:shape>
          <o:OLEObject Type="Embed" ProgID="Equation.DSMT4" ShapeID="_x0000_i1639" DrawAspect="Content" ObjectID="_1840627205" r:id="rId1180"/>
        </w:object>
      </w:r>
      <w:r w:rsidR="00C77A79">
        <w:rPr>
          <w:spacing w:val="-3"/>
        </w:rPr>
        <w:t xml:space="preserve">. The path the follows this valley forming a 2-phase mixture of </w:t>
      </w:r>
      <w:r w:rsidR="00C77A79" w:rsidRPr="00CD458E">
        <w:rPr>
          <w:spacing w:val="-3"/>
          <w:position w:val="-6"/>
        </w:rPr>
        <w:object w:dxaOrig="220" w:dyaOrig="279" w14:anchorId="2CF01656">
          <v:shape id="_x0000_i1640" type="#_x0000_t75" style="width:10.3pt;height:14.05pt" o:ole="">
            <v:imagedata r:id="rId1146" o:title=""/>
          </v:shape>
          <o:OLEObject Type="Embed" ProgID="Equation.DSMT4" ShapeID="_x0000_i1640" DrawAspect="Content" ObjectID="_1840627206" r:id="rId1181"/>
        </w:object>
      </w:r>
      <w:r w:rsidR="00C77A79">
        <w:rPr>
          <w:spacing w:val="-3"/>
        </w:rPr>
        <w:t xml:space="preserve">+ </w:t>
      </w:r>
      <w:r w:rsidR="00C77A79" w:rsidRPr="008C775A">
        <w:rPr>
          <w:spacing w:val="-3"/>
          <w:position w:val="-10"/>
        </w:rPr>
        <w:object w:dxaOrig="200" w:dyaOrig="260" w14:anchorId="1195A069">
          <v:shape id="_x0000_i1641" type="#_x0000_t75" style="width:10.3pt;height:13.1pt" o:ole="">
            <v:imagedata r:id="rId1171" o:title=""/>
          </v:shape>
          <o:OLEObject Type="Embed" ProgID="Equation.DSMT4" ShapeID="_x0000_i1641" DrawAspect="Content" ObjectID="_1840627207" r:id="rId1182"/>
        </w:object>
      </w:r>
      <w:r w:rsidR="00C77A79">
        <w:rPr>
          <w:spacing w:val="-3"/>
        </w:rPr>
        <w:t xml:space="preserve"> until the freezing is completed at the ternary eutectic temperature.</w:t>
      </w:r>
    </w:p>
    <w:p w14:paraId="69DA91F1" w14:textId="77777777" w:rsidR="00015B17" w:rsidRDefault="00015B17" w:rsidP="00015B17">
      <w:pPr>
        <w:tabs>
          <w:tab w:val="left" w:pos="-720"/>
        </w:tabs>
        <w:suppressAutoHyphens/>
        <w:spacing w:line="360" w:lineRule="auto"/>
        <w:rPr>
          <w:spacing w:val="-3"/>
        </w:rPr>
      </w:pPr>
    </w:p>
    <w:p w14:paraId="011DBBC6" w14:textId="0E074F37" w:rsidR="00015B17" w:rsidRDefault="00015B17" w:rsidP="00015B17">
      <w:pPr>
        <w:tabs>
          <w:tab w:val="left" w:pos="-720"/>
        </w:tabs>
        <w:suppressAutoHyphens/>
        <w:spacing w:line="360" w:lineRule="auto"/>
        <w:rPr>
          <w:spacing w:val="-3"/>
        </w:rPr>
      </w:pPr>
      <w:r>
        <w:rPr>
          <w:spacing w:val="-3"/>
        </w:rPr>
        <w:tab/>
        <w:t xml:space="preserve">This is an idealized description even beyond that imposed by the Scheil approach. The drawings assume that the various eutectic solidification processes all form fine multiphase structures accomplished by coupled growth to be described in </w:t>
      </w:r>
      <w:r w:rsidR="00400C2F">
        <w:rPr>
          <w:spacing w:val="-3"/>
        </w:rPr>
        <w:t>§</w:t>
      </w:r>
      <w:r>
        <w:rPr>
          <w:spacing w:val="-3"/>
        </w:rPr>
        <w:t xml:space="preserve"> 8. In particular cases, the phases may form divorced eutectics (</w:t>
      </w:r>
      <w:r w:rsidR="00400C2F">
        <w:rPr>
          <w:spacing w:val="-3"/>
        </w:rPr>
        <w:t>§</w:t>
      </w:r>
      <w:r>
        <w:rPr>
          <w:spacing w:val="-3"/>
        </w:rPr>
        <w:t xml:space="preserve"> 8.</w:t>
      </w:r>
      <w:r w:rsidR="000848A4">
        <w:rPr>
          <w:spacing w:val="-3"/>
        </w:rPr>
        <w:t>1.</w:t>
      </w:r>
      <w:r>
        <w:rPr>
          <w:spacing w:val="-3"/>
        </w:rPr>
        <w:t xml:space="preserve">6) especially if the space remaining between the dendrites is small compared to the spacing of the eutectic. Then the phases may form in the interdendritic regions in </w:t>
      </w:r>
      <w:r w:rsidR="00400C2F">
        <w:rPr>
          <w:spacing w:val="-3"/>
        </w:rPr>
        <w:t>isolation</w:t>
      </w:r>
      <w:r>
        <w:rPr>
          <w:spacing w:val="-3"/>
        </w:rPr>
        <w:t xml:space="preserve">. </w:t>
      </w:r>
    </w:p>
    <w:p w14:paraId="6CB939A6" w14:textId="77777777" w:rsidR="00015B17" w:rsidRDefault="00015B17" w:rsidP="00015B17">
      <w:pPr>
        <w:tabs>
          <w:tab w:val="left" w:pos="-720"/>
        </w:tabs>
        <w:suppressAutoHyphens/>
        <w:spacing w:line="360" w:lineRule="auto"/>
        <w:rPr>
          <w:spacing w:val="-3"/>
        </w:rPr>
      </w:pPr>
    </w:p>
    <w:p w14:paraId="18E58148" w14:textId="77777777" w:rsidR="00015B17" w:rsidRDefault="00015B17" w:rsidP="00015B17">
      <w:pPr>
        <w:tabs>
          <w:tab w:val="left" w:pos="-720"/>
        </w:tabs>
        <w:suppressAutoHyphens/>
        <w:spacing w:line="360" w:lineRule="auto"/>
        <w:rPr>
          <w:b/>
          <w:spacing w:val="-3"/>
        </w:rPr>
      </w:pPr>
      <w:r>
        <w:rPr>
          <w:b/>
          <w:spacing w:val="-3"/>
        </w:rPr>
        <w:t xml:space="preserve">7.5 </w:t>
      </w:r>
      <w:r w:rsidRPr="002462B8">
        <w:rPr>
          <w:b/>
          <w:spacing w:val="-3"/>
        </w:rPr>
        <w:t xml:space="preserve">Example of </w:t>
      </w:r>
      <w:r>
        <w:rPr>
          <w:b/>
          <w:spacing w:val="-3"/>
        </w:rPr>
        <w:t>t</w:t>
      </w:r>
      <w:r w:rsidRPr="002462B8">
        <w:rPr>
          <w:b/>
          <w:spacing w:val="-3"/>
        </w:rPr>
        <w:t xml:space="preserve">ernary </w:t>
      </w:r>
      <w:r>
        <w:rPr>
          <w:b/>
          <w:spacing w:val="-3"/>
        </w:rPr>
        <w:t>s</w:t>
      </w:r>
      <w:r w:rsidRPr="002462B8">
        <w:rPr>
          <w:b/>
          <w:spacing w:val="-3"/>
        </w:rPr>
        <w:t xml:space="preserve">olidification path </w:t>
      </w:r>
      <w:r>
        <w:rPr>
          <w:b/>
          <w:spacing w:val="-3"/>
        </w:rPr>
        <w:t>a</w:t>
      </w:r>
      <w:r w:rsidRPr="002462B8">
        <w:rPr>
          <w:b/>
          <w:spacing w:val="-3"/>
        </w:rPr>
        <w:t>nalysis</w:t>
      </w:r>
      <w:r>
        <w:rPr>
          <w:b/>
          <w:spacing w:val="-3"/>
        </w:rPr>
        <w:t xml:space="preserve"> derived from a thermodynamic data base</w:t>
      </w:r>
    </w:p>
    <w:p w14:paraId="379D5C6E" w14:textId="77777777" w:rsidR="00015B17" w:rsidRDefault="00015B17" w:rsidP="00015B17">
      <w:pPr>
        <w:tabs>
          <w:tab w:val="left" w:pos="-720"/>
        </w:tabs>
        <w:suppressAutoHyphens/>
        <w:spacing w:line="360" w:lineRule="auto"/>
        <w:rPr>
          <w:b/>
          <w:spacing w:val="-3"/>
        </w:rPr>
      </w:pPr>
    </w:p>
    <w:p w14:paraId="2AEFC76C" w14:textId="77777777" w:rsidR="00015B17" w:rsidRDefault="00015B17" w:rsidP="00015B17">
      <w:pPr>
        <w:tabs>
          <w:tab w:val="left" w:pos="-720"/>
        </w:tabs>
        <w:suppressAutoHyphens/>
        <w:spacing w:line="360" w:lineRule="auto"/>
        <w:rPr>
          <w:spacing w:val="-3"/>
        </w:rPr>
      </w:pPr>
      <w:r>
        <w:rPr>
          <w:spacing w:val="-3"/>
        </w:rPr>
        <w:tab/>
        <w:t>Calculation of solidification path</w:t>
      </w:r>
      <w:r w:rsidR="00C77A79">
        <w:rPr>
          <w:spacing w:val="-3"/>
        </w:rPr>
        <w:t>s</w:t>
      </w:r>
      <w:r>
        <w:rPr>
          <w:spacing w:val="-3"/>
        </w:rPr>
        <w:t xml:space="preserve"> using full integration of phase diagram tie-lines with the Scheil approach (including solid diffusion) have been conducted by CHEN and CHANG [1992].</w:t>
      </w:r>
      <w:r w:rsidRPr="002729A1">
        <w:rPr>
          <w:spacing w:val="-3"/>
        </w:rPr>
        <w:t xml:space="preserve"> </w:t>
      </w:r>
    </w:p>
    <w:p w14:paraId="4BC23D72" w14:textId="77777777" w:rsidR="00015B17" w:rsidRDefault="00015B17" w:rsidP="00015B17">
      <w:pPr>
        <w:tabs>
          <w:tab w:val="left" w:pos="-720"/>
        </w:tabs>
        <w:suppressAutoHyphens/>
        <w:spacing w:line="360" w:lineRule="auto"/>
        <w:rPr>
          <w:b/>
          <w:spacing w:val="-3"/>
        </w:rPr>
      </w:pPr>
    </w:p>
    <w:p w14:paraId="75BC15A1" w14:textId="69F9F25E" w:rsidR="00015B17" w:rsidRDefault="00015B17" w:rsidP="00015B17">
      <w:pPr>
        <w:tabs>
          <w:tab w:val="left" w:pos="-720"/>
        </w:tabs>
        <w:suppressAutoHyphens/>
        <w:spacing w:line="360" w:lineRule="auto"/>
      </w:pPr>
      <w:r>
        <w:rPr>
          <w:spacing w:val="-3"/>
        </w:rPr>
        <w:tab/>
        <w:t>Another example of such an analysis describes t</w:t>
      </w:r>
      <w:r w:rsidRPr="0031481C">
        <w:rPr>
          <w:spacing w:val="-3"/>
        </w:rPr>
        <w:t xml:space="preserve">he cast </w:t>
      </w:r>
      <w:r>
        <w:rPr>
          <w:spacing w:val="-3"/>
        </w:rPr>
        <w:t>micro</w:t>
      </w:r>
      <w:r w:rsidRPr="0031481C">
        <w:rPr>
          <w:spacing w:val="-3"/>
        </w:rPr>
        <w:t>structure</w:t>
      </w:r>
      <w:r>
        <w:rPr>
          <w:spacing w:val="-3"/>
        </w:rPr>
        <w:t xml:space="preserve"> of </w:t>
      </w:r>
      <w:r>
        <w:t xml:space="preserve">a Ni-Cr-Zr based </w:t>
      </w:r>
      <w:r>
        <w:rPr>
          <w:spacing w:val="-3"/>
        </w:rPr>
        <w:t>alloy being studied for anode materials in improved Ni-metal-hydride batteries (Boettinger et al. [2010]).  The competition between the cubic (</w:t>
      </w:r>
      <w:r w:rsidRPr="004750E5">
        <w:rPr>
          <w:i/>
          <w:spacing w:val="-3"/>
        </w:rPr>
        <w:t>C15</w:t>
      </w:r>
      <w:r>
        <w:rPr>
          <w:spacing w:val="-3"/>
        </w:rPr>
        <w:t>) and hexagonal (</w:t>
      </w:r>
      <w:r w:rsidRPr="004750E5">
        <w:rPr>
          <w:i/>
          <w:spacing w:val="-3"/>
        </w:rPr>
        <w:t>C14</w:t>
      </w:r>
      <w:r>
        <w:rPr>
          <w:spacing w:val="-3"/>
        </w:rPr>
        <w:t xml:space="preserve">) forms for the Laves phase in the solidified material is of interest. </w:t>
      </w:r>
      <w:r w:rsidRPr="002462B8">
        <w:t xml:space="preserve">Computation of Scheil and equilibrium solidification paths </w:t>
      </w:r>
      <w:r>
        <w:t>was</w:t>
      </w:r>
      <w:r w:rsidRPr="002462B8">
        <w:t xml:space="preserve"> performed with Thermo-Calc software </w:t>
      </w:r>
      <w:r>
        <w:t>[Andersson, 2002]</w:t>
      </w:r>
      <w:r w:rsidRPr="002462B8">
        <w:t xml:space="preserve"> with the thermodynamic database</w:t>
      </w:r>
      <w:r>
        <w:t xml:space="preserve"> of Ansara et al. [199</w:t>
      </w:r>
      <w:r w:rsidR="004E243B">
        <w:t>8</w:t>
      </w:r>
      <w:r>
        <w:t>]</w:t>
      </w:r>
      <w:r w:rsidRPr="002462B8">
        <w:t>. The composition of the liquid phase during Scheil solidification of a Ni-20.6</w:t>
      </w:r>
      <w:r w:rsidR="00BD6531">
        <w:t xml:space="preserve"> </w:t>
      </w:r>
      <w:r w:rsidRPr="002462B8">
        <w:t>at%</w:t>
      </w:r>
      <w:r w:rsidR="00BD6531">
        <w:t xml:space="preserve"> </w:t>
      </w:r>
      <w:r w:rsidRPr="002462B8">
        <w:t>Cr-33.5</w:t>
      </w:r>
      <w:r w:rsidR="00BD6531">
        <w:t xml:space="preserve"> </w:t>
      </w:r>
      <w:r w:rsidRPr="002462B8">
        <w:t>at%</w:t>
      </w:r>
      <w:r w:rsidR="00BD6531">
        <w:t xml:space="preserve"> </w:t>
      </w:r>
      <w:r w:rsidRPr="002462B8">
        <w:t>Zr alloy is shown superimposed on the liquidus surface in Fig.</w:t>
      </w:r>
      <w:r>
        <w:t xml:space="preserve"> 7.17a</w:t>
      </w:r>
      <w:r w:rsidRPr="002462B8">
        <w:t xml:space="preserve">. </w:t>
      </w:r>
      <w:r>
        <w:t>An isothermal section at 1473 K is shown in Fig. 7.17b to indicate the various solid phases. T</w:t>
      </w:r>
      <w:r w:rsidRPr="002462B8">
        <w:t xml:space="preserve">he </w:t>
      </w:r>
      <w:r>
        <w:t>details of t</w:t>
      </w:r>
      <w:r w:rsidRPr="002462B8">
        <w:t xml:space="preserve">he </w:t>
      </w:r>
      <w:r>
        <w:t xml:space="preserve">predicted </w:t>
      </w:r>
      <w:r w:rsidRPr="002462B8">
        <w:t>temperature vs. fraction of solid curve as well as the Cr vs. Zr paths of the liquid and solid phases are shown</w:t>
      </w:r>
      <w:r>
        <w:t xml:space="preserve"> in Fig. 7.18a and 7.18b respectively</w:t>
      </w:r>
      <w:r w:rsidRPr="002462B8">
        <w:t xml:space="preserve">. A common lettering system is used to relate points on the two graphs. </w:t>
      </w:r>
      <w:r w:rsidR="00CC1EED">
        <w:t>Occurring b</w:t>
      </w:r>
      <w:r w:rsidRPr="002462B8">
        <w:t xml:space="preserve">etween temperatures </w:t>
      </w:r>
      <w:r w:rsidRPr="002462B8">
        <w:rPr>
          <w:b/>
          <w:i/>
        </w:rPr>
        <w:t>a</w:t>
      </w:r>
      <w:r w:rsidRPr="002462B8">
        <w:t xml:space="preserve"> and </w:t>
      </w:r>
      <w:r w:rsidRPr="002462B8">
        <w:rPr>
          <w:b/>
          <w:i/>
        </w:rPr>
        <w:t>b</w:t>
      </w:r>
      <w:r w:rsidRPr="002462B8">
        <w:t xml:space="preserve"> </w:t>
      </w:r>
      <w:r w:rsidR="00CC1EED">
        <w:t xml:space="preserve">is </w:t>
      </w:r>
      <w:r w:rsidRPr="002462B8">
        <w:t xml:space="preserve">the dendritic solidification of </w:t>
      </w:r>
      <w:r w:rsidRPr="004750E5">
        <w:rPr>
          <w:i/>
        </w:rPr>
        <w:t>C14</w:t>
      </w:r>
      <w:r w:rsidRPr="002462B8">
        <w:t xml:space="preserve">. At point </w:t>
      </w:r>
      <w:r w:rsidRPr="002462B8">
        <w:rPr>
          <w:b/>
          <w:i/>
        </w:rPr>
        <w:t>b</w:t>
      </w:r>
      <w:r w:rsidRPr="002462B8">
        <w:t xml:space="preserve"> the liquid composition has reached the monovariant peritectic line, </w:t>
      </w:r>
      <w:r w:rsidRPr="004750E5">
        <w:rPr>
          <w:i/>
        </w:rPr>
        <w:t>L</w:t>
      </w:r>
      <w:r>
        <w:rPr>
          <w:i/>
        </w:rPr>
        <w:t xml:space="preserve"> </w:t>
      </w:r>
      <w:r w:rsidRPr="004750E5">
        <w:rPr>
          <w:i/>
        </w:rPr>
        <w:t>+</w:t>
      </w:r>
      <w:r>
        <w:rPr>
          <w:i/>
        </w:rPr>
        <w:t xml:space="preserve"> </w:t>
      </w:r>
      <w:r w:rsidRPr="004750E5">
        <w:rPr>
          <w:i/>
        </w:rPr>
        <w:t>C14</w:t>
      </w:r>
      <w:r>
        <w:rPr>
          <w:i/>
        </w:rPr>
        <w:t xml:space="preserve"> </w:t>
      </w:r>
      <w:r w:rsidRPr="004750E5">
        <w:rPr>
          <w:i/>
        </w:rPr>
        <w:sym w:font="Symbol" w:char="F0AE"/>
      </w:r>
      <w:r>
        <w:rPr>
          <w:i/>
        </w:rPr>
        <w:t xml:space="preserve"> </w:t>
      </w:r>
      <w:r w:rsidRPr="004750E5">
        <w:rPr>
          <w:i/>
        </w:rPr>
        <w:t>C15</w:t>
      </w:r>
      <w:r w:rsidRPr="002462B8">
        <w:t xml:space="preserve"> (at the border between the </w:t>
      </w:r>
      <w:r w:rsidRPr="004750E5">
        <w:rPr>
          <w:i/>
        </w:rPr>
        <w:t>C14</w:t>
      </w:r>
      <w:r w:rsidRPr="002462B8">
        <w:t xml:space="preserve"> and </w:t>
      </w:r>
      <w:r w:rsidRPr="004750E5">
        <w:rPr>
          <w:i/>
        </w:rPr>
        <w:t>C15</w:t>
      </w:r>
      <w:r w:rsidRPr="002462B8">
        <w:t xml:space="preserve"> regions on the liquidus surface in Fig.</w:t>
      </w:r>
      <w:r>
        <w:t>7.18a</w:t>
      </w:r>
      <w:r w:rsidRPr="002462B8">
        <w:t xml:space="preserve">). In the Scheil limit the solidification process switches from the freezing of </w:t>
      </w:r>
      <w:r w:rsidRPr="004750E5">
        <w:rPr>
          <w:i/>
        </w:rPr>
        <w:t>C14</w:t>
      </w:r>
      <w:r w:rsidRPr="002462B8">
        <w:t xml:space="preserve"> to the freezing of </w:t>
      </w:r>
      <w:r w:rsidRPr="004750E5">
        <w:rPr>
          <w:i/>
        </w:rPr>
        <w:t>C15</w:t>
      </w:r>
      <w:r w:rsidRPr="002462B8">
        <w:t xml:space="preserve">.  </w:t>
      </w:r>
      <w:r w:rsidRPr="002462B8">
        <w:lastRenderedPageBreak/>
        <w:t xml:space="preserve">Between temperatures </w:t>
      </w:r>
      <w:r w:rsidRPr="002462B8">
        <w:rPr>
          <w:b/>
          <w:i/>
        </w:rPr>
        <w:t>b</w:t>
      </w:r>
      <w:r w:rsidRPr="002462B8">
        <w:t xml:space="preserve"> and </w:t>
      </w:r>
      <w:r w:rsidRPr="002462B8">
        <w:rPr>
          <w:b/>
          <w:i/>
        </w:rPr>
        <w:t>c</w:t>
      </w:r>
      <w:r w:rsidRPr="002462B8">
        <w:t xml:space="preserve"> occurs the continued freezing of the C15 phase. Between temperatures </w:t>
      </w:r>
      <w:r w:rsidRPr="002462B8">
        <w:rPr>
          <w:b/>
          <w:i/>
        </w:rPr>
        <w:t>c</w:t>
      </w:r>
      <w:r w:rsidRPr="002462B8">
        <w:t xml:space="preserve"> and </w:t>
      </w:r>
      <w:r w:rsidRPr="002462B8">
        <w:rPr>
          <w:b/>
          <w:i/>
        </w:rPr>
        <w:t>d</w:t>
      </w:r>
      <w:r w:rsidRPr="002462B8">
        <w:t>, monovariant eutectic solidification</w:t>
      </w:r>
      <w:r w:rsidRPr="004750E5">
        <w:rPr>
          <w:i/>
        </w:rPr>
        <w:t xml:space="preserve"> L</w:t>
      </w:r>
      <w:r>
        <w:rPr>
          <w:i/>
        </w:rPr>
        <w:t xml:space="preserve"> </w:t>
      </w:r>
      <w:r w:rsidRPr="004750E5">
        <w:rPr>
          <w:i/>
        </w:rPr>
        <w:sym w:font="Symbol" w:char="F0AE"/>
      </w:r>
      <w:r w:rsidRPr="004750E5">
        <w:rPr>
          <w:i/>
        </w:rPr>
        <w:t xml:space="preserve"> </w:t>
      </w:r>
      <w:r>
        <w:rPr>
          <w:i/>
        </w:rPr>
        <w:t xml:space="preserve"> </w:t>
      </w:r>
      <w:r w:rsidRPr="004750E5">
        <w:rPr>
          <w:i/>
        </w:rPr>
        <w:t>C15</w:t>
      </w:r>
      <w:r>
        <w:rPr>
          <w:i/>
        </w:rPr>
        <w:t xml:space="preserve"> </w:t>
      </w:r>
      <w:r w:rsidRPr="004750E5">
        <w:rPr>
          <w:i/>
        </w:rPr>
        <w:t>+</w:t>
      </w:r>
      <w:r>
        <w:rPr>
          <w:i/>
        </w:rPr>
        <w:t xml:space="preserve"> </w:t>
      </w:r>
      <w:r w:rsidRPr="004750E5">
        <w:t>Ni</w:t>
      </w:r>
      <w:r w:rsidRPr="00727E8A">
        <w:rPr>
          <w:sz w:val="26"/>
          <w:vertAlign w:val="subscript"/>
        </w:rPr>
        <w:t>10</w:t>
      </w:r>
      <w:r w:rsidRPr="004750E5">
        <w:t>Zr</w:t>
      </w:r>
      <w:r w:rsidRPr="00727E8A">
        <w:rPr>
          <w:sz w:val="26"/>
          <w:vertAlign w:val="subscript"/>
        </w:rPr>
        <w:t>7</w:t>
      </w:r>
      <w:r w:rsidRPr="004750E5">
        <w:rPr>
          <w:i/>
        </w:rPr>
        <w:t xml:space="preserve"> </w:t>
      </w:r>
      <w:r w:rsidRPr="002462B8">
        <w:t xml:space="preserve">is predicted to </w:t>
      </w:r>
      <w:r>
        <w:t>begin</w:t>
      </w:r>
      <w:r w:rsidRPr="002462B8">
        <w:t xml:space="preserve"> (following the border between the </w:t>
      </w:r>
      <w:r w:rsidRPr="004750E5">
        <w:rPr>
          <w:i/>
        </w:rPr>
        <w:t>C15</w:t>
      </w:r>
      <w:r w:rsidRPr="002462B8">
        <w:t xml:space="preserve"> and Ni</w:t>
      </w:r>
      <w:r w:rsidRPr="00727E8A">
        <w:rPr>
          <w:sz w:val="26"/>
          <w:vertAlign w:val="subscript"/>
        </w:rPr>
        <w:t>10</w:t>
      </w:r>
      <w:r w:rsidRPr="002462B8">
        <w:t>Zr</w:t>
      </w:r>
      <w:r w:rsidRPr="00727E8A">
        <w:rPr>
          <w:sz w:val="26"/>
          <w:vertAlign w:val="subscript"/>
        </w:rPr>
        <w:t>7</w:t>
      </w:r>
      <w:r w:rsidRPr="002462B8">
        <w:t xml:space="preserve"> phases on the liquidus surface in Fig.</w:t>
      </w:r>
      <w:r>
        <w:t xml:space="preserve"> 7.18a</w:t>
      </w:r>
      <w:r w:rsidRPr="002462B8">
        <w:t xml:space="preserve">) and at temperature </w:t>
      </w:r>
      <w:r w:rsidRPr="002462B8">
        <w:rPr>
          <w:b/>
          <w:i/>
        </w:rPr>
        <w:t>e</w:t>
      </w:r>
      <w:r w:rsidRPr="002462B8">
        <w:t xml:space="preserve">, final freezing is accomplished by ternary eutectic solidification </w:t>
      </w:r>
      <w:r w:rsidRPr="004750E5">
        <w:rPr>
          <w:i/>
        </w:rPr>
        <w:t>L</w:t>
      </w:r>
      <w:r w:rsidRPr="004750E5">
        <w:rPr>
          <w:i/>
        </w:rPr>
        <w:sym w:font="Symbol" w:char="F0AE"/>
      </w:r>
      <w:r w:rsidRPr="004750E5">
        <w:rPr>
          <w:i/>
        </w:rPr>
        <w:t xml:space="preserve"> C15</w:t>
      </w:r>
      <w:r>
        <w:rPr>
          <w:i/>
        </w:rPr>
        <w:t xml:space="preserve"> </w:t>
      </w:r>
      <w:r w:rsidRPr="004750E5">
        <w:rPr>
          <w:i/>
        </w:rPr>
        <w:t>+</w:t>
      </w:r>
      <w:r>
        <w:rPr>
          <w:i/>
        </w:rPr>
        <w:t xml:space="preserve"> </w:t>
      </w:r>
      <w:r w:rsidRPr="002462B8">
        <w:t>Ni</w:t>
      </w:r>
      <w:r w:rsidRPr="00727E8A">
        <w:rPr>
          <w:sz w:val="26"/>
          <w:vertAlign w:val="subscript"/>
        </w:rPr>
        <w:t>10</w:t>
      </w:r>
      <w:r w:rsidRPr="002462B8">
        <w:t>Zr</w:t>
      </w:r>
      <w:r w:rsidRPr="00727E8A">
        <w:rPr>
          <w:sz w:val="26"/>
          <w:vertAlign w:val="subscript"/>
        </w:rPr>
        <w:t xml:space="preserve">7 </w:t>
      </w:r>
      <w:r w:rsidRPr="002462B8">
        <w:t>+ Ni</w:t>
      </w:r>
      <w:r w:rsidRPr="00727E8A">
        <w:rPr>
          <w:sz w:val="26"/>
          <w:vertAlign w:val="subscript"/>
        </w:rPr>
        <w:t>21</w:t>
      </w:r>
      <w:r w:rsidRPr="002462B8">
        <w:t>Zr</w:t>
      </w:r>
      <w:r w:rsidRPr="00727E8A">
        <w:rPr>
          <w:sz w:val="26"/>
          <w:vertAlign w:val="subscript"/>
        </w:rPr>
        <w:t>8</w:t>
      </w:r>
      <w:r w:rsidRPr="002462B8">
        <w:t xml:space="preserve">.   </w:t>
      </w:r>
      <w:r>
        <w:t>U</w:t>
      </w:r>
      <w:r w:rsidRPr="002462B8">
        <w:t xml:space="preserve">sing this ternary alone, the sequence of phases </w:t>
      </w:r>
      <w:r>
        <w:t xml:space="preserve">forming from the melt </w:t>
      </w:r>
      <w:r w:rsidRPr="002462B8">
        <w:t>observed experimentally</w:t>
      </w:r>
      <w:r>
        <w:t xml:space="preserve"> in a much more complex multicomponent alloy are generally reproduced.</w:t>
      </w:r>
    </w:p>
    <w:p w14:paraId="4B96ABD0" w14:textId="77777777" w:rsidR="00015B17" w:rsidRPr="00903125" w:rsidRDefault="00015B17" w:rsidP="00015B17">
      <w:pPr>
        <w:tabs>
          <w:tab w:val="left" w:pos="-720"/>
        </w:tabs>
        <w:suppressAutoHyphens/>
        <w:spacing w:line="360" w:lineRule="auto"/>
      </w:pPr>
    </w:p>
    <w:p w14:paraId="6E4A1ACF" w14:textId="77777777" w:rsidR="00015B17" w:rsidRDefault="00015B17" w:rsidP="00015B17">
      <w:pPr>
        <w:tabs>
          <w:tab w:val="left" w:pos="-720"/>
        </w:tabs>
        <w:suppressAutoHyphens/>
        <w:spacing w:line="360" w:lineRule="auto"/>
        <w:rPr>
          <w:spacing w:val="-3"/>
        </w:rPr>
      </w:pPr>
    </w:p>
    <w:p w14:paraId="2BF365A5" w14:textId="77777777" w:rsidR="00015B17" w:rsidRDefault="00015B17" w:rsidP="00015B17">
      <w:pPr>
        <w:suppressAutoHyphens/>
        <w:spacing w:line="360" w:lineRule="auto"/>
        <w:jc w:val="both"/>
        <w:rPr>
          <w:b/>
          <w:bCs/>
          <w:i/>
          <w:iCs/>
          <w:spacing w:val="-3"/>
        </w:rPr>
      </w:pPr>
      <w:r>
        <w:rPr>
          <w:bCs/>
          <w:spacing w:val="-3"/>
        </w:rPr>
        <w:br w:type="page"/>
      </w:r>
    </w:p>
    <w:p w14:paraId="338F3AE4" w14:textId="77777777" w:rsidR="00015B17" w:rsidRDefault="00015B17" w:rsidP="00015B17">
      <w:pPr>
        <w:suppressAutoHyphens/>
        <w:spacing w:line="360" w:lineRule="auto"/>
        <w:jc w:val="center"/>
      </w:pPr>
      <w:r>
        <w:rPr>
          <w:b/>
          <w:bCs/>
          <w:i/>
          <w:iCs/>
          <w:sz w:val="28"/>
          <w:szCs w:val="28"/>
        </w:rPr>
        <w:lastRenderedPageBreak/>
        <w:t>8. Polyphase Solidification</w:t>
      </w:r>
    </w:p>
    <w:p w14:paraId="18D30F67" w14:textId="77777777" w:rsidR="00015B17" w:rsidRDefault="00015B17" w:rsidP="00015B17">
      <w:pPr>
        <w:suppressAutoHyphens/>
        <w:spacing w:line="360" w:lineRule="auto"/>
        <w:jc w:val="both"/>
        <w:rPr>
          <w:spacing w:val="-3"/>
        </w:rPr>
      </w:pPr>
      <w:r>
        <w:rPr>
          <w:spacing w:val="-3"/>
        </w:rPr>
        <w:tab/>
      </w:r>
    </w:p>
    <w:p w14:paraId="74029C56" w14:textId="77777777" w:rsidR="00015B17" w:rsidRPr="00B277AA" w:rsidRDefault="00015B17" w:rsidP="00015B17">
      <w:pPr>
        <w:suppressAutoHyphens/>
        <w:spacing w:line="360" w:lineRule="auto"/>
        <w:rPr>
          <w:spacing w:val="-3"/>
        </w:rPr>
      </w:pPr>
      <w:r>
        <w:rPr>
          <w:spacing w:val="-3"/>
        </w:rPr>
        <w:tab/>
        <w:t>Eutectic, peritectic, and monotectic solidification involve the freezing of an alloy at or near a special liquid composition. This special composition is defined thermodynamically as the liquid composition that can be in equilibrium with two other phases at the same temperature. This equilibrium can only occur at a single temperature in a binary system. For the eutectic and peritectic cases, the liquid is in equilibrium with two solid phases and for the monotectic case, the liquid is in equilibrium with a solid and another liquid phase. The monotectic case involves alloys that exhibit a miscibility gap in the liquid phase.</w:t>
      </w:r>
      <w:r w:rsidR="00B277AA">
        <w:rPr>
          <w:spacing w:val="-3"/>
        </w:rPr>
        <w:t xml:space="preserve"> In systems with more than two components, polyphase solidification can involve two other phases in equilibrium with a liquid over a range of temperatures and can involve more than two other phases. The </w:t>
      </w:r>
      <w:r w:rsidR="00DB0627">
        <w:rPr>
          <w:spacing w:val="-3"/>
        </w:rPr>
        <w:t>following deals</w:t>
      </w:r>
      <w:r w:rsidR="00B277AA">
        <w:rPr>
          <w:spacing w:val="-3"/>
        </w:rPr>
        <w:t xml:space="preserve"> primarily with binary alloys except for §</w:t>
      </w:r>
      <w:r w:rsidR="00B277AA" w:rsidRPr="00B277AA">
        <w:rPr>
          <w:spacing w:val="-3"/>
        </w:rPr>
        <w:t>8.1.4</w:t>
      </w:r>
      <w:r w:rsidR="00DB0627">
        <w:rPr>
          <w:spacing w:val="-3"/>
        </w:rPr>
        <w:t>,</w:t>
      </w:r>
      <w:r w:rsidR="00B277AA">
        <w:rPr>
          <w:spacing w:val="-3"/>
        </w:rPr>
        <w:t xml:space="preserve"> where the influence of a ternary addition on eutectic solidification is described. Aspects of the solidification path involving multicomponent eutectic and peritectic solidification were described in §7.</w:t>
      </w:r>
      <w:r w:rsidR="00DB0627">
        <w:rPr>
          <w:spacing w:val="-3"/>
        </w:rPr>
        <w:t>4 and §7.5.</w:t>
      </w:r>
      <w:r w:rsidR="00B277AA">
        <w:rPr>
          <w:spacing w:val="-3"/>
        </w:rPr>
        <w:t xml:space="preserve"> </w:t>
      </w:r>
    </w:p>
    <w:p w14:paraId="233478BE" w14:textId="77777777" w:rsidR="00015B17" w:rsidRDefault="00015B17" w:rsidP="00015B17">
      <w:pPr>
        <w:suppressAutoHyphens/>
        <w:spacing w:line="360" w:lineRule="auto"/>
        <w:jc w:val="both"/>
        <w:rPr>
          <w:spacing w:val="-3"/>
        </w:rPr>
      </w:pPr>
    </w:p>
    <w:p w14:paraId="2F08E146" w14:textId="18B1E443" w:rsidR="00015B17" w:rsidRDefault="00015B17" w:rsidP="00015B17">
      <w:pPr>
        <w:suppressAutoHyphens/>
        <w:spacing w:line="360" w:lineRule="auto"/>
        <w:jc w:val="both"/>
        <w:rPr>
          <w:spacing w:val="-3"/>
        </w:rPr>
      </w:pPr>
      <w:r>
        <w:rPr>
          <w:b/>
          <w:bCs/>
          <w:spacing w:val="-3"/>
        </w:rPr>
        <w:t>8.1 Eutectic solidification</w:t>
      </w:r>
    </w:p>
    <w:p w14:paraId="02B70284" w14:textId="77777777" w:rsidR="00015B17" w:rsidRDefault="00015B17" w:rsidP="00015B17">
      <w:pPr>
        <w:suppressAutoHyphens/>
        <w:spacing w:line="360" w:lineRule="auto"/>
        <w:jc w:val="both"/>
        <w:rPr>
          <w:spacing w:val="-3"/>
        </w:rPr>
      </w:pPr>
    </w:p>
    <w:p w14:paraId="41E82B64" w14:textId="77777777" w:rsidR="00015B17" w:rsidRDefault="00015B17" w:rsidP="00015B17">
      <w:pPr>
        <w:suppressAutoHyphens/>
        <w:spacing w:line="360" w:lineRule="auto"/>
        <w:rPr>
          <w:spacing w:val="-3"/>
        </w:rPr>
      </w:pPr>
      <w:r>
        <w:rPr>
          <w:spacing w:val="-3"/>
        </w:rPr>
        <w:tab/>
        <w:t>In a binary alloy, eutectic solidification converts a liquid into two solid phases in close spatial proximity.  Alloys near eutectic compositions are very important in the casting industry due to several characteristics:  (i) low liquidus temperatures compared to the pure component melting points that simplify melting and casting operations:  (ii) zero or small freezing ranges that effectively eliminate the dendritic mushy zone thereby reducing macrosegregation and shrinkage porosity while promoting excellent mold filling; (iii) possibilities of forming "in-situ" composites.  Among the most common eutectic or near-eutectic alloys of industrial importance are cast irons, Al-Si alloys, wear-resistant alloys and solders. In many other practical alloys that freeze dendritically, secondary phases are formed near the end of freezing by eutectic solidification.</w:t>
      </w:r>
    </w:p>
    <w:p w14:paraId="02D55FF8" w14:textId="77777777" w:rsidR="00015B17" w:rsidRDefault="00015B17" w:rsidP="00015B17">
      <w:pPr>
        <w:suppressAutoHyphens/>
        <w:spacing w:line="360" w:lineRule="auto"/>
        <w:rPr>
          <w:spacing w:val="-3"/>
        </w:rPr>
      </w:pPr>
    </w:p>
    <w:p w14:paraId="4ECF5FE5" w14:textId="493E88E1" w:rsidR="00015B17" w:rsidRDefault="00015B17" w:rsidP="00015B17">
      <w:pPr>
        <w:suppressAutoHyphens/>
        <w:spacing w:line="360" w:lineRule="auto"/>
        <w:rPr>
          <w:spacing w:val="-3"/>
        </w:rPr>
      </w:pPr>
      <w:r>
        <w:rPr>
          <w:spacing w:val="-3"/>
        </w:rPr>
        <w:tab/>
        <w:t xml:space="preserve">Eutectic solidification involves the following stages: eutectic liquid is supercooled and one of the solid phases nucleates, causing solute enrichment in the surrounding liquid </w:t>
      </w:r>
      <w:r>
        <w:rPr>
          <w:spacing w:val="-3"/>
        </w:rPr>
        <w:lastRenderedPageBreak/>
        <w:t xml:space="preserve">and sympathetic nucleation of the second solid phase. Repeated nucleation and/or overgrowth of one solid phase by the other produces a growth center that defines an individual eutectic grain.  For many eutectics, solidification proceeds by simultaneous growth of two interspersed solid-phases at a common liquid-solid interface. The solute rejected into the liquid by each phase is taken up by the adjacent phase particles. As solidification proceeds, spatial and crystallographic rotation of the solid phases together with competitive overgrowth of adjacent eutectic grains leads to a stable solidification front, with the surviving eutectic grains having, as much as possible, maximized the solidification </w:t>
      </w:r>
      <w:r w:rsidR="00E23778">
        <w:rPr>
          <w:spacing w:val="-3"/>
        </w:rPr>
        <w:t>rate, minimized</w:t>
      </w:r>
      <w:r>
        <w:rPr>
          <w:spacing w:val="-3"/>
        </w:rPr>
        <w:t xml:space="preserve"> the</w:t>
      </w:r>
      <w:r>
        <w:rPr>
          <w:i/>
          <w:iCs/>
          <w:spacing w:val="-3"/>
        </w:rPr>
        <w:t xml:space="preserve"> α-β</w:t>
      </w:r>
      <w:r>
        <w:rPr>
          <w:spacing w:val="-3"/>
        </w:rPr>
        <w:t xml:space="preserve"> interfacial energy and oriented the </w:t>
      </w:r>
      <w:r>
        <w:rPr>
          <w:i/>
          <w:iCs/>
          <w:spacing w:val="-3"/>
        </w:rPr>
        <w:t>α-β</w:t>
      </w:r>
      <w:r>
        <w:rPr>
          <w:spacing w:val="-3"/>
        </w:rPr>
        <w:t xml:space="preserve"> interfaces in the heat flow direction.  The ability of one solid phase in the eutectic to stimulate nucleation of the other varies widely for different </w:t>
      </w:r>
      <w:r>
        <w:rPr>
          <w:i/>
          <w:iCs/>
          <w:spacing w:val="-3"/>
        </w:rPr>
        <w:t>α-β</w:t>
      </w:r>
      <w:r>
        <w:rPr>
          <w:spacing w:val="-3"/>
        </w:rPr>
        <w:t xml:space="preserve"> phases and, in general, experimental knowledge about the nucleation process in eutectic solidification has been sparse (MONDOLFO [1965])</w:t>
      </w:r>
      <w:r w:rsidR="000F7221">
        <w:rPr>
          <w:spacing w:val="-3"/>
        </w:rPr>
        <w:t xml:space="preserve">. </w:t>
      </w:r>
      <w:r>
        <w:rPr>
          <w:spacing w:val="-3"/>
        </w:rPr>
        <w:t xml:space="preserve"> </w:t>
      </w:r>
      <w:r w:rsidR="000F7221">
        <w:rPr>
          <w:spacing w:val="-3"/>
        </w:rPr>
        <w:t xml:space="preserve">This complex nucleation process has been </w:t>
      </w:r>
      <w:r>
        <w:rPr>
          <w:spacing w:val="-3"/>
        </w:rPr>
        <w:t xml:space="preserve"> the subject of simulation by phase field methods (e.g., Elder et al. [1994], Granasy and </w:t>
      </w:r>
      <w:r w:rsidRPr="00621EF5">
        <w:rPr>
          <w:spacing w:val="-3"/>
        </w:rPr>
        <w:t xml:space="preserve">Pusztai, </w:t>
      </w:r>
      <w:r>
        <w:rPr>
          <w:spacing w:val="-3"/>
        </w:rPr>
        <w:t>[2002]).</w:t>
      </w:r>
      <w:r w:rsidR="000F7221">
        <w:rPr>
          <w:spacing w:val="-3"/>
        </w:rPr>
        <w:t xml:space="preserve"> The following focuses primarily on the growth aspects of eutectics. </w:t>
      </w:r>
      <w:r>
        <w:rPr>
          <w:spacing w:val="-3"/>
        </w:rPr>
        <w:t xml:space="preserve">Two excellent summaries of the early literature on eutectic solidification can be found in reviews by CHADWICK [1963] and HOGAN, </w:t>
      </w:r>
      <w:r>
        <w:rPr>
          <w:i/>
          <w:iCs/>
          <w:spacing w:val="-3"/>
        </w:rPr>
        <w:t>et al.</w:t>
      </w:r>
      <w:r>
        <w:rPr>
          <w:spacing w:val="-3"/>
        </w:rPr>
        <w:t xml:space="preserve"> [1971].</w:t>
      </w:r>
    </w:p>
    <w:p w14:paraId="049EB3E2" w14:textId="77777777" w:rsidR="00015B17" w:rsidRDefault="00015B17" w:rsidP="00015B17">
      <w:pPr>
        <w:suppressAutoHyphens/>
        <w:spacing w:line="360" w:lineRule="auto"/>
        <w:rPr>
          <w:spacing w:val="-3"/>
        </w:rPr>
      </w:pPr>
    </w:p>
    <w:p w14:paraId="5767877E" w14:textId="77777777" w:rsidR="00015B17" w:rsidRDefault="00015B17" w:rsidP="00015B17">
      <w:pPr>
        <w:suppressAutoHyphens/>
        <w:spacing w:line="360" w:lineRule="auto"/>
        <w:rPr>
          <w:spacing w:val="-3"/>
        </w:rPr>
      </w:pPr>
      <w:r>
        <w:rPr>
          <w:b/>
          <w:bCs/>
          <w:spacing w:val="-3"/>
        </w:rPr>
        <w:t>8.1.1</w:t>
      </w:r>
      <w:r>
        <w:rPr>
          <w:b/>
          <w:bCs/>
          <w:spacing w:val="-3"/>
        </w:rPr>
        <w:tab/>
        <w:t>Eutectic classification</w:t>
      </w:r>
    </w:p>
    <w:p w14:paraId="39C5D4ED" w14:textId="77777777" w:rsidR="00015B17" w:rsidRDefault="00015B17" w:rsidP="00015B17">
      <w:pPr>
        <w:suppressAutoHyphens/>
        <w:spacing w:line="360" w:lineRule="auto"/>
        <w:rPr>
          <w:spacing w:val="-3"/>
        </w:rPr>
      </w:pPr>
    </w:p>
    <w:p w14:paraId="75864E01" w14:textId="77777777" w:rsidR="00015B17" w:rsidRDefault="00015B17" w:rsidP="00015B17">
      <w:pPr>
        <w:suppressAutoHyphens/>
        <w:spacing w:line="360" w:lineRule="auto"/>
        <w:rPr>
          <w:spacing w:val="-3"/>
        </w:rPr>
      </w:pPr>
      <w:r>
        <w:rPr>
          <w:spacing w:val="-3"/>
        </w:rPr>
        <w:tab/>
        <w:t xml:space="preserve">When a eutectic liquid solidifies, the resulting material generally consists of a dispersed two-phase microstructure that is approximately ten times finer than cells or dendrites formed under the same conditions. The exact arrangement of the two phases in the eutectic microstructure can vary widely, depending on the solidification conditions and the particular eutectic alloy being solidified.  HUNT and JACKSON [1966] provided a simple classification scheme according to the interface kinetics of the component phases that remains useful.  A correlation was found between eutectic morphology and the entropies of fusion of the two solid phases, concepts discussed in § 5.1. The classification refers to: nonfaceted-nonfaceted eutectics (nf-nf); nonfaceted-faceted eutectics (nf-f); and faceted-faceted eutectics (f-f).  Very little is known about the solidification of f-f eutectics but extensive research has been performed on nf-nf and nf-f eutectics. KERR and WINEGARD [1967] argued that the faceted or nonfaceted nature of the liquid-solid interface of the phases </w:t>
      </w:r>
      <w:r>
        <w:rPr>
          <w:spacing w:val="-3"/>
        </w:rPr>
        <w:lastRenderedPageBreak/>
        <w:t xml:space="preserve">is better described by the entropies of solution of the individual phases because the (eutectic) liquid composition is generally quite different from the solid phase compositions. CROKER </w:t>
      </w:r>
      <w:r>
        <w:rPr>
          <w:i/>
          <w:iCs/>
          <w:spacing w:val="-3"/>
        </w:rPr>
        <w:t>et al.</w:t>
      </w:r>
      <w:r>
        <w:rPr>
          <w:spacing w:val="-3"/>
        </w:rPr>
        <w:t xml:space="preserve"> [1973] examined a large number of eutectic microstructures and in addition found that the volume fraction of the solid phases in the eutectic structure and the growth velocity must also be considered to obtain a good classification scheme.</w:t>
      </w:r>
    </w:p>
    <w:p w14:paraId="3C6B6843" w14:textId="77777777" w:rsidR="00015B17" w:rsidRDefault="00015B17" w:rsidP="00015B17">
      <w:pPr>
        <w:suppressAutoHyphens/>
        <w:spacing w:line="360" w:lineRule="auto"/>
        <w:rPr>
          <w:spacing w:val="-3"/>
        </w:rPr>
      </w:pPr>
    </w:p>
    <w:p w14:paraId="7F8B9B64" w14:textId="1211D42C" w:rsidR="00015B17" w:rsidRDefault="00015B17" w:rsidP="00015B17">
      <w:pPr>
        <w:suppressAutoHyphens/>
        <w:spacing w:line="360" w:lineRule="auto"/>
        <w:rPr>
          <w:spacing w:val="-3"/>
        </w:rPr>
      </w:pPr>
      <w:r>
        <w:rPr>
          <w:b/>
          <w:bCs/>
          <w:spacing w:val="-3"/>
        </w:rPr>
        <w:t xml:space="preserve">8.1.2. Nonfaceted - </w:t>
      </w:r>
      <w:r w:rsidR="00E511FC">
        <w:rPr>
          <w:b/>
          <w:bCs/>
          <w:spacing w:val="-3"/>
        </w:rPr>
        <w:t>n</w:t>
      </w:r>
      <w:r>
        <w:rPr>
          <w:b/>
          <w:bCs/>
          <w:spacing w:val="-3"/>
        </w:rPr>
        <w:t>onfaceted eutectics</w:t>
      </w:r>
    </w:p>
    <w:p w14:paraId="29D54F5A" w14:textId="77777777" w:rsidR="00015B17" w:rsidRDefault="00015B17" w:rsidP="00015B17">
      <w:pPr>
        <w:suppressAutoHyphens/>
        <w:spacing w:line="360" w:lineRule="auto"/>
        <w:rPr>
          <w:spacing w:val="-3"/>
        </w:rPr>
      </w:pPr>
    </w:p>
    <w:p w14:paraId="77520BA1" w14:textId="6113A611" w:rsidR="00015B17" w:rsidRDefault="00015B17" w:rsidP="00015B17">
      <w:pPr>
        <w:suppressAutoHyphens/>
        <w:spacing w:line="360" w:lineRule="auto"/>
        <w:rPr>
          <w:spacing w:val="-3"/>
        </w:rPr>
      </w:pPr>
      <w:r>
        <w:rPr>
          <w:spacing w:val="-3"/>
        </w:rPr>
        <w:tab/>
        <w:t>Eutectic mixtures of two non-faceted phases tend to form regular microstructures consisting of either alternat</w:t>
      </w:r>
      <w:r w:rsidR="00E511FC">
        <w:rPr>
          <w:spacing w:val="-3"/>
        </w:rPr>
        <w:t>ing</w:t>
      </w:r>
      <w:r>
        <w:rPr>
          <w:spacing w:val="-3"/>
        </w:rPr>
        <w:t xml:space="preserve"> lamellae of </w:t>
      </w:r>
      <w:r>
        <w:rPr>
          <w:i/>
          <w:iCs/>
          <w:spacing w:val="-3"/>
        </w:rPr>
        <w:t>α</w:t>
      </w:r>
      <w:r>
        <w:rPr>
          <w:spacing w:val="-3"/>
        </w:rPr>
        <w:t xml:space="preserve"> and </w:t>
      </w:r>
      <w:r>
        <w:rPr>
          <w:i/>
          <w:iCs/>
          <w:spacing w:val="-3"/>
        </w:rPr>
        <w:t>β</w:t>
      </w:r>
      <w:r>
        <w:rPr>
          <w:spacing w:val="-3"/>
        </w:rPr>
        <w:t xml:space="preserve"> or rods of </w:t>
      </w:r>
      <w:r>
        <w:rPr>
          <w:i/>
          <w:iCs/>
          <w:spacing w:val="-3"/>
        </w:rPr>
        <w:t>α</w:t>
      </w:r>
      <w:r>
        <w:rPr>
          <w:spacing w:val="-3"/>
        </w:rPr>
        <w:t xml:space="preserve"> embedded in</w:t>
      </w:r>
      <w:r w:rsidR="000F7221">
        <w:rPr>
          <w:spacing w:val="-3"/>
        </w:rPr>
        <w:t xml:space="preserve"> a</w:t>
      </w:r>
      <w:r>
        <w:rPr>
          <w:i/>
          <w:iCs/>
          <w:spacing w:val="-3"/>
        </w:rPr>
        <w:t xml:space="preserve"> β</w:t>
      </w:r>
      <w:r>
        <w:rPr>
          <w:spacing w:val="-3"/>
        </w:rPr>
        <w:t xml:space="preserve"> </w:t>
      </w:r>
      <w:r w:rsidR="000F7221">
        <w:rPr>
          <w:spacing w:val="-3"/>
        </w:rPr>
        <w:t xml:space="preserve">matrix </w:t>
      </w:r>
      <w:r>
        <w:rPr>
          <w:spacing w:val="-3"/>
        </w:rPr>
        <w:t xml:space="preserve">that grow in a continuous edgewise manner into the melt.  Experimentally, it is found that eutectics in which one phase has a very low volume fraction tend to grow in a rod-like manner.  When the volume fraction of one of the phases is less than about 0.3, a rod-like structure has lower total </w:t>
      </w:r>
      <w:r>
        <w:rPr>
          <w:i/>
          <w:iCs/>
          <w:spacing w:val="-3"/>
        </w:rPr>
        <w:t xml:space="preserve">α-β </w:t>
      </w:r>
      <w:r>
        <w:rPr>
          <w:spacing w:val="-3"/>
        </w:rPr>
        <w:t xml:space="preserve">surface energy than a lamellar structure. This assumes that the surface energies are isotropic. </w:t>
      </w:r>
      <w:r w:rsidR="009C15EF">
        <w:rPr>
          <w:spacing w:val="-3"/>
        </w:rPr>
        <w:t>However,</w:t>
      </w:r>
      <w:r>
        <w:rPr>
          <w:spacing w:val="-3"/>
        </w:rPr>
        <w:t xml:space="preserve"> a</w:t>
      </w:r>
      <w:r w:rsidR="00F122EF">
        <w:rPr>
          <w:spacing w:val="-3"/>
        </w:rPr>
        <w:t xml:space="preserve"> </w:t>
      </w:r>
      <w:r>
        <w:rPr>
          <w:spacing w:val="-3"/>
        </w:rPr>
        <w:t>25</w:t>
      </w:r>
      <w:r w:rsidR="00BD6531">
        <w:rPr>
          <w:spacing w:val="-3"/>
        </w:rPr>
        <w:t xml:space="preserve"> </w:t>
      </w:r>
      <w:r>
        <w:rPr>
          <w:spacing w:val="-3"/>
        </w:rPr>
        <w:t xml:space="preserve">% anisotropy of </w:t>
      </w:r>
      <w:r w:rsidRPr="00DA56DD">
        <w:rPr>
          <w:spacing w:val="-3"/>
          <w:position w:val="-10"/>
        </w:rPr>
        <w:object w:dxaOrig="620" w:dyaOrig="320" w14:anchorId="34379458">
          <v:shape id="_x0000_i1642" type="#_x0000_t75" style="width:31.8pt;height:16.85pt" o:ole="">
            <v:imagedata r:id="rId1183" o:title=""/>
          </v:shape>
          <o:OLEObject Type="Embed" ProgID="Equation.DSMT4" ShapeID="_x0000_i1642" DrawAspect="Content" ObjectID="_1840627208" r:id="rId1184"/>
        </w:object>
      </w:r>
      <w:r>
        <w:rPr>
          <w:spacing w:val="-3"/>
        </w:rPr>
        <w:t xml:space="preserve"> interface energy can stabilize lamellar structures at practically any value of volume fraction. In marginal cases, lamellar-to-rod transitions can occur for a given alloy by changing the growth conditions. Three-dimensional microstructural analysis of eutectic structures shows that both phases are continuous in the growth direction over large regions that are called eutectic grains.  A eutectic grain can be described approximately as two inter-penetrating single crystals of the two component phases having almost constant crystallographic orientation. HOGAN </w:t>
      </w:r>
      <w:r>
        <w:rPr>
          <w:i/>
          <w:iCs/>
          <w:spacing w:val="-3"/>
        </w:rPr>
        <w:t>et al.</w:t>
      </w:r>
      <w:r>
        <w:rPr>
          <w:spacing w:val="-3"/>
        </w:rPr>
        <w:t xml:space="preserve"> [1971] give a thorough discussion of eutectic grains and a summary of the orientation relationships between phases and the habit plane of the </w:t>
      </w:r>
      <w:r>
        <w:rPr>
          <w:i/>
          <w:iCs/>
          <w:spacing w:val="-3"/>
        </w:rPr>
        <w:t xml:space="preserve">α-β </w:t>
      </w:r>
      <w:r>
        <w:rPr>
          <w:spacing w:val="-3"/>
        </w:rPr>
        <w:t>interfaces. The orientation relationship and the orientation of the interfaces usually allow for a high degree of fit between the two crystal structures that minimizes the</w:t>
      </w:r>
      <w:r>
        <w:rPr>
          <w:i/>
          <w:iCs/>
          <w:spacing w:val="-3"/>
        </w:rPr>
        <w:t xml:space="preserve"> α-β </w:t>
      </w:r>
      <w:r>
        <w:rPr>
          <w:spacing w:val="-3"/>
        </w:rPr>
        <w:t>surface energy.</w:t>
      </w:r>
    </w:p>
    <w:p w14:paraId="21951AD3" w14:textId="77777777" w:rsidR="00015B17" w:rsidRDefault="00015B17" w:rsidP="00015B17">
      <w:pPr>
        <w:suppressAutoHyphens/>
        <w:spacing w:line="360" w:lineRule="auto"/>
        <w:rPr>
          <w:spacing w:val="-3"/>
        </w:rPr>
      </w:pPr>
    </w:p>
    <w:p w14:paraId="7032C387" w14:textId="77777777" w:rsidR="00015B17" w:rsidRDefault="00015B17" w:rsidP="00015B17">
      <w:pPr>
        <w:suppressAutoHyphens/>
        <w:spacing w:line="360" w:lineRule="auto"/>
        <w:rPr>
          <w:spacing w:val="-3"/>
        </w:rPr>
      </w:pPr>
      <w:r>
        <w:rPr>
          <w:spacing w:val="-3"/>
        </w:rPr>
        <w:tab/>
        <w:t xml:space="preserve">In lamellar or rod eutectic solidification, the two phases, </w:t>
      </w:r>
      <w:r>
        <w:rPr>
          <w:i/>
          <w:iCs/>
          <w:spacing w:val="-3"/>
        </w:rPr>
        <w:t xml:space="preserve">α </w:t>
      </w:r>
      <w:r>
        <w:rPr>
          <w:spacing w:val="-3"/>
        </w:rPr>
        <w:t xml:space="preserve">and </w:t>
      </w:r>
      <w:r>
        <w:rPr>
          <w:i/>
          <w:iCs/>
          <w:spacing w:val="-3"/>
        </w:rPr>
        <w:t>β</w:t>
      </w:r>
      <w:r>
        <w:rPr>
          <w:spacing w:val="-3"/>
        </w:rPr>
        <w:t xml:space="preserve">, solidify side by side with an approximately planar and isothermal </w:t>
      </w:r>
      <w:r w:rsidR="004201E7">
        <w:rPr>
          <w:spacing w:val="-3"/>
        </w:rPr>
        <w:t>L-S</w:t>
      </w:r>
      <w:r>
        <w:rPr>
          <w:spacing w:val="-3"/>
        </w:rPr>
        <w:t xml:space="preserve"> interface, supercooled </w:t>
      </w:r>
      <w:r>
        <w:rPr>
          <w:i/>
          <w:iCs/>
          <w:spacing w:val="-3"/>
        </w:rPr>
        <w:t>ΔT</w:t>
      </w:r>
      <w:r>
        <w:rPr>
          <w:spacing w:val="-3"/>
        </w:rPr>
        <w:t xml:space="preserve"> below the equilibrium eutectic temperature. During solidification of an A-B alloy, the A-rich </w:t>
      </w:r>
      <w:r w:rsidR="000F7221">
        <w:rPr>
          <w:i/>
          <w:iCs/>
          <w:spacing w:val="-3"/>
        </w:rPr>
        <w:t>α</w:t>
      </w:r>
      <w:r w:rsidR="000F7221">
        <w:rPr>
          <w:spacing w:val="-3"/>
        </w:rPr>
        <w:t xml:space="preserve"> </w:t>
      </w:r>
      <w:r>
        <w:rPr>
          <w:spacing w:val="-3"/>
        </w:rPr>
        <w:t xml:space="preserve">phase rejects B atoms into the liquid and the B-rich </w:t>
      </w:r>
      <w:r w:rsidR="000F7221">
        <w:rPr>
          <w:i/>
          <w:iCs/>
          <w:spacing w:val="-3"/>
        </w:rPr>
        <w:t>β</w:t>
      </w:r>
      <w:r w:rsidR="000F7221">
        <w:rPr>
          <w:spacing w:val="-3"/>
        </w:rPr>
        <w:t xml:space="preserve"> </w:t>
      </w:r>
      <w:r>
        <w:rPr>
          <w:spacing w:val="-3"/>
        </w:rPr>
        <w:t xml:space="preserve">phase rejects A atoms.  The </w:t>
      </w:r>
      <w:r w:rsidR="00E511FC">
        <w:rPr>
          <w:spacing w:val="-3"/>
        </w:rPr>
        <w:t xml:space="preserve">lateral </w:t>
      </w:r>
      <w:r>
        <w:rPr>
          <w:spacing w:val="-3"/>
        </w:rPr>
        <w:t xml:space="preserve">interaction of the diffusion fields in the liquid in front of the two phases gives rise to the </w:t>
      </w:r>
      <w:r>
        <w:rPr>
          <w:spacing w:val="-3"/>
        </w:rPr>
        <w:lastRenderedPageBreak/>
        <w:t xml:space="preserve">term </w:t>
      </w:r>
      <w:r>
        <w:rPr>
          <w:i/>
          <w:iCs/>
          <w:spacing w:val="-3"/>
        </w:rPr>
        <w:t>coupled growth</w:t>
      </w:r>
      <w:r>
        <w:rPr>
          <w:spacing w:val="-3"/>
        </w:rPr>
        <w:t xml:space="preserve">, which is commonly used to describe eutectic solidification. At a given solidification rate </w:t>
      </w:r>
      <w:r>
        <w:rPr>
          <w:i/>
          <w:iCs/>
          <w:spacing w:val="-3"/>
        </w:rPr>
        <w:t>V</w:t>
      </w:r>
      <w:r>
        <w:rPr>
          <w:spacing w:val="-3"/>
        </w:rPr>
        <w:t xml:space="preserve">, the spacing of the lamellae or rods, </w:t>
      </w:r>
      <w:r w:rsidRPr="00DA56DD">
        <w:rPr>
          <w:i/>
          <w:iCs/>
          <w:spacing w:val="-3"/>
          <w:position w:val="-12"/>
        </w:rPr>
        <w:object w:dxaOrig="300" w:dyaOrig="360" w14:anchorId="5342B049">
          <v:shape id="_x0000_i1643" type="#_x0000_t75" style="width:14.95pt;height:17.75pt" o:ole="">
            <v:imagedata r:id="rId1185" o:title=""/>
          </v:shape>
          <o:OLEObject Type="Embed" ProgID="Equation.DSMT4" ShapeID="_x0000_i1643" DrawAspect="Content" ObjectID="_1840627209" r:id="rId1186"/>
        </w:object>
      </w:r>
      <w:r>
        <w:rPr>
          <w:spacing w:val="-3"/>
        </w:rPr>
        <w:t xml:space="preserve"> and the interface supercooling below the eutectic temperature, </w:t>
      </w:r>
      <w:r w:rsidRPr="00DA56DD">
        <w:rPr>
          <w:i/>
          <w:spacing w:val="-3"/>
        </w:rPr>
        <w:t>ΔT</w:t>
      </w:r>
      <w:r>
        <w:rPr>
          <w:spacing w:val="-3"/>
        </w:rPr>
        <w:t xml:space="preserve">, are controlled by a balance between: (i) the necessity for lateral diffusion of excess A and B in the liquid just ahead of the </w:t>
      </w:r>
      <w:r w:rsidR="004201E7">
        <w:rPr>
          <w:spacing w:val="-3"/>
        </w:rPr>
        <w:t>L-S</w:t>
      </w:r>
      <w:r>
        <w:rPr>
          <w:spacing w:val="-3"/>
        </w:rPr>
        <w:t xml:space="preserve"> interface, which favors a small inter-lamellar or inter-rod spacing, and (ii) the necessity to create</w:t>
      </w:r>
      <w:r>
        <w:rPr>
          <w:i/>
          <w:iCs/>
          <w:spacing w:val="-3"/>
        </w:rPr>
        <w:t xml:space="preserve"> α-β</w:t>
      </w:r>
      <w:r>
        <w:rPr>
          <w:spacing w:val="-3"/>
        </w:rPr>
        <w:t xml:space="preserve"> interfacial area, which tends to favor large </w:t>
      </w:r>
      <w:r w:rsidRPr="00DA56DD">
        <w:rPr>
          <w:i/>
          <w:iCs/>
          <w:spacing w:val="-3"/>
          <w:position w:val="-12"/>
        </w:rPr>
        <w:object w:dxaOrig="300" w:dyaOrig="360" w14:anchorId="4071C2D3">
          <v:shape id="_x0000_i1644" type="#_x0000_t75" style="width:14.95pt;height:17.75pt" o:ole="">
            <v:imagedata r:id="rId1185" o:title=""/>
          </v:shape>
          <o:OLEObject Type="Embed" ProgID="Equation.DSMT4" ShapeID="_x0000_i1644" DrawAspect="Content" ObjectID="_1840627210" r:id="rId1187"/>
        </w:object>
      </w:r>
      <w:r>
        <w:rPr>
          <w:spacing w:val="-3"/>
        </w:rPr>
        <w:t xml:space="preserve"> (fewer interfaces).</w:t>
      </w:r>
      <w:r w:rsidR="000F7221">
        <w:rPr>
          <w:spacing w:val="-3"/>
        </w:rPr>
        <w:t xml:space="preserve"> </w:t>
      </w:r>
    </w:p>
    <w:p w14:paraId="6683F8B1" w14:textId="77777777" w:rsidR="00015B17" w:rsidRDefault="00015B17" w:rsidP="00015B17">
      <w:pPr>
        <w:suppressAutoHyphens/>
        <w:spacing w:line="360" w:lineRule="auto"/>
        <w:rPr>
          <w:spacing w:val="-3"/>
        </w:rPr>
      </w:pPr>
    </w:p>
    <w:p w14:paraId="6FE898CE" w14:textId="5389D641" w:rsidR="00015B17" w:rsidRDefault="00015B17" w:rsidP="00015B17">
      <w:pPr>
        <w:suppressAutoHyphens/>
        <w:spacing w:line="360" w:lineRule="auto"/>
        <w:rPr>
          <w:spacing w:val="-3"/>
        </w:rPr>
      </w:pPr>
      <w:r>
        <w:rPr>
          <w:spacing w:val="-3"/>
        </w:rPr>
        <w:tab/>
        <w:t>Over the years the theory of lamellar or rod growth for the slow solidification velocities when</w:t>
      </w:r>
      <w:r>
        <w:rPr>
          <w:i/>
          <w:iCs/>
          <w:spacing w:val="-3"/>
        </w:rPr>
        <w:t xml:space="preserve"> </w:t>
      </w:r>
      <w:r w:rsidRPr="00DA56DD">
        <w:rPr>
          <w:i/>
          <w:iCs/>
          <w:spacing w:val="-3"/>
          <w:position w:val="-12"/>
        </w:rPr>
        <w:object w:dxaOrig="1460" w:dyaOrig="360" w14:anchorId="674BFE7A">
          <v:shape id="_x0000_i1645" type="#_x0000_t75" style="width:72.95pt;height:17.75pt" o:ole="">
            <v:imagedata r:id="rId1188" o:title=""/>
          </v:shape>
          <o:OLEObject Type="Embed" ProgID="Equation.DSMT4" ShapeID="_x0000_i1645" DrawAspect="Content" ObjectID="_1840627211" r:id="rId1189"/>
        </w:object>
      </w:r>
      <w:r>
        <w:rPr>
          <w:spacing w:val="-3"/>
        </w:rPr>
        <w:t xml:space="preserve"> has been developed by ZENER [1946], TILLER [1958], HILLERT [1957], JACKSON and HUNT [1966], MAGNIN and TRIVEDI [1991].  The situation for rapid solidification is treated below. The basis of the analysis is illustrated in Fig. 8.1. The interface temperature at each interface point is composed of three contributions controlled by the velocity o</w:t>
      </w:r>
      <w:r w:rsidR="00E511FC">
        <w:rPr>
          <w:spacing w:val="-3"/>
        </w:rPr>
        <w:t>f</w:t>
      </w:r>
      <w:r>
        <w:rPr>
          <w:spacing w:val="-3"/>
        </w:rPr>
        <w:t xml:space="preserve"> the interface at each point, the composition of the liquid at the interface at each point and the curvature of the interface at each point. The supercooling below the eutectic temperature, </w:t>
      </w:r>
      <w:r>
        <w:rPr>
          <w:i/>
          <w:iCs/>
          <w:spacing w:val="-3"/>
        </w:rPr>
        <w:t>T</w:t>
      </w:r>
      <w:r w:rsidRPr="00727E8A">
        <w:rPr>
          <w:spacing w:val="-3"/>
          <w:sz w:val="26"/>
          <w:vertAlign w:val="subscript"/>
        </w:rPr>
        <w:t>E</w:t>
      </w:r>
      <w:r>
        <w:rPr>
          <w:spacing w:val="-3"/>
        </w:rPr>
        <w:t xml:space="preserve">, for each point on the </w:t>
      </w:r>
      <w:r w:rsidR="004201E7">
        <w:rPr>
          <w:spacing w:val="-3"/>
        </w:rPr>
        <w:t>L-S</w:t>
      </w:r>
      <w:r>
        <w:rPr>
          <w:spacing w:val="-3"/>
        </w:rPr>
        <w:t xml:space="preserve"> interface (</w:t>
      </w:r>
      <w:r w:rsidRPr="00DA56DD">
        <w:rPr>
          <w:i/>
          <w:iCs/>
          <w:spacing w:val="-3"/>
        </w:rPr>
        <w:t>α-</w:t>
      </w:r>
      <w:r w:rsidRPr="00DA56DD">
        <w:rPr>
          <w:i/>
          <w:spacing w:val="-3"/>
        </w:rPr>
        <w:t>L</w:t>
      </w:r>
      <w:r>
        <w:rPr>
          <w:spacing w:val="-3"/>
        </w:rPr>
        <w:t xml:space="preserve"> and </w:t>
      </w:r>
      <w:r w:rsidRPr="00DA56DD">
        <w:rPr>
          <w:i/>
          <w:spacing w:val="-3"/>
        </w:rPr>
        <w:t>β-L</w:t>
      </w:r>
      <w:r>
        <w:rPr>
          <w:spacing w:val="-3"/>
        </w:rPr>
        <w:t>) can be described by</w:t>
      </w:r>
    </w:p>
    <w:p w14:paraId="493B165D" w14:textId="77777777" w:rsidR="00015B17" w:rsidRDefault="00015B17" w:rsidP="00015B17">
      <w:pPr>
        <w:suppressAutoHyphens/>
        <w:spacing w:line="360" w:lineRule="auto"/>
        <w:jc w:val="both"/>
        <w:rPr>
          <w:spacing w:val="-3"/>
        </w:rPr>
      </w:pPr>
    </w:p>
    <w:p w14:paraId="7AD5CD9D" w14:textId="77777777" w:rsidR="00015B17" w:rsidRDefault="00015B17" w:rsidP="00015B17">
      <w:pPr>
        <w:suppressAutoHyphens/>
        <w:spacing w:line="360" w:lineRule="auto"/>
        <w:jc w:val="center"/>
        <w:rPr>
          <w:spacing w:val="-3"/>
        </w:rPr>
      </w:pPr>
      <w:r w:rsidRPr="00841EBC">
        <w:rPr>
          <w:spacing w:val="-3"/>
          <w:position w:val="-12"/>
        </w:rPr>
        <w:object w:dxaOrig="2220" w:dyaOrig="360" w14:anchorId="696E88C0">
          <v:shape id="_x0000_i1646" type="#_x0000_t75" style="width:112.2pt;height:17.75pt" o:ole="">
            <v:imagedata r:id="rId1190" o:title=""/>
          </v:shape>
          <o:OLEObject Type="Embed" ProgID="Equation.DSMT4" ShapeID="_x0000_i1646" DrawAspect="Content" ObjectID="_1840627212" r:id="rId1191"/>
        </w:object>
      </w:r>
      <w:r>
        <w:rPr>
          <w:spacing w:val="-3"/>
        </w:rPr>
        <w:tab/>
      </w:r>
      <w:r>
        <w:rPr>
          <w:spacing w:val="-3"/>
        </w:rPr>
        <w:tab/>
        <w:t>(8.1)</w:t>
      </w:r>
    </w:p>
    <w:p w14:paraId="773E0C73" w14:textId="77777777" w:rsidR="00015B17" w:rsidRDefault="00015B17" w:rsidP="00015B17">
      <w:pPr>
        <w:suppressAutoHyphens/>
        <w:spacing w:line="360" w:lineRule="auto"/>
        <w:jc w:val="center"/>
        <w:rPr>
          <w:spacing w:val="-3"/>
        </w:rPr>
      </w:pPr>
    </w:p>
    <w:p w14:paraId="227080E7" w14:textId="525B64A5" w:rsidR="00015B17" w:rsidRDefault="00015B17" w:rsidP="00015B17">
      <w:pPr>
        <w:suppressAutoHyphens/>
        <w:spacing w:line="360" w:lineRule="auto"/>
        <w:rPr>
          <w:spacing w:val="-3"/>
        </w:rPr>
      </w:pPr>
      <w:r>
        <w:rPr>
          <w:spacing w:val="-3"/>
        </w:rPr>
        <w:t xml:space="preserve">The first term is the interface attachment kinetic supercooling (described in </w:t>
      </w:r>
      <w:r w:rsidR="000F7221">
        <w:rPr>
          <w:spacing w:val="-3"/>
        </w:rPr>
        <w:t>§</w:t>
      </w:r>
      <w:r>
        <w:rPr>
          <w:spacing w:val="-3"/>
        </w:rPr>
        <w:t xml:space="preserve"> 5) and is usually neglected compared to the other terms. Thus it is assumed that each point on the </w:t>
      </w:r>
      <w:r>
        <w:rPr>
          <w:i/>
          <w:iCs/>
          <w:spacing w:val="-3"/>
        </w:rPr>
        <w:t>α-</w:t>
      </w:r>
      <w:r>
        <w:rPr>
          <w:spacing w:val="-3"/>
        </w:rPr>
        <w:t xml:space="preserve">L and </w:t>
      </w:r>
      <w:r>
        <w:rPr>
          <w:i/>
          <w:iCs/>
          <w:spacing w:val="-3"/>
        </w:rPr>
        <w:t>β</w:t>
      </w:r>
      <w:r>
        <w:rPr>
          <w:spacing w:val="-3"/>
        </w:rPr>
        <w:t>-L interfaces is at local equilibrium.</w:t>
      </w:r>
      <w:r>
        <w:rPr>
          <w:i/>
          <w:iCs/>
          <w:spacing w:val="-3"/>
        </w:rPr>
        <w:t xml:space="preserve"> ΔT</w:t>
      </w:r>
      <w:r w:rsidRPr="00727E8A">
        <w:rPr>
          <w:spacing w:val="-3"/>
          <w:sz w:val="26"/>
          <w:vertAlign w:val="subscript"/>
        </w:rPr>
        <w:t>D</w:t>
      </w:r>
      <w:r>
        <w:rPr>
          <w:spacing w:val="-3"/>
        </w:rPr>
        <w:t xml:space="preserve"> is the supercooling below the eutectic temperature due to the local variation in composition from the eutectic composition.  This local variation is approximated by solving the steady-state diffusion equation in the liquid for a planar </w:t>
      </w:r>
      <w:r>
        <w:rPr>
          <w:i/>
          <w:iCs/>
          <w:spacing w:val="-3"/>
        </w:rPr>
        <w:t>α-β</w:t>
      </w:r>
      <w:r>
        <w:rPr>
          <w:spacing w:val="-3"/>
        </w:rPr>
        <w:t xml:space="preserve"> interface growing at velocity</w:t>
      </w:r>
      <w:r>
        <w:rPr>
          <w:i/>
          <w:iCs/>
          <w:spacing w:val="-3"/>
        </w:rPr>
        <w:t xml:space="preserve"> V</w:t>
      </w:r>
      <w:r>
        <w:rPr>
          <w:spacing w:val="-3"/>
        </w:rPr>
        <w:t xml:space="preserve"> and spacing</w:t>
      </w:r>
      <w:r w:rsidRPr="00DA56DD">
        <w:rPr>
          <w:i/>
          <w:iCs/>
          <w:spacing w:val="-3"/>
          <w:position w:val="-12"/>
        </w:rPr>
        <w:object w:dxaOrig="300" w:dyaOrig="360" w14:anchorId="5081264F">
          <v:shape id="_x0000_i1647" type="#_x0000_t75" style="width:14.95pt;height:17.75pt" o:ole="">
            <v:imagedata r:id="rId1185" o:title=""/>
          </v:shape>
          <o:OLEObject Type="Embed" ProgID="Equation.DSMT4" ShapeID="_x0000_i1647" DrawAspect="Content" ObjectID="_1840627213" r:id="rId1192"/>
        </w:object>
      </w:r>
      <w:r>
        <w:rPr>
          <w:spacing w:val="-3"/>
        </w:rPr>
        <w:t xml:space="preserve">. </w:t>
      </w:r>
      <w:r>
        <w:rPr>
          <w:i/>
          <w:iCs/>
          <w:spacing w:val="-3"/>
        </w:rPr>
        <w:t>ΔT</w:t>
      </w:r>
      <w:r w:rsidRPr="00727E8A">
        <w:rPr>
          <w:spacing w:val="-3"/>
          <w:sz w:val="26"/>
          <w:vertAlign w:val="subscript"/>
        </w:rPr>
        <w:t>c</w:t>
      </w:r>
      <w:r>
        <w:rPr>
          <w:spacing w:val="-3"/>
        </w:rPr>
        <w:t xml:space="preserve"> is the supercooling due to curvature</w:t>
      </w:r>
      <w:r w:rsidR="000F7221">
        <w:rPr>
          <w:spacing w:val="-3"/>
        </w:rPr>
        <w:t xml:space="preserve"> (Gibbs-Thomson effect).</w:t>
      </w:r>
    </w:p>
    <w:p w14:paraId="510DF1C3" w14:textId="77777777" w:rsidR="00015B17" w:rsidRDefault="00015B17" w:rsidP="00015B17">
      <w:pPr>
        <w:suppressAutoHyphens/>
        <w:spacing w:line="360" w:lineRule="auto"/>
        <w:rPr>
          <w:spacing w:val="-3"/>
        </w:rPr>
      </w:pPr>
    </w:p>
    <w:p w14:paraId="1F00A97F" w14:textId="77777777" w:rsidR="00015B17" w:rsidRDefault="00015B17" w:rsidP="00015B17">
      <w:pPr>
        <w:suppressAutoHyphens/>
        <w:spacing w:line="360" w:lineRule="auto"/>
        <w:rPr>
          <w:spacing w:val="-3"/>
        </w:rPr>
      </w:pPr>
      <w:r>
        <w:rPr>
          <w:spacing w:val="-3"/>
        </w:rPr>
        <w:tab/>
        <w:t xml:space="preserve">It is then assumed that the total supercooling, </w:t>
      </w:r>
      <w:r>
        <w:rPr>
          <w:i/>
          <w:iCs/>
          <w:spacing w:val="-3"/>
        </w:rPr>
        <w:t>ΔT</w:t>
      </w:r>
      <w:r>
        <w:rPr>
          <w:spacing w:val="-3"/>
        </w:rPr>
        <w:t>, given by Eqn. (8.1) is constant across the interface</w:t>
      </w:r>
      <w:r w:rsidR="000F7221">
        <w:rPr>
          <w:spacing w:val="-3"/>
        </w:rPr>
        <w:t>; i.e. the interface is isothermal</w:t>
      </w:r>
      <w:r>
        <w:rPr>
          <w:spacing w:val="-3"/>
        </w:rPr>
        <w:t xml:space="preserve">.  Thus across the interface, any variation in </w:t>
      </w:r>
      <w:r>
        <w:rPr>
          <w:i/>
          <w:iCs/>
          <w:spacing w:val="-3"/>
        </w:rPr>
        <w:t>ΔT</w:t>
      </w:r>
      <w:r w:rsidRPr="00727E8A">
        <w:rPr>
          <w:spacing w:val="-3"/>
          <w:sz w:val="26"/>
          <w:vertAlign w:val="subscript"/>
        </w:rPr>
        <w:t>D</w:t>
      </w:r>
      <w:r>
        <w:rPr>
          <w:spacing w:val="-3"/>
        </w:rPr>
        <w:t xml:space="preserve"> must be balanced by a variation in </w:t>
      </w:r>
      <w:r>
        <w:rPr>
          <w:i/>
          <w:iCs/>
          <w:spacing w:val="-3"/>
        </w:rPr>
        <w:t>ΔT</w:t>
      </w:r>
      <w:r w:rsidRPr="00727E8A">
        <w:rPr>
          <w:spacing w:val="-3"/>
          <w:sz w:val="26"/>
          <w:vertAlign w:val="subscript"/>
        </w:rPr>
        <w:t>c</w:t>
      </w:r>
      <w:r>
        <w:rPr>
          <w:spacing w:val="-3"/>
        </w:rPr>
        <w:t xml:space="preserve">, giving a constant value for </w:t>
      </w:r>
      <w:r>
        <w:rPr>
          <w:i/>
          <w:iCs/>
          <w:spacing w:val="-3"/>
        </w:rPr>
        <w:t>ΔT = ΔT</w:t>
      </w:r>
      <w:r w:rsidRPr="00727E8A">
        <w:rPr>
          <w:spacing w:val="-3"/>
          <w:sz w:val="26"/>
          <w:vertAlign w:val="subscript"/>
        </w:rPr>
        <w:t>D</w:t>
      </w:r>
      <w:r>
        <w:rPr>
          <w:spacing w:val="-3"/>
        </w:rPr>
        <w:t xml:space="preserve"> </w:t>
      </w:r>
      <w:r>
        <w:rPr>
          <w:i/>
          <w:iCs/>
          <w:spacing w:val="-3"/>
        </w:rPr>
        <w:t>+ ΔT</w:t>
      </w:r>
      <w:r w:rsidRPr="00727E8A">
        <w:rPr>
          <w:spacing w:val="-3"/>
          <w:sz w:val="26"/>
          <w:vertAlign w:val="subscript"/>
        </w:rPr>
        <w:t>c</w:t>
      </w:r>
      <w:r>
        <w:rPr>
          <w:spacing w:val="-3"/>
        </w:rPr>
        <w:t xml:space="preserve"> </w:t>
      </w:r>
      <w:r>
        <w:rPr>
          <w:spacing w:val="-3"/>
        </w:rPr>
        <w:lastRenderedPageBreak/>
        <w:t xml:space="preserve">at each point of the interface. Due to the solution of the diffusion equation, </w:t>
      </w:r>
      <w:r>
        <w:rPr>
          <w:i/>
          <w:iCs/>
          <w:spacing w:val="-3"/>
        </w:rPr>
        <w:t>ΔT</w:t>
      </w:r>
      <w:r w:rsidRPr="00727E8A">
        <w:rPr>
          <w:spacing w:val="-3"/>
          <w:sz w:val="26"/>
          <w:vertAlign w:val="subscript"/>
        </w:rPr>
        <w:t>D</w:t>
      </w:r>
      <w:r>
        <w:rPr>
          <w:spacing w:val="-3"/>
        </w:rPr>
        <w:t xml:space="preserve"> has a minimum value near the </w:t>
      </w:r>
      <w:r>
        <w:rPr>
          <w:i/>
          <w:iCs/>
          <w:spacing w:val="-3"/>
        </w:rPr>
        <w:t>α-β-L</w:t>
      </w:r>
      <w:r>
        <w:rPr>
          <w:spacing w:val="-3"/>
        </w:rPr>
        <w:t xml:space="preserve"> groove, and thus </w:t>
      </w:r>
      <w:r>
        <w:rPr>
          <w:i/>
          <w:iCs/>
          <w:spacing w:val="-3"/>
        </w:rPr>
        <w:t>ΔT</w:t>
      </w:r>
      <w:r w:rsidRPr="00727E8A">
        <w:rPr>
          <w:spacing w:val="-3"/>
          <w:sz w:val="26"/>
          <w:vertAlign w:val="subscript"/>
        </w:rPr>
        <w:t>c</w:t>
      </w:r>
      <w:r>
        <w:rPr>
          <w:spacing w:val="-3"/>
        </w:rPr>
        <w:t xml:space="preserve"> has a maximum value there. The radius of curvature of each solid phase interface is, therefore, smallest near the triple junctions and leads to an interface shape similar to that shown in Fig. 8.1c.  JACKSON and HUNT [1966] have shown that the predicted interface shape agrees very well with the interface shape observed in the transparent hexachloroethane-carbon bromide model system.</w:t>
      </w:r>
    </w:p>
    <w:p w14:paraId="777336F0" w14:textId="77777777" w:rsidR="00015B17" w:rsidRDefault="00015B17" w:rsidP="00015B17">
      <w:pPr>
        <w:suppressAutoHyphens/>
        <w:spacing w:line="360" w:lineRule="auto"/>
        <w:rPr>
          <w:spacing w:val="-3"/>
        </w:rPr>
      </w:pPr>
    </w:p>
    <w:p w14:paraId="1A0F922C" w14:textId="77777777" w:rsidR="00015B17" w:rsidRDefault="00015B17" w:rsidP="00015B17">
      <w:pPr>
        <w:suppressAutoHyphens/>
        <w:spacing w:line="360" w:lineRule="auto"/>
        <w:rPr>
          <w:spacing w:val="-3"/>
        </w:rPr>
      </w:pPr>
      <w:r>
        <w:rPr>
          <w:spacing w:val="-3"/>
        </w:rPr>
        <w:tab/>
        <w:t xml:space="preserve">By averaging the composition deviation from the eutectic composition in the liquid in front of each phase and </w:t>
      </w:r>
      <w:r w:rsidR="000F7221">
        <w:rPr>
          <w:spacing w:val="-3"/>
        </w:rPr>
        <w:t xml:space="preserve">averaging </w:t>
      </w:r>
      <w:r>
        <w:rPr>
          <w:spacing w:val="-3"/>
        </w:rPr>
        <w:t xml:space="preserve">the interface curvature of each phase (which depends on the width of the phase and the angle the interface makes with the </w:t>
      </w:r>
      <w:r>
        <w:rPr>
          <w:i/>
          <w:iCs/>
          <w:spacing w:val="-3"/>
        </w:rPr>
        <w:t>α-β</w:t>
      </w:r>
      <w:r>
        <w:rPr>
          <w:spacing w:val="-3"/>
        </w:rPr>
        <w:t xml:space="preserve"> interface), the total supercooling is found to be</w:t>
      </w:r>
    </w:p>
    <w:p w14:paraId="6267548F" w14:textId="77777777" w:rsidR="00015B17" w:rsidRDefault="00015B17" w:rsidP="00015B17">
      <w:pPr>
        <w:suppressAutoHyphens/>
        <w:spacing w:line="360" w:lineRule="auto"/>
        <w:jc w:val="both"/>
        <w:rPr>
          <w:spacing w:val="-3"/>
        </w:rPr>
      </w:pPr>
    </w:p>
    <w:p w14:paraId="3123E318" w14:textId="77777777" w:rsidR="00015B17" w:rsidRDefault="00015B17" w:rsidP="00015B17">
      <w:pPr>
        <w:suppressAutoHyphens/>
        <w:spacing w:line="360" w:lineRule="auto"/>
        <w:jc w:val="center"/>
        <w:rPr>
          <w:spacing w:val="-3"/>
        </w:rPr>
      </w:pPr>
      <w:r w:rsidRPr="004E1B50">
        <w:rPr>
          <w:spacing w:val="-3"/>
          <w:position w:val="-12"/>
        </w:rPr>
        <w:object w:dxaOrig="1939" w:dyaOrig="360" w14:anchorId="05A78882">
          <v:shape id="_x0000_i1648" type="#_x0000_t75" style="width:97.25pt;height:17.75pt" o:ole="">
            <v:imagedata r:id="rId1193" o:title=""/>
          </v:shape>
          <o:OLEObject Type="Embed" ProgID="Equation.DSMT4" ShapeID="_x0000_i1648" DrawAspect="Content" ObjectID="_1840627214" r:id="rId1194"/>
        </w:object>
      </w:r>
      <w:r>
        <w:rPr>
          <w:spacing w:val="-3"/>
        </w:rPr>
        <w:t xml:space="preserve">    (8.2)</w:t>
      </w:r>
    </w:p>
    <w:p w14:paraId="48CBCDD6" w14:textId="77777777" w:rsidR="00015B17" w:rsidRDefault="00015B17" w:rsidP="00015B17">
      <w:pPr>
        <w:suppressAutoHyphens/>
        <w:spacing w:line="360" w:lineRule="auto"/>
        <w:jc w:val="both"/>
        <w:rPr>
          <w:spacing w:val="-3"/>
        </w:rPr>
      </w:pPr>
    </w:p>
    <w:p w14:paraId="4DA45479" w14:textId="77777777" w:rsidR="00015B17" w:rsidRDefault="00015B17" w:rsidP="00015B17">
      <w:pPr>
        <w:suppressAutoHyphens/>
        <w:spacing w:line="360" w:lineRule="auto"/>
        <w:rPr>
          <w:spacing w:val="-3"/>
        </w:rPr>
      </w:pPr>
      <w:r>
        <w:rPr>
          <w:spacing w:val="-3"/>
        </w:rPr>
        <w:t>where K</w:t>
      </w:r>
      <w:r w:rsidRPr="00727E8A">
        <w:rPr>
          <w:spacing w:val="-3"/>
          <w:sz w:val="26"/>
          <w:vertAlign w:val="subscript"/>
        </w:rPr>
        <w:t>5</w:t>
      </w:r>
      <w:r>
        <w:rPr>
          <w:spacing w:val="-3"/>
        </w:rPr>
        <w:t xml:space="preserve"> and K</w:t>
      </w:r>
      <w:r w:rsidRPr="00727E8A">
        <w:rPr>
          <w:spacing w:val="-3"/>
          <w:sz w:val="26"/>
          <w:vertAlign w:val="subscript"/>
        </w:rPr>
        <w:t>6</w:t>
      </w:r>
      <w:r>
        <w:rPr>
          <w:spacing w:val="-3"/>
        </w:rPr>
        <w:t xml:space="preserve"> are constants. For lamellar growth they are given by </w:t>
      </w:r>
    </w:p>
    <w:p w14:paraId="3449759B" w14:textId="77777777" w:rsidR="00015B17" w:rsidRDefault="000F7221" w:rsidP="00015B17">
      <w:pPr>
        <w:suppressAutoHyphens/>
        <w:spacing w:line="360" w:lineRule="auto"/>
        <w:jc w:val="center"/>
        <w:rPr>
          <w:spacing w:val="-3"/>
        </w:rPr>
      </w:pPr>
      <w:r w:rsidRPr="004E1B50">
        <w:rPr>
          <w:spacing w:val="-3"/>
          <w:position w:val="-32"/>
        </w:rPr>
        <w:object w:dxaOrig="1760" w:dyaOrig="740" w14:anchorId="072C949C">
          <v:shape id="_x0000_i1649" type="#_x0000_t75" style="width:88.85pt;height:36.45pt" o:ole="">
            <v:imagedata r:id="rId1195" o:title=""/>
          </v:shape>
          <o:OLEObject Type="Embed" ProgID="Equation.DSMT4" ShapeID="_x0000_i1649" DrawAspect="Content" ObjectID="_1840627215" r:id="rId1196"/>
        </w:object>
      </w:r>
      <w:r w:rsidR="00015B17">
        <w:rPr>
          <w:spacing w:val="-3"/>
        </w:rPr>
        <w:tab/>
      </w:r>
      <w:r w:rsidR="006E6FC2">
        <w:rPr>
          <w:spacing w:val="-3"/>
        </w:rPr>
        <w:t>,</w:t>
      </w:r>
      <w:r w:rsidR="00015B17">
        <w:rPr>
          <w:spacing w:val="-3"/>
        </w:rPr>
        <w:tab/>
      </w:r>
      <w:r w:rsidR="00015B17">
        <w:rPr>
          <w:spacing w:val="-3"/>
        </w:rPr>
        <w:tab/>
        <w:t>(8.3)</w:t>
      </w:r>
    </w:p>
    <w:p w14:paraId="01319860" w14:textId="77777777" w:rsidR="00015B17" w:rsidRDefault="00015B17" w:rsidP="00015B17">
      <w:pPr>
        <w:suppressAutoHyphens/>
        <w:spacing w:line="360" w:lineRule="auto"/>
        <w:jc w:val="both"/>
        <w:rPr>
          <w:vanish/>
          <w:spacing w:val="-3"/>
        </w:rPr>
      </w:pPr>
    </w:p>
    <w:p w14:paraId="66AF3EEA" w14:textId="77777777" w:rsidR="00015B17" w:rsidRDefault="00015B17" w:rsidP="00015B17">
      <w:pPr>
        <w:suppressAutoHyphens/>
        <w:spacing w:line="360" w:lineRule="auto"/>
        <w:jc w:val="both"/>
        <w:rPr>
          <w:spacing w:val="-3"/>
        </w:rPr>
      </w:pPr>
    </w:p>
    <w:p w14:paraId="6C0D7F02" w14:textId="77777777" w:rsidR="00015B17" w:rsidRDefault="00015B17" w:rsidP="00015B17">
      <w:pPr>
        <w:suppressAutoHyphens/>
        <w:spacing w:line="360" w:lineRule="auto"/>
        <w:jc w:val="both"/>
        <w:rPr>
          <w:spacing w:val="-3"/>
        </w:rPr>
      </w:pPr>
      <w:r>
        <w:rPr>
          <w:spacing w:val="-3"/>
        </w:rPr>
        <w:t>and</w:t>
      </w:r>
    </w:p>
    <w:p w14:paraId="5CCE5986" w14:textId="77777777" w:rsidR="00015B17" w:rsidRDefault="00015B17" w:rsidP="00015B17">
      <w:pPr>
        <w:suppressAutoHyphens/>
        <w:spacing w:line="360" w:lineRule="auto"/>
        <w:jc w:val="center"/>
        <w:rPr>
          <w:spacing w:val="-3"/>
        </w:rPr>
      </w:pPr>
      <w:r w:rsidRPr="004E1B50">
        <w:rPr>
          <w:spacing w:val="-3"/>
          <w:position w:val="-34"/>
        </w:rPr>
        <w:object w:dxaOrig="3440" w:dyaOrig="800" w14:anchorId="544DCCAF">
          <v:shape id="_x0000_i1650" type="#_x0000_t75" style="width:172.05pt;height:40.2pt" o:ole="">
            <v:imagedata r:id="rId1197" o:title=""/>
          </v:shape>
          <o:OLEObject Type="Embed" ProgID="Equation.DSMT4" ShapeID="_x0000_i1650" DrawAspect="Content" ObjectID="_1840627216" r:id="rId1198"/>
        </w:object>
      </w:r>
      <w:r>
        <w:rPr>
          <w:spacing w:val="-3"/>
        </w:rPr>
        <w:tab/>
      </w:r>
      <w:r>
        <w:rPr>
          <w:spacing w:val="-3"/>
        </w:rPr>
        <w:tab/>
      </w:r>
      <w:r w:rsidR="006E6FC2">
        <w:rPr>
          <w:spacing w:val="-3"/>
        </w:rPr>
        <w:t>,</w:t>
      </w:r>
      <w:r>
        <w:rPr>
          <w:spacing w:val="-3"/>
        </w:rPr>
        <w:tab/>
        <w:t>(8.4)</w:t>
      </w:r>
    </w:p>
    <w:p w14:paraId="734D55CC" w14:textId="77777777" w:rsidR="00015B17" w:rsidRDefault="00015B17" w:rsidP="00015B17">
      <w:pPr>
        <w:suppressAutoHyphens/>
        <w:spacing w:line="360" w:lineRule="auto"/>
        <w:jc w:val="both"/>
        <w:rPr>
          <w:spacing w:val="-3"/>
        </w:rPr>
      </w:pPr>
      <w:r>
        <w:rPr>
          <w:spacing w:val="-3"/>
        </w:rPr>
        <w:t>with</w:t>
      </w:r>
    </w:p>
    <w:p w14:paraId="78E1776E" w14:textId="77777777" w:rsidR="00015B17" w:rsidRDefault="00015B17" w:rsidP="00015B17">
      <w:pPr>
        <w:suppressAutoHyphens/>
        <w:spacing w:line="360" w:lineRule="auto"/>
        <w:jc w:val="center"/>
        <w:rPr>
          <w:spacing w:val="-3"/>
        </w:rPr>
      </w:pPr>
      <w:r w:rsidRPr="00F41700">
        <w:rPr>
          <w:spacing w:val="-3"/>
          <w:position w:val="-32"/>
        </w:rPr>
        <w:object w:dxaOrig="1620" w:dyaOrig="760" w14:anchorId="47B22F43">
          <v:shape id="_x0000_i1651" type="#_x0000_t75" style="width:81.35pt;height:38.35pt" o:ole="">
            <v:imagedata r:id="rId1199" o:title=""/>
          </v:shape>
          <o:OLEObject Type="Embed" ProgID="Equation.DSMT4" ShapeID="_x0000_i1651" DrawAspect="Content" ObjectID="_1840627217" r:id="rId1200"/>
        </w:object>
      </w:r>
      <w:r>
        <w:rPr>
          <w:spacing w:val="-3"/>
        </w:rPr>
        <w:tab/>
      </w:r>
      <w:r w:rsidR="006E6FC2">
        <w:rPr>
          <w:spacing w:val="-3"/>
        </w:rPr>
        <w:t>.</w:t>
      </w:r>
      <w:r>
        <w:rPr>
          <w:spacing w:val="-3"/>
        </w:rPr>
        <w:tab/>
      </w:r>
      <w:r>
        <w:rPr>
          <w:spacing w:val="-3"/>
        </w:rPr>
        <w:tab/>
        <w:t>(8.5)</w:t>
      </w:r>
    </w:p>
    <w:p w14:paraId="7CAFAEC5" w14:textId="77777777" w:rsidR="00015B17" w:rsidRDefault="00015B17" w:rsidP="00015B17">
      <w:pPr>
        <w:suppressAutoHyphens/>
        <w:spacing w:line="360" w:lineRule="auto"/>
        <w:jc w:val="center"/>
        <w:rPr>
          <w:spacing w:val="-3"/>
        </w:rPr>
      </w:pPr>
    </w:p>
    <w:p w14:paraId="7AD0A67C" w14:textId="77777777" w:rsidR="00015B17" w:rsidRDefault="00015B17" w:rsidP="00015B17">
      <w:pPr>
        <w:suppressAutoHyphens/>
        <w:spacing w:line="360" w:lineRule="auto"/>
        <w:rPr>
          <w:spacing w:val="-3"/>
        </w:rPr>
      </w:pPr>
      <w:r>
        <w:rPr>
          <w:spacing w:val="-3"/>
        </w:rPr>
        <w:t>The parameters</w:t>
      </w:r>
      <w:r>
        <w:rPr>
          <w:i/>
          <w:iCs/>
          <w:spacing w:val="-3"/>
        </w:rPr>
        <w:t xml:space="preserve"> </w:t>
      </w:r>
      <w:r w:rsidRPr="00C56A40">
        <w:rPr>
          <w:position w:val="-12"/>
        </w:rPr>
        <w:object w:dxaOrig="420" w:dyaOrig="380" w14:anchorId="19CC0771">
          <v:shape id="_x0000_i1652" type="#_x0000_t75" style="width:20.55pt;height:18.7pt" o:ole="">
            <v:imagedata r:id="rId1201" o:title=""/>
          </v:shape>
          <o:OLEObject Type="Embed" ProgID="Equation.DSMT4" ShapeID="_x0000_i1652" DrawAspect="Content" ObjectID="_1840627218" r:id="rId1202"/>
        </w:object>
      </w:r>
      <w:r>
        <w:rPr>
          <w:spacing w:val="-3"/>
        </w:rPr>
        <w:t xml:space="preserve"> and </w:t>
      </w:r>
      <w:r w:rsidRPr="00113A5E">
        <w:rPr>
          <w:position w:val="-14"/>
        </w:rPr>
        <w:object w:dxaOrig="420" w:dyaOrig="400" w14:anchorId="43463552">
          <v:shape id="_x0000_i1653" type="#_x0000_t75" style="width:20.55pt;height:19.65pt" o:ole="">
            <v:imagedata r:id="rId1203" o:title=""/>
          </v:shape>
          <o:OLEObject Type="Embed" ProgID="Equation.DSMT4" ShapeID="_x0000_i1653" DrawAspect="Content" ObjectID="_1840627219" r:id="rId1204"/>
        </w:object>
      </w:r>
      <w:r>
        <w:rPr>
          <w:spacing w:val="-3"/>
        </w:rPr>
        <w:t xml:space="preserve"> are the liquidus slopes for the alpha and beta phases</w:t>
      </w:r>
      <w:r w:rsidR="000F7221">
        <w:rPr>
          <w:spacing w:val="-3"/>
        </w:rPr>
        <w:t xml:space="preserve"> (both defined positive and for their respective solutes)</w:t>
      </w:r>
      <w:r>
        <w:rPr>
          <w:spacing w:val="-3"/>
        </w:rPr>
        <w:t xml:space="preserve">, </w:t>
      </w:r>
      <w:r>
        <w:rPr>
          <w:i/>
          <w:iCs/>
          <w:spacing w:val="-3"/>
        </w:rPr>
        <w:t>C</w:t>
      </w:r>
      <w:r w:rsidRPr="00727E8A">
        <w:rPr>
          <w:spacing w:val="-3"/>
          <w:sz w:val="26"/>
          <w:vertAlign w:val="subscript"/>
        </w:rPr>
        <w:t>0</w:t>
      </w:r>
      <w:r w:rsidRPr="00883A53">
        <w:rPr>
          <w:spacing w:val="-3"/>
          <w:sz w:val="26"/>
          <w:vertAlign w:val="superscript"/>
        </w:rPr>
        <w:t>*</w:t>
      </w:r>
      <w:r>
        <w:rPr>
          <w:spacing w:val="-3"/>
        </w:rPr>
        <w:t xml:space="preserve"> is the difference in composition between the solid phases, </w:t>
      </w:r>
      <w:r>
        <w:rPr>
          <w:i/>
          <w:iCs/>
          <w:spacing w:val="-3"/>
        </w:rPr>
        <w:t>D</w:t>
      </w:r>
      <w:r w:rsidRPr="00727E8A">
        <w:rPr>
          <w:spacing w:val="-3"/>
          <w:sz w:val="26"/>
          <w:vertAlign w:val="subscript"/>
        </w:rPr>
        <w:t>L</w:t>
      </w:r>
      <w:r>
        <w:rPr>
          <w:spacing w:val="-3"/>
        </w:rPr>
        <w:t xml:space="preserve"> is the liquid diffusion coefficient,</w:t>
      </w:r>
      <w:r>
        <w:rPr>
          <w:i/>
          <w:iCs/>
          <w:spacing w:val="-3"/>
        </w:rPr>
        <w:t xml:space="preserve"> f</w:t>
      </w:r>
      <w:r w:rsidRPr="00727E8A">
        <w:rPr>
          <w:spacing w:val="-3"/>
          <w:sz w:val="26"/>
          <w:vertAlign w:val="subscript"/>
        </w:rPr>
        <w:t>α</w:t>
      </w:r>
      <w:r>
        <w:rPr>
          <w:spacing w:val="-3"/>
        </w:rPr>
        <w:t xml:space="preserve"> and </w:t>
      </w:r>
      <w:r>
        <w:rPr>
          <w:i/>
          <w:iCs/>
          <w:spacing w:val="-3"/>
        </w:rPr>
        <w:t>f</w:t>
      </w:r>
      <w:r w:rsidRPr="00727E8A">
        <w:rPr>
          <w:spacing w:val="-3"/>
          <w:sz w:val="26"/>
          <w:vertAlign w:val="subscript"/>
        </w:rPr>
        <w:t>β</w:t>
      </w:r>
      <w:r>
        <w:rPr>
          <w:spacing w:val="-3"/>
        </w:rPr>
        <w:t xml:space="preserve"> are the volume fraction of the solid phases in the eutectic,</w:t>
      </w:r>
      <w:r>
        <w:rPr>
          <w:i/>
          <w:iCs/>
          <w:spacing w:val="-3"/>
        </w:rPr>
        <w:t xml:space="preserve"> P</w:t>
      </w:r>
      <w:r w:rsidRPr="00727E8A">
        <w:rPr>
          <w:spacing w:val="-3"/>
          <w:sz w:val="26"/>
          <w:vertAlign w:val="subscript"/>
        </w:rPr>
        <w:t>E</w:t>
      </w:r>
      <w:r>
        <w:rPr>
          <w:spacing w:val="-3"/>
        </w:rPr>
        <w:t xml:space="preserve"> is a series function of the phase fractions and can be approximated (TRIVEDI and KURZ [1988]) by </w:t>
      </w:r>
    </w:p>
    <w:p w14:paraId="318FEB0B" w14:textId="77777777" w:rsidR="00015B17" w:rsidRDefault="00015B17" w:rsidP="00015B17">
      <w:pPr>
        <w:suppressAutoHyphens/>
        <w:spacing w:line="360" w:lineRule="auto"/>
        <w:jc w:val="both"/>
        <w:rPr>
          <w:spacing w:val="-3"/>
        </w:rPr>
      </w:pPr>
    </w:p>
    <w:p w14:paraId="7938D28B" w14:textId="77777777" w:rsidR="00015B17" w:rsidRDefault="00015B17" w:rsidP="00015B17">
      <w:pPr>
        <w:suppressAutoHyphens/>
        <w:spacing w:line="360" w:lineRule="auto"/>
        <w:jc w:val="center"/>
        <w:rPr>
          <w:spacing w:val="-3"/>
        </w:rPr>
      </w:pPr>
      <w:r w:rsidRPr="00F41700">
        <w:rPr>
          <w:spacing w:val="-3"/>
          <w:position w:val="-14"/>
        </w:rPr>
        <w:object w:dxaOrig="2200" w:dyaOrig="400" w14:anchorId="77785843">
          <v:shape id="_x0000_i1654" type="#_x0000_t75" style="width:110.35pt;height:19.65pt" o:ole="">
            <v:imagedata r:id="rId1205" o:title=""/>
          </v:shape>
          <o:OLEObject Type="Embed" ProgID="Equation.DSMT4" ShapeID="_x0000_i1654" DrawAspect="Content" ObjectID="_1840627220" r:id="rId1206"/>
        </w:object>
      </w:r>
      <w:r>
        <w:rPr>
          <w:spacing w:val="-3"/>
        </w:rPr>
        <w:tab/>
      </w:r>
      <w:r>
        <w:rPr>
          <w:spacing w:val="-3"/>
        </w:rPr>
        <w:tab/>
      </w:r>
      <w:r>
        <w:rPr>
          <w:spacing w:val="-3"/>
        </w:rPr>
        <w:tab/>
        <w:t>(8.6)</w:t>
      </w:r>
    </w:p>
    <w:p w14:paraId="13F21EA0" w14:textId="77777777" w:rsidR="00015B17" w:rsidRDefault="00015B17" w:rsidP="00015B17">
      <w:pPr>
        <w:suppressAutoHyphens/>
        <w:spacing w:line="360" w:lineRule="auto"/>
        <w:jc w:val="center"/>
        <w:rPr>
          <w:spacing w:val="-3"/>
        </w:rPr>
      </w:pPr>
    </w:p>
    <w:p w14:paraId="4A8DAAFA" w14:textId="49D6BF2E" w:rsidR="00015B17" w:rsidRDefault="00015B17" w:rsidP="00015B17">
      <w:pPr>
        <w:suppressAutoHyphens/>
        <w:spacing w:line="360" w:lineRule="auto"/>
        <w:rPr>
          <w:spacing w:val="-3"/>
        </w:rPr>
      </w:pPr>
      <w:r w:rsidRPr="000E6DBF">
        <w:rPr>
          <w:i/>
          <w:iCs/>
          <w:spacing w:val="-3"/>
          <w:position w:val="-12"/>
        </w:rPr>
        <w:object w:dxaOrig="320" w:dyaOrig="360" w14:anchorId="5EDEFB7F">
          <v:shape id="_x0000_i1655" type="#_x0000_t75" style="width:16.85pt;height:17.75pt" o:ole="">
            <v:imagedata r:id="rId1207" o:title=""/>
          </v:shape>
          <o:OLEObject Type="Embed" ProgID="Equation.DSMT4" ShapeID="_x0000_i1655" DrawAspect="Content" ObjectID="_1840627221" r:id="rId1208"/>
        </w:object>
      </w:r>
      <w:r>
        <w:rPr>
          <w:spacing w:val="-3"/>
        </w:rPr>
        <w:t xml:space="preserve"> and </w:t>
      </w:r>
      <w:r w:rsidRPr="000E6DBF">
        <w:rPr>
          <w:i/>
          <w:iCs/>
          <w:spacing w:val="-3"/>
          <w:position w:val="-14"/>
        </w:rPr>
        <w:object w:dxaOrig="320" w:dyaOrig="380" w14:anchorId="2B632C67">
          <v:shape id="_x0000_i1656" type="#_x0000_t75" style="width:16.85pt;height:18.7pt" o:ole="">
            <v:imagedata r:id="rId1209" o:title=""/>
          </v:shape>
          <o:OLEObject Type="Embed" ProgID="Equation.DSMT4" ShapeID="_x0000_i1656" DrawAspect="Content" ObjectID="_1840627222" r:id="rId1210"/>
        </w:object>
      </w:r>
      <w:r>
        <w:rPr>
          <w:spacing w:val="-3"/>
        </w:rPr>
        <w:t xml:space="preserve"> are the Gibbs-Thomson coefficients (surface energy/entropy of fusion per unit volume), and</w:t>
      </w:r>
      <w:r>
        <w:rPr>
          <w:i/>
          <w:iCs/>
          <w:spacing w:val="-3"/>
        </w:rPr>
        <w:t xml:space="preserve"> θ</w:t>
      </w:r>
      <w:r w:rsidRPr="00727E8A">
        <w:rPr>
          <w:spacing w:val="-3"/>
          <w:sz w:val="26"/>
          <w:vertAlign w:val="subscript"/>
        </w:rPr>
        <w:t>α</w:t>
      </w:r>
      <w:r>
        <w:rPr>
          <w:spacing w:val="-3"/>
        </w:rPr>
        <w:t xml:space="preserve"> and </w:t>
      </w:r>
      <w:r>
        <w:rPr>
          <w:i/>
          <w:iCs/>
          <w:spacing w:val="-3"/>
        </w:rPr>
        <w:t>θ</w:t>
      </w:r>
      <w:r w:rsidRPr="00727E8A">
        <w:rPr>
          <w:spacing w:val="-3"/>
          <w:sz w:val="26"/>
          <w:vertAlign w:val="subscript"/>
        </w:rPr>
        <w:t>β</w:t>
      </w:r>
      <w:r>
        <w:rPr>
          <w:spacing w:val="-3"/>
        </w:rPr>
        <w:t xml:space="preserve"> are the angles that the alpha and beta interfaces make with a plane perpendicular to the </w:t>
      </w:r>
      <w:r>
        <w:rPr>
          <w:i/>
          <w:iCs/>
          <w:spacing w:val="-3"/>
        </w:rPr>
        <w:t>α-β</w:t>
      </w:r>
      <w:r>
        <w:rPr>
          <w:spacing w:val="-3"/>
        </w:rPr>
        <w:t xml:space="preserve"> interface.  Because a balance of tensions must exist at the </w:t>
      </w:r>
      <w:r w:rsidRPr="00065CA7">
        <w:rPr>
          <w:i/>
          <w:iCs/>
          <w:spacing w:val="-3"/>
        </w:rPr>
        <w:t>α</w:t>
      </w:r>
      <w:r w:rsidRPr="00727E8A">
        <w:rPr>
          <w:i/>
          <w:spacing w:val="-3"/>
          <w:sz w:val="26"/>
          <w:vertAlign w:val="subscript"/>
        </w:rPr>
        <w:t>E</w:t>
      </w:r>
      <w:r w:rsidRPr="00065CA7">
        <w:rPr>
          <w:i/>
          <w:spacing w:val="-3"/>
        </w:rPr>
        <w:t>-</w:t>
      </w:r>
      <w:r w:rsidRPr="00065CA7">
        <w:rPr>
          <w:i/>
          <w:iCs/>
          <w:spacing w:val="-3"/>
        </w:rPr>
        <w:t>β</w:t>
      </w:r>
      <w:r w:rsidRPr="00727E8A">
        <w:rPr>
          <w:i/>
          <w:spacing w:val="-3"/>
          <w:sz w:val="26"/>
          <w:vertAlign w:val="subscript"/>
        </w:rPr>
        <w:t>E</w:t>
      </w:r>
      <w:r>
        <w:rPr>
          <w:spacing w:val="-3"/>
        </w:rPr>
        <w:t>-</w:t>
      </w:r>
      <w:r>
        <w:rPr>
          <w:i/>
          <w:iCs/>
          <w:spacing w:val="-3"/>
        </w:rPr>
        <w:t>L</w:t>
      </w:r>
      <w:r>
        <w:rPr>
          <w:spacing w:val="-3"/>
        </w:rPr>
        <w:t xml:space="preserve"> triple point, the solid-solid energy exerts its influence through its effect on these angles. A low value of </w:t>
      </w:r>
      <w:r w:rsidRPr="00065CA7">
        <w:rPr>
          <w:i/>
          <w:iCs/>
          <w:spacing w:val="-3"/>
          <w:position w:val="-14"/>
        </w:rPr>
        <w:object w:dxaOrig="380" w:dyaOrig="380" w14:anchorId="16AB2929">
          <v:shape id="_x0000_i1657" type="#_x0000_t75" style="width:18.7pt;height:18.7pt" o:ole="">
            <v:imagedata r:id="rId1211" o:title=""/>
          </v:shape>
          <o:OLEObject Type="Embed" ProgID="Equation.DSMT4" ShapeID="_x0000_i1657" DrawAspect="Content" ObjectID="_1840627223" r:id="rId1212"/>
        </w:object>
      </w:r>
      <w:r>
        <w:rPr>
          <w:spacing w:val="-3"/>
        </w:rPr>
        <w:t xml:space="preserve"> leads to small values for</w:t>
      </w:r>
      <w:r>
        <w:rPr>
          <w:i/>
          <w:iCs/>
          <w:spacing w:val="-3"/>
        </w:rPr>
        <w:t xml:space="preserve"> θ</w:t>
      </w:r>
      <w:r w:rsidRPr="00727E8A">
        <w:rPr>
          <w:spacing w:val="-3"/>
          <w:sz w:val="26"/>
          <w:vertAlign w:val="subscript"/>
        </w:rPr>
        <w:t>α</w:t>
      </w:r>
      <w:r>
        <w:rPr>
          <w:spacing w:val="-3"/>
        </w:rPr>
        <w:t xml:space="preserve"> and </w:t>
      </w:r>
      <w:r>
        <w:rPr>
          <w:i/>
          <w:iCs/>
          <w:spacing w:val="-3"/>
        </w:rPr>
        <w:t>θ</w:t>
      </w:r>
      <w:r w:rsidRPr="00727E8A">
        <w:rPr>
          <w:spacing w:val="-3"/>
          <w:sz w:val="26"/>
          <w:vertAlign w:val="subscript"/>
        </w:rPr>
        <w:t>β</w:t>
      </w:r>
      <w:r>
        <w:rPr>
          <w:spacing w:val="-3"/>
        </w:rPr>
        <w:t xml:space="preserve"> </w:t>
      </w:r>
      <w:r w:rsidR="000F7221">
        <w:rPr>
          <w:spacing w:val="-3"/>
        </w:rPr>
        <w:t xml:space="preserve">and </w:t>
      </w:r>
      <w:r w:rsidR="00240FD8">
        <w:rPr>
          <w:spacing w:val="-3"/>
        </w:rPr>
        <w:t xml:space="preserve">hence </w:t>
      </w:r>
      <w:r w:rsidR="000F7221">
        <w:rPr>
          <w:spacing w:val="-3"/>
        </w:rPr>
        <w:t xml:space="preserve">a </w:t>
      </w:r>
      <w:r w:rsidR="00240FD8">
        <w:rPr>
          <w:spacing w:val="-3"/>
        </w:rPr>
        <w:t>small value</w:t>
      </w:r>
      <w:r w:rsidR="000F7221">
        <w:rPr>
          <w:spacing w:val="-3"/>
        </w:rPr>
        <w:t xml:space="preserve"> of</w:t>
      </w:r>
      <w:r>
        <w:rPr>
          <w:spacing w:val="-3"/>
        </w:rPr>
        <w:t xml:space="preserve"> </w:t>
      </w:r>
      <w:r>
        <w:rPr>
          <w:i/>
          <w:iCs/>
          <w:spacing w:val="-3"/>
        </w:rPr>
        <w:t>ΔT</w:t>
      </w:r>
      <w:r w:rsidRPr="00727E8A">
        <w:rPr>
          <w:spacing w:val="-3"/>
          <w:sz w:val="26"/>
          <w:vertAlign w:val="subscript"/>
        </w:rPr>
        <w:t>c</w:t>
      </w:r>
      <w:r>
        <w:rPr>
          <w:spacing w:val="-3"/>
        </w:rPr>
        <w:t>. Very similar expressions are obtained for rod eutectic growth by Jackson and Hunt [1966].</w:t>
      </w:r>
    </w:p>
    <w:p w14:paraId="37E52445" w14:textId="77777777" w:rsidR="00015B17" w:rsidRDefault="00015B17" w:rsidP="00015B17">
      <w:pPr>
        <w:suppressAutoHyphens/>
        <w:spacing w:line="360" w:lineRule="auto"/>
        <w:rPr>
          <w:spacing w:val="-3"/>
        </w:rPr>
      </w:pPr>
    </w:p>
    <w:p w14:paraId="6CAD30AC" w14:textId="77777777" w:rsidR="00015B17" w:rsidRDefault="00015B17" w:rsidP="00015B17">
      <w:pPr>
        <w:suppressAutoHyphens/>
        <w:spacing w:line="360" w:lineRule="auto"/>
        <w:rPr>
          <w:spacing w:val="-3"/>
        </w:rPr>
      </w:pPr>
      <w:r>
        <w:rPr>
          <w:spacing w:val="-3"/>
        </w:rPr>
        <w:tab/>
        <w:t>The individual terms of Eqn. (8.2) are shown schematically for different growth rates in Fig. 8.2. It can be seen that</w:t>
      </w:r>
      <w:r>
        <w:rPr>
          <w:i/>
          <w:iCs/>
          <w:spacing w:val="-3"/>
        </w:rPr>
        <w:t xml:space="preserve"> ΔT</w:t>
      </w:r>
      <w:r>
        <w:rPr>
          <w:spacing w:val="-3"/>
        </w:rPr>
        <w:t xml:space="preserve"> is biggest for large lamellar spacings because </w:t>
      </w:r>
      <w:r w:rsidR="00E511FC">
        <w:rPr>
          <w:spacing w:val="-3"/>
        </w:rPr>
        <w:t xml:space="preserve">the lateral liquid </w:t>
      </w:r>
      <w:r>
        <w:rPr>
          <w:spacing w:val="-3"/>
        </w:rPr>
        <w:t xml:space="preserve">diffusion is difficult, and also for small spacings where curvature effects are dominant. Clearly, the values of </w:t>
      </w:r>
      <w:r>
        <w:rPr>
          <w:i/>
          <w:iCs/>
          <w:spacing w:val="-3"/>
        </w:rPr>
        <w:t>λ</w:t>
      </w:r>
      <w:r w:rsidRPr="00727E8A">
        <w:rPr>
          <w:spacing w:val="-3"/>
          <w:sz w:val="26"/>
          <w:vertAlign w:val="subscript"/>
        </w:rPr>
        <w:t>E</w:t>
      </w:r>
      <w:r>
        <w:rPr>
          <w:spacing w:val="-3"/>
        </w:rPr>
        <w:t xml:space="preserve"> and </w:t>
      </w:r>
      <w:r>
        <w:rPr>
          <w:i/>
          <w:iCs/>
          <w:spacing w:val="-3"/>
        </w:rPr>
        <w:t>ΔT</w:t>
      </w:r>
      <w:r>
        <w:rPr>
          <w:spacing w:val="-3"/>
        </w:rPr>
        <w:t xml:space="preserve"> are not fixed uniquely by </w:t>
      </w:r>
      <w:r>
        <w:rPr>
          <w:i/>
          <w:iCs/>
          <w:spacing w:val="-3"/>
        </w:rPr>
        <w:t>V</w:t>
      </w:r>
      <w:r>
        <w:rPr>
          <w:spacing w:val="-3"/>
        </w:rPr>
        <w:t xml:space="preserve">, yet in experiments it is well established that the value of </w:t>
      </w:r>
      <w:r>
        <w:rPr>
          <w:i/>
          <w:iCs/>
          <w:spacing w:val="-3"/>
        </w:rPr>
        <w:t>λ</w:t>
      </w:r>
      <w:r w:rsidRPr="00727E8A">
        <w:rPr>
          <w:spacing w:val="-3"/>
          <w:sz w:val="26"/>
          <w:vertAlign w:val="subscript"/>
        </w:rPr>
        <w:t>E</w:t>
      </w:r>
      <w:r>
        <w:rPr>
          <w:spacing w:val="-3"/>
        </w:rPr>
        <w:t xml:space="preserve"> generally decreases with increasing</w:t>
      </w:r>
      <w:r>
        <w:rPr>
          <w:i/>
          <w:iCs/>
          <w:spacing w:val="-3"/>
        </w:rPr>
        <w:t xml:space="preserve"> V</w:t>
      </w:r>
      <w:r>
        <w:rPr>
          <w:spacing w:val="-3"/>
        </w:rPr>
        <w:t xml:space="preserve">. Hence an additional condition is required to specify the operation point on each </w:t>
      </w:r>
      <w:r>
        <w:rPr>
          <w:i/>
          <w:iCs/>
          <w:spacing w:val="-3"/>
        </w:rPr>
        <w:t>λ</w:t>
      </w:r>
      <w:r w:rsidRPr="00727E8A">
        <w:rPr>
          <w:spacing w:val="-3"/>
          <w:sz w:val="26"/>
          <w:vertAlign w:val="subscript"/>
        </w:rPr>
        <w:t>E</w:t>
      </w:r>
      <w:r>
        <w:rPr>
          <w:spacing w:val="-3"/>
        </w:rPr>
        <w:t xml:space="preserve"> vs. </w:t>
      </w:r>
      <w:r>
        <w:rPr>
          <w:i/>
          <w:iCs/>
          <w:spacing w:val="-3"/>
        </w:rPr>
        <w:t>ΔT</w:t>
      </w:r>
      <w:r>
        <w:rPr>
          <w:spacing w:val="-3"/>
        </w:rPr>
        <w:t xml:space="preserve"> curve</w:t>
      </w:r>
      <w:r w:rsidR="00F122EF">
        <w:rPr>
          <w:spacing w:val="-3"/>
        </w:rPr>
        <w:t>.</w:t>
      </w:r>
    </w:p>
    <w:p w14:paraId="4B312CDF" w14:textId="77777777" w:rsidR="00015B17" w:rsidRDefault="00015B17" w:rsidP="00015B17">
      <w:pPr>
        <w:suppressAutoHyphens/>
        <w:spacing w:line="360" w:lineRule="auto"/>
        <w:rPr>
          <w:spacing w:val="-3"/>
        </w:rPr>
      </w:pPr>
    </w:p>
    <w:p w14:paraId="3893408D" w14:textId="77777777" w:rsidR="00015B17" w:rsidRDefault="00015B17" w:rsidP="00015B17">
      <w:pPr>
        <w:suppressAutoHyphens/>
        <w:spacing w:line="360" w:lineRule="auto"/>
        <w:rPr>
          <w:spacing w:val="-3"/>
        </w:rPr>
      </w:pPr>
      <w:r>
        <w:rPr>
          <w:spacing w:val="-3"/>
        </w:rPr>
        <w:tab/>
        <w:t xml:space="preserve">The simplest additional condition is obtained by assuming that growth occurs at the minimum </w:t>
      </w:r>
      <w:r>
        <w:rPr>
          <w:i/>
          <w:iCs/>
          <w:spacing w:val="-3"/>
        </w:rPr>
        <w:t>ΔT</w:t>
      </w:r>
      <w:r>
        <w:rPr>
          <w:spacing w:val="-3"/>
        </w:rPr>
        <w:t xml:space="preserve"> for a given </w:t>
      </w:r>
      <w:r>
        <w:rPr>
          <w:i/>
          <w:iCs/>
          <w:spacing w:val="-3"/>
        </w:rPr>
        <w:t>V</w:t>
      </w:r>
      <w:r>
        <w:rPr>
          <w:spacing w:val="-3"/>
        </w:rPr>
        <w:t xml:space="preserve"> or, equivalently, a maximum </w:t>
      </w:r>
      <w:r>
        <w:rPr>
          <w:i/>
          <w:iCs/>
          <w:spacing w:val="-3"/>
        </w:rPr>
        <w:t>V</w:t>
      </w:r>
      <w:r>
        <w:rPr>
          <w:spacing w:val="-3"/>
        </w:rPr>
        <w:t xml:space="preserve"> for a given </w:t>
      </w:r>
      <w:r>
        <w:rPr>
          <w:i/>
          <w:iCs/>
          <w:spacing w:val="-3"/>
        </w:rPr>
        <w:t>ΔT</w:t>
      </w:r>
      <w:r>
        <w:rPr>
          <w:spacing w:val="-3"/>
        </w:rPr>
        <w:t>. This condition is called the</w:t>
      </w:r>
      <w:r>
        <w:rPr>
          <w:i/>
          <w:iCs/>
          <w:spacing w:val="-3"/>
        </w:rPr>
        <w:t xml:space="preserve"> extremum condition</w:t>
      </w:r>
      <w:r>
        <w:rPr>
          <w:spacing w:val="-3"/>
        </w:rPr>
        <w:t>. Using this condition,</w:t>
      </w:r>
    </w:p>
    <w:p w14:paraId="04203D63" w14:textId="77777777" w:rsidR="00015B17" w:rsidRDefault="00015B17" w:rsidP="00015B17">
      <w:pPr>
        <w:suppressAutoHyphens/>
        <w:spacing w:line="360" w:lineRule="auto"/>
        <w:jc w:val="both"/>
        <w:rPr>
          <w:spacing w:val="-3"/>
        </w:rPr>
      </w:pPr>
    </w:p>
    <w:p w14:paraId="63DFC279" w14:textId="77777777" w:rsidR="00015B17" w:rsidRDefault="00015B17" w:rsidP="00015B17">
      <w:pPr>
        <w:suppressAutoHyphens/>
        <w:spacing w:line="360" w:lineRule="auto"/>
        <w:jc w:val="center"/>
        <w:rPr>
          <w:spacing w:val="-3"/>
        </w:rPr>
      </w:pPr>
      <w:r w:rsidRPr="00F41700">
        <w:rPr>
          <w:spacing w:val="-3"/>
          <w:position w:val="-12"/>
        </w:rPr>
        <w:object w:dxaOrig="1579" w:dyaOrig="380" w14:anchorId="3F56D725">
          <v:shape id="_x0000_i1658" type="#_x0000_t75" style="width:77.6pt;height:18.7pt" o:ole="">
            <v:imagedata r:id="rId1213" o:title=""/>
          </v:shape>
          <o:OLEObject Type="Embed" ProgID="Equation.DSMT4" ShapeID="_x0000_i1658" DrawAspect="Content" ObjectID="_1840627224" r:id="rId1214"/>
        </w:object>
      </w:r>
      <w:r>
        <w:rPr>
          <w:spacing w:val="-3"/>
        </w:rPr>
        <w:tab/>
      </w:r>
      <w:r>
        <w:rPr>
          <w:spacing w:val="-3"/>
        </w:rPr>
        <w:tab/>
      </w:r>
      <w:r>
        <w:rPr>
          <w:spacing w:val="-3"/>
        </w:rPr>
        <w:tab/>
        <w:t>(8.7)</w:t>
      </w:r>
    </w:p>
    <w:p w14:paraId="1A348F0D" w14:textId="77777777" w:rsidR="00015B17" w:rsidRDefault="00015B17" w:rsidP="00015B17">
      <w:pPr>
        <w:suppressAutoHyphens/>
        <w:spacing w:line="360" w:lineRule="auto"/>
        <w:jc w:val="both"/>
        <w:rPr>
          <w:spacing w:val="-3"/>
        </w:rPr>
      </w:pPr>
    </w:p>
    <w:p w14:paraId="6D609932" w14:textId="77777777" w:rsidR="00015B17" w:rsidRDefault="00015B17" w:rsidP="00015B17">
      <w:pPr>
        <w:suppressAutoHyphens/>
        <w:spacing w:line="360" w:lineRule="auto"/>
        <w:jc w:val="both"/>
        <w:rPr>
          <w:spacing w:val="-3"/>
        </w:rPr>
      </w:pPr>
      <w:r>
        <w:rPr>
          <w:spacing w:val="-3"/>
        </w:rPr>
        <w:t>and:</w:t>
      </w:r>
    </w:p>
    <w:p w14:paraId="2DE20B33" w14:textId="77777777" w:rsidR="00015B17" w:rsidRDefault="00015B17" w:rsidP="00015B17">
      <w:pPr>
        <w:suppressAutoHyphens/>
        <w:spacing w:line="360" w:lineRule="auto"/>
        <w:jc w:val="center"/>
        <w:rPr>
          <w:spacing w:val="-3"/>
        </w:rPr>
      </w:pPr>
      <w:r w:rsidRPr="00F41700">
        <w:rPr>
          <w:spacing w:val="-3"/>
          <w:position w:val="-12"/>
        </w:rPr>
        <w:object w:dxaOrig="1740" w:dyaOrig="380" w14:anchorId="01888AB3">
          <v:shape id="_x0000_i1659" type="#_x0000_t75" style="width:86.95pt;height:18.7pt" o:ole="">
            <v:imagedata r:id="rId1215" o:title=""/>
          </v:shape>
          <o:OLEObject Type="Embed" ProgID="Equation.DSMT4" ShapeID="_x0000_i1659" DrawAspect="Content" ObjectID="_1840627225" r:id="rId1216"/>
        </w:object>
      </w:r>
      <w:r>
        <w:rPr>
          <w:spacing w:val="-3"/>
        </w:rPr>
        <w:tab/>
      </w:r>
      <w:r>
        <w:rPr>
          <w:spacing w:val="-3"/>
        </w:rPr>
        <w:tab/>
      </w:r>
      <w:r>
        <w:rPr>
          <w:spacing w:val="-3"/>
        </w:rPr>
        <w:tab/>
        <w:t>(8.8)</w:t>
      </w:r>
    </w:p>
    <w:p w14:paraId="53D47D11" w14:textId="77777777" w:rsidR="00015B17" w:rsidRDefault="00015B17" w:rsidP="00015B17">
      <w:pPr>
        <w:suppressAutoHyphens/>
        <w:spacing w:line="360" w:lineRule="auto"/>
        <w:jc w:val="both"/>
        <w:rPr>
          <w:spacing w:val="-3"/>
        </w:rPr>
      </w:pPr>
    </w:p>
    <w:p w14:paraId="19CED157" w14:textId="77777777" w:rsidR="00E03B3A" w:rsidRDefault="00015B17" w:rsidP="00E03B3A">
      <w:pPr>
        <w:suppressAutoHyphens/>
        <w:spacing w:line="360" w:lineRule="auto"/>
        <w:rPr>
          <w:spacing w:val="-3"/>
        </w:rPr>
      </w:pPr>
      <w:r>
        <w:rPr>
          <w:spacing w:val="-3"/>
        </w:rPr>
        <w:tab/>
        <w:t>Many investigators (for example JORDAN and HUNT [1971, 1972], TASSA and HUNT [1976]) have found the average spacing and interface supercooling to be close to the values given by these equations using the extremum condition.</w:t>
      </w:r>
      <w:r w:rsidR="00E03B3A">
        <w:rPr>
          <w:spacing w:val="-3"/>
        </w:rPr>
        <w:t xml:space="preserve"> Small spacing adjustments </w:t>
      </w:r>
      <w:r w:rsidR="00E03B3A">
        <w:rPr>
          <w:spacing w:val="-3"/>
        </w:rPr>
        <w:lastRenderedPageBreak/>
        <w:t>occur during continued growth by the motion of faults (lamellar edges) perpendicular to the growth direction.</w:t>
      </w:r>
    </w:p>
    <w:p w14:paraId="2E41BA1E" w14:textId="77777777" w:rsidR="00015B17" w:rsidRDefault="00015B17" w:rsidP="00015B17">
      <w:pPr>
        <w:suppressAutoHyphens/>
        <w:spacing w:line="360" w:lineRule="auto"/>
        <w:rPr>
          <w:spacing w:val="-3"/>
        </w:rPr>
      </w:pPr>
    </w:p>
    <w:p w14:paraId="1F7C1CF7" w14:textId="77777777" w:rsidR="00015B17" w:rsidRDefault="00015B17" w:rsidP="00015B17">
      <w:pPr>
        <w:suppressAutoHyphens/>
        <w:spacing w:line="360" w:lineRule="auto"/>
        <w:rPr>
          <w:spacing w:val="-3"/>
        </w:rPr>
      </w:pPr>
      <w:r>
        <w:rPr>
          <w:spacing w:val="-3"/>
        </w:rPr>
        <w:tab/>
        <w:t xml:space="preserve">   The discovery that the dendrite tip radii could not be described by a maximum growth rate hypothesis (see § 7), led to further consideration of whether the extremum condition for eutectic growth was valid. Experiments on eutectics (JORDAN and HUNT [1972], SEETHARAMAN and TRIVEDI [1988]) have shown experimentally that a small range of spacings are observed for a given growth rate. They find that the minimum spacing </w:t>
      </w:r>
      <w:r w:rsidR="00240FD8">
        <w:rPr>
          <w:spacing w:val="-3"/>
        </w:rPr>
        <w:t xml:space="preserve">observed </w:t>
      </w:r>
      <w:r>
        <w:rPr>
          <w:spacing w:val="-3"/>
        </w:rPr>
        <w:t>is close to that given by the extremum condition but that the average spacing is somewhat larger than that given by Eqn. (8.7). Much research has been focused on defining the allowable range.</w:t>
      </w:r>
      <w:r w:rsidR="00E03B3A">
        <w:rPr>
          <w:spacing w:val="-3"/>
        </w:rPr>
        <w:t xml:space="preserve"> </w:t>
      </w:r>
    </w:p>
    <w:p w14:paraId="77700166" w14:textId="77777777" w:rsidR="00015B17" w:rsidRDefault="00015B17" w:rsidP="00015B17">
      <w:pPr>
        <w:suppressAutoHyphens/>
        <w:spacing w:line="360" w:lineRule="auto"/>
        <w:rPr>
          <w:spacing w:val="-3"/>
        </w:rPr>
      </w:pPr>
    </w:p>
    <w:p w14:paraId="1EF2A5CF" w14:textId="640AE941" w:rsidR="00E03B3A" w:rsidRDefault="00015B17" w:rsidP="00015B17">
      <w:pPr>
        <w:suppressAutoHyphens/>
        <w:spacing w:line="360" w:lineRule="auto"/>
        <w:rPr>
          <w:spacing w:val="-3"/>
        </w:rPr>
      </w:pPr>
      <w:r>
        <w:rPr>
          <w:spacing w:val="-3"/>
        </w:rPr>
        <w:tab/>
        <w:t xml:space="preserve">The basic concepts were first proposed by JACKSON and HUNT [1966], who indicated that only spacings within a certain range were stable to fluctuations in the shape of the </w:t>
      </w:r>
      <w:r w:rsidR="004201E7">
        <w:rPr>
          <w:spacing w:val="-3"/>
        </w:rPr>
        <w:t>L-S</w:t>
      </w:r>
      <w:r>
        <w:rPr>
          <w:spacing w:val="-3"/>
        </w:rPr>
        <w:t xml:space="preserve"> interface as shown in Fig. 8.3. They quoted unpublished work by J. W. CAHN that argued that spacings smaller than that given by the extremum condition are inherently unstable. This instability is due to the pinching of an individual lamella or rod</w:t>
      </w:r>
      <w:r w:rsidR="00140CC1">
        <w:rPr>
          <w:spacing w:val="-3"/>
        </w:rPr>
        <w:t>s</w:t>
      </w:r>
      <w:r>
        <w:rPr>
          <w:spacing w:val="-3"/>
        </w:rPr>
        <w:t xml:space="preserve"> that locally increases the spacing (Fig.8.3a). </w:t>
      </w:r>
      <w:r w:rsidR="00240FD8">
        <w:rPr>
          <w:spacing w:val="-3"/>
        </w:rPr>
        <w:t xml:space="preserve">Detailed analysis of this aspect has been performed by the </w:t>
      </w:r>
      <w:r>
        <w:rPr>
          <w:spacing w:val="-3"/>
        </w:rPr>
        <w:t xml:space="preserve">theoretical work </w:t>
      </w:r>
      <w:r w:rsidR="00240FD8">
        <w:rPr>
          <w:spacing w:val="-3"/>
        </w:rPr>
        <w:t xml:space="preserve">of </w:t>
      </w:r>
      <w:r>
        <w:rPr>
          <w:spacing w:val="-3"/>
        </w:rPr>
        <w:t xml:space="preserve">LANGER [1980], DAYTE and LANGER [1981] and DAYTE </w:t>
      </w:r>
      <w:r>
        <w:rPr>
          <w:i/>
          <w:iCs/>
          <w:spacing w:val="-3"/>
        </w:rPr>
        <w:t>et al.</w:t>
      </w:r>
      <w:r>
        <w:rPr>
          <w:spacing w:val="-3"/>
        </w:rPr>
        <w:t xml:space="preserve"> [1982]. </w:t>
      </w:r>
    </w:p>
    <w:p w14:paraId="06B2353A" w14:textId="77777777" w:rsidR="00015B17" w:rsidRDefault="00015B17" w:rsidP="00015B17">
      <w:pPr>
        <w:suppressAutoHyphens/>
        <w:spacing w:line="360" w:lineRule="auto"/>
        <w:rPr>
          <w:spacing w:val="-3"/>
        </w:rPr>
      </w:pPr>
    </w:p>
    <w:p w14:paraId="7DB0938F" w14:textId="4E711BDB" w:rsidR="00015B17" w:rsidRDefault="00015B17" w:rsidP="00015B17">
      <w:pPr>
        <w:suppressAutoHyphens/>
        <w:spacing w:line="360" w:lineRule="auto"/>
        <w:rPr>
          <w:spacing w:val="-3"/>
        </w:rPr>
      </w:pPr>
      <w:r>
        <w:rPr>
          <w:spacing w:val="-3"/>
        </w:rPr>
        <w:tab/>
      </w:r>
      <w:r w:rsidR="00240FD8">
        <w:rPr>
          <w:spacing w:val="-3"/>
        </w:rPr>
        <w:t>That the allowable range of spacing has a</w:t>
      </w:r>
      <w:r>
        <w:rPr>
          <w:spacing w:val="-3"/>
        </w:rPr>
        <w:t xml:space="preserve"> maximum </w:t>
      </w:r>
      <w:r w:rsidR="00240FD8">
        <w:rPr>
          <w:spacing w:val="-3"/>
        </w:rPr>
        <w:t>value</w:t>
      </w:r>
      <w:r>
        <w:rPr>
          <w:spacing w:val="-3"/>
        </w:rPr>
        <w:t xml:space="preserve"> at any velocity was first proposed by JACKSON and HUNT [1966]. This maximum spacing also follows a</w:t>
      </w:r>
      <w:r>
        <w:rPr>
          <w:i/>
          <w:iCs/>
          <w:spacing w:val="-3"/>
        </w:rPr>
        <w:t xml:space="preserve"> λ</w:t>
      </w:r>
      <w:r w:rsidRPr="00727E8A">
        <w:rPr>
          <w:spacing w:val="-3"/>
          <w:sz w:val="26"/>
          <w:vertAlign w:val="subscript"/>
        </w:rPr>
        <w:t>E</w:t>
      </w:r>
      <w:r w:rsidRPr="00883A53">
        <w:rPr>
          <w:spacing w:val="-3"/>
          <w:sz w:val="26"/>
          <w:vertAlign w:val="superscript"/>
        </w:rPr>
        <w:t>2</w:t>
      </w:r>
      <w:r>
        <w:rPr>
          <w:i/>
          <w:iCs/>
          <w:spacing w:val="-3"/>
        </w:rPr>
        <w:t>V</w:t>
      </w:r>
      <w:r>
        <w:rPr>
          <w:spacing w:val="-3"/>
        </w:rPr>
        <w:t xml:space="preserve">= constant law. If the spacing exceeds the extremum value by a critical factor, the larger volume fraction phase develops a pocket that drops progressively back from the interface until growth of the other phase ultimately occurs in it (Fig. 8.3b). They took this condition to occur when the slope of the L-S interface in the pocket became infinite. For example, this condition yields </w:t>
      </w:r>
      <w:r w:rsidR="00E03B3A">
        <w:rPr>
          <w:spacing w:val="-3"/>
        </w:rPr>
        <w:t xml:space="preserve">a </w:t>
      </w:r>
      <w:r>
        <w:rPr>
          <w:spacing w:val="-3"/>
        </w:rPr>
        <w:t xml:space="preserve">maximum values for the </w:t>
      </w:r>
      <w:r>
        <w:rPr>
          <w:i/>
          <w:iCs/>
          <w:spacing w:val="-3"/>
        </w:rPr>
        <w:t>λ</w:t>
      </w:r>
      <w:r w:rsidRPr="00727E8A">
        <w:rPr>
          <w:spacing w:val="-3"/>
          <w:sz w:val="26"/>
          <w:vertAlign w:val="subscript"/>
        </w:rPr>
        <w:t>E</w:t>
      </w:r>
      <w:r w:rsidRPr="00883A53">
        <w:rPr>
          <w:spacing w:val="-3"/>
          <w:sz w:val="26"/>
          <w:vertAlign w:val="superscript"/>
        </w:rPr>
        <w:t>2</w:t>
      </w:r>
      <w:r>
        <w:rPr>
          <w:i/>
          <w:iCs/>
          <w:spacing w:val="-3"/>
        </w:rPr>
        <w:t>V</w:t>
      </w:r>
      <w:r>
        <w:rPr>
          <w:spacing w:val="-3"/>
        </w:rPr>
        <w:t xml:space="preserve"> constant of ten and two times the extremum value for volume fractions of 0.5 and 0.1 respectively. As a consequence of the formation of the new lamella, the local spacing is abruptly reduced by a factor of two.  However, the careful experiments of SEETHARAMAN and TRIVEDI [1988] show that the maximum </w:t>
      </w:r>
      <w:r>
        <w:rPr>
          <w:spacing w:val="-3"/>
        </w:rPr>
        <w:lastRenderedPageBreak/>
        <w:t xml:space="preserve">observed spacing is much smaller than this estimate (see Fig.8.2), giving an average spacing that is only </w:t>
      </w:r>
      <w:r w:rsidR="0041576B">
        <w:rPr>
          <w:spacing w:val="-3"/>
        </w:rPr>
        <w:t>≈</w:t>
      </w:r>
      <w:r>
        <w:rPr>
          <w:spacing w:val="-3"/>
        </w:rPr>
        <w:t>20</w:t>
      </w:r>
      <w:r w:rsidR="00BD6531">
        <w:rPr>
          <w:spacing w:val="-3"/>
        </w:rPr>
        <w:t xml:space="preserve"> </w:t>
      </w:r>
      <w:r>
        <w:rPr>
          <w:spacing w:val="-3"/>
        </w:rPr>
        <w:t>% larger than the extremum value (or minimum stable spacing). Thus the maximum value of spacing occurs before the pocket depression attains infinite slope. While further research is required on this topic, the extremum value is often taken as a good approximation for nf-nf growth. Other stability issues of eutectic growth involving</w:t>
      </w:r>
      <w:r w:rsidR="00E03B3A">
        <w:rPr>
          <w:spacing w:val="-3"/>
        </w:rPr>
        <w:t xml:space="preserve"> the solidification of alloys with</w:t>
      </w:r>
      <w:r>
        <w:rPr>
          <w:spacing w:val="-3"/>
        </w:rPr>
        <w:t xml:space="preserve"> compositions different from the eutectic composition are described below.</w:t>
      </w:r>
      <w:r w:rsidR="00E03B3A">
        <w:rPr>
          <w:spacing w:val="-3"/>
        </w:rPr>
        <w:t xml:space="preserve"> </w:t>
      </w:r>
    </w:p>
    <w:p w14:paraId="7A19DC91" w14:textId="77777777" w:rsidR="00015B17" w:rsidRDefault="00015B17" w:rsidP="00015B17">
      <w:pPr>
        <w:suppressAutoHyphens/>
        <w:spacing w:line="360" w:lineRule="auto"/>
        <w:rPr>
          <w:spacing w:val="-3"/>
        </w:rPr>
      </w:pPr>
    </w:p>
    <w:p w14:paraId="4D2F9E30" w14:textId="77777777" w:rsidR="00015B17" w:rsidRDefault="00015B17" w:rsidP="00015B17">
      <w:pPr>
        <w:suppressAutoHyphens/>
        <w:spacing w:line="360" w:lineRule="auto"/>
        <w:rPr>
          <w:spacing w:val="-3"/>
        </w:rPr>
      </w:pPr>
      <w:r>
        <w:rPr>
          <w:spacing w:val="-3"/>
        </w:rPr>
        <w:tab/>
      </w:r>
      <w:r>
        <w:rPr>
          <w:spacing w:val="-3"/>
        </w:rPr>
        <w:tab/>
        <w:t xml:space="preserve">Convection in the liquid near the interface of a growing eutectic has been found to increase the value of </w:t>
      </w:r>
      <w:r>
        <w:rPr>
          <w:i/>
          <w:iCs/>
          <w:spacing w:val="-3"/>
        </w:rPr>
        <w:t>λ</w:t>
      </w:r>
      <w:r w:rsidRPr="00727E8A">
        <w:rPr>
          <w:spacing w:val="-3"/>
          <w:sz w:val="26"/>
          <w:vertAlign w:val="subscript"/>
        </w:rPr>
        <w:t>E</w:t>
      </w:r>
      <w:r>
        <w:rPr>
          <w:spacing w:val="-3"/>
        </w:rPr>
        <w:t xml:space="preserve"> (JUNZE </w:t>
      </w:r>
      <w:r>
        <w:rPr>
          <w:i/>
          <w:iCs/>
          <w:spacing w:val="-3"/>
        </w:rPr>
        <w:t>et al.</w:t>
      </w:r>
      <w:r>
        <w:rPr>
          <w:spacing w:val="-3"/>
        </w:rPr>
        <w:t xml:space="preserve"> [1984] and BASKARAN and WILCOX [1984]). Flow parallel to the interface distorts the liquid concentration profile in front of the lamellae slightly and alters the diffusion controlled growth. The effect is greatest when the dimensionless parameter, </w:t>
      </w:r>
      <w:r>
        <w:rPr>
          <w:i/>
          <w:iCs/>
          <w:spacing w:val="-3"/>
        </w:rPr>
        <w:t>G</w:t>
      </w:r>
      <w:r w:rsidRPr="00727E8A">
        <w:rPr>
          <w:spacing w:val="-3"/>
          <w:sz w:val="26"/>
          <w:vertAlign w:val="subscript"/>
        </w:rPr>
        <w:t>u</w:t>
      </w:r>
      <w:r>
        <w:rPr>
          <w:i/>
          <w:iCs/>
          <w:spacing w:val="-3"/>
        </w:rPr>
        <w:t>λ</w:t>
      </w:r>
      <w:r w:rsidRPr="00911EC5">
        <w:rPr>
          <w:spacing w:val="-3"/>
          <w:sz w:val="26"/>
          <w:vertAlign w:val="subscript"/>
        </w:rPr>
        <w:t>E</w:t>
      </w:r>
      <w:r w:rsidRPr="00883A53">
        <w:rPr>
          <w:spacing w:val="-3"/>
          <w:sz w:val="26"/>
          <w:vertAlign w:val="superscript"/>
        </w:rPr>
        <w:t>2</w:t>
      </w:r>
      <w:r>
        <w:rPr>
          <w:i/>
          <w:iCs/>
          <w:spacing w:val="-3"/>
        </w:rPr>
        <w:t>/D</w:t>
      </w:r>
      <w:r w:rsidRPr="00911EC5">
        <w:rPr>
          <w:spacing w:val="-3"/>
          <w:sz w:val="26"/>
          <w:vertAlign w:val="subscript"/>
        </w:rPr>
        <w:t>L</w:t>
      </w:r>
      <w:r>
        <w:rPr>
          <w:spacing w:val="-3"/>
        </w:rPr>
        <w:t xml:space="preserve">, is large, where </w:t>
      </w:r>
      <w:r>
        <w:rPr>
          <w:i/>
          <w:iCs/>
          <w:spacing w:val="-3"/>
        </w:rPr>
        <w:t>G</w:t>
      </w:r>
      <w:r w:rsidRPr="00911EC5">
        <w:rPr>
          <w:spacing w:val="-3"/>
          <w:sz w:val="26"/>
          <w:vertAlign w:val="subscript"/>
        </w:rPr>
        <w:t>u</w:t>
      </w:r>
      <w:r>
        <w:rPr>
          <w:spacing w:val="-3"/>
        </w:rPr>
        <w:t xml:space="preserve"> is the gradient normal to the interface of the fluid flow velocity parallel to the interface. Vigorous stirring is required to alter the spacing significantly.</w:t>
      </w:r>
    </w:p>
    <w:p w14:paraId="36D4667D" w14:textId="77777777" w:rsidR="00EF2019" w:rsidRDefault="00EF2019" w:rsidP="00015B17">
      <w:pPr>
        <w:suppressAutoHyphens/>
        <w:spacing w:line="360" w:lineRule="auto"/>
        <w:rPr>
          <w:spacing w:val="-3"/>
        </w:rPr>
      </w:pPr>
    </w:p>
    <w:p w14:paraId="0D6C9517" w14:textId="2BEA5C66" w:rsidR="00015B17" w:rsidRDefault="00015B17" w:rsidP="00015B17">
      <w:pPr>
        <w:suppressAutoHyphens/>
        <w:spacing w:line="360" w:lineRule="auto"/>
        <w:rPr>
          <w:spacing w:val="-3"/>
        </w:rPr>
      </w:pPr>
      <w:r>
        <w:rPr>
          <w:spacing w:val="-3"/>
        </w:rPr>
        <w:tab/>
        <w:t xml:space="preserve">The phase field method has been used to simulate eutectic growth. Karma [1994] showed the correspondence to the sharp interface approach described above. Wheeler et al. [1996] developed </w:t>
      </w:r>
      <w:r w:rsidR="00E03B3A">
        <w:rPr>
          <w:spacing w:val="-3"/>
        </w:rPr>
        <w:t>various</w:t>
      </w:r>
      <w:r>
        <w:rPr>
          <w:spacing w:val="-3"/>
        </w:rPr>
        <w:t xml:space="preserve"> models appropriate for eutectics with different solid thermodynamic descriptions.   Simulations have been performed by</w:t>
      </w:r>
      <w:r w:rsidR="009402FF">
        <w:rPr>
          <w:spacing w:val="-3"/>
        </w:rPr>
        <w:t xml:space="preserve"> Nestler and Wheeler [2000], Lewis et al. </w:t>
      </w:r>
      <w:r w:rsidR="00941335">
        <w:rPr>
          <w:spacing w:val="-3"/>
        </w:rPr>
        <w:t>[</w:t>
      </w:r>
      <w:r w:rsidR="009402FF">
        <w:rPr>
          <w:spacing w:val="-3"/>
        </w:rPr>
        <w:t>2003],</w:t>
      </w:r>
      <w:r>
        <w:rPr>
          <w:spacing w:val="-3"/>
        </w:rPr>
        <w:t xml:space="preserve"> Kim et al. [2004]</w:t>
      </w:r>
      <w:r w:rsidR="00941335">
        <w:rPr>
          <w:spacing w:val="-3"/>
        </w:rPr>
        <w:t xml:space="preserve">, </w:t>
      </w:r>
      <w:r w:rsidR="00E03B3A">
        <w:rPr>
          <w:spacing w:val="-3"/>
        </w:rPr>
        <w:t xml:space="preserve">and </w:t>
      </w:r>
      <w:r w:rsidR="00941335">
        <w:rPr>
          <w:spacing w:val="-3"/>
        </w:rPr>
        <w:t>Plapp and Karma [2002]</w:t>
      </w:r>
      <w:r>
        <w:rPr>
          <w:spacing w:val="-3"/>
        </w:rPr>
        <w:t xml:space="preserve">. Three dimensional simulations by Plapp [2007] of eutectic growth enabled the exploration of the transition between rod and lamellar structures, their disordering and the different undercooling vs. spacing relations for different rod packings. </w:t>
      </w:r>
      <w:r w:rsidR="00E03B3A">
        <w:rPr>
          <w:spacing w:val="-3"/>
        </w:rPr>
        <w:t xml:space="preserve"> </w:t>
      </w:r>
      <w:r>
        <w:rPr>
          <w:spacing w:val="-3"/>
        </w:rPr>
        <w:t>Par</w:t>
      </w:r>
      <w:r w:rsidR="00EF2019">
        <w:rPr>
          <w:spacing w:val="-3"/>
        </w:rPr>
        <w:t>i</w:t>
      </w:r>
      <w:r>
        <w:rPr>
          <w:spacing w:val="-3"/>
        </w:rPr>
        <w:t>si and Plapp [2010] showed that other steady state structures were possible in addition to rods and lamellae</w:t>
      </w:r>
      <w:r w:rsidR="00E03B3A">
        <w:rPr>
          <w:spacing w:val="-3"/>
        </w:rPr>
        <w:t>. These</w:t>
      </w:r>
      <w:r>
        <w:rPr>
          <w:spacing w:val="-3"/>
        </w:rPr>
        <w:t xml:space="preserve"> simulations shed light on realistic imperfect eutectic structures.  </w:t>
      </w:r>
      <w:r w:rsidR="00E03B3A">
        <w:rPr>
          <w:spacing w:val="-3"/>
        </w:rPr>
        <w:t>Phase field w</w:t>
      </w:r>
      <w:r>
        <w:rPr>
          <w:spacing w:val="-3"/>
        </w:rPr>
        <w:t>ork on ternary eutectics is summarized by Hecht et al. [2004].</w:t>
      </w:r>
    </w:p>
    <w:p w14:paraId="19A0585E" w14:textId="77777777" w:rsidR="00015B17" w:rsidRDefault="00015B17" w:rsidP="00015B17">
      <w:pPr>
        <w:suppressAutoHyphens/>
        <w:spacing w:line="360" w:lineRule="auto"/>
        <w:rPr>
          <w:spacing w:val="-3"/>
        </w:rPr>
      </w:pPr>
    </w:p>
    <w:p w14:paraId="376ACCCA" w14:textId="58E79124" w:rsidR="00015B17" w:rsidRDefault="00015B17" w:rsidP="00015B17">
      <w:pPr>
        <w:suppressAutoHyphens/>
        <w:spacing w:line="360" w:lineRule="auto"/>
        <w:rPr>
          <w:spacing w:val="-3"/>
        </w:rPr>
      </w:pPr>
      <w:r>
        <w:rPr>
          <w:b/>
          <w:bCs/>
          <w:spacing w:val="-3"/>
        </w:rPr>
        <w:t>8.1.3 Nonfaceted-faceted eutectics</w:t>
      </w:r>
    </w:p>
    <w:p w14:paraId="173F3588" w14:textId="77777777" w:rsidR="00015B17" w:rsidRDefault="00015B17" w:rsidP="00015B17">
      <w:pPr>
        <w:suppressAutoHyphens/>
        <w:spacing w:line="360" w:lineRule="auto"/>
        <w:rPr>
          <w:spacing w:val="-3"/>
        </w:rPr>
      </w:pPr>
    </w:p>
    <w:p w14:paraId="6EF55535" w14:textId="77777777" w:rsidR="00015B17" w:rsidRDefault="00015B17" w:rsidP="00015B17">
      <w:pPr>
        <w:suppressAutoHyphens/>
        <w:spacing w:line="360" w:lineRule="auto"/>
        <w:rPr>
          <w:spacing w:val="-3"/>
        </w:rPr>
      </w:pPr>
      <w:r>
        <w:rPr>
          <w:spacing w:val="-3"/>
        </w:rPr>
        <w:lastRenderedPageBreak/>
        <w:tab/>
        <w:t>The modeling of nf-f eutectics is quite important given the fact that eutectics of technological importance such as Al-Si and Fe-C belong to this class. FISHER and KURZ [1979] and KURZ and FISHER [1979] summarize the main features of (nf-f) eutectic growth. When (nf-f) eutectics are compared with (nf-nf) eutectics, several characteristics can be noted:</w:t>
      </w:r>
    </w:p>
    <w:p w14:paraId="32011C61" w14:textId="77777777" w:rsidR="00015B17" w:rsidRDefault="00015B17" w:rsidP="00015B17">
      <w:pPr>
        <w:suppressAutoHyphens/>
        <w:spacing w:line="360" w:lineRule="auto"/>
        <w:rPr>
          <w:spacing w:val="-3"/>
        </w:rPr>
      </w:pPr>
      <w:r>
        <w:rPr>
          <w:spacing w:val="-3"/>
        </w:rPr>
        <w:tab/>
        <w:t>i) the degree of structural regularity is much lower and a wide distribution of local spacings is observed.</w:t>
      </w:r>
    </w:p>
    <w:p w14:paraId="6FAA870F" w14:textId="77777777" w:rsidR="00015B17" w:rsidRDefault="00015B17" w:rsidP="00015B17">
      <w:pPr>
        <w:suppressAutoHyphens/>
        <w:spacing w:line="360" w:lineRule="auto"/>
        <w:rPr>
          <w:spacing w:val="-3"/>
        </w:rPr>
      </w:pPr>
      <w:r>
        <w:rPr>
          <w:spacing w:val="-3"/>
        </w:rPr>
        <w:tab/>
        <w:t>ii) for a given growth rate and fraction of phases, the average spacing and the average interface supercooling below the eutectic composition for growth of a nf-f eutectic are much larger than for a nf-nf eutectic.</w:t>
      </w:r>
    </w:p>
    <w:p w14:paraId="7C0C31C6" w14:textId="77777777" w:rsidR="00015B17" w:rsidRDefault="00015B17" w:rsidP="00015B17">
      <w:pPr>
        <w:suppressAutoHyphens/>
        <w:spacing w:line="360" w:lineRule="auto"/>
        <w:rPr>
          <w:spacing w:val="-3"/>
        </w:rPr>
      </w:pPr>
      <w:r>
        <w:rPr>
          <w:spacing w:val="-3"/>
        </w:rPr>
        <w:tab/>
        <w:t xml:space="preserve">iii) for a given growth rate, the supercooling and the spacing </w:t>
      </w:r>
      <w:r w:rsidR="00EF2019">
        <w:rPr>
          <w:spacing w:val="-3"/>
        </w:rPr>
        <w:t xml:space="preserve">for nf-f eutectic </w:t>
      </w:r>
      <w:r>
        <w:rPr>
          <w:spacing w:val="-3"/>
        </w:rPr>
        <w:t>decrease as the temperature gradient is increased. No such effect is seen for nf-nf eutectics.</w:t>
      </w:r>
    </w:p>
    <w:p w14:paraId="7ADE6559" w14:textId="77777777" w:rsidR="00015B17" w:rsidRDefault="00015B17" w:rsidP="00015B17">
      <w:pPr>
        <w:suppressAutoHyphens/>
        <w:spacing w:line="360" w:lineRule="auto"/>
        <w:rPr>
          <w:spacing w:val="-3"/>
        </w:rPr>
      </w:pPr>
    </w:p>
    <w:p w14:paraId="40E3013E" w14:textId="60065427" w:rsidR="00015B17" w:rsidRDefault="00015B17" w:rsidP="00015B17">
      <w:pPr>
        <w:suppressAutoHyphens/>
        <w:spacing w:line="360" w:lineRule="auto"/>
        <w:rPr>
          <w:spacing w:val="-3"/>
        </w:rPr>
      </w:pPr>
      <w:r>
        <w:rPr>
          <w:spacing w:val="-3"/>
        </w:rPr>
        <w:tab/>
        <w:t xml:space="preserve">In order to </w:t>
      </w:r>
      <w:r w:rsidR="00E03B3A">
        <w:rPr>
          <w:spacing w:val="-3"/>
        </w:rPr>
        <w:t xml:space="preserve">understand </w:t>
      </w:r>
      <w:r>
        <w:rPr>
          <w:spacing w:val="-3"/>
        </w:rPr>
        <w:t>the increased average supercooling below the eutectic temperature, early investigations considered interface attachment supercooling (first term in Eqn. 8.1) for the faceted phase. However STEEN and HELLAWELL [1975] and TOLOUI and HELLAWELL [1976] showed that the kinetic supercooling of Si in Al-Si eutectic is too small to explain the increased eutectic front supercooling. Indeed</w:t>
      </w:r>
      <w:r w:rsidR="004E243B">
        <w:rPr>
          <w:spacing w:val="-3"/>
        </w:rPr>
        <w:t>,</w:t>
      </w:r>
      <w:r>
        <w:rPr>
          <w:spacing w:val="-3"/>
        </w:rPr>
        <w:t xml:space="preserve"> </w:t>
      </w:r>
      <w:r w:rsidR="004E243B">
        <w:rPr>
          <w:spacing w:val="-3"/>
        </w:rPr>
        <w:t xml:space="preserve">the </w:t>
      </w:r>
      <w:r>
        <w:rPr>
          <w:spacing w:val="-3"/>
        </w:rPr>
        <w:t xml:space="preserve">Si </w:t>
      </w:r>
      <w:r w:rsidR="004E243B">
        <w:rPr>
          <w:spacing w:val="-3"/>
        </w:rPr>
        <w:t xml:space="preserve">phase </w:t>
      </w:r>
      <w:r w:rsidR="00562B62">
        <w:rPr>
          <w:spacing w:val="-3"/>
        </w:rPr>
        <w:t xml:space="preserve">in Al-Si </w:t>
      </w:r>
      <w:r>
        <w:rPr>
          <w:spacing w:val="-3"/>
        </w:rPr>
        <w:t xml:space="preserve">and </w:t>
      </w:r>
      <w:r w:rsidR="004E243B">
        <w:rPr>
          <w:spacing w:val="-3"/>
        </w:rPr>
        <w:t xml:space="preserve">the </w:t>
      </w:r>
      <w:r>
        <w:rPr>
          <w:spacing w:val="-3"/>
        </w:rPr>
        <w:t xml:space="preserve">graphite </w:t>
      </w:r>
      <w:r w:rsidR="004E243B">
        <w:rPr>
          <w:spacing w:val="-3"/>
        </w:rPr>
        <w:t xml:space="preserve">phase </w:t>
      </w:r>
      <w:r>
        <w:rPr>
          <w:spacing w:val="-3"/>
        </w:rPr>
        <w:t>in Fe-C both contain defect planes parallel to the plate growth direction that enable easy growth (twins in Si and rotation boundaries in graphite). TOLOUI and HELLAWELL [1976] suggested that the large supercoolings were due to the difficulties of adjusting the spacing to minimize the diffusion distance. These difficulties are related to the anisotropy of growth of the faceted phase.</w:t>
      </w:r>
    </w:p>
    <w:p w14:paraId="5FB36F61" w14:textId="77777777" w:rsidR="00015B17" w:rsidRDefault="00015B17" w:rsidP="00015B17">
      <w:pPr>
        <w:suppressAutoHyphens/>
        <w:spacing w:line="360" w:lineRule="auto"/>
        <w:rPr>
          <w:spacing w:val="-3"/>
        </w:rPr>
      </w:pPr>
    </w:p>
    <w:p w14:paraId="01C4BD80" w14:textId="644679B9" w:rsidR="00015B17" w:rsidRDefault="00015B17" w:rsidP="00015B17">
      <w:pPr>
        <w:suppressAutoHyphens/>
        <w:spacing w:line="360" w:lineRule="auto"/>
        <w:rPr>
          <w:spacing w:val="-3"/>
        </w:rPr>
      </w:pPr>
      <w:r>
        <w:rPr>
          <w:spacing w:val="-3"/>
        </w:rPr>
        <w:tab/>
        <w:t xml:space="preserve">Measurement of spacing and supercooling on the model system camphor-naphthalene by FISHER and KURZ [1979] permitted important results to be obtained. The system exhibits two distinct eutectic growth forms: one regular and the other irregular.  By assuming that the measured spacing and supercooling for the regular growth were given using the nf-nf theory with the extremum condition, the various materials parameters for this system were obtained. When </w:t>
      </w:r>
      <w:r>
        <w:rPr>
          <w:i/>
          <w:iCs/>
          <w:spacing w:val="-3"/>
        </w:rPr>
        <w:t>ΔT</w:t>
      </w:r>
      <w:r>
        <w:rPr>
          <w:spacing w:val="-3"/>
        </w:rPr>
        <w:t xml:space="preserve"> vs. </w:t>
      </w:r>
      <w:r>
        <w:rPr>
          <w:i/>
          <w:iCs/>
          <w:spacing w:val="-3"/>
        </w:rPr>
        <w:t>λ</w:t>
      </w:r>
      <w:r w:rsidRPr="00911EC5">
        <w:rPr>
          <w:spacing w:val="-3"/>
          <w:sz w:val="26"/>
          <w:vertAlign w:val="subscript"/>
        </w:rPr>
        <w:t>E</w:t>
      </w:r>
      <w:r>
        <w:rPr>
          <w:spacing w:val="-3"/>
        </w:rPr>
        <w:t xml:space="preserve"> was plotted for the relevant growth rate, the spacing and supercooling values for irregular growth fell on the same derived theoretical curve for </w:t>
      </w:r>
      <w:r>
        <w:rPr>
          <w:spacing w:val="-3"/>
        </w:rPr>
        <w:lastRenderedPageBreak/>
        <w:t>regular eutectic growth but, with spacings much larger than the extremum value. Thus the coarseness of the structure is the cause of the large supercooling of growing nf-f eutectics. Indeed theoretical analysis of the</w:t>
      </w:r>
      <w:r w:rsidR="00A40AD0">
        <w:rPr>
          <w:spacing w:val="-3"/>
        </w:rPr>
        <w:t xml:space="preserve"> </w:t>
      </w:r>
      <w:r>
        <w:rPr>
          <w:i/>
          <w:iCs/>
          <w:spacing w:val="-3"/>
        </w:rPr>
        <w:t>λ</w:t>
      </w:r>
      <w:r w:rsidRPr="00911EC5">
        <w:rPr>
          <w:spacing w:val="-3"/>
          <w:sz w:val="26"/>
          <w:vertAlign w:val="subscript"/>
        </w:rPr>
        <w:t>E</w:t>
      </w:r>
      <w:r>
        <w:rPr>
          <w:spacing w:val="-3"/>
        </w:rPr>
        <w:t xml:space="preserve"> vs. </w:t>
      </w:r>
      <w:r>
        <w:rPr>
          <w:i/>
          <w:iCs/>
          <w:spacing w:val="-3"/>
        </w:rPr>
        <w:t>ΔT</w:t>
      </w:r>
      <w:r>
        <w:rPr>
          <w:spacing w:val="-3"/>
        </w:rPr>
        <w:t xml:space="preserve"> curves by MAGNIN and KURZ [1987] that relax the assumption of an isothermal two-phase interface made in the nf-nf theory, show a deviation from the nf-nf theory only at very slow growth rates where the constants in Eqn. (8.2) become functions of</w:t>
      </w:r>
      <w:r>
        <w:rPr>
          <w:i/>
          <w:iCs/>
          <w:spacing w:val="-3"/>
        </w:rPr>
        <w:t xml:space="preserve"> G</w:t>
      </w:r>
      <w:r w:rsidRPr="00911EC5">
        <w:rPr>
          <w:spacing w:val="-3"/>
          <w:sz w:val="26"/>
          <w:vertAlign w:val="subscript"/>
        </w:rPr>
        <w:t>L</w:t>
      </w:r>
      <w:r>
        <w:rPr>
          <w:spacing w:val="-3"/>
        </w:rPr>
        <w:t>. Thus for growth at more normal speeds, the theory turns to an analysis of why the spacing is so big for nf-f eutectics.</w:t>
      </w:r>
    </w:p>
    <w:p w14:paraId="73A68222" w14:textId="77777777" w:rsidR="00015B17" w:rsidRDefault="00015B17" w:rsidP="00015B17">
      <w:pPr>
        <w:suppressAutoHyphens/>
        <w:spacing w:line="360" w:lineRule="auto"/>
        <w:rPr>
          <w:spacing w:val="-3"/>
        </w:rPr>
      </w:pPr>
    </w:p>
    <w:p w14:paraId="55DB39C1" w14:textId="7EB88DE3" w:rsidR="00015B17" w:rsidRDefault="00015B17" w:rsidP="00015B17">
      <w:pPr>
        <w:suppressAutoHyphens/>
        <w:spacing w:line="360" w:lineRule="auto"/>
        <w:rPr>
          <w:spacing w:val="-3"/>
        </w:rPr>
      </w:pPr>
      <w:r>
        <w:rPr>
          <w:spacing w:val="-3"/>
        </w:rPr>
        <w:tab/>
        <w:t xml:space="preserve">The general argument employed to understand why the average spacing of f-nf eutectics is large focuses on determining the stable range for eutectic spacings at a given velocity. Important contributions have been made by FISHER and KURZ [1980], MAGNIN and KURZ [1987] and MAGNIN </w:t>
      </w:r>
      <w:r>
        <w:rPr>
          <w:i/>
          <w:iCs/>
          <w:spacing w:val="-3"/>
        </w:rPr>
        <w:t>et al.</w:t>
      </w:r>
      <w:r>
        <w:rPr>
          <w:spacing w:val="-3"/>
        </w:rPr>
        <w:t xml:space="preserve"> [1991]. For irregular eutectics the growth directions of different lamellae are not parallel. Thus as growth proceeds, the local spacing decreases between converging lamellae and increases between diverging lamellae (Fig. 8.4). For converging lamellae, when their separation decreases below the extremum value, one of the lamellae is pinched off, just as for nf-nf growth. For diverging lamellae, when the local spacing increases beyond a critical value, FISHER and KURZ [1980] have suggested that the faceted phases branches into two diverging lamella. The formation of the new lamella decreases the local spacing. The anisotropic growth kinetics of the faceted phase leads to what is termed </w:t>
      </w:r>
      <w:r>
        <w:rPr>
          <w:i/>
          <w:iCs/>
          <w:spacing w:val="-3"/>
        </w:rPr>
        <w:t>branching-limited growth</w:t>
      </w:r>
      <w:r>
        <w:rPr>
          <w:spacing w:val="-3"/>
        </w:rPr>
        <w:t xml:space="preserve">. Several criterion have been proposed to determine the maximum value of spacing where the branching takes place (FISHER and KURZ [1980] and MAGNIN and KURZ [1987]. MAGNIN and KURZ [1987] suggest that this branching instability occurs when the faceted phase interface develops a depression of some characteristic depth; e.g., when it drops below a line joining the two triple points for the lamella. The average spacing lies between the minimum spacing and the spacing that cause the branching instability. MAGNIN </w:t>
      </w:r>
      <w:r>
        <w:rPr>
          <w:i/>
          <w:iCs/>
          <w:spacing w:val="-3"/>
        </w:rPr>
        <w:t>et al.</w:t>
      </w:r>
      <w:r>
        <w:rPr>
          <w:spacing w:val="-3"/>
        </w:rPr>
        <w:t xml:space="preserve"> [1991] argue that the mechanism that establishes the minimum and maximum spacings remains undetermined and that the inherently unsteady solidification of nf-f eutectics plays a fundamental role. Many issues remain to be studied in this area especially those regarding orientation relationships and their relationship to the branching mechanism.</w:t>
      </w:r>
    </w:p>
    <w:p w14:paraId="56438524" w14:textId="77777777" w:rsidR="00015B17" w:rsidRDefault="00015B17" w:rsidP="00015B17">
      <w:pPr>
        <w:suppressAutoHyphens/>
        <w:spacing w:line="360" w:lineRule="auto"/>
        <w:rPr>
          <w:spacing w:val="-3"/>
        </w:rPr>
      </w:pPr>
    </w:p>
    <w:p w14:paraId="7757A2B9" w14:textId="77777777" w:rsidR="00015B17" w:rsidRDefault="00015B17" w:rsidP="00015B17">
      <w:pPr>
        <w:suppressAutoHyphens/>
        <w:spacing w:line="360" w:lineRule="auto"/>
        <w:rPr>
          <w:spacing w:val="-3"/>
        </w:rPr>
      </w:pPr>
      <w:r>
        <w:rPr>
          <w:b/>
          <w:bCs/>
          <w:spacing w:val="-3"/>
        </w:rPr>
        <w:lastRenderedPageBreak/>
        <w:t>8.1.4 Eutectic cells and eutectic dendrites</w:t>
      </w:r>
    </w:p>
    <w:p w14:paraId="780A7B94" w14:textId="77777777" w:rsidR="00015B17" w:rsidRDefault="00015B17" w:rsidP="00015B17">
      <w:pPr>
        <w:suppressAutoHyphens/>
        <w:spacing w:line="360" w:lineRule="auto"/>
        <w:rPr>
          <w:spacing w:val="-3"/>
        </w:rPr>
      </w:pPr>
      <w:r>
        <w:rPr>
          <w:spacing w:val="-3"/>
        </w:rPr>
        <w:t xml:space="preserve">  </w:t>
      </w:r>
    </w:p>
    <w:p w14:paraId="4533DE04" w14:textId="77777777" w:rsidR="00015B17" w:rsidRDefault="00015B17" w:rsidP="00015B17">
      <w:pPr>
        <w:suppressAutoHyphens/>
        <w:spacing w:line="360" w:lineRule="auto"/>
        <w:rPr>
          <w:spacing w:val="-3"/>
        </w:rPr>
      </w:pPr>
      <w:r>
        <w:rPr>
          <w:spacing w:val="-3"/>
        </w:rPr>
        <w:tab/>
        <w:t xml:space="preserve">In addition to consideration of the stability of the eutectic spacing, two other instabilities can influence the microstructure of alloys at or near the eutectic composition. These involve a ternary </w:t>
      </w:r>
      <w:r w:rsidR="004E243B">
        <w:rPr>
          <w:spacing w:val="-3"/>
        </w:rPr>
        <w:t xml:space="preserve">component </w:t>
      </w:r>
      <w:r>
        <w:rPr>
          <w:spacing w:val="-3"/>
        </w:rPr>
        <w:t>addition to a binary eutectic and</w:t>
      </w:r>
      <w:r w:rsidR="00E03B3A">
        <w:rPr>
          <w:spacing w:val="-3"/>
        </w:rPr>
        <w:t>,</w:t>
      </w:r>
      <w:r>
        <w:rPr>
          <w:spacing w:val="-3"/>
        </w:rPr>
        <w:t xml:space="preserve"> </w:t>
      </w:r>
      <w:r w:rsidR="00E03B3A">
        <w:rPr>
          <w:spacing w:val="-3"/>
        </w:rPr>
        <w:t xml:space="preserve">as described in § 8.1.5, </w:t>
      </w:r>
      <w:r>
        <w:rPr>
          <w:spacing w:val="-3"/>
        </w:rPr>
        <w:t xml:space="preserve">the deviation of the average composition of the eutectic microstructure in a binary system from the thermodynamic eutectic composition. </w:t>
      </w:r>
    </w:p>
    <w:p w14:paraId="71D92607" w14:textId="77777777" w:rsidR="00015B17" w:rsidRDefault="00015B17" w:rsidP="00015B17">
      <w:pPr>
        <w:suppressAutoHyphens/>
        <w:spacing w:line="360" w:lineRule="auto"/>
        <w:rPr>
          <w:spacing w:val="-3"/>
        </w:rPr>
      </w:pPr>
    </w:p>
    <w:p w14:paraId="3294CDEF" w14:textId="6DD757B9" w:rsidR="00015B17" w:rsidRPr="005B1DE0" w:rsidRDefault="00015B17" w:rsidP="00015B17">
      <w:pPr>
        <w:suppressAutoHyphens/>
        <w:spacing w:line="360" w:lineRule="auto"/>
        <w:rPr>
          <w:color w:val="FF0000"/>
          <w:spacing w:val="-3"/>
        </w:rPr>
      </w:pPr>
      <w:r>
        <w:rPr>
          <w:spacing w:val="-3"/>
        </w:rPr>
        <w:tab/>
        <w:t>A ternary component added to a binary eutectic can lead to a cellular structure (CHADWICK [1963]). The mechanism is similar to the cellular breakdown in single-phase solidification treated in § 7; for a critical value of</w:t>
      </w:r>
      <w:r>
        <w:rPr>
          <w:i/>
          <w:iCs/>
          <w:spacing w:val="-3"/>
        </w:rPr>
        <w:t xml:space="preserve"> G</w:t>
      </w:r>
      <w:r w:rsidRPr="00911EC5">
        <w:rPr>
          <w:spacing w:val="-3"/>
          <w:sz w:val="26"/>
          <w:vertAlign w:val="subscript"/>
        </w:rPr>
        <w:t>L</w:t>
      </w:r>
      <w:r>
        <w:rPr>
          <w:i/>
          <w:iCs/>
          <w:spacing w:val="-3"/>
        </w:rPr>
        <w:t>/V</w:t>
      </w:r>
      <w:r>
        <w:rPr>
          <w:spacing w:val="-3"/>
        </w:rPr>
        <w:t xml:space="preserve"> the average planar </w:t>
      </w:r>
      <w:r w:rsidR="004201E7">
        <w:rPr>
          <w:spacing w:val="-3"/>
        </w:rPr>
        <w:t>L-S</w:t>
      </w:r>
      <w:r>
        <w:rPr>
          <w:spacing w:val="-3"/>
        </w:rPr>
        <w:t xml:space="preserve"> interface of the eutectic structure can become unstable and the solidification front becomes corrugated.  The cells (often called eutectic colonies) are quite large containing many (10 - 100) eutectic spacings with the lamellae curving to remain approximately normal to the liquid solid interface. Thus cells are most noticeable for nf-nf eutectics. </w:t>
      </w:r>
      <w:r w:rsidR="00E03B3A">
        <w:rPr>
          <w:spacing w:val="-3"/>
        </w:rPr>
        <w:t>N</w:t>
      </w:r>
      <w:r>
        <w:rPr>
          <w:spacing w:val="-3"/>
        </w:rPr>
        <w:t xml:space="preserve">ear the edge of eutectic colonies there is often a transition to a rod structure. BERTORELLO and BILONI [1969] propose that the inception of the instability occurs at depressions in the interface due to eutectic grain boundaries or at fault terminations at the </w:t>
      </w:r>
      <w:r w:rsidR="004201E7">
        <w:rPr>
          <w:spacing w:val="-3"/>
        </w:rPr>
        <w:t>L-S</w:t>
      </w:r>
      <w:r>
        <w:rPr>
          <w:spacing w:val="-3"/>
        </w:rPr>
        <w:t xml:space="preserve"> interface. Phase field simulations of colony formation have been performed</w:t>
      </w:r>
      <w:r w:rsidRPr="005C1B78">
        <w:rPr>
          <w:spacing w:val="-3"/>
        </w:rPr>
        <w:t xml:space="preserve"> by</w:t>
      </w:r>
      <w:r w:rsidRPr="00F030D4">
        <w:rPr>
          <w:spacing w:val="-3"/>
        </w:rPr>
        <w:t xml:space="preserve"> Plapp and A. Karma, [2002]</w:t>
      </w:r>
      <w:r w:rsidRPr="005B1DE0">
        <w:rPr>
          <w:color w:val="FF0000"/>
          <w:spacing w:val="-3"/>
        </w:rPr>
        <w:t xml:space="preserve"> </w:t>
      </w:r>
      <w:r w:rsidRPr="005C1B78">
        <w:rPr>
          <w:spacing w:val="-3"/>
        </w:rPr>
        <w:t xml:space="preserve">as shown in Fig. </w:t>
      </w:r>
      <w:r>
        <w:rPr>
          <w:spacing w:val="-3"/>
        </w:rPr>
        <w:t>8.5.</w:t>
      </w:r>
    </w:p>
    <w:p w14:paraId="11AD192D" w14:textId="77777777" w:rsidR="00015B17" w:rsidRDefault="00015B17" w:rsidP="00015B17">
      <w:pPr>
        <w:suppressAutoHyphens/>
        <w:spacing w:line="360" w:lineRule="auto"/>
        <w:rPr>
          <w:spacing w:val="-3"/>
        </w:rPr>
      </w:pPr>
    </w:p>
    <w:p w14:paraId="38AB9489" w14:textId="09283BF3" w:rsidR="00015B17" w:rsidRDefault="00015B17" w:rsidP="00015B17">
      <w:pPr>
        <w:suppressAutoHyphens/>
        <w:spacing w:line="360" w:lineRule="auto"/>
        <w:rPr>
          <w:spacing w:val="-3"/>
        </w:rPr>
      </w:pPr>
      <w:r>
        <w:rPr>
          <w:spacing w:val="-3"/>
        </w:rPr>
        <w:tab/>
        <w:t>If an excessive amount of a ternary element is added, the eutectic colony can actually evolve into a two-phase dendrite with secondary arms. In this case, ternary eutectic is usually found between the two-phase dendrite (SHARP and FLEMINGS [1974]. Fig. 8.6 shows a micrograph of a quenched liquid solid interface of such a growth form in Pb-Sn-Cd system (Boettinger [1973]). Spiral two phase dendrites have been observed by Akamatsu et al. [2010]. A parabolic shape composed of the two solid phases form a double helix. This growth mechanism permits the eutectic spacing to maintain a near constant value.</w:t>
      </w:r>
    </w:p>
    <w:p w14:paraId="296E26A9" w14:textId="77777777" w:rsidR="00015B17" w:rsidRDefault="00015B17" w:rsidP="00015B17">
      <w:pPr>
        <w:suppressAutoHyphens/>
        <w:spacing w:line="360" w:lineRule="auto"/>
        <w:rPr>
          <w:spacing w:val="-3"/>
        </w:rPr>
      </w:pPr>
    </w:p>
    <w:p w14:paraId="01CDE18A" w14:textId="77777777" w:rsidR="00015B17" w:rsidRDefault="00015B17" w:rsidP="00015B17">
      <w:pPr>
        <w:suppressAutoHyphens/>
        <w:spacing w:line="360" w:lineRule="auto"/>
        <w:rPr>
          <w:spacing w:val="-3"/>
        </w:rPr>
      </w:pPr>
      <w:r>
        <w:rPr>
          <w:b/>
          <w:bCs/>
          <w:spacing w:val="-3"/>
        </w:rPr>
        <w:t>8.1.5 Competitive Growth - Coupled Zone</w:t>
      </w:r>
    </w:p>
    <w:p w14:paraId="52520AD4" w14:textId="77777777" w:rsidR="00015B17" w:rsidRDefault="00015B17" w:rsidP="00015B17">
      <w:pPr>
        <w:suppressAutoHyphens/>
        <w:spacing w:line="360" w:lineRule="auto"/>
        <w:rPr>
          <w:spacing w:val="-3"/>
        </w:rPr>
      </w:pPr>
    </w:p>
    <w:p w14:paraId="30763A7D" w14:textId="77777777" w:rsidR="00941EF3" w:rsidRDefault="00015B17" w:rsidP="00015B17">
      <w:pPr>
        <w:suppressAutoHyphens/>
        <w:spacing w:line="360" w:lineRule="auto"/>
        <w:rPr>
          <w:spacing w:val="-3"/>
        </w:rPr>
      </w:pPr>
      <w:r>
        <w:rPr>
          <w:spacing w:val="-3"/>
        </w:rPr>
        <w:lastRenderedPageBreak/>
        <w:tab/>
        <w:t>As a binary alloy with a composition different from the eutectic composition cools from the liquidus to the eutectic temperature, dendritic growth of the primary phase followed by eutectic growth of the remaining interdendritic liquid is expected.  However, there is the</w:t>
      </w:r>
      <w:r>
        <w:rPr>
          <w:i/>
          <w:iCs/>
          <w:spacing w:val="-3"/>
        </w:rPr>
        <w:t xml:space="preserve"> range</w:t>
      </w:r>
      <w:r>
        <w:rPr>
          <w:spacing w:val="-3"/>
        </w:rPr>
        <w:t xml:space="preserve"> of alloy composition, temperature gradient and growth rate (or interface supercooling) where it is possible to freeze these liquids as eutectic microstructures without dendrites. </w:t>
      </w:r>
      <w:r w:rsidR="00E03B3A">
        <w:rPr>
          <w:spacing w:val="-3"/>
        </w:rPr>
        <w:t xml:space="preserve">Thus it is important to distinguish between the concepts of a thermodynamic eutectic point and a eutectic microstructure. </w:t>
      </w:r>
      <w:r w:rsidR="00941EF3">
        <w:rPr>
          <w:spacing w:val="-3"/>
        </w:rPr>
        <w:t>This range of conditions is called the coupled zone.</w:t>
      </w:r>
    </w:p>
    <w:p w14:paraId="42AEA53A" w14:textId="77777777" w:rsidR="00941EF3" w:rsidRDefault="00941EF3" w:rsidP="00015B17">
      <w:pPr>
        <w:suppressAutoHyphens/>
        <w:spacing w:line="360" w:lineRule="auto"/>
        <w:rPr>
          <w:spacing w:val="-3"/>
        </w:rPr>
      </w:pPr>
    </w:p>
    <w:p w14:paraId="4105776A" w14:textId="23F1913F" w:rsidR="00015B17" w:rsidRDefault="00941EF3" w:rsidP="00015B17">
      <w:pPr>
        <w:suppressAutoHyphens/>
        <w:spacing w:line="360" w:lineRule="auto"/>
        <w:rPr>
          <w:spacing w:val="-3"/>
        </w:rPr>
      </w:pPr>
      <w:r>
        <w:rPr>
          <w:spacing w:val="-3"/>
        </w:rPr>
        <w:tab/>
        <w:t xml:space="preserve"> </w:t>
      </w:r>
      <w:r w:rsidR="00015B17">
        <w:rPr>
          <w:spacing w:val="-3"/>
        </w:rPr>
        <w:t xml:space="preserve">Pioneering investigations in this field were those of TAMMANN and BOTSCHWAR [1926] and KOFLER [1950] in organic systems, which established that at low or zero temperature gradients, the range of alloy compositions for coupled growth widened with increasing growth velocity.  Later, MOLLARD and FLEMINGS [1967] showed that a widening of the composition range for coupled growth was not restricted to increasing growth rates but could also be widened by decreasing the growth rates as long as the </w:t>
      </w:r>
      <w:r w:rsidR="00015B17">
        <w:rPr>
          <w:i/>
          <w:iCs/>
          <w:spacing w:val="-3"/>
        </w:rPr>
        <w:t>G</w:t>
      </w:r>
      <w:r w:rsidR="00015B17" w:rsidRPr="00911EC5">
        <w:rPr>
          <w:spacing w:val="-3"/>
          <w:sz w:val="26"/>
          <w:vertAlign w:val="subscript"/>
        </w:rPr>
        <w:t>L</w:t>
      </w:r>
      <w:r w:rsidR="00015B17">
        <w:rPr>
          <w:i/>
          <w:iCs/>
          <w:spacing w:val="-3"/>
        </w:rPr>
        <w:t>/V</w:t>
      </w:r>
      <w:r w:rsidR="00015B17">
        <w:rPr>
          <w:spacing w:val="-3"/>
        </w:rPr>
        <w:t xml:space="preserve"> ratio was large enough.  Solidification with a high value of</w:t>
      </w:r>
      <w:r w:rsidR="00015B17">
        <w:rPr>
          <w:i/>
          <w:iCs/>
          <w:spacing w:val="-3"/>
        </w:rPr>
        <w:t xml:space="preserve"> G</w:t>
      </w:r>
      <w:r w:rsidR="00015B17" w:rsidRPr="00911EC5">
        <w:rPr>
          <w:spacing w:val="-3"/>
          <w:sz w:val="26"/>
          <w:vertAlign w:val="subscript"/>
        </w:rPr>
        <w:t>L</w:t>
      </w:r>
      <w:r w:rsidR="00015B17">
        <w:rPr>
          <w:spacing w:val="-3"/>
        </w:rPr>
        <w:t>/</w:t>
      </w:r>
      <w:r w:rsidR="00015B17">
        <w:rPr>
          <w:i/>
          <w:iCs/>
          <w:spacing w:val="-3"/>
        </w:rPr>
        <w:t>V</w:t>
      </w:r>
      <w:r w:rsidR="00015B17">
        <w:rPr>
          <w:spacing w:val="-3"/>
        </w:rPr>
        <w:t xml:space="preserve"> suppresses the dendritic growth of the primary phase.</w:t>
      </w:r>
      <w:r>
        <w:rPr>
          <w:spacing w:val="-3"/>
        </w:rPr>
        <w:t xml:space="preserve">  </w:t>
      </w:r>
      <w:r w:rsidR="00015B17">
        <w:rPr>
          <w:spacing w:val="-3"/>
        </w:rPr>
        <w:t xml:space="preserve">Other milestones in the development of the knowledge of the coupled zone were the investigations by HUNT and JACKSON [1967], </w:t>
      </w:r>
      <w:smartTag w:uri="urn:schemas-microsoft-com:office:smarttags" w:element="City">
        <w:smartTag w:uri="urn:schemas-microsoft-com:office:smarttags" w:element="place">
          <w:r w:rsidR="00015B17">
            <w:rPr>
              <w:spacing w:val="-3"/>
            </w:rPr>
            <w:t>JACKSON</w:t>
          </w:r>
        </w:smartTag>
      </w:smartTag>
      <w:r w:rsidR="00015B17">
        <w:rPr>
          <w:spacing w:val="-3"/>
        </w:rPr>
        <w:t xml:space="preserve"> [1968], BURDEN and HUNT [1974c], TASSA and HUNT [1976] and KURZ and FISHER [1979].</w:t>
      </w:r>
    </w:p>
    <w:p w14:paraId="09C2F314" w14:textId="77777777" w:rsidR="00015B17" w:rsidRDefault="00015B17" w:rsidP="00015B17">
      <w:pPr>
        <w:suppressAutoHyphens/>
        <w:spacing w:line="360" w:lineRule="auto"/>
        <w:rPr>
          <w:spacing w:val="-3"/>
        </w:rPr>
      </w:pPr>
    </w:p>
    <w:p w14:paraId="16F40A61" w14:textId="055DD4F7" w:rsidR="00015B17" w:rsidRDefault="00015B17" w:rsidP="00015B17">
      <w:pPr>
        <w:suppressAutoHyphens/>
        <w:spacing w:line="360" w:lineRule="auto"/>
        <w:rPr>
          <w:spacing w:val="-3"/>
        </w:rPr>
      </w:pPr>
      <w:r>
        <w:rPr>
          <w:spacing w:val="-3"/>
        </w:rPr>
        <w:tab/>
        <w:t xml:space="preserve">For a binary system, the coupled zone concept is </w:t>
      </w:r>
      <w:r w:rsidR="00941EF3">
        <w:rPr>
          <w:spacing w:val="-3"/>
        </w:rPr>
        <w:t xml:space="preserve">most easily </w:t>
      </w:r>
      <w:r>
        <w:rPr>
          <w:spacing w:val="-3"/>
        </w:rPr>
        <w:t>understood using an approach that employs three steps (KURZ and FISHER [1979]): For each overall liquid composition</w:t>
      </w:r>
      <w:r w:rsidR="00140CC1">
        <w:rPr>
          <w:spacing w:val="-3"/>
        </w:rPr>
        <w:t xml:space="preserve"> of interest</w:t>
      </w:r>
      <w:r>
        <w:rPr>
          <w:spacing w:val="-3"/>
        </w:rPr>
        <w:t xml:space="preserve">, (i) consider all the growth forms possible, i.e., </w:t>
      </w:r>
      <w:r>
        <w:rPr>
          <w:i/>
          <w:iCs/>
          <w:spacing w:val="-3"/>
        </w:rPr>
        <w:t>α</w:t>
      </w:r>
      <w:r>
        <w:rPr>
          <w:spacing w:val="-3"/>
        </w:rPr>
        <w:t xml:space="preserve"> dendrites, </w:t>
      </w:r>
      <w:r>
        <w:rPr>
          <w:i/>
          <w:iCs/>
          <w:spacing w:val="-3"/>
        </w:rPr>
        <w:t>β</w:t>
      </w:r>
      <w:r>
        <w:rPr>
          <w:spacing w:val="-3"/>
        </w:rPr>
        <w:t xml:space="preserve"> dendrites, and eutectic</w:t>
      </w:r>
      <w:r w:rsidR="00941EF3">
        <w:rPr>
          <w:spacing w:val="-3"/>
        </w:rPr>
        <w:t xml:space="preserve"> of </w:t>
      </w:r>
      <w:r w:rsidR="00941EF3">
        <w:rPr>
          <w:i/>
          <w:iCs/>
          <w:spacing w:val="-3"/>
        </w:rPr>
        <w:t>α</w:t>
      </w:r>
      <w:r w:rsidR="00941EF3">
        <w:rPr>
          <w:spacing w:val="-3"/>
        </w:rPr>
        <w:t xml:space="preserve"> and </w:t>
      </w:r>
      <w:r w:rsidR="00941EF3">
        <w:rPr>
          <w:i/>
          <w:iCs/>
          <w:spacing w:val="-3"/>
        </w:rPr>
        <w:t>β</w:t>
      </w:r>
      <w:r>
        <w:rPr>
          <w:spacing w:val="-3"/>
        </w:rPr>
        <w:t xml:space="preserve">. (ii) Analyze the growth kinetics of each of these forms and determine the interface (or tip) temperatures of the growth forms as a function of </w:t>
      </w:r>
      <w:r>
        <w:rPr>
          <w:i/>
          <w:iCs/>
          <w:spacing w:val="-3"/>
        </w:rPr>
        <w:t>V</w:t>
      </w:r>
      <w:r>
        <w:rPr>
          <w:spacing w:val="-3"/>
        </w:rPr>
        <w:t>, and possibly of</w:t>
      </w:r>
      <w:r>
        <w:rPr>
          <w:i/>
          <w:iCs/>
          <w:spacing w:val="-3"/>
        </w:rPr>
        <w:t xml:space="preserve"> G</w:t>
      </w:r>
      <w:r w:rsidRPr="00911EC5">
        <w:rPr>
          <w:spacing w:val="-3"/>
          <w:sz w:val="26"/>
          <w:vertAlign w:val="subscript"/>
        </w:rPr>
        <w:t>L</w:t>
      </w:r>
      <w:r>
        <w:rPr>
          <w:spacing w:val="-3"/>
        </w:rPr>
        <w:t xml:space="preserve">.  (iii) Apply the competitive growth criterion, e.g., that the morphology having the highest interface temperature for a given growth rate, or the highest growth rate for a given temperature will dominate.  The range of temperatures and compositions within which eutectic growth is fastest defines the coupled zone and is sometimes plotted on the phase diagram. The composition range of the coupled zone can also be plotted versus </w:t>
      </w:r>
      <w:r>
        <w:rPr>
          <w:spacing w:val="-3"/>
        </w:rPr>
        <w:lastRenderedPageBreak/>
        <w:t>velocity because each value of interface temperature corresponds to a known value of the growth velocity for the dominant growth structure. For growth conditions where the eutectic is not dominant, the microstructure consists of a mixture of dendrites and eutectic.</w:t>
      </w:r>
    </w:p>
    <w:p w14:paraId="2B3EE2FD" w14:textId="77777777" w:rsidR="00015B17" w:rsidRDefault="00015B17" w:rsidP="00015B17">
      <w:pPr>
        <w:suppressAutoHyphens/>
        <w:spacing w:line="360" w:lineRule="auto"/>
        <w:rPr>
          <w:spacing w:val="-3"/>
        </w:rPr>
      </w:pPr>
    </w:p>
    <w:p w14:paraId="2696BCC8" w14:textId="5F640A7A" w:rsidR="00015B17" w:rsidRDefault="00015B17" w:rsidP="00015B17">
      <w:pPr>
        <w:suppressAutoHyphens/>
        <w:spacing w:line="360" w:lineRule="auto"/>
        <w:rPr>
          <w:spacing w:val="-3"/>
        </w:rPr>
      </w:pPr>
      <w:r>
        <w:rPr>
          <w:spacing w:val="-3"/>
        </w:rPr>
        <w:tab/>
        <w:t xml:space="preserve">Fig. 8.7 shows an example of a competitive growth analysis for a system involving a </w:t>
      </w:r>
      <w:smartTag w:uri="urn:schemas-microsoft-com:office:smarttags" w:element="place">
        <w:smartTag w:uri="urn:schemas-microsoft-com:office:smarttags" w:element="State">
          <w:r>
            <w:rPr>
              <w:spacing w:val="-3"/>
            </w:rPr>
            <w:t>nf</w:t>
          </w:r>
          <w:r w:rsidR="004E243B">
            <w:rPr>
              <w:spacing w:val="-3"/>
            </w:rPr>
            <w:t>-</w:t>
          </w:r>
        </w:smartTag>
      </w:smartTag>
      <w:r w:rsidR="004E243B" w:rsidRPr="004E243B">
        <w:rPr>
          <w:spacing w:val="-3"/>
        </w:rPr>
        <w:t xml:space="preserve"> </w:t>
      </w:r>
      <w:r w:rsidR="004E243B">
        <w:rPr>
          <w:spacing w:val="-3"/>
        </w:rPr>
        <w:t>f</w:t>
      </w:r>
      <w:r>
        <w:rPr>
          <w:spacing w:val="-3"/>
        </w:rPr>
        <w:t xml:space="preserve"> eutectic (the</w:t>
      </w:r>
      <w:r>
        <w:rPr>
          <w:i/>
          <w:iCs/>
          <w:spacing w:val="-3"/>
        </w:rPr>
        <w:t xml:space="preserve"> β</w:t>
      </w:r>
      <w:r>
        <w:rPr>
          <w:spacing w:val="-3"/>
        </w:rPr>
        <w:t xml:space="preserve"> phase is faceted). The kinetic curves are shown for</w:t>
      </w:r>
      <w:r>
        <w:rPr>
          <w:i/>
          <w:iCs/>
          <w:spacing w:val="-3"/>
        </w:rPr>
        <w:t xml:space="preserve"> α</w:t>
      </w:r>
      <w:r>
        <w:rPr>
          <w:spacing w:val="-3"/>
        </w:rPr>
        <w:t xml:space="preserve"> dendrites,</w:t>
      </w:r>
      <w:r>
        <w:rPr>
          <w:i/>
          <w:iCs/>
          <w:spacing w:val="-3"/>
        </w:rPr>
        <w:t xml:space="preserve"> β</w:t>
      </w:r>
      <w:r>
        <w:rPr>
          <w:spacing w:val="-3"/>
        </w:rPr>
        <w:t xml:space="preserve"> dendrites and (planar) eutectic. The curves for the dendrites depend on the value of the temperature gradient and this dependence leads to the decreased interface (tip) temperatures at low velocity and the widening of the coupled zone at high </w:t>
      </w:r>
      <w:r>
        <w:rPr>
          <w:i/>
          <w:iCs/>
          <w:spacing w:val="-3"/>
        </w:rPr>
        <w:t>G</w:t>
      </w:r>
      <w:r w:rsidRPr="00911EC5">
        <w:rPr>
          <w:spacing w:val="-3"/>
          <w:sz w:val="26"/>
          <w:vertAlign w:val="subscript"/>
        </w:rPr>
        <w:t>L</w:t>
      </w:r>
      <w:r>
        <w:rPr>
          <w:i/>
          <w:iCs/>
          <w:spacing w:val="-3"/>
        </w:rPr>
        <w:t>/V</w:t>
      </w:r>
      <w:r>
        <w:rPr>
          <w:spacing w:val="-3"/>
        </w:rPr>
        <w:t xml:space="preserve"> ratio. The skewed nature of the coupled zone about the eutectic composition for this </w:t>
      </w:r>
      <w:r w:rsidR="004E243B">
        <w:rPr>
          <w:spacing w:val="-3"/>
        </w:rPr>
        <w:t>nf-</w:t>
      </w:r>
      <w:r w:rsidR="004E243B" w:rsidRPr="004E243B">
        <w:rPr>
          <w:spacing w:val="-3"/>
        </w:rPr>
        <w:t xml:space="preserve"> </w:t>
      </w:r>
      <w:r w:rsidR="004E243B">
        <w:rPr>
          <w:spacing w:val="-3"/>
        </w:rPr>
        <w:t>f</w:t>
      </w:r>
      <w:r>
        <w:rPr>
          <w:spacing w:val="-3"/>
        </w:rPr>
        <w:t xml:space="preserve"> system is due to two factors (KURZ and FISHER [1979]): the nf-f eutectic and the faceted dendritic phase require higher supercooling for a given growth rate than a nf-nf eutectic and a nonfaceted dendrite respectively. The former is due the branching difficulties already discussed and the latter is due to the fact that faceted phase dendrites usually grow as a plate or 2D dendrite rather than a paraboloid or 3-D dendrite. Diffusion of solute away from the tip region of a plate dendrite is more difficult and leads to increased supercooling. Thus for the alloy shown, one expects</w:t>
      </w:r>
      <w:r w:rsidR="00140CC1">
        <w:rPr>
          <w:spacing w:val="-3"/>
        </w:rPr>
        <w:t xml:space="preserve"> microstructures</w:t>
      </w:r>
      <w:r>
        <w:rPr>
          <w:spacing w:val="-3"/>
        </w:rPr>
        <w:t xml:space="preserve"> with increasing growth rate (or supercooling): eutectic, </w:t>
      </w:r>
      <w:r>
        <w:rPr>
          <w:i/>
          <w:iCs/>
          <w:spacing w:val="-3"/>
        </w:rPr>
        <w:t>β</w:t>
      </w:r>
      <w:r>
        <w:rPr>
          <w:spacing w:val="-3"/>
        </w:rPr>
        <w:t xml:space="preserve"> dendrites (with eutectic), eutectic, and</w:t>
      </w:r>
      <w:r>
        <w:rPr>
          <w:i/>
          <w:iCs/>
          <w:spacing w:val="-3"/>
        </w:rPr>
        <w:t xml:space="preserve"> α</w:t>
      </w:r>
      <w:r>
        <w:rPr>
          <w:spacing w:val="-3"/>
        </w:rPr>
        <w:t xml:space="preserve"> dendrites (with eutectic).</w:t>
      </w:r>
      <w:r w:rsidR="00941EF3">
        <w:rPr>
          <w:spacing w:val="-3"/>
        </w:rPr>
        <w:t xml:space="preserve"> Thus </w:t>
      </w:r>
      <w:r w:rsidR="00941EF3">
        <w:rPr>
          <w:i/>
          <w:iCs/>
          <w:spacing w:val="-3"/>
        </w:rPr>
        <w:t>α</w:t>
      </w:r>
      <w:r w:rsidR="00941EF3">
        <w:rPr>
          <w:spacing w:val="-3"/>
        </w:rPr>
        <w:t xml:space="preserve"> dendrites from a composition on the “wrong side” of the eutectic. For a system with a nf-nf eutectic the coupled zone is symmetric about the eutectic composition and the formation of dendrites of a particular phase is not observed on the "wrong side" of the eutectic. </w:t>
      </w:r>
      <w:r>
        <w:rPr>
          <w:spacing w:val="-3"/>
        </w:rPr>
        <w:t>Th</w:t>
      </w:r>
      <w:r w:rsidR="00941EF3">
        <w:rPr>
          <w:spacing w:val="-3"/>
        </w:rPr>
        <w:t xml:space="preserve">e </w:t>
      </w:r>
      <w:r>
        <w:rPr>
          <w:spacing w:val="-3"/>
        </w:rPr>
        <w:t xml:space="preserve">behavior </w:t>
      </w:r>
      <w:r w:rsidR="00941EF3">
        <w:rPr>
          <w:spacing w:val="-3"/>
        </w:rPr>
        <w:t xml:space="preserve">of a nf-f system </w:t>
      </w:r>
      <w:r>
        <w:rPr>
          <w:spacing w:val="-3"/>
        </w:rPr>
        <w:t>leads to much confusion if a simplistic, purely thermodynamic view of solidification is employed</w:t>
      </w:r>
      <w:r w:rsidR="00941EF3">
        <w:rPr>
          <w:spacing w:val="-3"/>
        </w:rPr>
        <w:t xml:space="preserve">. It can also </w:t>
      </w:r>
      <w:r>
        <w:rPr>
          <w:spacing w:val="-3"/>
        </w:rPr>
        <w:t xml:space="preserve">lead to difficulty in determining </w:t>
      </w:r>
      <w:r w:rsidR="00941EF3">
        <w:rPr>
          <w:spacing w:val="-3"/>
        </w:rPr>
        <w:t xml:space="preserve">the thermodynamic </w:t>
      </w:r>
      <w:r>
        <w:rPr>
          <w:spacing w:val="-3"/>
        </w:rPr>
        <w:t xml:space="preserve">eutectic compositions by purely metallographic methods. It is </w:t>
      </w:r>
      <w:r w:rsidR="00941EF3">
        <w:rPr>
          <w:spacing w:val="-3"/>
        </w:rPr>
        <w:t>further noted</w:t>
      </w:r>
      <w:r>
        <w:rPr>
          <w:spacing w:val="-3"/>
        </w:rPr>
        <w:t xml:space="preserve"> that near the growth rate where a microstructural transition from dendritic to eutectic structure takes place, the interdendritic eutectic will not have an average composition equal to the thermodynamic eutectic composition (SHARP and FLEMINGS [1973]).</w:t>
      </w:r>
    </w:p>
    <w:p w14:paraId="7FD51952" w14:textId="77777777" w:rsidR="00015B17" w:rsidRDefault="00015B17" w:rsidP="00015B17">
      <w:pPr>
        <w:suppressAutoHyphens/>
        <w:spacing w:line="360" w:lineRule="auto"/>
        <w:rPr>
          <w:spacing w:val="-3"/>
        </w:rPr>
      </w:pPr>
    </w:p>
    <w:p w14:paraId="2D3968BC" w14:textId="77777777" w:rsidR="00015B17" w:rsidRDefault="00015B17" w:rsidP="00015B17">
      <w:pPr>
        <w:suppressAutoHyphens/>
        <w:spacing w:line="360" w:lineRule="auto"/>
        <w:rPr>
          <w:spacing w:val="-3"/>
        </w:rPr>
      </w:pPr>
      <w:r>
        <w:rPr>
          <w:spacing w:val="-3"/>
        </w:rPr>
        <w:t xml:space="preserve"> </w:t>
      </w:r>
      <w:r>
        <w:rPr>
          <w:spacing w:val="-3"/>
        </w:rPr>
        <w:tab/>
        <w:t xml:space="preserve">The methodology of competitive growth </w:t>
      </w:r>
      <w:r w:rsidR="00140CC1">
        <w:rPr>
          <w:spacing w:val="-3"/>
        </w:rPr>
        <w:t xml:space="preserve">analysis </w:t>
      </w:r>
      <w:r>
        <w:rPr>
          <w:spacing w:val="-3"/>
        </w:rPr>
        <w:t>outlined above provides an adequate framework to understand the major features of the transition from eutectic to dendritic growth.</w:t>
      </w:r>
      <w:r w:rsidRPr="008B607F">
        <w:rPr>
          <w:rFonts w:ascii="AdvP41153C" w:eastAsia="Calibri" w:hAnsi="AdvP41153C" w:cs="AdvP41153C"/>
          <w:sz w:val="18"/>
          <w:szCs w:val="18"/>
        </w:rPr>
        <w:t xml:space="preserve"> </w:t>
      </w:r>
      <w:r>
        <w:rPr>
          <w:spacing w:val="-3"/>
        </w:rPr>
        <w:t xml:space="preserve">Stability analyses </w:t>
      </w:r>
      <w:r w:rsidRPr="008B607F">
        <w:rPr>
          <w:spacing w:val="-3"/>
        </w:rPr>
        <w:t xml:space="preserve">using perturbation </w:t>
      </w:r>
      <w:r>
        <w:rPr>
          <w:spacing w:val="-3"/>
        </w:rPr>
        <w:t>methods</w:t>
      </w:r>
      <w:r w:rsidRPr="008B607F">
        <w:rPr>
          <w:spacing w:val="-3"/>
        </w:rPr>
        <w:t xml:space="preserve"> </w:t>
      </w:r>
      <w:r>
        <w:rPr>
          <w:spacing w:val="-3"/>
        </w:rPr>
        <w:t xml:space="preserve">were performed by </w:t>
      </w:r>
      <w:r>
        <w:rPr>
          <w:spacing w:val="-3"/>
        </w:rPr>
        <w:lastRenderedPageBreak/>
        <w:t xml:space="preserve">JORDAN and HUNT [1971] and </w:t>
      </w:r>
      <w:r w:rsidRPr="008B607F">
        <w:rPr>
          <w:spacing w:val="-3"/>
        </w:rPr>
        <w:t>HURLE and JAKEMAN [1968])</w:t>
      </w:r>
      <w:r>
        <w:rPr>
          <w:spacing w:val="-3"/>
        </w:rPr>
        <w:t xml:space="preserve">. More subtle variations in eutectic microstructure occur under conditions close to the stability/instability transitions that required more analysis. JACKSON and HUNT [1966] observed a tilting of lamellae when the growth rate was suddenly increased. ZIMMERMANN </w:t>
      </w:r>
      <w:r>
        <w:rPr>
          <w:i/>
          <w:iCs/>
          <w:spacing w:val="-3"/>
        </w:rPr>
        <w:t>et al.</w:t>
      </w:r>
      <w:r>
        <w:rPr>
          <w:spacing w:val="-3"/>
        </w:rPr>
        <w:t xml:space="preserve"> [1990] have observed oscillations where the width of the Al lamellae varies at the expense of the Al</w:t>
      </w:r>
      <w:r w:rsidRPr="00911EC5">
        <w:rPr>
          <w:spacing w:val="-3"/>
          <w:sz w:val="26"/>
          <w:vertAlign w:val="subscript"/>
        </w:rPr>
        <w:t>2</w:t>
      </w:r>
      <w:r>
        <w:rPr>
          <w:spacing w:val="-3"/>
        </w:rPr>
        <w:t>Cu lamellae in the growth direction in Al-rich Al-Al</w:t>
      </w:r>
      <w:r w:rsidRPr="00911EC5">
        <w:rPr>
          <w:spacing w:val="-3"/>
          <w:sz w:val="26"/>
          <w:vertAlign w:val="subscript"/>
        </w:rPr>
        <w:t>2</w:t>
      </w:r>
      <w:r>
        <w:rPr>
          <w:spacing w:val="-3"/>
        </w:rPr>
        <w:t xml:space="preserve">Cu off-eutectic alloys. GILL and KURZ [1994] observed another type of instability where the width of both lamellae varies in the growth direction. Han and Trivedi [2000] documented the formation of alternating bands of the primary phase and eutectic near the dendrite to eutectic transition. KARMA [1987] succeeded in simulating these instabilities using </w:t>
      </w:r>
      <w:smartTag w:uri="urn:schemas-microsoft-com:office:smarttags" w:element="place">
        <w:r>
          <w:rPr>
            <w:spacing w:val="-3"/>
          </w:rPr>
          <w:t>Monte Carlo</w:t>
        </w:r>
      </w:smartTag>
      <w:r>
        <w:rPr>
          <w:spacing w:val="-3"/>
        </w:rPr>
        <w:t xml:space="preserve"> methods. He related the appearance of the instability with increasing velocity to critical values of the concentration gradient in the liquid ahead of the interface. </w:t>
      </w:r>
    </w:p>
    <w:p w14:paraId="0E73B736" w14:textId="77777777" w:rsidR="00015B17" w:rsidRDefault="00015B17" w:rsidP="00015B17">
      <w:pPr>
        <w:suppressAutoHyphens/>
        <w:spacing w:line="360" w:lineRule="auto"/>
        <w:rPr>
          <w:spacing w:val="-3"/>
        </w:rPr>
      </w:pPr>
    </w:p>
    <w:p w14:paraId="08484DF7" w14:textId="77777777" w:rsidR="00015B17" w:rsidRDefault="00015B17" w:rsidP="00015B17">
      <w:pPr>
        <w:suppressAutoHyphens/>
        <w:spacing w:line="360" w:lineRule="auto"/>
        <w:rPr>
          <w:spacing w:val="-3"/>
        </w:rPr>
      </w:pPr>
      <w:r>
        <w:rPr>
          <w:b/>
          <w:bCs/>
          <w:spacing w:val="-3"/>
        </w:rPr>
        <w:t>8.1.6 Divorced eutectics</w:t>
      </w:r>
    </w:p>
    <w:p w14:paraId="58E3AACF" w14:textId="77777777" w:rsidR="00015B17" w:rsidRDefault="00015B17" w:rsidP="00015B17">
      <w:pPr>
        <w:suppressAutoHyphens/>
        <w:spacing w:line="360" w:lineRule="auto"/>
        <w:rPr>
          <w:spacing w:val="-3"/>
        </w:rPr>
      </w:pPr>
    </w:p>
    <w:p w14:paraId="311CBC3D" w14:textId="1BF2C13D" w:rsidR="00015B17" w:rsidRDefault="00015B17" w:rsidP="00015B17">
      <w:pPr>
        <w:suppressAutoHyphens/>
        <w:spacing w:line="360" w:lineRule="auto"/>
        <w:rPr>
          <w:spacing w:val="-3"/>
        </w:rPr>
      </w:pPr>
      <w:r>
        <w:rPr>
          <w:spacing w:val="-3"/>
        </w:rPr>
        <w:tab/>
        <w:t xml:space="preserve">When the liquid remaining between a primary dendritic phase reaches the eutectic composition, eutectic solidification usually occurs. Typically one observes the same eutectic microstructures already described between the dendrite arms especially if the fraction of liquid remaining between the dendrites when the liquid reaches the eutectic composition is large compared to the eutectic spacing. If however the fraction of liquid remaining is so small that the width is comparable to the eutectic spacing, the characteristic two-phase structure may not be observed. It is easier for the second </w:t>
      </w:r>
      <w:r w:rsidR="00941EF3">
        <w:rPr>
          <w:spacing w:val="-3"/>
        </w:rPr>
        <w:t xml:space="preserve">solid </w:t>
      </w:r>
      <w:r>
        <w:rPr>
          <w:spacing w:val="-3"/>
        </w:rPr>
        <w:t xml:space="preserve">phase to form as </w:t>
      </w:r>
      <w:r w:rsidR="00941EF3">
        <w:rPr>
          <w:spacing w:val="-3"/>
        </w:rPr>
        <w:t xml:space="preserve">individual </w:t>
      </w:r>
      <w:r>
        <w:rPr>
          <w:spacing w:val="-3"/>
        </w:rPr>
        <w:t>particles or a layer between the dendrites</w:t>
      </w:r>
      <w:r w:rsidR="00941EF3">
        <w:rPr>
          <w:spacing w:val="-3"/>
        </w:rPr>
        <w:t xml:space="preserve"> with the additional primary phase merely thickening the dendrite</w:t>
      </w:r>
      <w:r>
        <w:rPr>
          <w:spacing w:val="-3"/>
        </w:rPr>
        <w:t>. This occurs more often for a faceted second phase because coupled nf-f eutectics grow with larger spacings and hence require more space to develop their characteristic morphology. Thus the final solidified microstructure consists of dendrites or cells with interdendritic single phase. This microstructure is sometimes misinterpreted as resulting from a peritectic reaction in complex alloys where the phase diagram is unknown. An example of a divorced eutectic involving a facetted phase is shown in Fig. 8.8.</w:t>
      </w:r>
    </w:p>
    <w:p w14:paraId="366E3F5C" w14:textId="77777777" w:rsidR="00015B17" w:rsidRDefault="00015B17" w:rsidP="00015B17">
      <w:pPr>
        <w:suppressAutoHyphens/>
        <w:spacing w:line="360" w:lineRule="auto"/>
        <w:rPr>
          <w:spacing w:val="-3"/>
        </w:rPr>
      </w:pPr>
      <w:r>
        <w:rPr>
          <w:spacing w:val="-3"/>
        </w:rPr>
        <w:t xml:space="preserve"> </w:t>
      </w:r>
    </w:p>
    <w:p w14:paraId="3E818609" w14:textId="77777777" w:rsidR="00015B17" w:rsidRDefault="00015B17" w:rsidP="00015B17">
      <w:pPr>
        <w:suppressAutoHyphens/>
        <w:spacing w:line="360" w:lineRule="auto"/>
        <w:rPr>
          <w:spacing w:val="-3"/>
        </w:rPr>
      </w:pPr>
      <w:r>
        <w:rPr>
          <w:b/>
          <w:bCs/>
          <w:spacing w:val="-3"/>
        </w:rPr>
        <w:t>8.1.7 Rapid solidification of eutectic alloys</w:t>
      </w:r>
    </w:p>
    <w:p w14:paraId="09FFEA67" w14:textId="77777777" w:rsidR="00015B17" w:rsidRDefault="00015B17" w:rsidP="00015B17">
      <w:pPr>
        <w:suppressAutoHyphens/>
        <w:spacing w:line="360" w:lineRule="auto"/>
        <w:rPr>
          <w:spacing w:val="-3"/>
        </w:rPr>
      </w:pPr>
      <w:r>
        <w:rPr>
          <w:spacing w:val="-3"/>
        </w:rPr>
        <w:lastRenderedPageBreak/>
        <w:tab/>
      </w:r>
    </w:p>
    <w:p w14:paraId="39D030CF" w14:textId="4A54B82B" w:rsidR="00015B17" w:rsidRDefault="00015B17" w:rsidP="00015B17">
      <w:pPr>
        <w:suppressAutoHyphens/>
        <w:spacing w:line="360" w:lineRule="auto"/>
        <w:rPr>
          <w:spacing w:val="-3"/>
        </w:rPr>
      </w:pPr>
      <w:r>
        <w:rPr>
          <w:spacing w:val="-3"/>
        </w:rPr>
        <w:tab/>
        <w:t xml:space="preserve">Rapid solidification produces a very rich variety of microstructures for alloys near eutectic compositions. </w:t>
      </w:r>
      <w:r w:rsidR="00941EF3">
        <w:rPr>
          <w:spacing w:val="-3"/>
        </w:rPr>
        <w:t>As limiting cases a</w:t>
      </w:r>
      <w:r>
        <w:rPr>
          <w:spacing w:val="-3"/>
        </w:rPr>
        <w:t xml:space="preserve">t high rates of </w:t>
      </w:r>
      <w:r w:rsidR="00941EF3">
        <w:rPr>
          <w:spacing w:val="-3"/>
        </w:rPr>
        <w:t xml:space="preserve">solidification rate, </w:t>
      </w:r>
      <w:r>
        <w:rPr>
          <w:spacing w:val="-3"/>
        </w:rPr>
        <w:t xml:space="preserve"> glass formation or extended crystalline solubility is expected </w:t>
      </w:r>
      <w:r w:rsidR="00941EF3">
        <w:rPr>
          <w:spacing w:val="-3"/>
        </w:rPr>
        <w:t>depending on the thermodynamic structure of the</w:t>
      </w:r>
      <w:r w:rsidR="00941EF3">
        <w:rPr>
          <w:i/>
          <w:iCs/>
          <w:spacing w:val="-3"/>
        </w:rPr>
        <w:t xml:space="preserve"> T</w:t>
      </w:r>
      <w:r w:rsidR="00911EC5">
        <w:rPr>
          <w:spacing w:val="-3"/>
          <w:sz w:val="26"/>
          <w:vertAlign w:val="subscript"/>
        </w:rPr>
        <w:t>0</w:t>
      </w:r>
      <w:r w:rsidR="00941EF3">
        <w:rPr>
          <w:spacing w:val="-3"/>
        </w:rPr>
        <w:t xml:space="preserve"> curves, </w:t>
      </w:r>
      <w:r>
        <w:rPr>
          <w:spacing w:val="-3"/>
        </w:rPr>
        <w:t>as described in § 3.2, Fig. 3.</w:t>
      </w:r>
      <w:r w:rsidR="0034220D">
        <w:rPr>
          <w:spacing w:val="-3"/>
        </w:rPr>
        <w:t>3</w:t>
      </w:r>
      <w:r>
        <w:rPr>
          <w:spacing w:val="-3"/>
        </w:rPr>
        <w:t>. How microstructures and phase distributions evolve from the classical microstructures described above as the solidification velocity is increased is now described.</w:t>
      </w:r>
    </w:p>
    <w:p w14:paraId="02ED424E" w14:textId="77777777" w:rsidR="00015B17" w:rsidRDefault="00015B17" w:rsidP="00015B17">
      <w:pPr>
        <w:suppressAutoHyphens/>
        <w:spacing w:line="360" w:lineRule="auto"/>
        <w:rPr>
          <w:spacing w:val="-3"/>
        </w:rPr>
      </w:pPr>
    </w:p>
    <w:p w14:paraId="63155A4A" w14:textId="77777777" w:rsidR="00015B17" w:rsidRDefault="00015B17" w:rsidP="00015B17">
      <w:pPr>
        <w:suppressAutoHyphens/>
        <w:spacing w:line="360" w:lineRule="auto"/>
        <w:rPr>
          <w:b/>
          <w:bCs/>
          <w:iCs/>
          <w:spacing w:val="-3"/>
        </w:rPr>
      </w:pPr>
      <w:r w:rsidRPr="00EA05BE">
        <w:rPr>
          <w:b/>
          <w:bCs/>
          <w:iCs/>
          <w:spacing w:val="-3"/>
        </w:rPr>
        <w:t xml:space="preserve">8.1.7.1 </w:t>
      </w:r>
      <w:r w:rsidR="00F472BF">
        <w:rPr>
          <w:b/>
          <w:bCs/>
          <w:iCs/>
          <w:spacing w:val="-3"/>
        </w:rPr>
        <w:t>Modification of e</w:t>
      </w:r>
      <w:r w:rsidRPr="00EA05BE">
        <w:rPr>
          <w:b/>
          <w:bCs/>
          <w:iCs/>
          <w:spacing w:val="-3"/>
        </w:rPr>
        <w:t>utectic theory</w:t>
      </w:r>
    </w:p>
    <w:p w14:paraId="4535AC51" w14:textId="77777777" w:rsidR="00015B17" w:rsidRDefault="00015B17" w:rsidP="00015B17">
      <w:pPr>
        <w:suppressAutoHyphens/>
        <w:spacing w:line="360" w:lineRule="auto"/>
        <w:rPr>
          <w:b/>
          <w:bCs/>
          <w:iCs/>
          <w:spacing w:val="-3"/>
        </w:rPr>
      </w:pPr>
    </w:p>
    <w:p w14:paraId="37206B54" w14:textId="2F2A2E07" w:rsidR="00015B17" w:rsidRDefault="00015B17" w:rsidP="00015B17">
      <w:pPr>
        <w:suppressAutoHyphens/>
        <w:spacing w:line="360" w:lineRule="auto"/>
        <w:rPr>
          <w:spacing w:val="-3"/>
        </w:rPr>
      </w:pPr>
      <w:r>
        <w:rPr>
          <w:spacing w:val="-3"/>
        </w:rPr>
        <w:tab/>
        <w:t xml:space="preserve">In § 7, the general theory presented for dendritic growth included the modifications necessary to treat high growth rates; viz., modifications of the tip stability condition for high Peclet numbers (of order unity) and the inclusion of nonequilibrium interface conditions (solute trapping). For eutectic growth the Peclet number, </w:t>
      </w:r>
      <w:r w:rsidRPr="000D03DF">
        <w:rPr>
          <w:spacing w:val="-3"/>
          <w:position w:val="-12"/>
        </w:rPr>
        <w:object w:dxaOrig="999" w:dyaOrig="360" w14:anchorId="6E3DA9D9">
          <v:shape id="_x0000_i1660" type="#_x0000_t75" style="width:50.5pt;height:17.75pt" o:ole="">
            <v:imagedata r:id="rId1217" o:title=""/>
          </v:shape>
          <o:OLEObject Type="Embed" ProgID="Equation.DSMT4" ShapeID="_x0000_i1660" DrawAspect="Content" ObjectID="_1840627226" r:id="rId1218"/>
        </w:object>
      </w:r>
      <w:r>
        <w:rPr>
          <w:spacing w:val="-3"/>
        </w:rPr>
        <w:t xml:space="preserve"> becomes large at relatively low velocity (~10cm/s) where the effects of solute trapping are not too important. Thus TRIVEDI </w:t>
      </w:r>
      <w:r>
        <w:rPr>
          <w:i/>
          <w:iCs/>
          <w:spacing w:val="-3"/>
        </w:rPr>
        <w:t>et al.</w:t>
      </w:r>
      <w:r>
        <w:rPr>
          <w:spacing w:val="-3"/>
        </w:rPr>
        <w:t xml:space="preserve"> [1987] recomputed the solute field in the liquid in front of a growing eutectic when the Peclet number is large while retaining the local interface equilibrium assumption. The theoretical results are similar to those for nf-nf growth at slow velocity except that the function </w:t>
      </w:r>
      <w:r>
        <w:rPr>
          <w:i/>
          <w:iCs/>
          <w:spacing w:val="-3"/>
        </w:rPr>
        <w:t>P</w:t>
      </w:r>
      <w:r w:rsidRPr="00911EC5">
        <w:rPr>
          <w:spacing w:val="-3"/>
          <w:sz w:val="26"/>
          <w:vertAlign w:val="subscript"/>
        </w:rPr>
        <w:t>E</w:t>
      </w:r>
      <w:r>
        <w:rPr>
          <w:spacing w:val="-3"/>
        </w:rPr>
        <w:t xml:space="preserve"> in Eqn. (8.3) depends not only on the volume fractions of the solid phases but also on the Peclet number, the shape of the metastable extensions of the liquidus and solidus curves below the eutectic temperature, and the partition coefficients</w:t>
      </w:r>
      <w:r>
        <w:rPr>
          <w:iCs/>
          <w:spacing w:val="-3"/>
        </w:rPr>
        <w:t>.</w:t>
      </w:r>
      <w:r>
        <w:rPr>
          <w:spacing w:val="-3"/>
        </w:rPr>
        <w:t xml:space="preserve">  Also at high velocity the supercooling can become sufficiently large that the temperature dependence of the liquid diffusion coefficient must be considered (BOETTINGER </w:t>
      </w:r>
      <w:r>
        <w:rPr>
          <w:i/>
          <w:iCs/>
          <w:spacing w:val="-3"/>
        </w:rPr>
        <w:t>et al.</w:t>
      </w:r>
      <w:r>
        <w:rPr>
          <w:spacing w:val="-3"/>
        </w:rPr>
        <w:t xml:space="preserve"> [1980]).</w:t>
      </w:r>
    </w:p>
    <w:p w14:paraId="71C24F6D" w14:textId="77777777" w:rsidR="00015B17" w:rsidRDefault="00015B17" w:rsidP="00015B17">
      <w:pPr>
        <w:suppressAutoHyphens/>
        <w:spacing w:line="360" w:lineRule="auto"/>
        <w:rPr>
          <w:spacing w:val="-3"/>
        </w:rPr>
      </w:pPr>
    </w:p>
    <w:p w14:paraId="466E079A" w14:textId="67907DC4" w:rsidR="00461632" w:rsidRDefault="00015B17" w:rsidP="00015B17">
      <w:pPr>
        <w:suppressAutoHyphens/>
        <w:spacing w:line="360" w:lineRule="auto"/>
        <w:rPr>
          <w:spacing w:val="-3"/>
        </w:rPr>
      </w:pPr>
      <w:r>
        <w:rPr>
          <w:spacing w:val="-3"/>
        </w:rPr>
        <w:tab/>
        <w:t xml:space="preserve">These considerations alter the </w:t>
      </w:r>
      <w:r>
        <w:rPr>
          <w:i/>
          <w:iCs/>
          <w:spacing w:val="-3"/>
        </w:rPr>
        <w:t>λ</w:t>
      </w:r>
      <w:r w:rsidRPr="00911EC5">
        <w:rPr>
          <w:spacing w:val="-3"/>
          <w:sz w:val="26"/>
          <w:vertAlign w:val="subscript"/>
        </w:rPr>
        <w:t>E</w:t>
      </w:r>
      <w:r w:rsidRPr="00883A53">
        <w:rPr>
          <w:spacing w:val="-3"/>
          <w:sz w:val="26"/>
          <w:vertAlign w:val="superscript"/>
        </w:rPr>
        <w:t>2</w:t>
      </w:r>
      <w:r>
        <w:rPr>
          <w:i/>
          <w:iCs/>
          <w:spacing w:val="-3"/>
        </w:rPr>
        <w:t>V</w:t>
      </w:r>
      <w:r>
        <w:rPr>
          <w:spacing w:val="-3"/>
        </w:rPr>
        <w:t xml:space="preserve"> "constant" at high speed and the spacing vs. velocity relation (Fig. 8.9) in a way that depends strongly on the equilibrium partition coefficients of the two phases, taken to be equal in the TRIVEDI </w:t>
      </w:r>
      <w:r>
        <w:rPr>
          <w:i/>
          <w:iCs/>
          <w:spacing w:val="-3"/>
        </w:rPr>
        <w:t>et al.</w:t>
      </w:r>
      <w:r>
        <w:rPr>
          <w:spacing w:val="-3"/>
        </w:rPr>
        <w:t xml:space="preserve"> [1987] analysis. Two cases are distinguished depending on whether (a)</w:t>
      </w:r>
      <w:r>
        <w:rPr>
          <w:i/>
          <w:iCs/>
          <w:spacing w:val="-3"/>
        </w:rPr>
        <w:t xml:space="preserve"> </w:t>
      </w:r>
      <w:r w:rsidRPr="000D03DF">
        <w:rPr>
          <w:iCs/>
          <w:spacing w:val="-3"/>
        </w:rPr>
        <w:t>the partition coefficients are</w:t>
      </w:r>
      <w:r>
        <w:rPr>
          <w:spacing w:val="-3"/>
        </w:rPr>
        <w:t xml:space="preserve"> close to unity or (b) </w:t>
      </w:r>
      <w:r w:rsidRPr="000D03DF">
        <w:rPr>
          <w:iCs/>
          <w:spacing w:val="-3"/>
        </w:rPr>
        <w:t>they</w:t>
      </w:r>
      <w:r>
        <w:rPr>
          <w:spacing w:val="-3"/>
        </w:rPr>
        <w:t xml:space="preserve"> are close to zero). In case (a), the eutectic interface temperature is found to approach the solidus temperature of one of the constituent solid phases as the velocity is </w:t>
      </w:r>
      <w:r>
        <w:rPr>
          <w:spacing w:val="-3"/>
        </w:rPr>
        <w:lastRenderedPageBreak/>
        <w:t xml:space="preserve">increased. During this approach, the eutectic spacing actually </w:t>
      </w:r>
      <w:r>
        <w:rPr>
          <w:i/>
          <w:iCs/>
          <w:spacing w:val="-3"/>
        </w:rPr>
        <w:t>increases</w:t>
      </w:r>
      <w:r>
        <w:rPr>
          <w:spacing w:val="-3"/>
        </w:rPr>
        <w:t xml:space="preserve"> with increasing velocity. Indeed eutectic solidification is replaced by single phase </w:t>
      </w:r>
      <w:r w:rsidR="00461632">
        <w:rPr>
          <w:spacing w:val="-3"/>
        </w:rPr>
        <w:t>microsegregation–free (</w:t>
      </w:r>
      <w:r>
        <w:rPr>
          <w:spacing w:val="-3"/>
        </w:rPr>
        <w:t>planar</w:t>
      </w:r>
      <w:r w:rsidR="00461632">
        <w:rPr>
          <w:spacing w:val="-3"/>
        </w:rPr>
        <w:t>)</w:t>
      </w:r>
      <w:r>
        <w:rPr>
          <w:spacing w:val="-3"/>
        </w:rPr>
        <w:t xml:space="preserve"> growth at high velocities.  In case (b) the interface temperature </w:t>
      </w:r>
      <w:r w:rsidR="0041576B">
        <w:rPr>
          <w:spacing w:val="-3"/>
        </w:rPr>
        <w:t>cannot</w:t>
      </w:r>
      <w:r>
        <w:rPr>
          <w:spacing w:val="-3"/>
        </w:rPr>
        <w:t xml:space="preserve"> reach a metastable solidus curve of either phase. The supercooling becomes so large that the temperature dependence of the diffusion coefficient has a major influence and the spacing decreases with velocity faster than predicted by a constant </w:t>
      </w:r>
      <w:r>
        <w:rPr>
          <w:i/>
          <w:iCs/>
          <w:spacing w:val="-3"/>
        </w:rPr>
        <w:t>λ</w:t>
      </w:r>
      <w:r w:rsidRPr="00911EC5">
        <w:rPr>
          <w:spacing w:val="-3"/>
          <w:sz w:val="26"/>
          <w:vertAlign w:val="subscript"/>
        </w:rPr>
        <w:t>E</w:t>
      </w:r>
      <w:r w:rsidRPr="00883A53">
        <w:rPr>
          <w:spacing w:val="-3"/>
          <w:sz w:val="26"/>
          <w:vertAlign w:val="superscript"/>
        </w:rPr>
        <w:t>2</w:t>
      </w:r>
      <w:r>
        <w:rPr>
          <w:i/>
          <w:iCs/>
          <w:spacing w:val="-3"/>
        </w:rPr>
        <w:t xml:space="preserve">V </w:t>
      </w:r>
      <w:r>
        <w:rPr>
          <w:spacing w:val="-3"/>
        </w:rPr>
        <w:t xml:space="preserve">value. In both cases there exists a maximum velocity for coupled eutectic growth. In case (a) the eutectic is replaced by single phase growth of one of the phases whereas in case (b) glass formation is likely if the interface temperature reaches the glass transition temperature where the melt viscosity </w:t>
      </w:r>
      <w:r w:rsidR="004E243B">
        <w:rPr>
          <w:spacing w:val="-3"/>
        </w:rPr>
        <w:t xml:space="preserve">increases substantially </w:t>
      </w:r>
      <w:r>
        <w:rPr>
          <w:spacing w:val="-3"/>
        </w:rPr>
        <w:t>(diffusion coefficient plummets</w:t>
      </w:r>
      <w:r w:rsidR="004E243B">
        <w:rPr>
          <w:spacing w:val="-3"/>
        </w:rPr>
        <w:t>)</w:t>
      </w:r>
      <w:r>
        <w:rPr>
          <w:spacing w:val="-3"/>
        </w:rPr>
        <w:t xml:space="preserve">.  In fact, the cases where </w:t>
      </w:r>
      <w:r w:rsidRPr="000D03DF">
        <w:rPr>
          <w:spacing w:val="-3"/>
        </w:rPr>
        <w:t>the</w:t>
      </w:r>
      <w:r w:rsidRPr="000D03DF">
        <w:rPr>
          <w:iCs/>
          <w:spacing w:val="-3"/>
        </w:rPr>
        <w:t xml:space="preserve"> </w:t>
      </w:r>
      <w:r>
        <w:rPr>
          <w:iCs/>
          <w:spacing w:val="-3"/>
        </w:rPr>
        <w:t>pa</w:t>
      </w:r>
      <w:r w:rsidRPr="000D03DF">
        <w:rPr>
          <w:iCs/>
          <w:spacing w:val="-3"/>
        </w:rPr>
        <w:t>rtition coefficients</w:t>
      </w:r>
      <w:r>
        <w:rPr>
          <w:spacing w:val="-3"/>
        </w:rPr>
        <w:t xml:space="preserve"> are close </w:t>
      </w:r>
      <w:r w:rsidR="00140CC1">
        <w:rPr>
          <w:spacing w:val="-3"/>
        </w:rPr>
        <w:t>to zero</w:t>
      </w:r>
      <w:r>
        <w:rPr>
          <w:spacing w:val="-3"/>
        </w:rPr>
        <w:t xml:space="preserve"> are those that would exhibit plunging </w:t>
      </w:r>
      <w:r>
        <w:rPr>
          <w:i/>
          <w:iCs/>
          <w:spacing w:val="-3"/>
        </w:rPr>
        <w:t>T</w:t>
      </w:r>
      <w:r w:rsidRPr="00911EC5">
        <w:rPr>
          <w:spacing w:val="-3"/>
          <w:sz w:val="26"/>
          <w:vertAlign w:val="subscript"/>
        </w:rPr>
        <w:t>0</w:t>
      </w:r>
      <w:r>
        <w:rPr>
          <w:spacing w:val="-3"/>
        </w:rPr>
        <w:t xml:space="preserve"> curves and lead to glass formation as described in §3. </w:t>
      </w:r>
      <w:r w:rsidR="008855DB">
        <w:rPr>
          <w:spacing w:val="-3"/>
        </w:rPr>
        <w:t xml:space="preserve">This would have occur naturally in the Trivedi et al [1987] approach if nonequilibrium interface </w:t>
      </w:r>
      <w:r w:rsidR="00461632">
        <w:rPr>
          <w:spacing w:val="-3"/>
        </w:rPr>
        <w:t>conditions had</w:t>
      </w:r>
      <w:r w:rsidR="008855DB">
        <w:rPr>
          <w:spacing w:val="-3"/>
        </w:rPr>
        <w:t xml:space="preserve"> been included.</w:t>
      </w:r>
    </w:p>
    <w:p w14:paraId="0626744B" w14:textId="40FE497F" w:rsidR="00015B17" w:rsidRDefault="00461632" w:rsidP="00015B17">
      <w:pPr>
        <w:suppressAutoHyphens/>
        <w:spacing w:line="360" w:lineRule="auto"/>
        <w:rPr>
          <w:spacing w:val="-3"/>
        </w:rPr>
      </w:pPr>
      <w:r>
        <w:rPr>
          <w:spacing w:val="-3"/>
        </w:rPr>
        <w:tab/>
      </w:r>
      <w:r w:rsidR="008855DB">
        <w:rPr>
          <w:spacing w:val="-3"/>
        </w:rPr>
        <w:t xml:space="preserve"> </w:t>
      </w:r>
      <w:r w:rsidR="00015B17">
        <w:rPr>
          <w:spacing w:val="-3"/>
        </w:rPr>
        <w:t xml:space="preserve">The asymmetry of the coupled zone for f-nf eutectics has an impact on these considerations. Glass formation often occurs in systems involving </w:t>
      </w:r>
      <w:r>
        <w:rPr>
          <w:spacing w:val="-3"/>
        </w:rPr>
        <w:t xml:space="preserve">phase diagrams with </w:t>
      </w:r>
      <w:r w:rsidR="00015B17">
        <w:rPr>
          <w:spacing w:val="-3"/>
        </w:rPr>
        <w:t>f-nf eutectics; i.e. between a solid solution and an intermetallic compound. Thus the composition with the smallest maximum growth rate for the eutectic (and hence easiest glass formation) may be shifted towards the direction of the faceted intermetallic phase. Case (</w:t>
      </w:r>
      <w:r>
        <w:rPr>
          <w:spacing w:val="-3"/>
        </w:rPr>
        <w:t>a</w:t>
      </w:r>
      <w:r w:rsidR="00015B17">
        <w:rPr>
          <w:spacing w:val="-3"/>
        </w:rPr>
        <w:t xml:space="preserve">) </w:t>
      </w:r>
      <w:r>
        <w:rPr>
          <w:spacing w:val="-3"/>
        </w:rPr>
        <w:t xml:space="preserve">above </w:t>
      </w:r>
      <w:r w:rsidR="00015B17">
        <w:rPr>
          <w:spacing w:val="-3"/>
        </w:rPr>
        <w:t xml:space="preserve">may also lead to the formation of a metastable crystalline phase if the eutectic interface temperature drops below the </w:t>
      </w:r>
      <w:r>
        <w:rPr>
          <w:spacing w:val="-3"/>
        </w:rPr>
        <w:t xml:space="preserve">(metastable) solidus </w:t>
      </w:r>
      <w:r w:rsidR="00015B17">
        <w:rPr>
          <w:spacing w:val="-3"/>
        </w:rPr>
        <w:t>for such a phase.</w:t>
      </w:r>
      <w:r w:rsidR="00015B17" w:rsidRPr="00BB6855">
        <w:rPr>
          <w:spacing w:val="-3"/>
        </w:rPr>
        <w:t xml:space="preserve"> </w:t>
      </w:r>
      <w:r w:rsidR="00015B17">
        <w:rPr>
          <w:spacing w:val="-3"/>
        </w:rPr>
        <w:t>The concept of growth limitations of eutectic growth was explored in detail by Boettinger [1982].</w:t>
      </w:r>
    </w:p>
    <w:p w14:paraId="0C481074" w14:textId="77777777" w:rsidR="00015B17" w:rsidRDefault="00015B17" w:rsidP="00015B17">
      <w:pPr>
        <w:suppressAutoHyphens/>
        <w:spacing w:line="360" w:lineRule="auto"/>
        <w:rPr>
          <w:spacing w:val="-3"/>
        </w:rPr>
      </w:pPr>
    </w:p>
    <w:p w14:paraId="43ABF640" w14:textId="77777777" w:rsidR="00015B17" w:rsidRDefault="00015B17" w:rsidP="00015B17">
      <w:pPr>
        <w:suppressAutoHyphens/>
        <w:spacing w:line="360" w:lineRule="auto"/>
        <w:rPr>
          <w:spacing w:val="-3"/>
        </w:rPr>
      </w:pPr>
      <w:r w:rsidRPr="00EA05BE">
        <w:rPr>
          <w:b/>
          <w:bCs/>
          <w:iCs/>
          <w:spacing w:val="-3"/>
        </w:rPr>
        <w:t>8.1.7.</w:t>
      </w:r>
      <w:r>
        <w:rPr>
          <w:b/>
          <w:bCs/>
          <w:iCs/>
          <w:spacing w:val="-3"/>
        </w:rPr>
        <w:t>2</w:t>
      </w:r>
      <w:r w:rsidRPr="00EA05BE">
        <w:rPr>
          <w:b/>
          <w:bCs/>
          <w:iCs/>
          <w:spacing w:val="-3"/>
        </w:rPr>
        <w:t xml:space="preserve"> Experiments</w:t>
      </w:r>
      <w:r w:rsidR="00F472BF">
        <w:rPr>
          <w:b/>
          <w:bCs/>
          <w:iCs/>
          <w:spacing w:val="-3"/>
        </w:rPr>
        <w:t xml:space="preserve"> – glass formation and microsegregation free crystalline solidification</w:t>
      </w:r>
      <w:r w:rsidRPr="00EA05BE">
        <w:rPr>
          <w:spacing w:val="-3"/>
        </w:rPr>
        <w:t xml:space="preserve"> </w:t>
      </w:r>
    </w:p>
    <w:p w14:paraId="3712D35C" w14:textId="77777777" w:rsidR="00015B17" w:rsidRPr="00EA05BE" w:rsidRDefault="00015B17" w:rsidP="00015B17">
      <w:pPr>
        <w:suppressAutoHyphens/>
        <w:spacing w:line="360" w:lineRule="auto"/>
        <w:rPr>
          <w:spacing w:val="-3"/>
        </w:rPr>
      </w:pPr>
    </w:p>
    <w:p w14:paraId="68434FA7" w14:textId="2D35B3A7" w:rsidR="00015B17" w:rsidRDefault="00015B17" w:rsidP="00015B17">
      <w:pPr>
        <w:suppressAutoHyphens/>
        <w:spacing w:line="360" w:lineRule="auto"/>
        <w:rPr>
          <w:spacing w:val="-3"/>
        </w:rPr>
      </w:pPr>
      <w:r>
        <w:rPr>
          <w:spacing w:val="-3"/>
        </w:rPr>
        <w:tab/>
        <w:t xml:space="preserve">An example of glass formation when a eutectic structure </w:t>
      </w:r>
      <w:r w:rsidR="008F6075">
        <w:rPr>
          <w:spacing w:val="-3"/>
        </w:rPr>
        <w:t>cannot</w:t>
      </w:r>
      <w:r>
        <w:rPr>
          <w:spacing w:val="-3"/>
        </w:rPr>
        <w:t xml:space="preserve"> grow fast enough is found in directional solidification experiments on Pd-Cu-Si alloys in thin walled narrow tubes with liquid metal cooling. It was shown that metallic glass could be formed by exceeding a critical growth velocity (about 2 </w:t>
      </w:r>
      <w:r w:rsidRPr="001B068D">
        <w:rPr>
          <w:i/>
          <w:iCs/>
          <w:spacing w:val="-3"/>
        </w:rPr>
        <w:t>mm</w:t>
      </w:r>
      <w:r w:rsidR="004E243B" w:rsidRPr="001B068D">
        <w:rPr>
          <w:i/>
          <w:iCs/>
          <w:spacing w:val="-3"/>
        </w:rPr>
        <w:t xml:space="preserve"> </w:t>
      </w:r>
      <w:r w:rsidRPr="001B068D">
        <w:rPr>
          <w:i/>
          <w:iCs/>
          <w:spacing w:val="-3"/>
        </w:rPr>
        <w:t>s</w:t>
      </w:r>
      <w:r w:rsidRPr="00883A53">
        <w:rPr>
          <w:spacing w:val="-3"/>
          <w:sz w:val="26"/>
          <w:vertAlign w:val="superscript"/>
        </w:rPr>
        <w:t>-1</w:t>
      </w:r>
      <w:r w:rsidRPr="00BB6855">
        <w:rPr>
          <w:spacing w:val="-3"/>
        </w:rPr>
        <w:t>)</w:t>
      </w:r>
      <w:r w:rsidRPr="003E0F31">
        <w:rPr>
          <w:spacing w:val="-3"/>
        </w:rPr>
        <w:t xml:space="preserve"> </w:t>
      </w:r>
      <w:r>
        <w:rPr>
          <w:spacing w:val="-3"/>
        </w:rPr>
        <w:t xml:space="preserve">for eutectic solidification as shown in Fig. 8.10 (Boettinger et al [1980] and Boettinger [1982]). In this case ample nuclei were present but the eutectic alloy could not grow fast enough and glass was formed. </w:t>
      </w:r>
    </w:p>
    <w:p w14:paraId="7953B4B2" w14:textId="77777777" w:rsidR="00015B17" w:rsidRDefault="00015B17" w:rsidP="00015B17">
      <w:pPr>
        <w:suppressAutoHyphens/>
        <w:spacing w:line="360" w:lineRule="auto"/>
        <w:rPr>
          <w:spacing w:val="-3"/>
        </w:rPr>
      </w:pPr>
    </w:p>
    <w:p w14:paraId="1B481A9C" w14:textId="77777777" w:rsidR="00015B17" w:rsidRDefault="00015B17" w:rsidP="00015B17">
      <w:pPr>
        <w:suppressAutoHyphens/>
        <w:spacing w:line="360" w:lineRule="auto"/>
        <w:rPr>
          <w:spacing w:val="-3"/>
        </w:rPr>
      </w:pPr>
      <w:r>
        <w:rPr>
          <w:spacing w:val="-3"/>
        </w:rPr>
        <w:tab/>
        <w:t xml:space="preserve">It is clear from the above that solidification velocity plays a dominant role in controlling microstructure. To control solidification velocity at high rates, surface melting and resolidification employing a moving heat source have been used to create small trails of material that are solidified at speeds close to the scan speed (BOETTINGER </w:t>
      </w:r>
      <w:r>
        <w:rPr>
          <w:i/>
          <w:iCs/>
          <w:spacing w:val="-3"/>
        </w:rPr>
        <w:t>et al.</w:t>
      </w:r>
      <w:r>
        <w:rPr>
          <w:spacing w:val="-3"/>
        </w:rPr>
        <w:t xml:space="preserve"> [1984]). This technique is useful for speeds up to </w:t>
      </w:r>
      <w:r>
        <w:rPr>
          <w:i/>
          <w:iCs/>
          <w:spacing w:val="-3"/>
        </w:rPr>
        <w:t xml:space="preserve"> </w:t>
      </w:r>
      <w:r w:rsidRPr="000D03DF">
        <w:rPr>
          <w:i/>
          <w:iCs/>
          <w:spacing w:val="-3"/>
          <w:position w:val="-6"/>
        </w:rPr>
        <w:object w:dxaOrig="520" w:dyaOrig="279" w14:anchorId="4EA9EC35">
          <v:shape id="_x0000_i1661" type="#_x0000_t75" style="width:25.25pt;height:14.05pt" o:ole="">
            <v:imagedata r:id="rId1219" o:title=""/>
          </v:shape>
          <o:OLEObject Type="Embed" ProgID="Equation.DSMT4" ShapeID="_x0000_i1661" DrawAspect="Content" ObjectID="_1840627227" r:id="rId1220"/>
        </w:object>
      </w:r>
      <w:r>
        <w:rPr>
          <w:spacing w:val="-3"/>
        </w:rPr>
        <w:t xml:space="preserve"> where </w:t>
      </w:r>
      <w:r w:rsidRPr="00FD09D6">
        <w:rPr>
          <w:i/>
          <w:iCs/>
          <w:spacing w:val="-3"/>
          <w:position w:val="-6"/>
        </w:rPr>
        <w:object w:dxaOrig="240" w:dyaOrig="220" w14:anchorId="67D794BA">
          <v:shape id="_x0000_i1662" type="#_x0000_t75" style="width:12.15pt;height:10.3pt" o:ole="">
            <v:imagedata r:id="rId1221" o:title=""/>
          </v:shape>
          <o:OLEObject Type="Embed" ProgID="Equation.DSMT4" ShapeID="_x0000_i1662" DrawAspect="Content" ObjectID="_1840627228" r:id="rId1222"/>
        </w:object>
      </w:r>
      <w:r>
        <w:rPr>
          <w:spacing w:val="-3"/>
        </w:rPr>
        <w:t xml:space="preserve"> is the thermal diffusivity and </w:t>
      </w:r>
      <w:r>
        <w:rPr>
          <w:i/>
          <w:iCs/>
          <w:spacing w:val="-3"/>
        </w:rPr>
        <w:t>d</w:t>
      </w:r>
      <w:r w:rsidRPr="003E0F31">
        <w:rPr>
          <w:spacing w:val="-3"/>
        </w:rPr>
        <w:fldChar w:fldCharType="begin"/>
      </w:r>
      <w:r w:rsidRPr="003E0F31">
        <w:rPr>
          <w:spacing w:val="-3"/>
        </w:rPr>
        <w:instrText>ADVANCE \R 1.65</w:instrText>
      </w:r>
      <w:r w:rsidRPr="003E0F31">
        <w:rPr>
          <w:spacing w:val="-3"/>
        </w:rPr>
        <w:fldChar w:fldCharType="end"/>
      </w:r>
      <w:r>
        <w:rPr>
          <w:spacing w:val="-3"/>
        </w:rPr>
        <w:t xml:space="preserve"> is the diameter of the focused electron or laser beam. For higher speeds</w:t>
      </w:r>
      <w:r w:rsidR="004E243B">
        <w:rPr>
          <w:spacing w:val="-3"/>
        </w:rPr>
        <w:t>,</w:t>
      </w:r>
      <w:r>
        <w:rPr>
          <w:spacing w:val="-3"/>
        </w:rPr>
        <w:t xml:space="preserve"> surface melting and resolidification employing a pulsed laser or electron beam must be used to melt a thin surface layer. Maps giving the predominant microstructure as a function of speed and alloy composition are then produced. Fig. 8.11 shows such a map for Ag-Cu alloys. Similar maps have been constructed for Al-Al</w:t>
      </w:r>
      <w:r w:rsidRPr="00911EC5">
        <w:rPr>
          <w:spacing w:val="-3"/>
          <w:sz w:val="26"/>
          <w:vertAlign w:val="subscript"/>
        </w:rPr>
        <w:t>2</w:t>
      </w:r>
      <w:r>
        <w:rPr>
          <w:spacing w:val="-3"/>
        </w:rPr>
        <w:t>Cu (GILL and KURZ [1994]).</w:t>
      </w:r>
    </w:p>
    <w:p w14:paraId="38319595" w14:textId="77777777" w:rsidR="00015B17" w:rsidRDefault="00015B17" w:rsidP="00015B17">
      <w:pPr>
        <w:suppressAutoHyphens/>
        <w:spacing w:line="360" w:lineRule="auto"/>
        <w:rPr>
          <w:spacing w:val="-3"/>
        </w:rPr>
      </w:pPr>
    </w:p>
    <w:p w14:paraId="614456D5" w14:textId="77777777" w:rsidR="00015B17" w:rsidRDefault="00015B17" w:rsidP="00015B17">
      <w:pPr>
        <w:suppressAutoHyphens/>
        <w:spacing w:line="360" w:lineRule="auto"/>
        <w:rPr>
          <w:spacing w:val="-3"/>
        </w:rPr>
      </w:pPr>
      <w:r>
        <w:rPr>
          <w:spacing w:val="-3"/>
        </w:rPr>
        <w:tab/>
        <w:t xml:space="preserve">In Fig. 8.11 four microstructural domains are obtained: cells/dendrites and eutectic microstructure at slow speed, bands at intermediate speed and microsegregation-free single phase FCC at high speed. The boundary on the left is due to absolute stability and was described in § 7. Eutectic growth ceases at </w:t>
      </w:r>
      <w:r w:rsidR="002006B3">
        <w:rPr>
          <w:spacing w:val="-3"/>
        </w:rPr>
        <w:t xml:space="preserve">approximately </w:t>
      </w:r>
      <w:r>
        <w:rPr>
          <w:spacing w:val="-3"/>
        </w:rPr>
        <w:t xml:space="preserve">2.5 </w:t>
      </w:r>
      <w:r w:rsidRPr="001B068D">
        <w:rPr>
          <w:i/>
          <w:iCs/>
          <w:spacing w:val="-3"/>
        </w:rPr>
        <w:t>cm/s</w:t>
      </w:r>
      <w:r>
        <w:rPr>
          <w:spacing w:val="-3"/>
        </w:rPr>
        <w:t xml:space="preserve"> generally following the description above except that an intermediate structure of bands is observed before single phase growth dominates at high velocity.</w:t>
      </w:r>
    </w:p>
    <w:p w14:paraId="15C42430" w14:textId="77777777" w:rsidR="00015B17" w:rsidRDefault="00015B17" w:rsidP="00015B17">
      <w:pPr>
        <w:suppressAutoHyphens/>
        <w:spacing w:line="360" w:lineRule="auto"/>
        <w:rPr>
          <w:spacing w:val="-3"/>
        </w:rPr>
      </w:pPr>
    </w:p>
    <w:p w14:paraId="20AD141D" w14:textId="65920972" w:rsidR="00015B17" w:rsidRDefault="00015B17" w:rsidP="00015B17">
      <w:pPr>
        <w:suppressAutoHyphens/>
        <w:spacing w:line="360" w:lineRule="auto"/>
        <w:rPr>
          <w:spacing w:val="-3"/>
        </w:rPr>
      </w:pPr>
      <w:r>
        <w:rPr>
          <w:spacing w:val="-3"/>
        </w:rPr>
        <w:tab/>
        <w:t xml:space="preserve">This banded microstructure </w:t>
      </w:r>
      <w:r w:rsidR="00140CC1">
        <w:rPr>
          <w:spacing w:val="-3"/>
        </w:rPr>
        <w:t>consists</w:t>
      </w:r>
      <w:r>
        <w:rPr>
          <w:spacing w:val="-3"/>
        </w:rPr>
        <w:t xml:space="preserve"> of thin (1 </w:t>
      </w:r>
      <w:r w:rsidRPr="001B068D">
        <w:rPr>
          <w:i/>
          <w:iCs/>
          <w:spacing w:val="-3"/>
        </w:rPr>
        <w:t>μm</w:t>
      </w:r>
      <w:r>
        <w:rPr>
          <w:spacing w:val="-3"/>
        </w:rPr>
        <w:t>) regions</w:t>
      </w:r>
      <w:r>
        <w:rPr>
          <w:i/>
          <w:iCs/>
          <w:spacing w:val="-3"/>
        </w:rPr>
        <w:t xml:space="preserve"> parallel</w:t>
      </w:r>
      <w:r>
        <w:rPr>
          <w:spacing w:val="-3"/>
        </w:rPr>
        <w:t xml:space="preserve"> to the growth front that alternate between cellular solidification and cell-free solidification. The general character of this structure is due to details of solute trapping (MERCHANT and DAVIS [1990], BRAUN and DAVIS [1991], GREMAUD </w:t>
      </w:r>
      <w:r>
        <w:rPr>
          <w:i/>
          <w:iCs/>
          <w:spacing w:val="-3"/>
        </w:rPr>
        <w:t>et al.</w:t>
      </w:r>
      <w:r>
        <w:rPr>
          <w:spacing w:val="-3"/>
        </w:rPr>
        <w:t xml:space="preserve"> [1991], CARRAD </w:t>
      </w:r>
      <w:r>
        <w:rPr>
          <w:i/>
          <w:iCs/>
          <w:spacing w:val="-3"/>
        </w:rPr>
        <w:t>et al.</w:t>
      </w:r>
      <w:r>
        <w:rPr>
          <w:spacing w:val="-3"/>
        </w:rPr>
        <w:t xml:space="preserve"> [1992]). Ordinarily, interface kinetics requires that the temperature of a planar single phase growth front decrease with increasing velocity. However over the range of velocity where the partition coefficient is approaching unity the interface temperature actually increases with increasing velocity. This reversed behavior is the basic cause of an instability that leads to the banded microstructure. At high speeds in the </w:t>
      </w:r>
      <w:r w:rsidR="00461632">
        <w:rPr>
          <w:spacing w:val="-3"/>
        </w:rPr>
        <w:t xml:space="preserve">near eutectic </w:t>
      </w:r>
      <w:r>
        <w:rPr>
          <w:spacing w:val="-3"/>
        </w:rPr>
        <w:t>Ag-Cu alloys, the microsegregation-free structures are caused by the fact the partition coefficient has gone to unity</w:t>
      </w:r>
      <w:r w:rsidR="00461632">
        <w:rPr>
          <w:spacing w:val="-3"/>
        </w:rPr>
        <w:t>.</w:t>
      </w:r>
    </w:p>
    <w:p w14:paraId="2AE96BBC" w14:textId="77777777" w:rsidR="00015B17" w:rsidRDefault="00015B17" w:rsidP="00015B17">
      <w:pPr>
        <w:suppressAutoHyphens/>
        <w:spacing w:line="360" w:lineRule="auto"/>
        <w:rPr>
          <w:spacing w:val="-3"/>
        </w:rPr>
      </w:pPr>
      <w:r>
        <w:rPr>
          <w:spacing w:val="-3"/>
        </w:rPr>
        <w:t xml:space="preserve"> </w:t>
      </w:r>
    </w:p>
    <w:p w14:paraId="57D6E4E9" w14:textId="77777777" w:rsidR="00015B17" w:rsidRDefault="00015B17" w:rsidP="00015B17">
      <w:pPr>
        <w:suppressAutoHyphens/>
        <w:spacing w:line="360" w:lineRule="auto"/>
        <w:rPr>
          <w:b/>
          <w:bCs/>
          <w:iCs/>
          <w:spacing w:val="-3"/>
        </w:rPr>
      </w:pPr>
      <w:r w:rsidRPr="00EA05BE">
        <w:rPr>
          <w:b/>
          <w:bCs/>
          <w:iCs/>
          <w:spacing w:val="-3"/>
        </w:rPr>
        <w:lastRenderedPageBreak/>
        <w:t>8.1.7.</w:t>
      </w:r>
      <w:r>
        <w:rPr>
          <w:b/>
          <w:bCs/>
          <w:iCs/>
          <w:spacing w:val="-3"/>
        </w:rPr>
        <w:t>3</w:t>
      </w:r>
      <w:r w:rsidRPr="00EA05BE">
        <w:rPr>
          <w:b/>
          <w:bCs/>
          <w:iCs/>
          <w:spacing w:val="-3"/>
        </w:rPr>
        <w:t xml:space="preserve"> Metastable crystalline phase formation</w:t>
      </w:r>
      <w:r w:rsidR="00461632">
        <w:rPr>
          <w:b/>
          <w:bCs/>
          <w:iCs/>
          <w:spacing w:val="-3"/>
        </w:rPr>
        <w:t xml:space="preserve"> </w:t>
      </w:r>
    </w:p>
    <w:p w14:paraId="6A18A1C6" w14:textId="77777777" w:rsidR="00015B17" w:rsidRPr="00EA05BE" w:rsidRDefault="00015B17" w:rsidP="00015B17">
      <w:pPr>
        <w:suppressAutoHyphens/>
        <w:spacing w:line="360" w:lineRule="auto"/>
        <w:rPr>
          <w:b/>
          <w:bCs/>
          <w:iCs/>
          <w:spacing w:val="-3"/>
        </w:rPr>
      </w:pPr>
    </w:p>
    <w:p w14:paraId="4E030EAF" w14:textId="77777777" w:rsidR="00015B17" w:rsidRDefault="00015B17" w:rsidP="00015B17">
      <w:pPr>
        <w:suppressAutoHyphens/>
        <w:spacing w:line="360" w:lineRule="auto"/>
        <w:rPr>
          <w:spacing w:val="-3"/>
        </w:rPr>
      </w:pPr>
      <w:r>
        <w:rPr>
          <w:spacing w:val="-3"/>
        </w:rPr>
        <w:tab/>
        <w:t>An analysis of growth competition has also been highly successful at explaining observed transitions from microstructures involving stable phases to those involving metastable phases. In the Fe-C system the transition from gray cast iron (Fe-graphite) to white cast iron (Fe-Fe</w:t>
      </w:r>
      <w:r w:rsidRPr="00911EC5">
        <w:rPr>
          <w:spacing w:val="-3"/>
          <w:sz w:val="26"/>
          <w:vertAlign w:val="subscript"/>
        </w:rPr>
        <w:t>3</w:t>
      </w:r>
      <w:r>
        <w:rPr>
          <w:spacing w:val="-3"/>
        </w:rPr>
        <w:t xml:space="preserve">C) has been extensively studied (JONES and KURZ [1980]). This transition occurs at relatively slow speeds not normally considered to be rapid. However </w:t>
      </w:r>
      <w:r w:rsidR="00E23778">
        <w:rPr>
          <w:spacing w:val="-3"/>
        </w:rPr>
        <w:t>the same</w:t>
      </w:r>
      <w:r>
        <w:rPr>
          <w:spacing w:val="-3"/>
        </w:rPr>
        <w:t xml:space="preserve"> principles can be employed at higher rates for other alloy systems using appropriately modified kinetic laws. The competitive growth analysis must include the dendritic and eutectic growth involving the stable and </w:t>
      </w:r>
      <w:r w:rsidR="00461632">
        <w:rPr>
          <w:spacing w:val="-3"/>
        </w:rPr>
        <w:t xml:space="preserve">the possible </w:t>
      </w:r>
      <w:r>
        <w:rPr>
          <w:spacing w:val="-3"/>
        </w:rPr>
        <w:t>metastable phases. Fig. 8.12 shows the coupled zones for Al-Al</w:t>
      </w:r>
      <w:r w:rsidRPr="00911EC5">
        <w:rPr>
          <w:spacing w:val="-3"/>
          <w:sz w:val="26"/>
          <w:vertAlign w:val="subscript"/>
        </w:rPr>
        <w:t>3</w:t>
      </w:r>
      <w:r>
        <w:rPr>
          <w:spacing w:val="-3"/>
        </w:rPr>
        <w:t>Fe (the stable eutectic) and Al-Al</w:t>
      </w:r>
      <w:r w:rsidRPr="00911EC5">
        <w:rPr>
          <w:spacing w:val="-3"/>
          <w:sz w:val="26"/>
          <w:vertAlign w:val="subscript"/>
        </w:rPr>
        <w:t>6</w:t>
      </w:r>
      <w:r>
        <w:rPr>
          <w:spacing w:val="-3"/>
        </w:rPr>
        <w:t xml:space="preserve">Fe (the metastable eutectic) summarizing experimental and theoretical work of several groups (ADAM and HOGAN [1972], HUGHES and JONES [1976], GREMAUD </w:t>
      </w:r>
      <w:r>
        <w:rPr>
          <w:i/>
          <w:iCs/>
          <w:spacing w:val="-3"/>
        </w:rPr>
        <w:t>et al.</w:t>
      </w:r>
      <w:r>
        <w:rPr>
          <w:spacing w:val="-3"/>
        </w:rPr>
        <w:t xml:space="preserve"> [1987]). The metastable Al</w:t>
      </w:r>
      <w:r w:rsidRPr="00911EC5">
        <w:rPr>
          <w:spacing w:val="-3"/>
          <w:sz w:val="26"/>
          <w:vertAlign w:val="subscript"/>
        </w:rPr>
        <w:t>6</w:t>
      </w:r>
      <w:r>
        <w:rPr>
          <w:spacing w:val="-3"/>
        </w:rPr>
        <w:t>Fe phase forms at an increased solidification velocity when the interface temperature drops below about 920</w:t>
      </w:r>
      <w:r w:rsidR="00461632">
        <w:rPr>
          <w:spacing w:val="-3"/>
        </w:rPr>
        <w:t xml:space="preserve"> </w:t>
      </w:r>
      <w:r>
        <w:rPr>
          <w:spacing w:val="-3"/>
        </w:rPr>
        <w:t>K. One of the most striking results of this diagram is the fact that alloys with compositions far on the Fe-rich side of either eutectic can form a microstructure consisting of primary Al at large supercooling and increased velocity; i.e., the Al phase is the first to freeze. Indeed a determination of the powder size dependence of microstructural transitions in Fe-rich Al-Fe eutectic alloys from primary Al</w:t>
      </w:r>
      <w:r w:rsidRPr="00911EC5">
        <w:rPr>
          <w:spacing w:val="-3"/>
          <w:sz w:val="26"/>
          <w:vertAlign w:val="subscript"/>
        </w:rPr>
        <w:t>3</w:t>
      </w:r>
      <w:r>
        <w:rPr>
          <w:spacing w:val="-3"/>
        </w:rPr>
        <w:t>Fe, to eutectic Al + Al</w:t>
      </w:r>
      <w:r w:rsidRPr="00911EC5">
        <w:rPr>
          <w:spacing w:val="-3"/>
          <w:sz w:val="26"/>
          <w:vertAlign w:val="subscript"/>
        </w:rPr>
        <w:t>6</w:t>
      </w:r>
      <w:r>
        <w:rPr>
          <w:spacing w:val="-3"/>
        </w:rPr>
        <w:t xml:space="preserve">Fe, to primary Al as the powder size decreases is consistent with increasing velocities (supercoolings) calculated for the different size powders (BOETTINGER </w:t>
      </w:r>
      <w:r>
        <w:rPr>
          <w:i/>
          <w:iCs/>
          <w:spacing w:val="-3"/>
        </w:rPr>
        <w:t>et al.</w:t>
      </w:r>
      <w:r>
        <w:rPr>
          <w:spacing w:val="-3"/>
        </w:rPr>
        <w:t xml:space="preserve"> [1986]. Similar microstructural transitions have been observed for other Al based-transition metal alloys. The ability to form a matrix phase of a nf (usually ductile) phase for alloys with a large excess of alloying additions has been a major motivation for alloy development through rapid solidification processing. These alloys from a class of dispersoid strengthened materials.</w:t>
      </w:r>
    </w:p>
    <w:p w14:paraId="66571CAC" w14:textId="77777777" w:rsidR="00461632" w:rsidRDefault="00461632" w:rsidP="00015B17">
      <w:pPr>
        <w:suppressAutoHyphens/>
        <w:spacing w:line="360" w:lineRule="auto"/>
        <w:rPr>
          <w:spacing w:val="-3"/>
        </w:rPr>
      </w:pPr>
    </w:p>
    <w:p w14:paraId="36F3EF2A" w14:textId="77777777" w:rsidR="00461632" w:rsidRDefault="00461632" w:rsidP="00015B17">
      <w:pPr>
        <w:suppressAutoHyphens/>
        <w:spacing w:line="360" w:lineRule="auto"/>
        <w:rPr>
          <w:spacing w:val="-3"/>
        </w:rPr>
      </w:pPr>
      <w:r>
        <w:rPr>
          <w:spacing w:val="-3"/>
        </w:rPr>
        <w:tab/>
        <w:t>An example of how one obtains phase diagram information for metastable phases is available for the Al-Fe system</w:t>
      </w:r>
      <w:r w:rsidR="004239F3">
        <w:rPr>
          <w:spacing w:val="-3"/>
        </w:rPr>
        <w:t xml:space="preserve"> (Perepezko and Boettinger, [1983])</w:t>
      </w:r>
      <w:r>
        <w:rPr>
          <w:spacing w:val="-3"/>
        </w:rPr>
        <w:t>. An examin</w:t>
      </w:r>
      <w:r w:rsidR="004239F3">
        <w:rPr>
          <w:spacing w:val="-3"/>
        </w:rPr>
        <w:t>ation</w:t>
      </w:r>
      <w:r>
        <w:rPr>
          <w:spacing w:val="-3"/>
        </w:rPr>
        <w:t xml:space="preserve"> of the Al-Fe-Mn ternary system shows that the Al</w:t>
      </w:r>
      <w:r w:rsidRPr="003E0F31">
        <w:rPr>
          <w:spacing w:val="-3"/>
          <w:sz w:val="26"/>
          <w:vertAlign w:val="subscript"/>
        </w:rPr>
        <w:t>6</w:t>
      </w:r>
      <w:r>
        <w:rPr>
          <w:spacing w:val="-3"/>
        </w:rPr>
        <w:t>(Fe,Mn) phase has a (stable) liquidus surface</w:t>
      </w:r>
      <w:r w:rsidR="004239F3">
        <w:rPr>
          <w:spacing w:val="-3"/>
        </w:rPr>
        <w:t xml:space="preserve"> and an Al-Al</w:t>
      </w:r>
      <w:r w:rsidR="004239F3" w:rsidRPr="003E0F31">
        <w:rPr>
          <w:spacing w:val="-3"/>
          <w:sz w:val="26"/>
          <w:vertAlign w:val="subscript"/>
        </w:rPr>
        <w:t>6</w:t>
      </w:r>
      <w:r w:rsidR="004239F3">
        <w:rPr>
          <w:spacing w:val="-3"/>
        </w:rPr>
        <w:t>(Fe,Mn) monovariant eutectic valley</w:t>
      </w:r>
      <w:r>
        <w:rPr>
          <w:spacing w:val="-3"/>
        </w:rPr>
        <w:t xml:space="preserve">. Extrapolation of this surface </w:t>
      </w:r>
      <w:r w:rsidR="004239F3">
        <w:rPr>
          <w:spacing w:val="-3"/>
        </w:rPr>
        <w:t xml:space="preserve">and the </w:t>
      </w:r>
      <w:r w:rsidR="004239F3">
        <w:rPr>
          <w:spacing w:val="-3"/>
        </w:rPr>
        <w:lastRenderedPageBreak/>
        <w:t xml:space="preserve">valley </w:t>
      </w:r>
      <w:r>
        <w:rPr>
          <w:spacing w:val="-3"/>
        </w:rPr>
        <w:t>in the 3-D phase diagram to the Al-Fe binary reveals an estimate for the Al</w:t>
      </w:r>
      <w:r w:rsidRPr="003E0F31">
        <w:rPr>
          <w:spacing w:val="-3"/>
          <w:sz w:val="26"/>
          <w:vertAlign w:val="subscript"/>
        </w:rPr>
        <w:t>6</w:t>
      </w:r>
      <w:r>
        <w:rPr>
          <w:spacing w:val="-3"/>
        </w:rPr>
        <w:t>Fe liquidus and the Al-Al</w:t>
      </w:r>
      <w:r w:rsidRPr="003E0F31">
        <w:rPr>
          <w:spacing w:val="-3"/>
          <w:sz w:val="26"/>
          <w:vertAlign w:val="subscript"/>
        </w:rPr>
        <w:t>6</w:t>
      </w:r>
      <w:r>
        <w:rPr>
          <w:spacing w:val="-3"/>
        </w:rPr>
        <w:t>Fe eutectic composition and temperature. A Calphad analysis of the ternary system would permit a more precise estimate of the metastable Al-Fe system.</w:t>
      </w:r>
    </w:p>
    <w:p w14:paraId="472B01B0" w14:textId="77777777" w:rsidR="00015B17" w:rsidRDefault="00015B17" w:rsidP="00015B17">
      <w:pPr>
        <w:suppressAutoHyphens/>
        <w:spacing w:line="360" w:lineRule="auto"/>
        <w:rPr>
          <w:spacing w:val="-3"/>
        </w:rPr>
      </w:pPr>
    </w:p>
    <w:p w14:paraId="57EC9833" w14:textId="77777777" w:rsidR="00015B17" w:rsidRDefault="00015B17" w:rsidP="00015B17">
      <w:pPr>
        <w:suppressAutoHyphens/>
        <w:spacing w:line="360" w:lineRule="auto"/>
        <w:rPr>
          <w:b/>
          <w:spacing w:val="-3"/>
        </w:rPr>
      </w:pPr>
      <w:r w:rsidRPr="00E70B0A">
        <w:rPr>
          <w:b/>
          <w:spacing w:val="-3"/>
        </w:rPr>
        <w:t>8.1.</w:t>
      </w:r>
      <w:r>
        <w:rPr>
          <w:b/>
          <w:spacing w:val="-3"/>
        </w:rPr>
        <w:t>8</w:t>
      </w:r>
      <w:r w:rsidRPr="00E70B0A">
        <w:rPr>
          <w:b/>
          <w:spacing w:val="-3"/>
        </w:rPr>
        <w:t xml:space="preserve"> Eutectic Casting Alloys</w:t>
      </w:r>
    </w:p>
    <w:p w14:paraId="2A97BF82" w14:textId="77777777" w:rsidR="00015B17" w:rsidRPr="005659EA" w:rsidRDefault="00015B17" w:rsidP="00015B17">
      <w:pPr>
        <w:suppressAutoHyphens/>
        <w:spacing w:line="360" w:lineRule="auto"/>
        <w:rPr>
          <w:spacing w:val="-3"/>
        </w:rPr>
      </w:pPr>
    </w:p>
    <w:p w14:paraId="1A9AB60C" w14:textId="01DE0C1E" w:rsidR="00015B17" w:rsidRPr="005659EA" w:rsidRDefault="00015B17" w:rsidP="00015B17">
      <w:pPr>
        <w:suppressAutoHyphens/>
        <w:spacing w:line="360" w:lineRule="auto"/>
        <w:rPr>
          <w:spacing w:val="-3"/>
        </w:rPr>
      </w:pPr>
      <w:r w:rsidRPr="005659EA">
        <w:rPr>
          <w:spacing w:val="-3"/>
        </w:rPr>
        <w:tab/>
        <w:t>In this section we will discuss two most popular foundry alloys e.g., Al-Si and Cast Iron. These eutectics are of the nonfaceted-faceted type. In these alloys, the low volume fract</w:t>
      </w:r>
      <w:r>
        <w:rPr>
          <w:spacing w:val="-3"/>
        </w:rPr>
        <w:t>ion phase in the eutectic</w:t>
      </w:r>
      <w:r w:rsidR="00D037A7">
        <w:rPr>
          <w:spacing w:val="-3"/>
        </w:rPr>
        <w:t xml:space="preserve"> (Si or graphite) </w:t>
      </w:r>
      <w:r>
        <w:rPr>
          <w:spacing w:val="-3"/>
        </w:rPr>
        <w:t xml:space="preserve">has </w:t>
      </w:r>
      <w:r w:rsidRPr="005659EA">
        <w:rPr>
          <w:spacing w:val="-3"/>
        </w:rPr>
        <w:t xml:space="preserve">high entropy of melting and the microstructure is often termed irregular. The low volume fraction phase usually grows as </w:t>
      </w:r>
      <w:r w:rsidR="00D037A7" w:rsidRPr="005659EA">
        <w:rPr>
          <w:spacing w:val="-3"/>
        </w:rPr>
        <w:t>fibers</w:t>
      </w:r>
      <w:r w:rsidRPr="005659EA">
        <w:rPr>
          <w:spacing w:val="-3"/>
        </w:rPr>
        <w:t xml:space="preserve"> when the volume fraction is low (typically less than 0.25). However, lamellar structure can be formed even if the volume fraction of the second phase is very low. This can happen if the specific interface energy between the phases is highly anisotropic (e.g., Fe-C alloys). It may be mentioned here that the ductile iron eutectic is an exception. There is no coupled growth of the austenite and graphite phase in this eutectic.</w:t>
      </w:r>
    </w:p>
    <w:p w14:paraId="3C469957" w14:textId="77777777" w:rsidR="00015B17" w:rsidRPr="005659EA" w:rsidRDefault="00015B17" w:rsidP="00015B17">
      <w:pPr>
        <w:suppressAutoHyphens/>
        <w:spacing w:line="360" w:lineRule="auto"/>
        <w:rPr>
          <w:spacing w:val="-3"/>
        </w:rPr>
      </w:pPr>
    </w:p>
    <w:p w14:paraId="7B75742C" w14:textId="77777777" w:rsidR="00015B17" w:rsidRPr="005659EA" w:rsidRDefault="00015B17" w:rsidP="00015B17">
      <w:pPr>
        <w:suppressAutoHyphens/>
        <w:spacing w:line="360" w:lineRule="auto"/>
        <w:ind w:firstLine="720"/>
        <w:rPr>
          <w:spacing w:val="-3"/>
        </w:rPr>
      </w:pPr>
      <w:r w:rsidRPr="005659EA">
        <w:rPr>
          <w:spacing w:val="-3"/>
        </w:rPr>
        <w:t>The mechanical properties of these metal-nonmetal (nonfaceted-faceted) eutectics are dominated by the morphologies in which the non-metals solidify.  As nonfaceted-faceted eutectics, the asymmetry of the couple zone must always be considered in the interpretation of microstructure regarding the presence or absence of primary phases as described in §8.1.5.  In both systems the structure can be modified either by rapid cooling or by controlled addition of specific elements.   The use of elemental additions has an advantage because their effect is essentially independent of the casting section thickness.  Thus we shall only discuss modification by additives. The modification of the structure of these alloys and the resultant effect on the mechanical properties is a clear example of the manipulation of the structure based on the application of fundamental principles</w:t>
      </w:r>
      <w:r w:rsidR="00177879">
        <w:rPr>
          <w:spacing w:val="-3"/>
        </w:rPr>
        <w:t>.</w:t>
      </w:r>
    </w:p>
    <w:p w14:paraId="63F6A675" w14:textId="77777777" w:rsidR="00015B17" w:rsidRPr="005659EA" w:rsidRDefault="00015B17" w:rsidP="00015B17">
      <w:pPr>
        <w:suppressAutoHyphens/>
        <w:spacing w:line="360" w:lineRule="auto"/>
        <w:rPr>
          <w:spacing w:val="-3"/>
        </w:rPr>
      </w:pPr>
    </w:p>
    <w:p w14:paraId="085CB4B1" w14:textId="77777777" w:rsidR="00015B17" w:rsidRPr="005659EA" w:rsidRDefault="00015B17" w:rsidP="00015B17">
      <w:pPr>
        <w:suppressAutoHyphens/>
        <w:spacing w:line="360" w:lineRule="auto"/>
        <w:rPr>
          <w:b/>
          <w:spacing w:val="-3"/>
        </w:rPr>
      </w:pPr>
      <w:r>
        <w:rPr>
          <w:b/>
          <w:spacing w:val="-3"/>
        </w:rPr>
        <w:t>8.1.8.1</w:t>
      </w:r>
      <w:r w:rsidRPr="005659EA">
        <w:rPr>
          <w:b/>
          <w:spacing w:val="-3"/>
        </w:rPr>
        <w:t>. Aluminum-Silicon Alloys</w:t>
      </w:r>
    </w:p>
    <w:p w14:paraId="678CAA23" w14:textId="77777777" w:rsidR="00015B17" w:rsidRPr="005659EA" w:rsidRDefault="00015B17" w:rsidP="00015B17">
      <w:pPr>
        <w:suppressAutoHyphens/>
        <w:spacing w:line="360" w:lineRule="auto"/>
        <w:rPr>
          <w:spacing w:val="-3"/>
        </w:rPr>
      </w:pPr>
    </w:p>
    <w:p w14:paraId="1A67F7A1" w14:textId="7F3BD280" w:rsidR="00015B17" w:rsidRPr="005659EA" w:rsidRDefault="00015B17" w:rsidP="00015B17">
      <w:pPr>
        <w:suppressAutoHyphens/>
        <w:spacing w:line="360" w:lineRule="auto"/>
        <w:rPr>
          <w:spacing w:val="-3"/>
        </w:rPr>
      </w:pPr>
      <w:r w:rsidRPr="005659EA">
        <w:rPr>
          <w:spacing w:val="-3"/>
        </w:rPr>
        <w:tab/>
        <w:t xml:space="preserve">Many studies have been focused on the mechanism of modification in Al-Si alloy and several reviews are available (CHADWICK [1963]; SMITH [1968]; HELLAWELL </w:t>
      </w:r>
      <w:r w:rsidRPr="005659EA">
        <w:rPr>
          <w:spacing w:val="-3"/>
        </w:rPr>
        <w:lastRenderedPageBreak/>
        <w:t xml:space="preserve">[1970]; GRANGER and ELLIOTT [1988]. Most important is the change of the morphology of the silicon phase in the eutectic mixture.  Day and Hellawell (1968) studied the morphology of the eutectic in directionally solidified alloys. By varying the </w:t>
      </w:r>
      <w:r w:rsidR="00AC45B2" w:rsidRPr="005659EA">
        <w:rPr>
          <w:spacing w:val="-3"/>
        </w:rPr>
        <w:t>temperature</w:t>
      </w:r>
      <w:r w:rsidRPr="005659EA">
        <w:rPr>
          <w:spacing w:val="-3"/>
        </w:rPr>
        <w:t xml:space="preserve"> gradient in the liquid at the solid-liquid interface (</w:t>
      </w:r>
      <w:r w:rsidRPr="003E0F31">
        <w:rPr>
          <w:i/>
          <w:spacing w:val="-3"/>
        </w:rPr>
        <w:t>G</w:t>
      </w:r>
      <w:r w:rsidR="00AC45B2" w:rsidRPr="003E0F31">
        <w:rPr>
          <w:i/>
          <w:spacing w:val="-3"/>
          <w:sz w:val="26"/>
          <w:vertAlign w:val="subscript"/>
        </w:rPr>
        <w:t>L</w:t>
      </w:r>
      <w:r w:rsidRPr="005659EA">
        <w:rPr>
          <w:spacing w:val="-3"/>
        </w:rPr>
        <w:t>) and solidification velocity (</w:t>
      </w:r>
      <w:r w:rsidRPr="003E0F31">
        <w:rPr>
          <w:i/>
          <w:spacing w:val="-3"/>
        </w:rPr>
        <w:t>V</w:t>
      </w:r>
      <w:r w:rsidRPr="005659EA">
        <w:rPr>
          <w:spacing w:val="-3"/>
        </w:rPr>
        <w:t xml:space="preserve">), they obtained 5 different types of microstructure. Massive silicon particles were observed at low </w:t>
      </w:r>
      <w:r w:rsidRPr="003E0F31">
        <w:rPr>
          <w:i/>
          <w:spacing w:val="-3"/>
        </w:rPr>
        <w:t>V</w:t>
      </w:r>
      <w:r w:rsidRPr="005659EA">
        <w:rPr>
          <w:spacing w:val="-3"/>
        </w:rPr>
        <w:t xml:space="preserve"> and high </w:t>
      </w:r>
      <w:r w:rsidR="00AC45B2" w:rsidRPr="00AC45B2">
        <w:rPr>
          <w:i/>
          <w:spacing w:val="-3"/>
        </w:rPr>
        <w:t>G</w:t>
      </w:r>
      <w:r w:rsidR="00AC45B2" w:rsidRPr="00911EC5">
        <w:rPr>
          <w:i/>
          <w:spacing w:val="-3"/>
          <w:sz w:val="26"/>
          <w:vertAlign w:val="subscript"/>
        </w:rPr>
        <w:t>L</w:t>
      </w:r>
      <w:r w:rsidRPr="005659EA">
        <w:rPr>
          <w:spacing w:val="-3"/>
        </w:rPr>
        <w:t xml:space="preserve"> values (when the solidification interface was almost planar). At lower </w:t>
      </w:r>
      <w:r w:rsidR="00AC45B2" w:rsidRPr="00AC45B2">
        <w:rPr>
          <w:i/>
          <w:spacing w:val="-3"/>
        </w:rPr>
        <w:t>G</w:t>
      </w:r>
      <w:r w:rsidR="00AC45B2" w:rsidRPr="00911EC5">
        <w:rPr>
          <w:i/>
          <w:spacing w:val="-3"/>
          <w:sz w:val="26"/>
          <w:vertAlign w:val="subscript"/>
        </w:rPr>
        <w:t>L</w:t>
      </w:r>
      <w:r w:rsidRPr="005659EA">
        <w:rPr>
          <w:spacing w:val="-3"/>
        </w:rPr>
        <w:t xml:space="preserve"> values and low </w:t>
      </w:r>
      <w:r w:rsidRPr="003E0F31">
        <w:rPr>
          <w:i/>
          <w:spacing w:val="-3"/>
        </w:rPr>
        <w:t>V</w:t>
      </w:r>
      <w:r w:rsidRPr="005659EA">
        <w:rPr>
          <w:spacing w:val="-3"/>
        </w:rPr>
        <w:t xml:space="preserve"> values, a variety of microstructures was observed. At still higher growth rates (exceeding </w:t>
      </w:r>
      <w:r w:rsidR="004E243B">
        <w:rPr>
          <w:spacing w:val="-3"/>
        </w:rPr>
        <w:t xml:space="preserve">approximately </w:t>
      </w:r>
      <w:r w:rsidRPr="005659EA">
        <w:rPr>
          <w:spacing w:val="-3"/>
        </w:rPr>
        <w:t xml:space="preserve">6 </w:t>
      </w:r>
      <w:r w:rsidRPr="001B068D">
        <w:rPr>
          <w:i/>
          <w:iCs/>
          <w:spacing w:val="-3"/>
        </w:rPr>
        <w:t>µm</w:t>
      </w:r>
      <w:r w:rsidR="004E243B" w:rsidRPr="001B068D">
        <w:rPr>
          <w:i/>
          <w:iCs/>
          <w:spacing w:val="-3"/>
        </w:rPr>
        <w:t xml:space="preserve"> </w:t>
      </w:r>
      <w:r w:rsidRPr="001B068D">
        <w:rPr>
          <w:i/>
          <w:iCs/>
          <w:spacing w:val="-3"/>
        </w:rPr>
        <w:t>s</w:t>
      </w:r>
      <w:r w:rsidR="004E243B" w:rsidRPr="00883A53">
        <w:rPr>
          <w:spacing w:val="-3"/>
          <w:sz w:val="26"/>
          <w:vertAlign w:val="superscript"/>
        </w:rPr>
        <w:t>-1</w:t>
      </w:r>
      <w:r w:rsidRPr="005659EA">
        <w:rPr>
          <w:spacing w:val="-3"/>
        </w:rPr>
        <w:t xml:space="preserve">), a </w:t>
      </w:r>
      <w:r w:rsidR="00E23778" w:rsidRPr="005659EA">
        <w:rPr>
          <w:spacing w:val="-3"/>
        </w:rPr>
        <w:t>flake like</w:t>
      </w:r>
      <w:r w:rsidRPr="005659EA">
        <w:rPr>
          <w:spacing w:val="-3"/>
        </w:rPr>
        <w:t>, interconnected silicon phase was observed. Most chemically unmodified Al-Si alloys exhibit this type of irregular eutectic.</w:t>
      </w:r>
    </w:p>
    <w:p w14:paraId="21939915" w14:textId="77777777" w:rsidR="00015B17" w:rsidRPr="005659EA" w:rsidRDefault="00015B17" w:rsidP="00015B17">
      <w:pPr>
        <w:suppressAutoHyphens/>
        <w:spacing w:line="360" w:lineRule="auto"/>
        <w:rPr>
          <w:spacing w:val="-3"/>
        </w:rPr>
      </w:pPr>
    </w:p>
    <w:p w14:paraId="366479F2" w14:textId="77777777" w:rsidR="00015B17" w:rsidRPr="005659EA" w:rsidRDefault="00AC45B2" w:rsidP="00015B17">
      <w:pPr>
        <w:suppressAutoHyphens/>
        <w:spacing w:line="360" w:lineRule="auto"/>
        <w:rPr>
          <w:spacing w:val="-3"/>
        </w:rPr>
      </w:pPr>
      <w:r>
        <w:rPr>
          <w:spacing w:val="-3"/>
        </w:rPr>
        <w:tab/>
      </w:r>
      <w:r w:rsidR="00015B17" w:rsidRPr="005659EA">
        <w:rPr>
          <w:spacing w:val="-3"/>
        </w:rPr>
        <w:t>In unmodified alloys, silicon particles appear more or less spherical in shape at low magnification although fibrous morphology can be observed a higher magnification. During the growth of unmodified Al-Si eutectic, the Si flakes contains widely spaced {111} twins that provide for easy growth in the [111] direction and difficult growth normal to [111]. This is called twin plane re-entrant edge (TPRE) growth. In unmodified alloys, the Si phase in the eutectic appears as coarse flakes that grow more or less independently of the Al phase.</w:t>
      </w:r>
    </w:p>
    <w:p w14:paraId="47A6FF0C" w14:textId="77777777" w:rsidR="00015B17" w:rsidRPr="005659EA" w:rsidRDefault="00015B17" w:rsidP="00015B17">
      <w:pPr>
        <w:suppressAutoHyphens/>
        <w:spacing w:line="360" w:lineRule="auto"/>
        <w:rPr>
          <w:spacing w:val="-3"/>
        </w:rPr>
      </w:pPr>
    </w:p>
    <w:p w14:paraId="6C9349CC" w14:textId="77777777" w:rsidR="00015B17" w:rsidRPr="005659EA" w:rsidRDefault="00015B17" w:rsidP="00015B17">
      <w:pPr>
        <w:suppressAutoHyphens/>
        <w:spacing w:line="360" w:lineRule="auto"/>
        <w:ind w:firstLine="720"/>
        <w:rPr>
          <w:spacing w:val="-3"/>
        </w:rPr>
      </w:pPr>
      <w:r w:rsidRPr="005659EA">
        <w:rPr>
          <w:spacing w:val="-3"/>
        </w:rPr>
        <w:t xml:space="preserve">With small additions of alkaline or alkaline earth metals (especially Na and Sr), the Si phase takes on a somewhat finer branched fibrous form that grows at a common liquid-solid interface with the Al phase to form a composite-like structure with improved properties. The easy branching of the modified Si leads to a more regular and finer structure as described in §8.1.3. Modifiers also change the morphology of primary Si in hypereutectic alloys. Although nucleation studies have been performed (CROSSLEY and MONDOLFO [1966]; ROSS and MONDOLFO [1980]), the modifying effects of Na and Sr are now thought to be growth related (HANNA et al. [1984]). Nucleation remains important however, through the addition of Al-Ti-B master alloys to control the Al grain size in hypoeutectic alloys and through the addition of P (usually Cu-P) to promote heterogeneous nucleation (on </w:t>
      </w:r>
      <w:r w:rsidR="00E32B7F">
        <w:rPr>
          <w:spacing w:val="-3"/>
        </w:rPr>
        <w:t xml:space="preserve">aluminum phosphide, </w:t>
      </w:r>
      <w:r w:rsidRPr="005659EA">
        <w:rPr>
          <w:spacing w:val="-3"/>
        </w:rPr>
        <w:t>AlP) and refinement of primary Si in hypereutectic alloys.</w:t>
      </w:r>
    </w:p>
    <w:p w14:paraId="6982FA2A" w14:textId="77777777" w:rsidR="00015B17" w:rsidRPr="005659EA" w:rsidRDefault="00015B17" w:rsidP="00015B17">
      <w:pPr>
        <w:suppressAutoHyphens/>
        <w:spacing w:line="360" w:lineRule="auto"/>
        <w:rPr>
          <w:spacing w:val="-3"/>
        </w:rPr>
      </w:pPr>
    </w:p>
    <w:p w14:paraId="60C3FC31" w14:textId="177454F9" w:rsidR="00015B17" w:rsidRPr="005659EA" w:rsidRDefault="00015B17" w:rsidP="00015B17">
      <w:pPr>
        <w:suppressAutoHyphens/>
        <w:spacing w:line="360" w:lineRule="auto"/>
        <w:rPr>
          <w:spacing w:val="-3"/>
        </w:rPr>
      </w:pPr>
      <w:r w:rsidRPr="005659EA">
        <w:rPr>
          <w:spacing w:val="-3"/>
        </w:rPr>
        <w:lastRenderedPageBreak/>
        <w:tab/>
        <w:t>In modified alloys</w:t>
      </w:r>
      <w:r w:rsidR="004E243B">
        <w:rPr>
          <w:spacing w:val="-3"/>
        </w:rPr>
        <w:t>,</w:t>
      </w:r>
      <w:r w:rsidRPr="005659EA">
        <w:rPr>
          <w:spacing w:val="-3"/>
        </w:rPr>
        <w:t xml:space="preserve"> the Si </w:t>
      </w:r>
      <w:r w:rsidR="00AC45B2" w:rsidRPr="005659EA">
        <w:rPr>
          <w:spacing w:val="-3"/>
        </w:rPr>
        <w:t>fibers</w:t>
      </w:r>
      <w:r w:rsidRPr="005659EA">
        <w:rPr>
          <w:spacing w:val="-3"/>
        </w:rPr>
        <w:t xml:space="preserve"> contain a much higher density of twins that exhibit an internal zig-zag pattern (LU and HELLAWELL [1987], [1988]). Since both Na and Sr are concentrated in the Si phase, these authors proposed a mechanism whereby the modifying elements are adsorbed on the growth ledges spewing out from the re-entrant corner. These adsorbed atoms cause the formation of new twins due to stacking errors on the growing interface </w:t>
      </w:r>
      <w:r w:rsidR="004E243B">
        <w:rPr>
          <w:spacing w:val="-3"/>
        </w:rPr>
        <w:t>caused by</w:t>
      </w:r>
      <w:r w:rsidRPr="005659EA">
        <w:rPr>
          <w:spacing w:val="-3"/>
        </w:rPr>
        <w:t xml:space="preserve"> size mismatch of the Si and the modifier.  A hard sphere model for atomic packing was used to define a critical ratio </w:t>
      </w:r>
      <w:r w:rsidR="00AC45B2">
        <w:rPr>
          <w:spacing w:val="-3"/>
        </w:rPr>
        <w:t xml:space="preserve"> of </w:t>
      </w:r>
      <w:r w:rsidRPr="005659EA">
        <w:rPr>
          <w:spacing w:val="-3"/>
        </w:rPr>
        <w:t>1.65 of modifier to Si atomic size that promotes twinning. The growth of the Si is then thought to occur by repeated twin formation in a more isotropic manner than by TPRE governed growth. This more isotropic growth permits the Si fibers to branch and adjust eutectic spacing. The formation of the internal zig-zag twin structure is also consistent with the observation of microfaceting on the Al-Si interface (LU and HELLAWELL [1987].</w:t>
      </w:r>
    </w:p>
    <w:p w14:paraId="59AEC2F5" w14:textId="77777777" w:rsidR="00015B17" w:rsidRPr="005659EA" w:rsidRDefault="00015B17" w:rsidP="00015B17">
      <w:pPr>
        <w:suppressAutoHyphens/>
        <w:spacing w:line="360" w:lineRule="auto"/>
        <w:rPr>
          <w:spacing w:val="-3"/>
        </w:rPr>
      </w:pPr>
    </w:p>
    <w:p w14:paraId="207A2512" w14:textId="6AD863E5" w:rsidR="00015B17" w:rsidRPr="005659EA" w:rsidRDefault="00015B17" w:rsidP="00015B17">
      <w:pPr>
        <w:suppressAutoHyphens/>
        <w:spacing w:line="360" w:lineRule="auto"/>
        <w:rPr>
          <w:spacing w:val="-3"/>
        </w:rPr>
      </w:pPr>
      <w:r w:rsidRPr="005659EA">
        <w:rPr>
          <w:spacing w:val="-3"/>
        </w:rPr>
        <w:tab/>
        <w:t xml:space="preserve"> MAJOR and RUTTER [1989] proposed that a certain concentration of Sr is required at the interface to achieve modification (CLAPHAM and SMITH [1988]).  Below a critical concentration, growth of the Si is by the twin plane re-entrant edge (TPRE) mechanism typical of unmodified eutectic.  If growth occurs for a sufficient distance to accumulate Sr concentration at the solid-liquid interface above a critical level, the re-entrant edges are poisoned.  Then, new twins form as described above.  A continuous cycle of twin formation, TPRE growth, poisoning, new twin formation and so on can occur. QIYANG et al. [1991] confirmed the adsorption of Na on {111}Si in agreement with the poisoning of the twin re-entrant edges. The phenomenon of over</w:t>
      </w:r>
      <w:r w:rsidR="00FA2661">
        <w:rPr>
          <w:spacing w:val="-3"/>
        </w:rPr>
        <w:t>-</w:t>
      </w:r>
      <w:r w:rsidRPr="005659EA">
        <w:rPr>
          <w:spacing w:val="-3"/>
        </w:rPr>
        <w:t>modification can be explained as complete suppression of the TPRE mechanism resulting from elevated quantities of the modifying addition.  In this way, formation of Al bands in overmodified structures (FREDRIKSSON et al. [1973]) may be explained.</w:t>
      </w:r>
    </w:p>
    <w:p w14:paraId="08ECE4E1" w14:textId="77777777" w:rsidR="00015B17" w:rsidRPr="005659EA" w:rsidRDefault="00015B17" w:rsidP="00015B17">
      <w:pPr>
        <w:suppressAutoHyphens/>
        <w:spacing w:line="360" w:lineRule="auto"/>
        <w:rPr>
          <w:spacing w:val="-3"/>
        </w:rPr>
      </w:pPr>
    </w:p>
    <w:p w14:paraId="03154E34" w14:textId="64EC8F20" w:rsidR="00015B17" w:rsidRDefault="00015B17" w:rsidP="00015B17">
      <w:pPr>
        <w:suppressAutoHyphens/>
        <w:spacing w:line="360" w:lineRule="auto"/>
        <w:rPr>
          <w:spacing w:val="-3"/>
        </w:rPr>
      </w:pPr>
      <w:r w:rsidRPr="005659EA">
        <w:rPr>
          <w:spacing w:val="-3"/>
        </w:rPr>
        <w:tab/>
        <w:t xml:space="preserve">The efficacy of the modification can be evaluated by cooling curve analysis of the modified alloy. Often a higher eutectic undercooling is observed for the </w:t>
      </w:r>
      <w:r w:rsidR="00E23778" w:rsidRPr="005659EA">
        <w:rPr>
          <w:spacing w:val="-3"/>
        </w:rPr>
        <w:t>solidification</w:t>
      </w:r>
      <w:r w:rsidRPr="005659EA">
        <w:rPr>
          <w:spacing w:val="-3"/>
        </w:rPr>
        <w:t xml:space="preserve"> of a modified Al-Si eutectic</w:t>
      </w:r>
      <w:r w:rsidR="004E243B">
        <w:rPr>
          <w:spacing w:val="-3"/>
        </w:rPr>
        <w:t xml:space="preserve"> than that for an unmodified eutectic</w:t>
      </w:r>
      <w:r w:rsidRPr="005659EA">
        <w:rPr>
          <w:spacing w:val="-3"/>
        </w:rPr>
        <w:t xml:space="preserve">. However, this is not the sole indicator of the efficiency of the modification as unmodified alloy can exhibit similar or even larger eutectic undercooling. The modified eutectic growth has a quadratic dependence </w:t>
      </w:r>
      <w:r w:rsidRPr="005659EA">
        <w:rPr>
          <w:spacing w:val="-3"/>
        </w:rPr>
        <w:lastRenderedPageBreak/>
        <w:t>on the undercooling, which includes the kinetic undercooling at the eutectic front. The growth constant has been evaluated by experiment (Degand et al, 1996). This growth constant was found to decrease with the increase in the degree of modification. The traditional Jackson-Hunt law of eutectic growth can be applied for the case of modified Al-Si eutectic utilizing this growth constant for computing the liquid-solid transformation kinetics.</w:t>
      </w:r>
      <w:r w:rsidR="009C4664">
        <w:rPr>
          <w:spacing w:val="-3"/>
        </w:rPr>
        <w:t xml:space="preserve"> Note that we discuss solidification here under traditional foundry conditions (not under directional solidification condition</w:t>
      </w:r>
      <w:r w:rsidR="006F1C3E">
        <w:rPr>
          <w:spacing w:val="-3"/>
        </w:rPr>
        <w:t>s</w:t>
      </w:r>
      <w:r w:rsidR="009C4664">
        <w:rPr>
          <w:spacing w:val="-3"/>
        </w:rPr>
        <w:t>).</w:t>
      </w:r>
    </w:p>
    <w:p w14:paraId="6365D8C9" w14:textId="77777777" w:rsidR="00015B17" w:rsidRDefault="00015B17" w:rsidP="00015B17">
      <w:pPr>
        <w:suppressAutoHyphens/>
        <w:spacing w:line="360" w:lineRule="auto"/>
        <w:rPr>
          <w:spacing w:val="-3"/>
        </w:rPr>
      </w:pPr>
    </w:p>
    <w:p w14:paraId="553A8431" w14:textId="77777777" w:rsidR="00015B17" w:rsidRPr="00EA05BE" w:rsidRDefault="00015B17" w:rsidP="00015B17">
      <w:pPr>
        <w:suppressAutoHyphens/>
        <w:spacing w:line="360" w:lineRule="auto"/>
        <w:rPr>
          <w:spacing w:val="-3"/>
        </w:rPr>
      </w:pPr>
      <w:r>
        <w:rPr>
          <w:b/>
          <w:spacing w:val="-3"/>
        </w:rPr>
        <w:t>8.1.8.2</w:t>
      </w:r>
      <w:r>
        <w:rPr>
          <w:b/>
          <w:bCs/>
          <w:spacing w:val="-3"/>
        </w:rPr>
        <w:t xml:space="preserve"> Cast Iron</w:t>
      </w:r>
    </w:p>
    <w:p w14:paraId="40EE2F3B" w14:textId="77777777" w:rsidR="00015B17" w:rsidRDefault="00015B17" w:rsidP="00015B17">
      <w:pPr>
        <w:suppressAutoHyphens/>
        <w:spacing w:line="360" w:lineRule="auto"/>
        <w:ind w:firstLine="720"/>
        <w:rPr>
          <w:spacing w:val="-3"/>
        </w:rPr>
      </w:pPr>
    </w:p>
    <w:p w14:paraId="0C96C5B3" w14:textId="39F46849" w:rsidR="00015B17" w:rsidRDefault="00015B17" w:rsidP="00015B17">
      <w:pPr>
        <w:suppressAutoHyphens/>
        <w:spacing w:line="360" w:lineRule="auto"/>
        <w:rPr>
          <w:spacing w:val="-3"/>
        </w:rPr>
      </w:pPr>
      <w:r>
        <w:rPr>
          <w:spacing w:val="-3"/>
        </w:rPr>
        <w:tab/>
        <w:t>It is known that cast iron, belonging to the family of high carbon Fe alloys, can solidify according to either the stable iron-graphite system (grey iron) or to the metastable Fe-Fe</w:t>
      </w:r>
      <w:r w:rsidRPr="00911EC5">
        <w:rPr>
          <w:spacing w:val="-3"/>
          <w:sz w:val="26"/>
          <w:vertAlign w:val="subscript"/>
        </w:rPr>
        <w:t>3</w:t>
      </w:r>
      <w:r>
        <w:rPr>
          <w:spacing w:val="-3"/>
        </w:rPr>
        <w:t>C system (white iron). As a consequence, the eutectic may be austenite-graphite or austenite-cementite (ledeburite). Furthermore, the complex chemical composition of the material has important and powerful effects on the structure of cast iron. Commercial alloys usually contain Si, minor addition</w:t>
      </w:r>
      <w:r w:rsidR="004E243B">
        <w:rPr>
          <w:spacing w:val="-3"/>
        </w:rPr>
        <w:t>s</w:t>
      </w:r>
      <w:r>
        <w:rPr>
          <w:spacing w:val="-3"/>
        </w:rPr>
        <w:t xml:space="preserve"> of S, Mn and P and trace elements such as Al, Sn, Sb and Bi as well as the gaseous elements H, N and O. Both forms of cast iron (white and grey) have technological importance. Several comprehensive reviews and books have been published in the </w:t>
      </w:r>
      <w:r w:rsidR="009C4664">
        <w:rPr>
          <w:spacing w:val="-3"/>
        </w:rPr>
        <w:t>past</w:t>
      </w:r>
      <w:r>
        <w:rPr>
          <w:spacing w:val="-3"/>
        </w:rPr>
        <w:t xml:space="preserve"> both from fundamental and technological points of view (MORROG [1968a], [1968b]; MINKOFF [1983]; ELLIOT [1988]; STEFANESCU [1988]; CRAIG </w:t>
      </w:r>
      <w:r>
        <w:rPr>
          <w:i/>
          <w:iCs/>
          <w:spacing w:val="-3"/>
        </w:rPr>
        <w:t>et al.</w:t>
      </w:r>
      <w:r>
        <w:rPr>
          <w:spacing w:val="-3"/>
        </w:rPr>
        <w:t xml:space="preserve">[1988]; HUGHES [1988]; STEFANESCU </w:t>
      </w:r>
      <w:r>
        <w:rPr>
          <w:i/>
          <w:iCs/>
          <w:spacing w:val="-3"/>
        </w:rPr>
        <w:t>et al.</w:t>
      </w:r>
      <w:r>
        <w:rPr>
          <w:spacing w:val="-3"/>
        </w:rPr>
        <w:t xml:space="preserve">[1988]). Grey iron is the most interesting because of the different morphologies that the graphite can achieve and the resulting differences </w:t>
      </w:r>
      <w:r w:rsidR="00B06866">
        <w:rPr>
          <w:spacing w:val="-3"/>
        </w:rPr>
        <w:t>in mechanical</w:t>
      </w:r>
      <w:r>
        <w:rPr>
          <w:spacing w:val="-3"/>
        </w:rPr>
        <w:t xml:space="preserve"> and physical properties. Although semantic problems have confused scientists and foundrymen in the past, a general understanding of the mechanisms of nucleation, growth and modification of the graphite phase has occurred in the last </w:t>
      </w:r>
      <w:r w:rsidR="009C4664">
        <w:rPr>
          <w:spacing w:val="-3"/>
        </w:rPr>
        <w:t xml:space="preserve">thirty five </w:t>
      </w:r>
      <w:r>
        <w:rPr>
          <w:spacing w:val="-3"/>
        </w:rPr>
        <w:t xml:space="preserve">years. In this section the present status of knowledge in the area will be discussed briefly. </w:t>
      </w:r>
    </w:p>
    <w:p w14:paraId="0F2B20A6" w14:textId="77777777" w:rsidR="00015B17" w:rsidRDefault="00015B17" w:rsidP="00015B17">
      <w:pPr>
        <w:suppressAutoHyphens/>
        <w:spacing w:line="360" w:lineRule="auto"/>
        <w:rPr>
          <w:spacing w:val="-3"/>
        </w:rPr>
      </w:pPr>
    </w:p>
    <w:p w14:paraId="049031C3" w14:textId="77777777" w:rsidR="004E243B" w:rsidRDefault="00015B17" w:rsidP="00015B17">
      <w:pPr>
        <w:suppressAutoHyphens/>
        <w:spacing w:line="360" w:lineRule="auto"/>
        <w:rPr>
          <w:spacing w:val="-3"/>
        </w:rPr>
      </w:pPr>
      <w:r>
        <w:rPr>
          <w:spacing w:val="-3"/>
        </w:rPr>
        <w:tab/>
        <w:t>It is known that the growth of the stable Fe-</w:t>
      </w:r>
      <w:r w:rsidR="004E243B">
        <w:rPr>
          <w:spacing w:val="-3"/>
        </w:rPr>
        <w:t>graphite</w:t>
      </w:r>
      <w:r>
        <w:rPr>
          <w:spacing w:val="-3"/>
        </w:rPr>
        <w:t xml:space="preserve"> eutectic is favored over the metastable </w:t>
      </w:r>
      <w:r w:rsidR="004E243B">
        <w:rPr>
          <w:spacing w:val="-3"/>
        </w:rPr>
        <w:t>Fe-</w:t>
      </w:r>
      <w:r>
        <w:rPr>
          <w:spacing w:val="-3"/>
        </w:rPr>
        <w:t>Fe</w:t>
      </w:r>
      <w:r w:rsidRPr="00911EC5">
        <w:rPr>
          <w:spacing w:val="-3"/>
          <w:sz w:val="26"/>
          <w:vertAlign w:val="subscript"/>
        </w:rPr>
        <w:t>3</w:t>
      </w:r>
      <w:r>
        <w:rPr>
          <w:spacing w:val="-3"/>
        </w:rPr>
        <w:t xml:space="preserve">C eutectic </w:t>
      </w:r>
      <w:r w:rsidR="004E243B">
        <w:rPr>
          <w:spacing w:val="-3"/>
        </w:rPr>
        <w:t>at low solidification velocities</w:t>
      </w:r>
      <w:r>
        <w:rPr>
          <w:spacing w:val="-3"/>
        </w:rPr>
        <w:t xml:space="preserve"> or by </w:t>
      </w:r>
      <w:r w:rsidR="004E243B">
        <w:rPr>
          <w:spacing w:val="-3"/>
        </w:rPr>
        <w:t xml:space="preserve">the </w:t>
      </w:r>
      <w:r>
        <w:rPr>
          <w:spacing w:val="-3"/>
        </w:rPr>
        <w:t xml:space="preserve">addition of elements such as Si and Al. These elements increase the temperature difference between the stable </w:t>
      </w:r>
      <w:r>
        <w:rPr>
          <w:spacing w:val="-3"/>
        </w:rPr>
        <w:lastRenderedPageBreak/>
        <w:t>Fe-</w:t>
      </w:r>
      <w:r w:rsidR="004E243B">
        <w:rPr>
          <w:spacing w:val="-3"/>
        </w:rPr>
        <w:t>graphite</w:t>
      </w:r>
      <w:r>
        <w:rPr>
          <w:spacing w:val="-3"/>
        </w:rPr>
        <w:t xml:space="preserve"> and metastable Fe-Fe</w:t>
      </w:r>
      <w:r w:rsidRPr="00911EC5">
        <w:rPr>
          <w:spacing w:val="-3"/>
          <w:sz w:val="26"/>
          <w:vertAlign w:val="subscript"/>
        </w:rPr>
        <w:t>3</w:t>
      </w:r>
      <w:r>
        <w:rPr>
          <w:spacing w:val="-3"/>
        </w:rPr>
        <w:t>C eutectic temperatures. In addition a wide variety of compounds have been claimed to serve as nuclei for graphite, including oxides, silicates, sul</w:t>
      </w:r>
      <w:r w:rsidR="00E23778">
        <w:rPr>
          <w:spacing w:val="-3"/>
        </w:rPr>
        <w:t>f</w:t>
      </w:r>
      <w:r>
        <w:rPr>
          <w:spacing w:val="-3"/>
        </w:rPr>
        <w:t xml:space="preserve">ides, nitrides, carbides and intermetallic compounds. Most of the nucleation mechanisms are connected with impurities existing in the melt or with inoculants that promote heterogeneous nucleation of the graphite. Although other inoculants are used, Fe-Si </w:t>
      </w:r>
      <w:r w:rsidR="004E243B">
        <w:rPr>
          <w:spacing w:val="-3"/>
        </w:rPr>
        <w:t xml:space="preserve">inoculants </w:t>
      </w:r>
      <w:r>
        <w:rPr>
          <w:spacing w:val="-3"/>
        </w:rPr>
        <w:t xml:space="preserve">are the most powerful and popular (ELLIOT [1988], STEFANESCU [1988]), SKALAND </w:t>
      </w:r>
      <w:r>
        <w:rPr>
          <w:i/>
          <w:iCs/>
          <w:spacing w:val="-3"/>
        </w:rPr>
        <w:t>et al.</w:t>
      </w:r>
      <w:r>
        <w:rPr>
          <w:spacing w:val="-3"/>
        </w:rPr>
        <w:t xml:space="preserve"> [1993]). The liquid-solid transformation in cast iron can be understood by considering how </w:t>
      </w:r>
      <w:r w:rsidR="006E6FC2">
        <w:rPr>
          <w:spacing w:val="-3"/>
        </w:rPr>
        <w:t>either the primary austenite or</w:t>
      </w:r>
      <w:r w:rsidR="004E243B">
        <w:rPr>
          <w:spacing w:val="-3"/>
        </w:rPr>
        <w:t xml:space="preserve"> the primary </w:t>
      </w:r>
      <w:r>
        <w:rPr>
          <w:spacing w:val="-3"/>
        </w:rPr>
        <w:t>graphite/cementite phase</w:t>
      </w:r>
      <w:r w:rsidR="004E243B">
        <w:rPr>
          <w:spacing w:val="-3"/>
        </w:rPr>
        <w:t>s</w:t>
      </w:r>
      <w:r>
        <w:rPr>
          <w:spacing w:val="-3"/>
        </w:rPr>
        <w:t xml:space="preserve"> nucleate and grow before the onset of the eutectic </w:t>
      </w:r>
      <w:r w:rsidR="006E6FC2">
        <w:rPr>
          <w:spacing w:val="-3"/>
        </w:rPr>
        <w:t>solidification.</w:t>
      </w:r>
    </w:p>
    <w:p w14:paraId="2AD1B4D2" w14:textId="77777777" w:rsidR="00015B17" w:rsidRDefault="00015B17" w:rsidP="00015B17">
      <w:pPr>
        <w:suppressAutoHyphens/>
        <w:spacing w:line="360" w:lineRule="auto"/>
        <w:rPr>
          <w:spacing w:val="-3"/>
        </w:rPr>
      </w:pPr>
    </w:p>
    <w:p w14:paraId="4A12B1DB" w14:textId="03AAEDA2" w:rsidR="00015B17" w:rsidRDefault="00015B17" w:rsidP="00015B17">
      <w:pPr>
        <w:suppressAutoHyphens/>
        <w:spacing w:line="360" w:lineRule="auto"/>
        <w:rPr>
          <w:spacing w:val="-3"/>
        </w:rPr>
      </w:pPr>
      <w:r>
        <w:rPr>
          <w:spacing w:val="-3"/>
        </w:rPr>
        <w:tab/>
        <w:t xml:space="preserve">Tian and Stefanescu (1993) performed quenching experiments to study the nucleation of austenite grains in hypoeutectic cast irons. With </w:t>
      </w:r>
      <w:r w:rsidR="004E243B">
        <w:rPr>
          <w:spacing w:val="-3"/>
        </w:rPr>
        <w:t xml:space="preserve">an </w:t>
      </w:r>
      <w:r>
        <w:rPr>
          <w:spacing w:val="-3"/>
        </w:rPr>
        <w:t xml:space="preserve">increase in cooling rate, </w:t>
      </w:r>
      <w:r w:rsidR="004E243B">
        <w:rPr>
          <w:spacing w:val="-3"/>
        </w:rPr>
        <w:t xml:space="preserve">the </w:t>
      </w:r>
      <w:r>
        <w:rPr>
          <w:spacing w:val="-3"/>
        </w:rPr>
        <w:t>number of austenite dendrites that nucleated from the melt increased. The number of austenite grains nucleated had a quadratic dependence on the melt undercooling. Because of the symmetric coupled zone in the white cast iron eutectic, the primary austenite growth does not have much influence on the eutectic l</w:t>
      </w:r>
      <w:r w:rsidR="00B06866">
        <w:rPr>
          <w:spacing w:val="-3"/>
        </w:rPr>
        <w:t>e</w:t>
      </w:r>
      <w:r>
        <w:rPr>
          <w:spacing w:val="-3"/>
        </w:rPr>
        <w:t>deburite solidification (Mampey, 2001). Since there is asymmetry in the stable gray iron coupled eutectic zone, effects of cooling will be more pronounced on the amount of austenite that forms in comparison with the amount predicted by equilibrium solidification</w:t>
      </w:r>
      <w:r w:rsidR="00B06866">
        <w:rPr>
          <w:spacing w:val="-3"/>
        </w:rPr>
        <w:t xml:space="preserve"> (solidification under global equilibrium conditions is a good approximation for the solidification of Fe-C because of the fast interstitial diffusion rate of C in Fe).</w:t>
      </w:r>
    </w:p>
    <w:p w14:paraId="4A3E0908" w14:textId="77777777" w:rsidR="00015B17" w:rsidRDefault="00015B17" w:rsidP="00015B17">
      <w:pPr>
        <w:suppressAutoHyphens/>
        <w:spacing w:line="360" w:lineRule="auto"/>
        <w:rPr>
          <w:spacing w:val="-3"/>
        </w:rPr>
      </w:pPr>
    </w:p>
    <w:p w14:paraId="48ED5604" w14:textId="08D84975" w:rsidR="00015B17" w:rsidRDefault="00015B17" w:rsidP="00015B17">
      <w:pPr>
        <w:suppressAutoHyphens/>
        <w:spacing w:line="360" w:lineRule="auto"/>
        <w:rPr>
          <w:spacing w:val="-3"/>
        </w:rPr>
      </w:pPr>
      <w:r>
        <w:rPr>
          <w:spacing w:val="-3"/>
        </w:rPr>
        <w:tab/>
        <w:t xml:space="preserve">A comprehensive review of the mechanism of formation of graphite from liquid is provided by Banerjee and Stefanescu (1991) and Stefanescu (2009). They postulated that spheroidal graphite is the natural form of graphite that forms from liquid. The presence of impurities such as S and O alters this natural shape to a flake graphite form </w:t>
      </w:r>
      <w:r w:rsidR="00B06866">
        <w:rPr>
          <w:spacing w:val="-3"/>
        </w:rPr>
        <w:t>possibly</w:t>
      </w:r>
      <w:r w:rsidR="004E243B">
        <w:rPr>
          <w:spacing w:val="-3"/>
        </w:rPr>
        <w:t xml:space="preserve"> due to a</w:t>
      </w:r>
      <w:r>
        <w:rPr>
          <w:spacing w:val="-3"/>
        </w:rPr>
        <w:t xml:space="preserve"> surface adsorption mechanism. Growth of intermediate graphite shapes such as compacted graphite may possibly result from a mixed growth mechanism (Zhu et al., 1985). </w:t>
      </w:r>
    </w:p>
    <w:p w14:paraId="5409B6B0" w14:textId="77777777" w:rsidR="00015B17" w:rsidRDefault="00015B17" w:rsidP="00015B17">
      <w:pPr>
        <w:suppressAutoHyphens/>
        <w:spacing w:line="360" w:lineRule="auto"/>
        <w:rPr>
          <w:spacing w:val="-3"/>
        </w:rPr>
      </w:pPr>
    </w:p>
    <w:p w14:paraId="13B2529C" w14:textId="77777777" w:rsidR="00015B17" w:rsidRDefault="00015B17" w:rsidP="00015B17">
      <w:pPr>
        <w:suppressAutoHyphens/>
        <w:spacing w:line="360" w:lineRule="auto"/>
        <w:rPr>
          <w:spacing w:val="-3"/>
        </w:rPr>
      </w:pPr>
      <w:r>
        <w:rPr>
          <w:b/>
          <w:bCs/>
          <w:spacing w:val="-3"/>
        </w:rPr>
        <w:tab/>
      </w:r>
      <w:r>
        <w:rPr>
          <w:spacing w:val="-3"/>
        </w:rPr>
        <w:t xml:space="preserve">The morphology and characteristic of the eutectic, whether stable or metastable, with or without modification, are very important in determining the physical and thermal </w:t>
      </w:r>
      <w:r>
        <w:rPr>
          <w:spacing w:val="-3"/>
        </w:rPr>
        <w:lastRenderedPageBreak/>
        <w:t>properties. Thus, it is worthwhile to consider the most important eutectic structures observed. The microstructure</w:t>
      </w:r>
      <w:r w:rsidR="00F16A9B">
        <w:rPr>
          <w:spacing w:val="-3"/>
        </w:rPr>
        <w:t>s</w:t>
      </w:r>
      <w:r>
        <w:rPr>
          <w:spacing w:val="-3"/>
        </w:rPr>
        <w:t xml:space="preserve"> of these major forms are shown for example by STEFANESCU [1988].</w:t>
      </w:r>
    </w:p>
    <w:p w14:paraId="3B17E7E4" w14:textId="77777777" w:rsidR="00015B17" w:rsidRDefault="00015B17" w:rsidP="00015B17">
      <w:pPr>
        <w:suppressAutoHyphens/>
        <w:spacing w:line="360" w:lineRule="auto"/>
        <w:rPr>
          <w:spacing w:val="-3"/>
        </w:rPr>
      </w:pPr>
    </w:p>
    <w:p w14:paraId="1F27D8AB" w14:textId="77777777" w:rsidR="00015B17" w:rsidRDefault="00015B17" w:rsidP="00015B17">
      <w:pPr>
        <w:suppressAutoHyphens/>
        <w:spacing w:line="360" w:lineRule="auto"/>
        <w:rPr>
          <w:spacing w:val="-3"/>
        </w:rPr>
      </w:pPr>
      <w:r>
        <w:rPr>
          <w:b/>
          <w:bCs/>
          <w:spacing w:val="-3"/>
        </w:rPr>
        <w:tab/>
      </w:r>
      <w:r w:rsidRPr="000F1C11">
        <w:rPr>
          <w:bCs/>
          <w:i/>
          <w:iCs/>
          <w:spacing w:val="-3"/>
        </w:rPr>
        <w:t>White Irons</w:t>
      </w:r>
      <w:r w:rsidRPr="000F1C11">
        <w:rPr>
          <w:spacing w:val="-3"/>
        </w:rPr>
        <w:t>:</w:t>
      </w:r>
      <w:r>
        <w:rPr>
          <w:spacing w:val="-3"/>
        </w:rPr>
        <w:t xml:space="preserve"> The metastable unalloyed Fe-Fe</w:t>
      </w:r>
      <w:r w:rsidRPr="00911EC5">
        <w:rPr>
          <w:spacing w:val="-3"/>
          <w:sz w:val="26"/>
          <w:vertAlign w:val="subscript"/>
        </w:rPr>
        <w:t>3</w:t>
      </w:r>
      <w:r>
        <w:rPr>
          <w:spacing w:val="-3"/>
        </w:rPr>
        <w:t>C ledeburite eutectic is classified as quasi- regular. HILLERT and SUBBARAO [1968] described the mode of growth of the eutectic as well as the orientations arising between Fe</w:t>
      </w:r>
      <w:r w:rsidRPr="00911EC5">
        <w:rPr>
          <w:spacing w:val="-3"/>
          <w:sz w:val="26"/>
          <w:vertAlign w:val="subscript"/>
        </w:rPr>
        <w:t>3</w:t>
      </w:r>
      <w:r>
        <w:rPr>
          <w:spacing w:val="-3"/>
        </w:rPr>
        <w:t xml:space="preserve">C and </w:t>
      </w:r>
      <w:r w:rsidRPr="006E47EB">
        <w:rPr>
          <w:spacing w:val="-3"/>
          <w:position w:val="-10"/>
        </w:rPr>
        <w:object w:dxaOrig="200" w:dyaOrig="260" w14:anchorId="54719DDA">
          <v:shape id="_x0000_i1663" type="#_x0000_t75" style="width:10.3pt;height:13.1pt" o:ole="">
            <v:imagedata r:id="rId1223" o:title=""/>
          </v:shape>
          <o:OLEObject Type="Embed" ProgID="Equation.DSMT4" ShapeID="_x0000_i1663" DrawAspect="Content" ObjectID="_1840627229" r:id="rId1224"/>
        </w:object>
      </w:r>
      <w:r>
        <w:rPr>
          <w:spacing w:val="-3"/>
        </w:rPr>
        <w:t>-austenite. POWELL [1980] has shown that the eutectic structure can be modified by quenching. By adding Cr or Mg, a plate-like Fe</w:t>
      </w:r>
      <w:r w:rsidRPr="00911EC5">
        <w:rPr>
          <w:spacing w:val="-3"/>
          <w:sz w:val="26"/>
          <w:vertAlign w:val="subscript"/>
        </w:rPr>
        <w:t>3</w:t>
      </w:r>
      <w:r>
        <w:rPr>
          <w:spacing w:val="-3"/>
        </w:rPr>
        <w:t>C structure associated with equiaxed grains can be achieved (STEFANESCU [1988]).</w:t>
      </w:r>
    </w:p>
    <w:p w14:paraId="56AFCC7F" w14:textId="77777777" w:rsidR="00015B17" w:rsidRDefault="00015B17" w:rsidP="00015B17">
      <w:pPr>
        <w:suppressAutoHyphens/>
        <w:spacing w:line="360" w:lineRule="auto"/>
        <w:rPr>
          <w:spacing w:val="-3"/>
        </w:rPr>
      </w:pPr>
    </w:p>
    <w:p w14:paraId="3144FCB4" w14:textId="6C86C459" w:rsidR="00015B17" w:rsidRDefault="00015B17" w:rsidP="00015B17">
      <w:pPr>
        <w:suppressAutoHyphens/>
        <w:spacing w:line="360" w:lineRule="auto"/>
        <w:rPr>
          <w:spacing w:val="-3"/>
        </w:rPr>
      </w:pPr>
      <w:r>
        <w:rPr>
          <w:b/>
          <w:bCs/>
          <w:spacing w:val="-3"/>
        </w:rPr>
        <w:tab/>
      </w:r>
      <w:r w:rsidRPr="002D0BE6">
        <w:rPr>
          <w:bCs/>
          <w:i/>
          <w:iCs/>
          <w:spacing w:val="-3"/>
        </w:rPr>
        <w:t>Grey Iron</w:t>
      </w:r>
      <w:r w:rsidRPr="002D0BE6">
        <w:rPr>
          <w:bCs/>
          <w:spacing w:val="-3"/>
        </w:rPr>
        <w:t>s</w:t>
      </w:r>
      <w:r w:rsidRPr="002D0BE6">
        <w:rPr>
          <w:spacing w:val="-3"/>
        </w:rPr>
        <w:t>:</w:t>
      </w:r>
      <w:r>
        <w:rPr>
          <w:spacing w:val="-3"/>
        </w:rPr>
        <w:t xml:space="preserve"> For high purity Fe-C-Si alloys, the structure of the Fe-</w:t>
      </w:r>
      <w:r w:rsidR="00702380">
        <w:rPr>
          <w:spacing w:val="-3"/>
        </w:rPr>
        <w:t>graphite</w:t>
      </w:r>
      <w:r>
        <w:rPr>
          <w:spacing w:val="-3"/>
        </w:rPr>
        <w:t xml:space="preserve"> eutectic is</w:t>
      </w:r>
      <w:r>
        <w:rPr>
          <w:i/>
          <w:iCs/>
          <w:spacing w:val="-3"/>
        </w:rPr>
        <w:t xml:space="preserve"> spheroidal</w:t>
      </w:r>
      <w:r>
        <w:rPr>
          <w:spacing w:val="-3"/>
        </w:rPr>
        <w:t xml:space="preserve"> (SADOCHA and GRUZLESKY [1975]). However as stated above the presence of impurities in the melt </w:t>
      </w:r>
      <w:r w:rsidR="004E243B">
        <w:rPr>
          <w:spacing w:val="-3"/>
        </w:rPr>
        <w:t xml:space="preserve">causes </w:t>
      </w:r>
      <w:r>
        <w:rPr>
          <w:spacing w:val="-3"/>
        </w:rPr>
        <w:t xml:space="preserve">the graphite to take a flake morphology and grey flake iron is considered to be the </w:t>
      </w:r>
      <w:r>
        <w:rPr>
          <w:i/>
          <w:iCs/>
          <w:spacing w:val="-3"/>
        </w:rPr>
        <w:t>characteristic</w:t>
      </w:r>
      <w:r>
        <w:rPr>
          <w:spacing w:val="-3"/>
        </w:rPr>
        <w:t xml:space="preserve"> form from a practical point of view. Modification of this structure gives different graphite morphologies: </w:t>
      </w:r>
      <w:r>
        <w:rPr>
          <w:i/>
          <w:iCs/>
          <w:spacing w:val="-3"/>
        </w:rPr>
        <w:t>nodular</w:t>
      </w:r>
      <w:r>
        <w:rPr>
          <w:spacing w:val="-3"/>
        </w:rPr>
        <w:t xml:space="preserve">, </w:t>
      </w:r>
      <w:r>
        <w:rPr>
          <w:i/>
          <w:iCs/>
          <w:spacing w:val="-3"/>
        </w:rPr>
        <w:t>compact</w:t>
      </w:r>
      <w:r>
        <w:rPr>
          <w:spacing w:val="-3"/>
        </w:rPr>
        <w:t xml:space="preserve"> or </w:t>
      </w:r>
      <w:r>
        <w:rPr>
          <w:i/>
          <w:iCs/>
          <w:spacing w:val="-3"/>
        </w:rPr>
        <w:t>vermicular</w:t>
      </w:r>
      <w:r>
        <w:rPr>
          <w:spacing w:val="-3"/>
        </w:rPr>
        <w:t xml:space="preserve">, and </w:t>
      </w:r>
      <w:r>
        <w:rPr>
          <w:i/>
          <w:iCs/>
          <w:spacing w:val="-3"/>
        </w:rPr>
        <w:t>coral</w:t>
      </w:r>
      <w:r>
        <w:rPr>
          <w:spacing w:val="-3"/>
        </w:rPr>
        <w:t>. We shall be concerned only with the growth of eutectic structures without a primary phase and we will refer mainly to the three structures widely used in industry: flake, compact or vermicular, and nodular or spheroidal cast iron.</w:t>
      </w:r>
    </w:p>
    <w:p w14:paraId="3E9F53B1" w14:textId="77777777" w:rsidR="00015B17" w:rsidRDefault="00015B17" w:rsidP="00015B17">
      <w:pPr>
        <w:suppressAutoHyphens/>
        <w:spacing w:line="360" w:lineRule="auto"/>
        <w:rPr>
          <w:spacing w:val="-3"/>
        </w:rPr>
      </w:pPr>
    </w:p>
    <w:p w14:paraId="015A8007" w14:textId="77777777" w:rsidR="00015B17" w:rsidRDefault="00015B17" w:rsidP="00015B17">
      <w:pPr>
        <w:suppressAutoHyphens/>
        <w:spacing w:line="360" w:lineRule="auto"/>
        <w:rPr>
          <w:spacing w:val="-3"/>
        </w:rPr>
      </w:pPr>
      <w:r>
        <w:rPr>
          <w:spacing w:val="-3"/>
        </w:rPr>
        <w:tab/>
      </w:r>
      <w:r>
        <w:rPr>
          <w:i/>
          <w:iCs/>
          <w:spacing w:val="-3"/>
        </w:rPr>
        <w:t>Grey flake irons</w:t>
      </w:r>
      <w:r>
        <w:rPr>
          <w:spacing w:val="-3"/>
        </w:rPr>
        <w:t>: the growth of the flake structure is well understood. Once graphite has nucleated, the eutectic cell or colony grows in an approximately radial manner and each flake is in contact with austenite up to the growing edge. The crystals of graphite grow in the close packed strong bonding "</w:t>
      </w:r>
      <w:r w:rsidRPr="003E0F31">
        <w:rPr>
          <w:i/>
          <w:spacing w:val="-3"/>
        </w:rPr>
        <w:t>a</w:t>
      </w:r>
      <w:r>
        <w:rPr>
          <w:spacing w:val="-3"/>
        </w:rPr>
        <w:t xml:space="preserve">" </w:t>
      </w:r>
      <w:r w:rsidR="00B06866">
        <w:rPr>
          <w:spacing w:val="-3"/>
        </w:rPr>
        <w:t xml:space="preserve">crystallographic </w:t>
      </w:r>
      <w:r>
        <w:rPr>
          <w:spacing w:val="-3"/>
        </w:rPr>
        <w:t xml:space="preserve">direction using steps created by rotation boundaries. These boundaries are defects in the crystals in the form of rotations of the lattice around the &lt;0001&gt; axis. According to MINKOFF [1990], the screw dislocations on </w:t>
      </w:r>
      <w:r w:rsidRPr="006E47EB">
        <w:rPr>
          <w:spacing w:val="-3"/>
          <w:position w:val="-16"/>
        </w:rPr>
        <w:object w:dxaOrig="740" w:dyaOrig="440" w14:anchorId="25C19ED2">
          <v:shape id="_x0000_i1664" type="#_x0000_t75" style="width:36.45pt;height:21.5pt" o:ole="">
            <v:imagedata r:id="rId1225" o:title=""/>
          </v:shape>
          <o:OLEObject Type="Embed" ProgID="Equation.DSMT4" ShapeID="_x0000_i1664" DrawAspect="Content" ObjectID="_1840627230" r:id="rId1226"/>
        </w:object>
      </w:r>
      <w:r>
        <w:rPr>
          <w:spacing w:val="-3"/>
        </w:rPr>
        <w:t xml:space="preserve"> planes, which have been proposed as an alternative growth mechanism, are inactive (Fig.</w:t>
      </w:r>
      <w:r w:rsidR="004E243B">
        <w:rPr>
          <w:spacing w:val="-3"/>
        </w:rPr>
        <w:t xml:space="preserve"> </w:t>
      </w:r>
      <w:r>
        <w:rPr>
          <w:spacing w:val="-3"/>
        </w:rPr>
        <w:t xml:space="preserve">8.13a). ELLIOTT [1988], STEFANESCU [1988] and SKALAND </w:t>
      </w:r>
      <w:r>
        <w:rPr>
          <w:i/>
          <w:iCs/>
          <w:spacing w:val="-3"/>
        </w:rPr>
        <w:t>et al.</w:t>
      </w:r>
      <w:r>
        <w:rPr>
          <w:spacing w:val="-3"/>
        </w:rPr>
        <w:t xml:space="preserve"> [1993] discuss the effect of S and O as promoters of the flake graphite morphology on the basis of their </w:t>
      </w:r>
      <w:r>
        <w:rPr>
          <w:spacing w:val="-3"/>
        </w:rPr>
        <w:lastRenderedPageBreak/>
        <w:t xml:space="preserve">adsorption on the high-energy </w:t>
      </w:r>
      <w:r w:rsidRPr="006E47EB">
        <w:rPr>
          <w:spacing w:val="-3"/>
          <w:position w:val="-16"/>
        </w:rPr>
        <w:object w:dxaOrig="740" w:dyaOrig="440" w14:anchorId="0FF6A3FA">
          <v:shape id="_x0000_i1665" type="#_x0000_t75" style="width:36.45pt;height:21.5pt" o:ole="">
            <v:imagedata r:id="rId1227" o:title=""/>
          </v:shape>
          <o:OLEObject Type="Embed" ProgID="Equation.DSMT4" ShapeID="_x0000_i1665" DrawAspect="Content" ObjectID="_1840627231" r:id="rId1228"/>
        </w:object>
      </w:r>
      <w:r>
        <w:rPr>
          <w:spacing w:val="-3"/>
        </w:rPr>
        <w:t>plane.  Thus, growth becomes predominant</w:t>
      </w:r>
      <w:r w:rsidR="00702380">
        <w:rPr>
          <w:spacing w:val="-3"/>
        </w:rPr>
        <w:t>ly</w:t>
      </w:r>
      <w:r>
        <w:rPr>
          <w:spacing w:val="-3"/>
        </w:rPr>
        <w:t xml:space="preserve"> in the "</w:t>
      </w:r>
      <w:r w:rsidRPr="003E0F31">
        <w:rPr>
          <w:i/>
          <w:spacing w:val="-3"/>
        </w:rPr>
        <w:t>a</w:t>
      </w:r>
      <w:r>
        <w:rPr>
          <w:spacing w:val="-3"/>
        </w:rPr>
        <w:t>" direction. The result is a</w:t>
      </w:r>
      <w:r>
        <w:rPr>
          <w:i/>
          <w:iCs/>
          <w:spacing w:val="-3"/>
        </w:rPr>
        <w:t xml:space="preserve"> plate</w:t>
      </w:r>
      <w:r w:rsidR="004E243B">
        <w:rPr>
          <w:i/>
          <w:iCs/>
          <w:spacing w:val="-3"/>
        </w:rPr>
        <w:t>-</w:t>
      </w:r>
      <w:r>
        <w:rPr>
          <w:i/>
          <w:iCs/>
          <w:spacing w:val="-3"/>
        </w:rPr>
        <w:t>like</w:t>
      </w:r>
      <w:r>
        <w:rPr>
          <w:spacing w:val="-3"/>
        </w:rPr>
        <w:t xml:space="preserve"> or </w:t>
      </w:r>
      <w:r>
        <w:rPr>
          <w:i/>
          <w:iCs/>
          <w:spacing w:val="-3"/>
        </w:rPr>
        <w:t>flake</w:t>
      </w:r>
      <w:r>
        <w:rPr>
          <w:spacing w:val="-3"/>
        </w:rPr>
        <w:t xml:space="preserve"> graphite. </w:t>
      </w:r>
    </w:p>
    <w:p w14:paraId="07EE2E0A" w14:textId="77777777" w:rsidR="00015B17" w:rsidRDefault="00015B17" w:rsidP="00015B17">
      <w:pPr>
        <w:suppressAutoHyphens/>
        <w:spacing w:line="360" w:lineRule="auto"/>
        <w:rPr>
          <w:spacing w:val="-3"/>
        </w:rPr>
      </w:pPr>
    </w:p>
    <w:p w14:paraId="5768F087" w14:textId="38F09D78" w:rsidR="00015B17" w:rsidRDefault="00015B17" w:rsidP="00015B17">
      <w:pPr>
        <w:suppressAutoHyphens/>
        <w:spacing w:line="360" w:lineRule="auto"/>
        <w:ind w:firstLine="720"/>
        <w:rPr>
          <w:spacing w:val="-3"/>
        </w:rPr>
      </w:pPr>
      <w:r>
        <w:rPr>
          <w:i/>
          <w:iCs/>
          <w:spacing w:val="-3"/>
        </w:rPr>
        <w:t>Nodular or Spheroidal</w:t>
      </w:r>
      <w:r w:rsidR="004E243B">
        <w:rPr>
          <w:i/>
          <w:iCs/>
          <w:spacing w:val="-3"/>
        </w:rPr>
        <w:t xml:space="preserve"> Graphite</w:t>
      </w:r>
      <w:r>
        <w:rPr>
          <w:i/>
          <w:iCs/>
          <w:spacing w:val="-3"/>
        </w:rPr>
        <w:t xml:space="preserve"> Irons</w:t>
      </w:r>
      <w:r w:rsidR="004E243B">
        <w:rPr>
          <w:i/>
          <w:iCs/>
          <w:spacing w:val="-3"/>
        </w:rPr>
        <w:t xml:space="preserve"> (SG)</w:t>
      </w:r>
      <w:r>
        <w:rPr>
          <w:spacing w:val="-3"/>
        </w:rPr>
        <w:t xml:space="preserve">. </w:t>
      </w:r>
      <w:r w:rsidR="00000E89">
        <w:rPr>
          <w:spacing w:val="-3"/>
        </w:rPr>
        <w:t>It</w:t>
      </w:r>
      <w:r>
        <w:rPr>
          <w:spacing w:val="-3"/>
        </w:rPr>
        <w:t xml:space="preserve"> has been widely accepted that the growth of this eutectic begins with nucleation and growth of graphite in the liquid, followed by early encapsulation of these graphite spheroids in austenite shells. The result is eutectic cells presenting a single nodule (WETTERFALL</w:t>
      </w:r>
      <w:r>
        <w:rPr>
          <w:i/>
          <w:iCs/>
          <w:spacing w:val="-3"/>
        </w:rPr>
        <w:t xml:space="preserve"> et al.</w:t>
      </w:r>
      <w:r>
        <w:rPr>
          <w:spacing w:val="-3"/>
        </w:rPr>
        <w:t xml:space="preserve"> [1972]). Thus, </w:t>
      </w:r>
      <w:r w:rsidR="004E243B">
        <w:rPr>
          <w:spacing w:val="-3"/>
        </w:rPr>
        <w:t xml:space="preserve">it </w:t>
      </w:r>
      <w:r>
        <w:rPr>
          <w:spacing w:val="-3"/>
        </w:rPr>
        <w:t xml:space="preserve">is common practice in </w:t>
      </w:r>
      <w:r w:rsidR="004E243B">
        <w:rPr>
          <w:spacing w:val="-3"/>
        </w:rPr>
        <w:t xml:space="preserve">the </w:t>
      </w:r>
      <w:r>
        <w:rPr>
          <w:spacing w:val="-3"/>
        </w:rPr>
        <w:t xml:space="preserve">foundry industry to associate the number of nodules to the number of eutectic cells. However research by SIKORA </w:t>
      </w:r>
      <w:r>
        <w:rPr>
          <w:i/>
          <w:iCs/>
          <w:spacing w:val="-3"/>
        </w:rPr>
        <w:t>et al.</w:t>
      </w:r>
      <w:r>
        <w:rPr>
          <w:spacing w:val="-3"/>
        </w:rPr>
        <w:t xml:space="preserve"> [1990]) and BANERJEE and STEFANESCU [1991</w:t>
      </w:r>
      <w:r w:rsidR="007E4C27">
        <w:rPr>
          <w:spacing w:val="-3"/>
        </w:rPr>
        <w:t>, 1991a</w:t>
      </w:r>
      <w:r>
        <w:rPr>
          <w:spacing w:val="-3"/>
        </w:rPr>
        <w:t xml:space="preserve">] indicated the </w:t>
      </w:r>
      <w:r w:rsidR="00E23778">
        <w:rPr>
          <w:spacing w:val="-3"/>
        </w:rPr>
        <w:t>existence</w:t>
      </w:r>
      <w:r>
        <w:rPr>
          <w:spacing w:val="-3"/>
        </w:rPr>
        <w:t xml:space="preserve"> of simultaneous nucleation of both the </w:t>
      </w:r>
      <w:r w:rsidR="006E6FC2">
        <w:rPr>
          <w:spacing w:val="-3"/>
        </w:rPr>
        <w:t xml:space="preserve">dendritic austenite and </w:t>
      </w:r>
      <w:r>
        <w:rPr>
          <w:spacing w:val="-3"/>
        </w:rPr>
        <w:t xml:space="preserve">the spheroidal graphite. Banerjee and Stefanescu (1991) proposed the following theory for the nodular iron eutectic: (i) graphite nodules and austenite nucleate independently in the liquid at the beginning of solidification. Austenite forms because of the asymmetry of the coupled zone; (ii) very limited growth of nodules occurs in </w:t>
      </w:r>
      <w:r w:rsidR="00702380">
        <w:rPr>
          <w:spacing w:val="-3"/>
        </w:rPr>
        <w:t xml:space="preserve">the </w:t>
      </w:r>
      <w:r>
        <w:rPr>
          <w:spacing w:val="-3"/>
        </w:rPr>
        <w:t xml:space="preserve">liquid; (iii) The interaction between both phases during solidification is aided possibly by convection in the liquid; (iv) graphite nodule encapsulation in austenite occurs immediately after these interactions/collisions. This mechanism essentially gives rise to the formation of eutectic cells presenting several nodules in one austenite grain. This is a fact to be taken into account when micromodeling of the structure is attempted; (v) further growth of graphite nodules occur by diffusion of carbon through the austenite shell only after the nodules are </w:t>
      </w:r>
      <w:r w:rsidR="00702380">
        <w:rPr>
          <w:spacing w:val="-3"/>
        </w:rPr>
        <w:t xml:space="preserve">imbedded </w:t>
      </w:r>
      <w:r>
        <w:rPr>
          <w:spacing w:val="-3"/>
        </w:rPr>
        <w:t>in austenite; (vi) austenite dendrites grow partly due to carbon diffusion and also because of melt undercooling and supersaturation. Fig</w:t>
      </w:r>
      <w:r w:rsidR="004E243B">
        <w:rPr>
          <w:spacing w:val="-3"/>
        </w:rPr>
        <w:t>s</w:t>
      </w:r>
      <w:r>
        <w:rPr>
          <w:spacing w:val="-3"/>
        </w:rPr>
        <w:t xml:space="preserve">. 8.14 and 8.15 show a schematic of this mechanism for both directional and multidirectional solidification. This proposed mechanism was demonstrated by Sikora et al. Their study of </w:t>
      </w:r>
      <w:r w:rsidR="00702380">
        <w:rPr>
          <w:spacing w:val="-3"/>
        </w:rPr>
        <w:t xml:space="preserve">the </w:t>
      </w:r>
      <w:r>
        <w:rPr>
          <w:spacing w:val="-3"/>
        </w:rPr>
        <w:t xml:space="preserve">microsegregation pattern around eutectic aggregate demonstrated that solidification in SG iron begins with independent formation of graphite nodules and austenite. Subsequently, graphite nodules are incorporated in growing austenite and grow further by diffusion of carbon through </w:t>
      </w:r>
      <w:r w:rsidR="00702380">
        <w:rPr>
          <w:spacing w:val="-3"/>
        </w:rPr>
        <w:t xml:space="preserve">the </w:t>
      </w:r>
      <w:r>
        <w:rPr>
          <w:spacing w:val="-3"/>
        </w:rPr>
        <w:t xml:space="preserve">austenite shell. </w:t>
      </w:r>
    </w:p>
    <w:p w14:paraId="6FE0478A" w14:textId="77777777" w:rsidR="00015B17" w:rsidRDefault="00015B17" w:rsidP="00015B17">
      <w:pPr>
        <w:suppressAutoHyphens/>
        <w:spacing w:line="360" w:lineRule="auto"/>
        <w:ind w:firstLine="720"/>
        <w:rPr>
          <w:spacing w:val="-3"/>
        </w:rPr>
      </w:pPr>
    </w:p>
    <w:p w14:paraId="0A256F39" w14:textId="77777777" w:rsidR="00015B17" w:rsidRDefault="00015B17" w:rsidP="00015B17">
      <w:pPr>
        <w:suppressAutoHyphens/>
        <w:spacing w:line="360" w:lineRule="auto"/>
        <w:ind w:firstLine="720"/>
        <w:rPr>
          <w:spacing w:val="-3"/>
        </w:rPr>
      </w:pPr>
      <w:r>
        <w:rPr>
          <w:spacing w:val="-3"/>
        </w:rPr>
        <w:t xml:space="preserve">Regarding the spheroidal growth of the graphite, several theories exist in the literature and they have been reviewed by MINKOFF [1983], ELLIOT [1988] and </w:t>
      </w:r>
      <w:r>
        <w:rPr>
          <w:spacing w:val="-3"/>
        </w:rPr>
        <w:lastRenderedPageBreak/>
        <w:t xml:space="preserve">STEFANESCU [1988]. MINKOFF [1990] considers that the relationship among supercooling, melt chemistry and crystalline defects determine the spheroidal growth of the graphite. In this case the screw dislocation mechanism is considered dominant in causing repeated instability of the pyramidal surfaces, so that a radial array of pyramids is formed (Fig.8.13b). </w:t>
      </w:r>
    </w:p>
    <w:p w14:paraId="59289B5F" w14:textId="77777777" w:rsidR="00015B17" w:rsidRDefault="00015B17" w:rsidP="00015B17">
      <w:pPr>
        <w:suppressAutoHyphens/>
        <w:spacing w:line="360" w:lineRule="auto"/>
        <w:ind w:firstLine="720"/>
        <w:rPr>
          <w:spacing w:val="-3"/>
        </w:rPr>
      </w:pPr>
    </w:p>
    <w:p w14:paraId="05DD7829" w14:textId="41B3FE77" w:rsidR="00015B17" w:rsidRDefault="00015B17" w:rsidP="00015B17">
      <w:pPr>
        <w:suppressAutoHyphens/>
        <w:spacing w:line="360" w:lineRule="auto"/>
        <w:ind w:firstLine="720"/>
        <w:rPr>
          <w:spacing w:val="-3"/>
        </w:rPr>
      </w:pPr>
      <w:r>
        <w:rPr>
          <w:i/>
          <w:iCs/>
          <w:spacing w:val="-3"/>
        </w:rPr>
        <w:t>Compact or Vermicular Graphite Irons</w:t>
      </w:r>
      <w:r>
        <w:rPr>
          <w:spacing w:val="-3"/>
        </w:rPr>
        <w:t xml:space="preserve">: This intermediate graphite morphology has been studied extensively </w:t>
      </w:r>
      <w:r w:rsidR="00E23778">
        <w:rPr>
          <w:spacing w:val="-3"/>
        </w:rPr>
        <w:t>due</w:t>
      </w:r>
      <w:r>
        <w:rPr>
          <w:spacing w:val="-3"/>
        </w:rPr>
        <w:t xml:space="preserve"> to its technological importance (RIPOSAN et al [1985]). The graphite is interconnected within the eutectic cell but its growth differs from flake graphite. As in the case of spherulitic growth, several theories exist (STEFANESCU [1988], ELLIOT [1988]). The influence of the melt chemistry is very important. The </w:t>
      </w:r>
      <w:r w:rsidR="00E23778">
        <w:rPr>
          <w:spacing w:val="-3"/>
        </w:rPr>
        <w:t>occurrence</w:t>
      </w:r>
      <w:r>
        <w:rPr>
          <w:spacing w:val="-3"/>
        </w:rPr>
        <w:t xml:space="preserve"> of compact graphite form requires a balance between flake-promoting elements, such as S and O, spheroidizing elements such as Mg, Ce and La, and anti</w:t>
      </w:r>
      <w:r w:rsidR="00FA2661">
        <w:rPr>
          <w:spacing w:val="-3"/>
        </w:rPr>
        <w:t>-</w:t>
      </w:r>
      <w:r>
        <w:rPr>
          <w:spacing w:val="-3"/>
        </w:rPr>
        <w:t xml:space="preserve">spheroidizing elements such as Ti and Al (SUBRAMANIAN </w:t>
      </w:r>
      <w:r>
        <w:rPr>
          <w:i/>
          <w:iCs/>
          <w:spacing w:val="-3"/>
        </w:rPr>
        <w:t>et al.</w:t>
      </w:r>
      <w:r>
        <w:rPr>
          <w:spacing w:val="-3"/>
        </w:rPr>
        <w:t xml:space="preserve"> [1985]). </w:t>
      </w:r>
    </w:p>
    <w:p w14:paraId="1C577EE9" w14:textId="77777777" w:rsidR="00015B17" w:rsidRDefault="00015B17" w:rsidP="00015B17">
      <w:pPr>
        <w:suppressAutoHyphens/>
        <w:spacing w:line="360" w:lineRule="auto"/>
        <w:ind w:firstLine="720"/>
        <w:rPr>
          <w:spacing w:val="-3"/>
        </w:rPr>
      </w:pPr>
    </w:p>
    <w:p w14:paraId="63AC6518" w14:textId="01D5C8C8" w:rsidR="00015B17" w:rsidRDefault="00015B17" w:rsidP="00015B17">
      <w:pPr>
        <w:suppressAutoHyphens/>
        <w:spacing w:line="360" w:lineRule="auto"/>
        <w:rPr>
          <w:spacing w:val="-3"/>
        </w:rPr>
      </w:pPr>
      <w:r>
        <w:rPr>
          <w:spacing w:val="-3"/>
        </w:rPr>
        <w:tab/>
        <w:t>MINKOFF [1990], in his general approach to the interdependence of supercooling, chemical composition and crystalline defects, considered that compact or vermicular graphite forms are intermediate between flake and spherulitic formation, and that the rounded morphology of the structure is a result of the thickening of graphite crystals at small values of supercooling by growth from the steps of screw dislocations, which have Burgers vector in the &lt;0001&gt; direction. (</w:t>
      </w:r>
      <w:r w:rsidR="004E243B">
        <w:rPr>
          <w:spacing w:val="-3"/>
        </w:rPr>
        <w:t xml:space="preserve">Fig. </w:t>
      </w:r>
      <w:r>
        <w:rPr>
          <w:spacing w:val="-3"/>
        </w:rPr>
        <w:t>8.1</w:t>
      </w:r>
      <w:r w:rsidR="005B339D">
        <w:rPr>
          <w:spacing w:val="-3"/>
        </w:rPr>
        <w:t>3</w:t>
      </w:r>
      <w:r>
        <w:rPr>
          <w:spacing w:val="-3"/>
        </w:rPr>
        <w:t xml:space="preserve">c). We consider that the mechanisms of graphite growth as well as modification by proper chemical agents is an open research field. </w:t>
      </w:r>
      <w:r w:rsidR="00000E89">
        <w:rPr>
          <w:spacing w:val="-3"/>
        </w:rPr>
        <w:t xml:space="preserve">Unidirectional </w:t>
      </w:r>
      <w:r>
        <w:rPr>
          <w:spacing w:val="-3"/>
        </w:rPr>
        <w:t xml:space="preserve">solidification of flake and compact graphite irons with and without "in situ" modification in front of the </w:t>
      </w:r>
      <w:r w:rsidR="004201E7">
        <w:rPr>
          <w:spacing w:val="-3"/>
        </w:rPr>
        <w:t>L-S</w:t>
      </w:r>
      <w:r>
        <w:rPr>
          <w:spacing w:val="-3"/>
        </w:rPr>
        <w:t xml:space="preserve"> interface open questions about the forms of crystalline growth of the graphite phase, as well as the influence of the impurities and chemical agents on the surface tension of the Fe-G eutectic phases (ROVIGLIONE and HERMIDA [1994]. </w:t>
      </w:r>
    </w:p>
    <w:p w14:paraId="67AF2940" w14:textId="77777777" w:rsidR="00015B17" w:rsidRDefault="00015B17" w:rsidP="00015B17">
      <w:pPr>
        <w:suppressAutoHyphens/>
        <w:spacing w:line="360" w:lineRule="auto"/>
        <w:rPr>
          <w:spacing w:val="-3"/>
        </w:rPr>
      </w:pPr>
    </w:p>
    <w:p w14:paraId="45CE6CCB" w14:textId="77777777" w:rsidR="00015B17" w:rsidRDefault="00015B17" w:rsidP="00015B17">
      <w:pPr>
        <w:suppressAutoHyphens/>
        <w:spacing w:line="360" w:lineRule="auto"/>
        <w:rPr>
          <w:spacing w:val="-3"/>
        </w:rPr>
      </w:pPr>
      <w:r>
        <w:rPr>
          <w:spacing w:val="-3"/>
        </w:rPr>
        <w:tab/>
        <w:t xml:space="preserve">The complete structural transition in hypoeutectic Cerium-treated nodular cast iron has been extensively studied by Banerjee and Stefanescu </w:t>
      </w:r>
      <w:r w:rsidR="00702380">
        <w:rPr>
          <w:spacing w:val="-3"/>
        </w:rPr>
        <w:t xml:space="preserve">using directional solidification experiments </w:t>
      </w:r>
      <w:r>
        <w:rPr>
          <w:spacing w:val="-3"/>
        </w:rPr>
        <w:t xml:space="preserve">(1991). They varied G/V ratio and level of Cerium impurity in directional solidification experiments. They showed that </w:t>
      </w:r>
      <w:r w:rsidR="004E243B">
        <w:rPr>
          <w:spacing w:val="-3"/>
        </w:rPr>
        <w:t xml:space="preserve">the </w:t>
      </w:r>
      <w:r>
        <w:rPr>
          <w:spacing w:val="-3"/>
        </w:rPr>
        <w:t xml:space="preserve">metastable to stable transition depends </w:t>
      </w:r>
      <w:r>
        <w:rPr>
          <w:spacing w:val="-3"/>
        </w:rPr>
        <w:lastRenderedPageBreak/>
        <w:t xml:space="preserve">mainly on the G/V ratio. However, </w:t>
      </w:r>
      <w:r w:rsidR="004E243B">
        <w:rPr>
          <w:spacing w:val="-3"/>
        </w:rPr>
        <w:t xml:space="preserve">the </w:t>
      </w:r>
      <w:r>
        <w:rPr>
          <w:spacing w:val="-3"/>
        </w:rPr>
        <w:t xml:space="preserve">transition from one graphite shape to another (e.g., flake or lamellar to compacted to nodular) depended mostly on the Cerium level in the melt (see Fig. 8.16). Values of </w:t>
      </w:r>
      <w:r w:rsidR="004E243B">
        <w:rPr>
          <w:spacing w:val="-3"/>
        </w:rPr>
        <w:t xml:space="preserve">the </w:t>
      </w:r>
      <w:r>
        <w:rPr>
          <w:spacing w:val="-3"/>
        </w:rPr>
        <w:t>shape factor (nodularity) indicated that only quasi-spheroidal nodules were possible in these cerium-treated cast irons. Fig. 8.17 shows the typical microstructure obtained for each type of graphite morphology in these experiments.</w:t>
      </w:r>
    </w:p>
    <w:p w14:paraId="1B307AD8" w14:textId="77777777" w:rsidR="00015B17" w:rsidRDefault="00015B17" w:rsidP="00015B17">
      <w:pPr>
        <w:suppressAutoHyphens/>
        <w:spacing w:line="360" w:lineRule="auto"/>
        <w:rPr>
          <w:spacing w:val="-3"/>
        </w:rPr>
      </w:pPr>
    </w:p>
    <w:p w14:paraId="2DE574CE" w14:textId="31756F14" w:rsidR="00015B17" w:rsidRDefault="00015B17" w:rsidP="00015B17">
      <w:pPr>
        <w:suppressAutoHyphens/>
        <w:spacing w:line="360" w:lineRule="auto"/>
        <w:rPr>
          <w:spacing w:val="-3"/>
        </w:rPr>
      </w:pPr>
      <w:r>
        <w:rPr>
          <w:spacing w:val="-3"/>
        </w:rPr>
        <w:t xml:space="preserve"> </w:t>
      </w:r>
      <w:r>
        <w:rPr>
          <w:spacing w:val="-3"/>
        </w:rPr>
        <w:tab/>
        <w:t xml:space="preserve">Based on the experimental work by Rickert and Engler (1985) and the work by Banerjee and Stefanescu (1991), a sequence of changes in the eutectic morphology in directionally solidified cast iron is proposed in Fig. 8.18. As </w:t>
      </w:r>
      <w:r w:rsidRPr="003E0F31">
        <w:rPr>
          <w:i/>
          <w:spacing w:val="-3"/>
        </w:rPr>
        <w:t>G/V</w:t>
      </w:r>
      <w:r>
        <w:rPr>
          <w:spacing w:val="-3"/>
        </w:rPr>
        <w:t xml:space="preserve"> decreases or </w:t>
      </w:r>
      <w:r w:rsidRPr="003E0F31">
        <w:rPr>
          <w:i/>
          <w:spacing w:val="-3"/>
        </w:rPr>
        <w:t>C</w:t>
      </w:r>
      <w:r w:rsidR="00911EC5">
        <w:rPr>
          <w:i/>
          <w:spacing w:val="-3"/>
          <w:sz w:val="26"/>
          <w:vertAlign w:val="subscript"/>
        </w:rPr>
        <w:t>0</w:t>
      </w:r>
      <w:r>
        <w:rPr>
          <w:spacing w:val="-3"/>
        </w:rPr>
        <w:t xml:space="preserve"> increases (reactive impurity level, e.g., Ce, Mg), the solid/liquid interface changes from planar to cellular to equiaxed while the graphite shape remained largely flakes. Cooperative growth of austenite and graphite occurs. Further decrease of </w:t>
      </w:r>
      <w:r w:rsidRPr="003E0F31">
        <w:rPr>
          <w:i/>
          <w:spacing w:val="-3"/>
        </w:rPr>
        <w:t>G/V</w:t>
      </w:r>
      <w:r>
        <w:rPr>
          <w:spacing w:val="-3"/>
        </w:rPr>
        <w:t xml:space="preserve"> and increase in C</w:t>
      </w:r>
      <w:r w:rsidRPr="00FA435B">
        <w:rPr>
          <w:spacing w:val="-3"/>
          <w:vertAlign w:val="subscript"/>
        </w:rPr>
        <w:t>o</w:t>
      </w:r>
      <w:r>
        <w:rPr>
          <w:spacing w:val="-3"/>
        </w:rPr>
        <w:t xml:space="preserve"> results in a formation of an irregular interface, with austenite dendrites protruding in the liquid. Graphite becomes compacted and then spheroidal. Eutectic growth is </w:t>
      </w:r>
      <w:r w:rsidR="00702380">
        <w:rPr>
          <w:spacing w:val="-3"/>
        </w:rPr>
        <w:t>not coupled</w:t>
      </w:r>
      <w:r>
        <w:rPr>
          <w:spacing w:val="-3"/>
        </w:rPr>
        <w:t>.</w:t>
      </w:r>
    </w:p>
    <w:p w14:paraId="56BECF7D" w14:textId="77777777" w:rsidR="00015B17" w:rsidRDefault="00015B17" w:rsidP="00015B17">
      <w:pPr>
        <w:suppressAutoHyphens/>
        <w:spacing w:line="360" w:lineRule="auto"/>
        <w:rPr>
          <w:spacing w:val="-3"/>
        </w:rPr>
      </w:pPr>
    </w:p>
    <w:p w14:paraId="712AC147" w14:textId="77777777" w:rsidR="00015B17" w:rsidRDefault="00015B17" w:rsidP="00015B17">
      <w:pPr>
        <w:suppressAutoHyphens/>
        <w:spacing w:line="360" w:lineRule="auto"/>
        <w:rPr>
          <w:spacing w:val="-3"/>
        </w:rPr>
      </w:pPr>
      <w:r w:rsidRPr="00594B02">
        <w:rPr>
          <w:i/>
          <w:spacing w:val="-3"/>
        </w:rPr>
        <w:t>Gray to White Eutectic Transition</w:t>
      </w:r>
      <w:r>
        <w:rPr>
          <w:spacing w:val="-3"/>
        </w:rPr>
        <w:t>:</w:t>
      </w:r>
    </w:p>
    <w:p w14:paraId="1045BCF4" w14:textId="5EB494A0" w:rsidR="00015B17" w:rsidRDefault="00015B17" w:rsidP="00015B17">
      <w:pPr>
        <w:suppressAutoHyphens/>
        <w:spacing w:line="360" w:lineRule="auto"/>
        <w:rPr>
          <w:spacing w:val="-3"/>
        </w:rPr>
      </w:pPr>
      <w:r>
        <w:rPr>
          <w:spacing w:val="-3"/>
        </w:rPr>
        <w:tab/>
      </w:r>
      <w:r w:rsidR="004464C8">
        <w:rPr>
          <w:spacing w:val="-3"/>
        </w:rPr>
        <w:t>The u</w:t>
      </w:r>
      <w:r>
        <w:rPr>
          <w:spacing w:val="-3"/>
        </w:rPr>
        <w:t xml:space="preserve">nexpected occurrence of white iron </w:t>
      </w:r>
      <w:r w:rsidR="00702380">
        <w:rPr>
          <w:spacing w:val="-3"/>
        </w:rPr>
        <w:t>(near chill surfaces)</w:t>
      </w:r>
      <w:r>
        <w:rPr>
          <w:spacing w:val="-3"/>
        </w:rPr>
        <w:t xml:space="preserve"> in gray iron castings is a major cause of scrap and economic loss. The tendency for the formation of white iron depends on metallurgical quality of the melt and also cooling conditions prevailing in the castings before the onset of eutectic solidification. The difference between the stable and metastable eutectic temperatures is about 6 </w:t>
      </w:r>
      <w:r w:rsidR="00702380" w:rsidRPr="00883A53">
        <w:rPr>
          <w:spacing w:val="-3"/>
          <w:sz w:val="26"/>
          <w:vertAlign w:val="superscript"/>
        </w:rPr>
        <w:t>°</w:t>
      </w:r>
      <w:r>
        <w:rPr>
          <w:spacing w:val="-3"/>
        </w:rPr>
        <w:t>C in cast iron. This difference can be increased or decreased by addition of alloying elements. Graphitizers such as Si and Ni increase the stable eutectic temperature and reduce the metastable temperature, while carbide promoters such as Cr and V have opposite effect</w:t>
      </w:r>
      <w:r w:rsidR="004E243B">
        <w:rPr>
          <w:spacing w:val="-3"/>
        </w:rPr>
        <w:t xml:space="preserve"> on the eutectic temperatures</w:t>
      </w:r>
      <w:r>
        <w:rPr>
          <w:spacing w:val="-3"/>
        </w:rPr>
        <w:t>. The physical model proposed for the evaluation of stable/metastable eutectic transition is based on a concept of a critical cooling rate. At cooling rates smaller than the critical cooling rate, stable eutectic is formed while at cooling rates higher than the critical cooling rate white iron eutectic is formed. Upadhya et al</w:t>
      </w:r>
      <w:r w:rsidR="0041576B">
        <w:rPr>
          <w:spacing w:val="-3"/>
        </w:rPr>
        <w:t>.</w:t>
      </w:r>
      <w:r>
        <w:rPr>
          <w:spacing w:val="-3"/>
        </w:rPr>
        <w:t xml:space="preserve"> (1990) applied this concept to a test casting with varying section thicknesses. They experimentally determined the value of critical cooling rate for a hypoeutectic gray iron casting. Subsequently they used this value of the critical cooling rate in a solidification modeling algorithm to predict where gray and white regions will form. </w:t>
      </w:r>
      <w:r>
        <w:rPr>
          <w:spacing w:val="-3"/>
        </w:rPr>
        <w:lastRenderedPageBreak/>
        <w:t xml:space="preserve">Their numerical predictions compared reasonably well with experimental data (see Fig. 8.19 a, b). Magnin and Kurz (1985) proposed a similar concept based on the existence of critical solidification velocity. However, nucleation potential of the melt and influence of melt chemistry on the transformation temperatures </w:t>
      </w:r>
      <w:r w:rsidR="004E243B">
        <w:rPr>
          <w:spacing w:val="-3"/>
        </w:rPr>
        <w:t xml:space="preserve">also </w:t>
      </w:r>
      <w:r>
        <w:rPr>
          <w:spacing w:val="-3"/>
        </w:rPr>
        <w:t xml:space="preserve">need to be considered. Fras and Lopez (1993) proposed a concept of </w:t>
      </w:r>
      <w:r w:rsidRPr="000B26D6">
        <w:rPr>
          <w:i/>
          <w:spacing w:val="-3"/>
        </w:rPr>
        <w:t>chilling equivalent</w:t>
      </w:r>
      <w:r>
        <w:rPr>
          <w:spacing w:val="-3"/>
        </w:rPr>
        <w:t xml:space="preserve"> in an empirical expression that included amount of melt superheat, nucleation and growth coefficients, and alloy specific heat. It was shown that </w:t>
      </w:r>
      <w:r w:rsidR="00702380">
        <w:rPr>
          <w:spacing w:val="-3"/>
        </w:rPr>
        <w:t>white iron formations on chill surfaces</w:t>
      </w:r>
      <w:r>
        <w:rPr>
          <w:spacing w:val="-3"/>
        </w:rPr>
        <w:t xml:space="preserve"> decreases with an increase in pouring temperature, eutectic grain density and eutectic growth rates. It may be emphasized here that this type of analysis of </w:t>
      </w:r>
      <w:r w:rsidR="00702380">
        <w:rPr>
          <w:spacing w:val="-3"/>
        </w:rPr>
        <w:t xml:space="preserve">the white iron formation </w:t>
      </w:r>
      <w:r>
        <w:rPr>
          <w:spacing w:val="-3"/>
        </w:rPr>
        <w:t>behavior can be applied in a foundry where melting and inoculation practices are accurately monitored and controlled. Under these conditions, this type of approach for prediction of structural transition can be used as a process control tool.</w:t>
      </w:r>
    </w:p>
    <w:p w14:paraId="5E6E8F5E" w14:textId="77777777" w:rsidR="00015B17" w:rsidRDefault="00015B17" w:rsidP="00015B17">
      <w:pPr>
        <w:suppressAutoHyphens/>
        <w:spacing w:line="360" w:lineRule="auto"/>
        <w:rPr>
          <w:spacing w:val="-3"/>
        </w:rPr>
      </w:pPr>
    </w:p>
    <w:p w14:paraId="527EE1DD" w14:textId="77777777" w:rsidR="00015B17" w:rsidRDefault="00015B17" w:rsidP="00015B17">
      <w:pPr>
        <w:suppressAutoHyphens/>
        <w:spacing w:line="360" w:lineRule="auto"/>
        <w:rPr>
          <w:b/>
          <w:bCs/>
          <w:spacing w:val="-3"/>
        </w:rPr>
      </w:pPr>
      <w:r>
        <w:rPr>
          <w:b/>
          <w:bCs/>
          <w:spacing w:val="-3"/>
        </w:rPr>
        <w:t>8.2 Monotectic solidification</w:t>
      </w:r>
    </w:p>
    <w:p w14:paraId="68ABB785" w14:textId="77777777" w:rsidR="00015B17" w:rsidRDefault="00015B17" w:rsidP="00015B17">
      <w:pPr>
        <w:suppressAutoHyphens/>
        <w:spacing w:line="360" w:lineRule="auto"/>
        <w:rPr>
          <w:b/>
          <w:bCs/>
          <w:spacing w:val="-3"/>
        </w:rPr>
      </w:pPr>
    </w:p>
    <w:p w14:paraId="1EAC5A29" w14:textId="4054B3FE" w:rsidR="00015B17" w:rsidRDefault="00015B17" w:rsidP="00015B17">
      <w:pPr>
        <w:suppressAutoHyphens/>
        <w:spacing w:line="360" w:lineRule="auto"/>
        <w:rPr>
          <w:spacing w:val="-3"/>
        </w:rPr>
      </w:pPr>
      <w:r>
        <w:rPr>
          <w:spacing w:val="-3"/>
        </w:rPr>
        <w:tab/>
        <w:t>In some metallic systems, the liquid separates into two distinct liquid phases of different composition during cooling</w:t>
      </w:r>
      <w:r w:rsidR="00B306CB">
        <w:rPr>
          <w:spacing w:val="-3"/>
        </w:rPr>
        <w:t xml:space="preserve"> prior to any </w:t>
      </w:r>
      <w:r w:rsidR="00FC30A1">
        <w:rPr>
          <w:spacing w:val="-3"/>
        </w:rPr>
        <w:t>solidification</w:t>
      </w:r>
      <w:r>
        <w:rPr>
          <w:spacing w:val="-3"/>
        </w:rPr>
        <w:t>. On the phase diagram, the range of temperature and average composition where this separation occurs, as well as the compositions of the two liquid phases are given by a dome-shaped curve that defines the miscibility gap. The maximum temperature of the miscibility gap is called the critical temperature. An example of a miscibility gap is shown in Fig. 8.20 for the Al-In system.</w:t>
      </w:r>
    </w:p>
    <w:p w14:paraId="550B9F80" w14:textId="77777777" w:rsidR="00015B17" w:rsidRDefault="00015B17" w:rsidP="00015B17">
      <w:pPr>
        <w:suppressAutoHyphens/>
        <w:spacing w:line="360" w:lineRule="auto"/>
        <w:rPr>
          <w:spacing w:val="-3"/>
        </w:rPr>
      </w:pPr>
    </w:p>
    <w:p w14:paraId="39F2CBB7" w14:textId="42B94DB6" w:rsidR="00015B17" w:rsidRDefault="00015B17" w:rsidP="00015B17">
      <w:pPr>
        <w:suppressAutoHyphens/>
        <w:spacing w:line="360" w:lineRule="auto"/>
        <w:rPr>
          <w:spacing w:val="-3"/>
        </w:rPr>
      </w:pPr>
      <w:r>
        <w:rPr>
          <w:spacing w:val="-3"/>
        </w:rPr>
        <w:tab/>
        <w:t xml:space="preserve">Even for alloys outside the miscibility gap, such as for Al-rich alloys in Fig. 8.20, a consideration of the miscibility gap is important in developing an understanding of solidification microstructure. Under ordinary conditions, solidification of these alloys begins with the formation of dendrites of the Al solid phase and enrichment of the liquid remaining between the dendrites with In until the composition reaches the edge of the miscibility gap. This composition (17.3 </w:t>
      </w:r>
      <w:r w:rsidRPr="00FA2661">
        <w:rPr>
          <w:spacing w:val="-3"/>
        </w:rPr>
        <w:t>wt</w:t>
      </w:r>
      <w:r w:rsidR="00FA2661">
        <w:rPr>
          <w:spacing w:val="-3"/>
        </w:rPr>
        <w:t xml:space="preserve"> </w:t>
      </w:r>
      <w:r>
        <w:rPr>
          <w:spacing w:val="-3"/>
        </w:rPr>
        <w:t>% In, Fig. 8.20</w:t>
      </w:r>
      <w:r w:rsidR="002A6D26">
        <w:rPr>
          <w:spacing w:val="-3"/>
        </w:rPr>
        <w:t>)</w:t>
      </w:r>
      <w:r>
        <w:rPr>
          <w:spacing w:val="-3"/>
        </w:rPr>
        <w:t xml:space="preserve"> defines the monotectic composition and temperature where the "reaction" liquid</w:t>
      </w:r>
      <w:r>
        <w:rPr>
          <w:i/>
          <w:iCs/>
          <w:spacing w:val="-3"/>
        </w:rPr>
        <w:t xml:space="preserve"> L</w:t>
      </w:r>
      <w:r w:rsidRPr="00911EC5">
        <w:rPr>
          <w:spacing w:val="-3"/>
          <w:sz w:val="26"/>
          <w:vertAlign w:val="subscript"/>
        </w:rPr>
        <w:t>1</w:t>
      </w:r>
      <w:r>
        <w:rPr>
          <w:spacing w:val="-3"/>
        </w:rPr>
        <w:sym w:font="Symbol" w:char="F0AE"/>
      </w:r>
      <w:r>
        <w:rPr>
          <w:spacing w:val="-3"/>
        </w:rPr>
        <w:t>solid S</w:t>
      </w:r>
      <w:r w:rsidRPr="00911EC5">
        <w:rPr>
          <w:spacing w:val="-3"/>
          <w:sz w:val="26"/>
          <w:vertAlign w:val="subscript"/>
        </w:rPr>
        <w:t>1</w:t>
      </w:r>
      <w:r>
        <w:rPr>
          <w:spacing w:val="-3"/>
        </w:rPr>
        <w:t>+liquid</w:t>
      </w:r>
      <w:r>
        <w:rPr>
          <w:i/>
          <w:iCs/>
          <w:spacing w:val="-3"/>
        </w:rPr>
        <w:t xml:space="preserve"> L</w:t>
      </w:r>
      <w:r w:rsidRPr="00911EC5">
        <w:rPr>
          <w:spacing w:val="-3"/>
          <w:sz w:val="26"/>
          <w:vertAlign w:val="subscript"/>
        </w:rPr>
        <w:t>2</w:t>
      </w:r>
      <w:r>
        <w:rPr>
          <w:spacing w:val="-3"/>
        </w:rPr>
        <w:t xml:space="preserve">.  Formally this reaction is the same as a eutectic reaction except that on cooling, one of the product phases is a liquid, the </w:t>
      </w:r>
      <w:r>
        <w:rPr>
          <w:spacing w:val="-3"/>
        </w:rPr>
        <w:lastRenderedPageBreak/>
        <w:t>liquid defined by the other side of the miscibility gap. At much lower temperatures this liquid may solidify in a terminal eutectic reaction</w:t>
      </w:r>
      <w:r>
        <w:rPr>
          <w:i/>
          <w:iCs/>
          <w:spacing w:val="-3"/>
        </w:rPr>
        <w:t xml:space="preserve"> L</w:t>
      </w:r>
      <w:r w:rsidRPr="00911EC5">
        <w:rPr>
          <w:spacing w:val="-3"/>
          <w:sz w:val="26"/>
          <w:vertAlign w:val="subscript"/>
        </w:rPr>
        <w:t xml:space="preserve">2 </w:t>
      </w:r>
      <w:r>
        <w:rPr>
          <w:spacing w:val="-3"/>
        </w:rPr>
        <w:sym w:font="Symbol" w:char="F0AE"/>
      </w:r>
      <w:r>
        <w:rPr>
          <w:spacing w:val="-3"/>
        </w:rPr>
        <w:t xml:space="preserve"> </w:t>
      </w:r>
      <w:r>
        <w:rPr>
          <w:i/>
          <w:iCs/>
          <w:spacing w:val="-3"/>
        </w:rPr>
        <w:t>S</w:t>
      </w:r>
      <w:r w:rsidRPr="00911EC5">
        <w:rPr>
          <w:spacing w:val="-3"/>
          <w:sz w:val="26"/>
          <w:vertAlign w:val="subscript"/>
        </w:rPr>
        <w:t xml:space="preserve">1 </w:t>
      </w:r>
      <w:r>
        <w:rPr>
          <w:spacing w:val="-3"/>
        </w:rPr>
        <w:t xml:space="preserve">+ </w:t>
      </w:r>
      <w:r>
        <w:rPr>
          <w:i/>
          <w:iCs/>
          <w:spacing w:val="-3"/>
        </w:rPr>
        <w:t>S</w:t>
      </w:r>
      <w:r w:rsidRPr="00911EC5">
        <w:rPr>
          <w:spacing w:val="-3"/>
          <w:sz w:val="26"/>
          <w:vertAlign w:val="subscript"/>
        </w:rPr>
        <w:t>2</w:t>
      </w:r>
      <w:r>
        <w:rPr>
          <w:spacing w:val="-3"/>
        </w:rPr>
        <w:t>.</w:t>
      </w:r>
    </w:p>
    <w:p w14:paraId="327DF9A2" w14:textId="77777777" w:rsidR="00015B17" w:rsidRDefault="00015B17" w:rsidP="00015B17">
      <w:pPr>
        <w:suppressAutoHyphens/>
        <w:spacing w:line="360" w:lineRule="auto"/>
        <w:rPr>
          <w:spacing w:val="-3"/>
        </w:rPr>
      </w:pPr>
    </w:p>
    <w:p w14:paraId="25DE80A3" w14:textId="77777777" w:rsidR="00015B17" w:rsidRDefault="00015B17" w:rsidP="00015B17">
      <w:pPr>
        <w:suppressAutoHyphens/>
        <w:spacing w:line="360" w:lineRule="auto"/>
        <w:rPr>
          <w:spacing w:val="-3"/>
        </w:rPr>
      </w:pPr>
      <w:r>
        <w:rPr>
          <w:spacing w:val="-3"/>
        </w:rPr>
        <w:tab/>
        <w:t xml:space="preserve">Some </w:t>
      </w:r>
      <w:r w:rsidR="00E23778">
        <w:rPr>
          <w:spacing w:val="-3"/>
        </w:rPr>
        <w:t xml:space="preserve">sulfide </w:t>
      </w:r>
      <w:r>
        <w:rPr>
          <w:spacing w:val="-3"/>
        </w:rPr>
        <w:t>and silicate inclusions in commercial Fe-based alloys are thought to form by monotectic solidification (FLEMINGS [1974]). Free-machining Cu alloys containing Pb also involve this reaction. Considerable research has been focused on directional solidification for fundamental reasons but also because of the potential for producing aligned growth of composites, or (with selective removal of one phase) thin fibers or microfilters (GRUGEL and HELLAWELL [1981]). For this latter purpose it is important to describe the possibilities of coupled growth of the</w:t>
      </w:r>
      <w:r>
        <w:rPr>
          <w:i/>
          <w:iCs/>
          <w:spacing w:val="-3"/>
        </w:rPr>
        <w:t xml:space="preserve"> S</w:t>
      </w:r>
      <w:r w:rsidRPr="00911EC5">
        <w:rPr>
          <w:spacing w:val="-3"/>
          <w:sz w:val="26"/>
          <w:vertAlign w:val="subscript"/>
        </w:rPr>
        <w:t>1</w:t>
      </w:r>
      <w:r>
        <w:rPr>
          <w:spacing w:val="-3"/>
        </w:rPr>
        <w:t xml:space="preserve"> and</w:t>
      </w:r>
      <w:r>
        <w:rPr>
          <w:i/>
          <w:iCs/>
          <w:spacing w:val="-3"/>
        </w:rPr>
        <w:t xml:space="preserve"> L</w:t>
      </w:r>
      <w:r w:rsidRPr="00911EC5">
        <w:rPr>
          <w:spacing w:val="-3"/>
          <w:sz w:val="26"/>
          <w:vertAlign w:val="subscript"/>
        </w:rPr>
        <w:t>2</w:t>
      </w:r>
      <w:r>
        <w:rPr>
          <w:spacing w:val="-3"/>
        </w:rPr>
        <w:t xml:space="preserve"> phases from the</w:t>
      </w:r>
      <w:r>
        <w:rPr>
          <w:i/>
          <w:iCs/>
          <w:spacing w:val="-3"/>
        </w:rPr>
        <w:t xml:space="preserve"> L</w:t>
      </w:r>
      <w:r w:rsidRPr="00911EC5">
        <w:rPr>
          <w:spacing w:val="-3"/>
          <w:sz w:val="26"/>
          <w:vertAlign w:val="subscript"/>
        </w:rPr>
        <w:t>1</w:t>
      </w:r>
      <w:r>
        <w:rPr>
          <w:spacing w:val="-3"/>
        </w:rPr>
        <w:t xml:space="preserve"> phase of monotectic composition.</w:t>
      </w:r>
    </w:p>
    <w:p w14:paraId="63F9BD50" w14:textId="77777777" w:rsidR="00015B17" w:rsidRDefault="00015B17" w:rsidP="00015B17">
      <w:pPr>
        <w:suppressAutoHyphens/>
        <w:spacing w:line="360" w:lineRule="auto"/>
        <w:rPr>
          <w:spacing w:val="-3"/>
        </w:rPr>
      </w:pPr>
    </w:p>
    <w:p w14:paraId="7EE08691" w14:textId="0C89FDB4" w:rsidR="00015B17" w:rsidRDefault="00015B17" w:rsidP="00015B17">
      <w:pPr>
        <w:suppressAutoHyphens/>
        <w:spacing w:line="360" w:lineRule="auto"/>
        <w:rPr>
          <w:spacing w:val="-3"/>
        </w:rPr>
      </w:pPr>
      <w:r>
        <w:rPr>
          <w:b/>
          <w:bCs/>
          <w:spacing w:val="-3"/>
        </w:rPr>
        <w:t>8.2.1 Directional Solidification of Monotectic Alloys</w:t>
      </w:r>
    </w:p>
    <w:p w14:paraId="06976715" w14:textId="77777777" w:rsidR="00015B17" w:rsidRDefault="00015B17" w:rsidP="00015B17">
      <w:pPr>
        <w:suppressAutoHyphens/>
        <w:spacing w:line="360" w:lineRule="auto"/>
        <w:rPr>
          <w:spacing w:val="-3"/>
        </w:rPr>
      </w:pPr>
    </w:p>
    <w:p w14:paraId="795A5496" w14:textId="24D6A17B" w:rsidR="00015B17" w:rsidRDefault="00015B17" w:rsidP="00015B17">
      <w:pPr>
        <w:suppressAutoHyphens/>
        <w:spacing w:line="360" w:lineRule="auto"/>
        <w:rPr>
          <w:spacing w:val="-3"/>
        </w:rPr>
      </w:pPr>
      <w:r>
        <w:rPr>
          <w:spacing w:val="-3"/>
        </w:rPr>
        <w:tab/>
        <w:t xml:space="preserve">As in the case of eutectic solidification, a wide variety of microstructures can be produced by directional solidification of monotectic alloys.  Lamellar microstructures are not observed in monotectic systems because the volume fraction of the </w:t>
      </w:r>
      <w:r>
        <w:rPr>
          <w:i/>
          <w:iCs/>
          <w:spacing w:val="-3"/>
        </w:rPr>
        <w:t>L</w:t>
      </w:r>
      <w:r w:rsidRPr="00911EC5">
        <w:rPr>
          <w:spacing w:val="-3"/>
          <w:sz w:val="26"/>
          <w:vertAlign w:val="subscript"/>
        </w:rPr>
        <w:t>2</w:t>
      </w:r>
      <w:r>
        <w:rPr>
          <w:spacing w:val="-3"/>
        </w:rPr>
        <w:t xml:space="preserve"> phase is usually small. Three types of structures are observed. The first and most interesting and useful, typified by Al-In (GRUGEL and HELLAWELL [1981]), is a regular fibrous or composite structure that consists of closely packed liquid tubes of a uniform diameter embedded in a matrix of the solid phase. These liquid tubes solidify at much lower temperatures to solid rods of In by a divorced eutectic reaction. If the growth rate is increased, the distance between rods </w:t>
      </w:r>
      <w:r w:rsidR="00B306CB">
        <w:rPr>
          <w:spacing w:val="-3"/>
        </w:rPr>
        <w:t>decreases</w:t>
      </w:r>
      <w:r>
        <w:rPr>
          <w:spacing w:val="-3"/>
        </w:rPr>
        <w:t xml:space="preserve"> and the structure gives way to a second type of microstructure that consists of discrete droplets of</w:t>
      </w:r>
      <w:r>
        <w:rPr>
          <w:i/>
          <w:iCs/>
          <w:spacing w:val="-3"/>
        </w:rPr>
        <w:t xml:space="preserve"> L</w:t>
      </w:r>
      <w:r w:rsidRPr="00911EC5">
        <w:rPr>
          <w:spacing w:val="-3"/>
          <w:sz w:val="26"/>
          <w:vertAlign w:val="subscript"/>
        </w:rPr>
        <w:t>2</w:t>
      </w:r>
      <w:r>
        <w:rPr>
          <w:spacing w:val="-3"/>
        </w:rPr>
        <w:t xml:space="preserve"> embedded in a solid matrix. The third type, typified by Cu-Pb (LIVINGSTON and CLINE [1969]), is more irregular consisting of interconnected globules that take on some degree of alignment as the growth rate is increased. Although the</w:t>
      </w:r>
      <w:r>
        <w:rPr>
          <w:i/>
          <w:iCs/>
          <w:spacing w:val="-3"/>
        </w:rPr>
        <w:t xml:space="preserve"> L</w:t>
      </w:r>
      <w:r w:rsidRPr="00911EC5">
        <w:rPr>
          <w:spacing w:val="-3"/>
          <w:sz w:val="26"/>
          <w:vertAlign w:val="subscript"/>
        </w:rPr>
        <w:t>2</w:t>
      </w:r>
      <w:r>
        <w:rPr>
          <w:spacing w:val="-3"/>
        </w:rPr>
        <w:t xml:space="preserve"> tubes formed at a monotectic reaction are susceptible to ripening and spheroidization during subsequent cooling, the droplet and irregular structures are not thought to form by coarsening (GRUGEL and HELLAWELL [1981]).</w:t>
      </w:r>
    </w:p>
    <w:p w14:paraId="196BF508" w14:textId="77777777" w:rsidR="00015B17" w:rsidRDefault="00015B17" w:rsidP="00015B17">
      <w:pPr>
        <w:suppressAutoHyphens/>
        <w:spacing w:line="360" w:lineRule="auto"/>
        <w:rPr>
          <w:spacing w:val="-3"/>
        </w:rPr>
      </w:pPr>
    </w:p>
    <w:p w14:paraId="5DA3F52B" w14:textId="77777777" w:rsidR="00015B17" w:rsidRDefault="00015B17" w:rsidP="00015B17">
      <w:pPr>
        <w:suppressAutoHyphens/>
        <w:spacing w:line="360" w:lineRule="auto"/>
        <w:rPr>
          <w:spacing w:val="-3"/>
        </w:rPr>
      </w:pPr>
      <w:r>
        <w:rPr>
          <w:spacing w:val="-3"/>
        </w:rPr>
        <w:lastRenderedPageBreak/>
        <w:tab/>
        <w:t xml:space="preserve">One of the most important considerations for understanding the different microstructures comes from a consideration of whether a stable triple junction can exist between </w:t>
      </w:r>
      <w:r>
        <w:rPr>
          <w:i/>
          <w:iCs/>
          <w:spacing w:val="-3"/>
        </w:rPr>
        <w:t>L</w:t>
      </w:r>
      <w:r w:rsidRPr="00911EC5">
        <w:rPr>
          <w:spacing w:val="-3"/>
          <w:sz w:val="26"/>
          <w:vertAlign w:val="subscript"/>
        </w:rPr>
        <w:t>1</w:t>
      </w:r>
      <w:r>
        <w:rPr>
          <w:spacing w:val="-3"/>
        </w:rPr>
        <w:t>,</w:t>
      </w:r>
      <w:r>
        <w:rPr>
          <w:i/>
          <w:iCs/>
          <w:spacing w:val="-3"/>
        </w:rPr>
        <w:t xml:space="preserve"> L</w:t>
      </w:r>
      <w:r w:rsidRPr="00911EC5">
        <w:rPr>
          <w:spacing w:val="-3"/>
          <w:sz w:val="26"/>
          <w:vertAlign w:val="subscript"/>
        </w:rPr>
        <w:t>2</w:t>
      </w:r>
      <w:r>
        <w:rPr>
          <w:spacing w:val="-3"/>
        </w:rPr>
        <w:t>, and</w:t>
      </w:r>
      <w:r>
        <w:rPr>
          <w:i/>
          <w:iCs/>
          <w:spacing w:val="-3"/>
        </w:rPr>
        <w:t xml:space="preserve"> S</w:t>
      </w:r>
      <w:r w:rsidRPr="00911EC5">
        <w:rPr>
          <w:spacing w:val="-3"/>
          <w:sz w:val="26"/>
          <w:vertAlign w:val="subscript"/>
        </w:rPr>
        <w:t>1</w:t>
      </w:r>
      <w:r>
        <w:rPr>
          <w:spacing w:val="-3"/>
        </w:rPr>
        <w:t xml:space="preserve"> (CHADWICK [1965]. This condition can only occur if</w:t>
      </w:r>
    </w:p>
    <w:p w14:paraId="76015479" w14:textId="77777777" w:rsidR="00015B17" w:rsidRDefault="00015B17" w:rsidP="00015B17">
      <w:pPr>
        <w:suppressAutoHyphens/>
        <w:spacing w:line="360" w:lineRule="auto"/>
        <w:jc w:val="both"/>
        <w:rPr>
          <w:spacing w:val="-3"/>
        </w:rPr>
      </w:pPr>
    </w:p>
    <w:p w14:paraId="2C12AEB4" w14:textId="58FDC346" w:rsidR="00015B17" w:rsidRDefault="00000000" w:rsidP="002E4EE1">
      <w:pPr>
        <w:suppressAutoHyphens/>
        <w:spacing w:line="360" w:lineRule="auto"/>
        <w:jc w:val="center"/>
        <w:rPr>
          <w:spacing w:val="-3"/>
        </w:rPr>
      </w:pPr>
      <m:oMath>
        <m:sSub>
          <m:sSubPr>
            <m:ctrlPr>
              <w:rPr>
                <w:rFonts w:ascii="Cambria Math" w:hAnsi="Cambria Math"/>
                <w:i/>
                <w:spacing w:val="-3"/>
              </w:rPr>
            </m:ctrlPr>
          </m:sSubPr>
          <m:e>
            <m:r>
              <w:rPr>
                <w:rFonts w:ascii="Cambria Math"/>
                <w:spacing w:val="-3"/>
              </w:rPr>
              <m:t>γ</m:t>
            </m:r>
          </m:e>
          <m:sub>
            <m:sSub>
              <m:sSubPr>
                <m:ctrlPr>
                  <w:rPr>
                    <w:rFonts w:ascii="Cambria Math" w:hAnsi="Cambria Math"/>
                    <w:i/>
                    <w:spacing w:val="-3"/>
                  </w:rPr>
                </m:ctrlPr>
              </m:sSubPr>
              <m:e>
                <m:r>
                  <w:rPr>
                    <w:rFonts w:ascii="Cambria Math"/>
                    <w:spacing w:val="-3"/>
                  </w:rPr>
                  <m:t>S</m:t>
                </m:r>
              </m:e>
              <m:sub>
                <m:r>
                  <w:rPr>
                    <w:rFonts w:ascii="Cambria Math"/>
                    <w:spacing w:val="-3"/>
                  </w:rPr>
                  <m:t>1</m:t>
                </m:r>
              </m:sub>
            </m:sSub>
            <m:sSub>
              <m:sSubPr>
                <m:ctrlPr>
                  <w:rPr>
                    <w:rFonts w:ascii="Cambria Math" w:hAnsi="Cambria Math"/>
                    <w:i/>
                    <w:spacing w:val="-3"/>
                  </w:rPr>
                </m:ctrlPr>
              </m:sSubPr>
              <m:e>
                <m:r>
                  <w:rPr>
                    <w:rFonts w:ascii="Cambria Math"/>
                    <w:spacing w:val="-3"/>
                  </w:rPr>
                  <m:t>L</m:t>
                </m:r>
              </m:e>
              <m:sub>
                <m:r>
                  <w:rPr>
                    <w:rFonts w:ascii="Cambria Math"/>
                    <w:spacing w:val="-3"/>
                  </w:rPr>
                  <m:t>1</m:t>
                </m:r>
              </m:sub>
            </m:sSub>
          </m:sub>
        </m:sSub>
        <m:r>
          <w:rPr>
            <w:rFonts w:ascii="Cambria Math"/>
            <w:spacing w:val="-3"/>
          </w:rPr>
          <m:t>+</m:t>
        </m:r>
        <m:sSub>
          <m:sSubPr>
            <m:ctrlPr>
              <w:rPr>
                <w:rFonts w:ascii="Cambria Math" w:hAnsi="Cambria Math"/>
                <w:i/>
                <w:spacing w:val="-3"/>
              </w:rPr>
            </m:ctrlPr>
          </m:sSubPr>
          <m:e>
            <m:r>
              <w:rPr>
                <w:rFonts w:ascii="Cambria Math"/>
                <w:spacing w:val="-3"/>
              </w:rPr>
              <m:t>γ</m:t>
            </m:r>
          </m:e>
          <m:sub>
            <m:sSub>
              <m:sSubPr>
                <m:ctrlPr>
                  <w:rPr>
                    <w:rFonts w:ascii="Cambria Math" w:hAnsi="Cambria Math"/>
                    <w:i/>
                    <w:spacing w:val="-3"/>
                  </w:rPr>
                </m:ctrlPr>
              </m:sSubPr>
              <m:e>
                <m:r>
                  <w:rPr>
                    <w:rFonts w:ascii="Cambria Math"/>
                    <w:spacing w:val="-3"/>
                  </w:rPr>
                  <m:t>L</m:t>
                </m:r>
              </m:e>
              <m:sub>
                <m:r>
                  <w:rPr>
                    <w:rFonts w:ascii="Cambria Math"/>
                    <w:spacing w:val="-3"/>
                  </w:rPr>
                  <m:t>1</m:t>
                </m:r>
              </m:sub>
            </m:sSub>
            <m:sSub>
              <m:sSubPr>
                <m:ctrlPr>
                  <w:rPr>
                    <w:rFonts w:ascii="Cambria Math" w:hAnsi="Cambria Math"/>
                    <w:i/>
                    <w:spacing w:val="-3"/>
                  </w:rPr>
                </m:ctrlPr>
              </m:sSubPr>
              <m:e>
                <m:r>
                  <w:rPr>
                    <w:rFonts w:ascii="Cambria Math"/>
                    <w:spacing w:val="-3"/>
                  </w:rPr>
                  <m:t>L</m:t>
                </m:r>
              </m:e>
              <m:sub>
                <m:r>
                  <w:rPr>
                    <w:rFonts w:ascii="Cambria Math"/>
                    <w:spacing w:val="-3"/>
                  </w:rPr>
                  <m:t>2</m:t>
                </m:r>
              </m:sub>
            </m:sSub>
          </m:sub>
        </m:sSub>
        <m:r>
          <w:rPr>
            <w:rFonts w:ascii="Cambria Math"/>
            <w:spacing w:val="-3"/>
          </w:rPr>
          <m:t>&gt;</m:t>
        </m:r>
        <m:sSub>
          <m:sSubPr>
            <m:ctrlPr>
              <w:rPr>
                <w:rFonts w:ascii="Cambria Math" w:hAnsi="Cambria Math"/>
                <w:i/>
                <w:spacing w:val="-3"/>
              </w:rPr>
            </m:ctrlPr>
          </m:sSubPr>
          <m:e>
            <m:r>
              <w:rPr>
                <w:rFonts w:ascii="Cambria Math"/>
                <w:spacing w:val="-3"/>
              </w:rPr>
              <m:t>γ</m:t>
            </m:r>
          </m:e>
          <m:sub>
            <m:sSub>
              <m:sSubPr>
                <m:ctrlPr>
                  <w:rPr>
                    <w:rFonts w:ascii="Cambria Math" w:hAnsi="Cambria Math"/>
                    <w:i/>
                    <w:spacing w:val="-3"/>
                  </w:rPr>
                </m:ctrlPr>
              </m:sSubPr>
              <m:e>
                <m:r>
                  <w:rPr>
                    <w:rFonts w:ascii="Cambria Math"/>
                    <w:spacing w:val="-3"/>
                  </w:rPr>
                  <m:t>S</m:t>
                </m:r>
              </m:e>
              <m:sub>
                <m:r>
                  <w:rPr>
                    <w:rFonts w:ascii="Cambria Math"/>
                    <w:spacing w:val="-3"/>
                  </w:rPr>
                  <m:t>1</m:t>
                </m:r>
              </m:sub>
            </m:sSub>
            <m:sSub>
              <m:sSubPr>
                <m:ctrlPr>
                  <w:rPr>
                    <w:rFonts w:ascii="Cambria Math" w:hAnsi="Cambria Math"/>
                    <w:i/>
                    <w:spacing w:val="-3"/>
                  </w:rPr>
                </m:ctrlPr>
              </m:sSubPr>
              <m:e>
                <m:r>
                  <w:rPr>
                    <w:rFonts w:ascii="Cambria Math"/>
                    <w:spacing w:val="-3"/>
                  </w:rPr>
                  <m:t>L</m:t>
                </m:r>
              </m:e>
              <m:sub>
                <m:r>
                  <w:rPr>
                    <w:rFonts w:ascii="Cambria Math"/>
                    <w:spacing w:val="-3"/>
                  </w:rPr>
                  <m:t>2</m:t>
                </m:r>
              </m:sub>
            </m:sSub>
          </m:sub>
        </m:sSub>
        <m:r>
          <w:rPr>
            <w:rFonts w:ascii="Cambria Math"/>
            <w:spacing w:val="-3"/>
          </w:rPr>
          <m:t>.</m:t>
        </m:r>
      </m:oMath>
      <w:r w:rsidR="00015B17">
        <w:rPr>
          <w:spacing w:val="-3"/>
        </w:rPr>
        <w:tab/>
      </w:r>
      <w:r w:rsidR="00015B17">
        <w:rPr>
          <w:spacing w:val="-3"/>
        </w:rPr>
        <w:tab/>
      </w:r>
      <w:r w:rsidR="00015B17">
        <w:rPr>
          <w:spacing w:val="-3"/>
        </w:rPr>
        <w:tab/>
        <w:t>(8.9)</w:t>
      </w:r>
    </w:p>
    <w:p w14:paraId="63C4F5E5" w14:textId="77777777" w:rsidR="00015B17" w:rsidRDefault="00015B17" w:rsidP="00015B17">
      <w:pPr>
        <w:suppressAutoHyphens/>
        <w:spacing w:line="360" w:lineRule="auto"/>
        <w:jc w:val="center"/>
        <w:rPr>
          <w:spacing w:val="-3"/>
        </w:rPr>
      </w:pPr>
    </w:p>
    <w:p w14:paraId="161A4F79" w14:textId="77777777" w:rsidR="00015B17" w:rsidRDefault="00015B17" w:rsidP="00015B17">
      <w:pPr>
        <w:suppressAutoHyphens/>
        <w:spacing w:line="360" w:lineRule="auto"/>
        <w:rPr>
          <w:spacing w:val="-3"/>
        </w:rPr>
      </w:pPr>
      <w:r>
        <w:rPr>
          <w:spacing w:val="-3"/>
        </w:rPr>
        <w:t>If the inequality is satisfied, regular fibrous structures can be obtained. The eutectic theory for rod growth can then be applied although some modifications are required to treat the increased diffusion in the</w:t>
      </w:r>
      <w:r>
        <w:rPr>
          <w:i/>
          <w:iCs/>
          <w:spacing w:val="-3"/>
        </w:rPr>
        <w:t xml:space="preserve"> L</w:t>
      </w:r>
      <w:r w:rsidRPr="00911EC5">
        <w:rPr>
          <w:spacing w:val="-3"/>
          <w:sz w:val="26"/>
          <w:vertAlign w:val="subscript"/>
        </w:rPr>
        <w:t>2</w:t>
      </w:r>
      <w:r>
        <w:rPr>
          <w:spacing w:val="-3"/>
        </w:rPr>
        <w:t xml:space="preserve"> phase (GRUGEL and HELLAWELL [1981]).  When this inequality is not satisfied, </w:t>
      </w:r>
      <w:r>
        <w:rPr>
          <w:i/>
          <w:iCs/>
          <w:spacing w:val="-3"/>
        </w:rPr>
        <w:t>L</w:t>
      </w:r>
      <w:r w:rsidRPr="00911EC5">
        <w:rPr>
          <w:spacing w:val="-3"/>
          <w:sz w:val="26"/>
          <w:vertAlign w:val="subscript"/>
        </w:rPr>
        <w:t>2</w:t>
      </w:r>
      <w:r>
        <w:rPr>
          <w:spacing w:val="-3"/>
        </w:rPr>
        <w:t xml:space="preserve"> does not "wet"</w:t>
      </w:r>
      <w:r>
        <w:rPr>
          <w:i/>
          <w:iCs/>
          <w:spacing w:val="-3"/>
        </w:rPr>
        <w:t xml:space="preserve"> S</w:t>
      </w:r>
      <w:r w:rsidRPr="00911EC5">
        <w:rPr>
          <w:spacing w:val="-3"/>
          <w:sz w:val="26"/>
          <w:vertAlign w:val="subscript"/>
        </w:rPr>
        <w:t>1</w:t>
      </w:r>
      <w:r>
        <w:rPr>
          <w:spacing w:val="-3"/>
        </w:rPr>
        <w:t xml:space="preserve">, and </w:t>
      </w:r>
      <w:r>
        <w:rPr>
          <w:i/>
          <w:iCs/>
          <w:spacing w:val="-3"/>
        </w:rPr>
        <w:t>L</w:t>
      </w:r>
      <w:r w:rsidRPr="00911EC5">
        <w:rPr>
          <w:spacing w:val="-3"/>
          <w:sz w:val="26"/>
          <w:vertAlign w:val="subscript"/>
        </w:rPr>
        <w:t>1</w:t>
      </w:r>
      <w:r>
        <w:rPr>
          <w:spacing w:val="-3"/>
        </w:rPr>
        <w:t xml:space="preserve"> will tend to coat the interface between</w:t>
      </w:r>
      <w:r>
        <w:rPr>
          <w:i/>
          <w:iCs/>
          <w:spacing w:val="-3"/>
        </w:rPr>
        <w:t xml:space="preserve"> L</w:t>
      </w:r>
      <w:r w:rsidRPr="00911EC5">
        <w:rPr>
          <w:spacing w:val="-3"/>
          <w:sz w:val="26"/>
          <w:vertAlign w:val="subscript"/>
        </w:rPr>
        <w:t>2</w:t>
      </w:r>
      <w:r>
        <w:rPr>
          <w:spacing w:val="-3"/>
        </w:rPr>
        <w:t xml:space="preserve"> and </w:t>
      </w:r>
      <w:r>
        <w:rPr>
          <w:i/>
          <w:iCs/>
          <w:spacing w:val="-3"/>
        </w:rPr>
        <w:t>S</w:t>
      </w:r>
      <w:r w:rsidRPr="00911EC5">
        <w:rPr>
          <w:spacing w:val="-3"/>
          <w:sz w:val="26"/>
          <w:vertAlign w:val="subscript"/>
        </w:rPr>
        <w:t>1</w:t>
      </w:r>
      <w:r>
        <w:rPr>
          <w:spacing w:val="-3"/>
        </w:rPr>
        <w:t xml:space="preserve">; i.e., </w:t>
      </w:r>
      <w:r>
        <w:rPr>
          <w:i/>
          <w:iCs/>
          <w:spacing w:val="-3"/>
        </w:rPr>
        <w:t>L</w:t>
      </w:r>
      <w:r w:rsidRPr="00911EC5">
        <w:rPr>
          <w:spacing w:val="-3"/>
          <w:sz w:val="26"/>
          <w:vertAlign w:val="subscript"/>
        </w:rPr>
        <w:t>1</w:t>
      </w:r>
      <w:r>
        <w:rPr>
          <w:spacing w:val="-3"/>
        </w:rPr>
        <w:t xml:space="preserve"> preferentially wets</w:t>
      </w:r>
      <w:r>
        <w:rPr>
          <w:i/>
          <w:iCs/>
          <w:spacing w:val="-3"/>
        </w:rPr>
        <w:t xml:space="preserve"> S</w:t>
      </w:r>
      <w:r w:rsidRPr="00911EC5">
        <w:rPr>
          <w:spacing w:val="-3"/>
          <w:sz w:val="26"/>
          <w:vertAlign w:val="subscript"/>
        </w:rPr>
        <w:t>1</w:t>
      </w:r>
      <w:r>
        <w:rPr>
          <w:spacing w:val="-3"/>
        </w:rPr>
        <w:t xml:space="preserve"> to the exclusion of </w:t>
      </w:r>
      <w:r>
        <w:rPr>
          <w:i/>
          <w:iCs/>
          <w:spacing w:val="-3"/>
        </w:rPr>
        <w:t>L</w:t>
      </w:r>
      <w:r w:rsidRPr="00911EC5">
        <w:rPr>
          <w:spacing w:val="-3"/>
          <w:sz w:val="26"/>
          <w:vertAlign w:val="subscript"/>
        </w:rPr>
        <w:t>2</w:t>
      </w:r>
      <w:r>
        <w:rPr>
          <w:spacing w:val="-3"/>
        </w:rPr>
        <w:t xml:space="preserve">. CAHN [1979] calls this the </w:t>
      </w:r>
      <w:r>
        <w:rPr>
          <w:i/>
          <w:iCs/>
          <w:spacing w:val="-3"/>
        </w:rPr>
        <w:t>perfect wetting case</w:t>
      </w:r>
      <w:r>
        <w:rPr>
          <w:spacing w:val="-3"/>
        </w:rPr>
        <w:t xml:space="preserve"> and during monotectic growth, the</w:t>
      </w:r>
      <w:r>
        <w:rPr>
          <w:i/>
          <w:iCs/>
          <w:spacing w:val="-3"/>
        </w:rPr>
        <w:t xml:space="preserve"> L</w:t>
      </w:r>
      <w:r w:rsidRPr="00911EC5">
        <w:rPr>
          <w:spacing w:val="-3"/>
          <w:sz w:val="26"/>
          <w:vertAlign w:val="subscript"/>
        </w:rPr>
        <w:t>2</w:t>
      </w:r>
      <w:r>
        <w:rPr>
          <w:spacing w:val="-3"/>
        </w:rPr>
        <w:t xml:space="preserve"> phase will form droplets in the</w:t>
      </w:r>
      <w:r>
        <w:rPr>
          <w:i/>
          <w:iCs/>
          <w:spacing w:val="-3"/>
        </w:rPr>
        <w:t xml:space="preserve"> L</w:t>
      </w:r>
      <w:r w:rsidRPr="00911EC5">
        <w:rPr>
          <w:spacing w:val="-3"/>
          <w:sz w:val="26"/>
          <w:vertAlign w:val="subscript"/>
        </w:rPr>
        <w:t>1</w:t>
      </w:r>
      <w:r>
        <w:rPr>
          <w:spacing w:val="-3"/>
        </w:rPr>
        <w:t xml:space="preserve"> phase just ahead of the growing </w:t>
      </w:r>
      <w:r>
        <w:rPr>
          <w:i/>
          <w:iCs/>
          <w:spacing w:val="-3"/>
        </w:rPr>
        <w:t>S</w:t>
      </w:r>
      <w:r w:rsidRPr="00911EC5">
        <w:rPr>
          <w:spacing w:val="-3"/>
          <w:sz w:val="26"/>
          <w:vertAlign w:val="subscript"/>
        </w:rPr>
        <w:t>1</w:t>
      </w:r>
      <w:r>
        <w:rPr>
          <w:spacing w:val="-3"/>
        </w:rPr>
        <w:t xml:space="preserve"> interface. As growth proceeds, the droplets are pushed by the interface and the size of the droplets increase</w:t>
      </w:r>
      <w:r w:rsidR="00EA538A">
        <w:rPr>
          <w:spacing w:val="-3"/>
        </w:rPr>
        <w:t>s</w:t>
      </w:r>
      <w:r>
        <w:rPr>
          <w:spacing w:val="-3"/>
        </w:rPr>
        <w:t xml:space="preserve"> until they reach a critical size where they are engulfed into the growing</w:t>
      </w:r>
      <w:r>
        <w:rPr>
          <w:i/>
          <w:iCs/>
          <w:spacing w:val="-3"/>
        </w:rPr>
        <w:t xml:space="preserve"> S</w:t>
      </w:r>
      <w:r w:rsidRPr="00911EC5">
        <w:rPr>
          <w:spacing w:val="-3"/>
          <w:sz w:val="26"/>
          <w:vertAlign w:val="subscript"/>
        </w:rPr>
        <w:t>1</w:t>
      </w:r>
      <w:r>
        <w:rPr>
          <w:spacing w:val="-3"/>
        </w:rPr>
        <w:t xml:space="preserve"> solid. The critical size for engulfment is determined by microscopic fluid flow around the droplet. As the solidification velocity is increased, irregular semicontinuous liquid rods can be partially engulfed in the solid as shown schematically in Fig. 8.21. This irregular engulfment is believed to be the origin of the irregular globular microstructure typified by Cu-Pb.</w:t>
      </w:r>
    </w:p>
    <w:p w14:paraId="0A67A369" w14:textId="77777777" w:rsidR="00015B17" w:rsidRDefault="00015B17" w:rsidP="00015B17">
      <w:pPr>
        <w:suppressAutoHyphens/>
        <w:spacing w:line="360" w:lineRule="auto"/>
        <w:rPr>
          <w:spacing w:val="-3"/>
        </w:rPr>
      </w:pPr>
    </w:p>
    <w:p w14:paraId="44F4AD70" w14:textId="07F36123" w:rsidR="00015B17" w:rsidRDefault="00015B17" w:rsidP="00015B17">
      <w:pPr>
        <w:suppressAutoHyphens/>
        <w:spacing w:line="360" w:lineRule="auto"/>
        <w:rPr>
          <w:spacing w:val="-3"/>
        </w:rPr>
      </w:pPr>
      <w:r>
        <w:rPr>
          <w:spacing w:val="-3"/>
        </w:rPr>
        <w:tab/>
        <w:t xml:space="preserve">CAHN [1979] showed that in monotectic systems, the perfect wetting case should be expected if the temperature difference between the </w:t>
      </w:r>
      <w:r w:rsidR="00B306CB">
        <w:rPr>
          <w:spacing w:val="-3"/>
        </w:rPr>
        <w:t xml:space="preserve">critical temperature of the miscibility gap and the </w:t>
      </w:r>
      <w:r>
        <w:rPr>
          <w:spacing w:val="-3"/>
        </w:rPr>
        <w:t>monotectic temperature is small. Thus</w:t>
      </w:r>
      <w:r w:rsidR="00EA538A">
        <w:rPr>
          <w:spacing w:val="-3"/>
        </w:rPr>
        <w:t>,</w:t>
      </w:r>
      <w:r>
        <w:rPr>
          <w:spacing w:val="-3"/>
        </w:rPr>
        <w:t xml:space="preserve"> irregular composite structures are formed in these systems. When the temperature difference is large, perfect wetting does not occur, a stable triple junction can exist, and regular composite growth is expected. This idea was confirmed by the addition of a ternary element to a binary monotectic alloy</w:t>
      </w:r>
      <w:r w:rsidR="00B306CB">
        <w:rPr>
          <w:spacing w:val="-3"/>
        </w:rPr>
        <w:t xml:space="preserve"> by GRUGEL and HELLAWELL [1981]</w:t>
      </w:r>
      <w:r>
        <w:rPr>
          <w:spacing w:val="-3"/>
        </w:rPr>
        <w:t>. This addition altered the height of the miscibility gap and hence the wetting behavior.  GRUGEL</w:t>
      </w:r>
      <w:r>
        <w:rPr>
          <w:i/>
          <w:iCs/>
          <w:spacing w:val="-3"/>
        </w:rPr>
        <w:t xml:space="preserve"> et al.</w:t>
      </w:r>
      <w:r>
        <w:rPr>
          <w:spacing w:val="-3"/>
        </w:rPr>
        <w:t xml:space="preserve"> [1984] found experimentally that the border between systems with regular and irregular composite structures occurred when the ratio of the monotectic temperature to the critical temperature is approximately 0.9.</w:t>
      </w:r>
    </w:p>
    <w:p w14:paraId="79AE87A9" w14:textId="77777777" w:rsidR="00015B17" w:rsidRDefault="00015B17" w:rsidP="00015B17">
      <w:pPr>
        <w:suppressAutoHyphens/>
        <w:spacing w:line="360" w:lineRule="auto"/>
        <w:rPr>
          <w:spacing w:val="-3"/>
        </w:rPr>
      </w:pPr>
    </w:p>
    <w:p w14:paraId="379766C4" w14:textId="77777777" w:rsidR="00015B17" w:rsidRDefault="00015B17" w:rsidP="00015B17">
      <w:pPr>
        <w:suppressAutoHyphens/>
        <w:spacing w:line="360" w:lineRule="auto"/>
        <w:rPr>
          <w:spacing w:val="-3"/>
        </w:rPr>
      </w:pPr>
      <w:r>
        <w:rPr>
          <w:spacing w:val="-3"/>
        </w:rPr>
        <w:tab/>
        <w:t>For regular fibrous growth, the spacing varies inversely with the square root of the velocity.  GRUGEL</w:t>
      </w:r>
      <w:r>
        <w:rPr>
          <w:i/>
          <w:iCs/>
          <w:spacing w:val="-3"/>
        </w:rPr>
        <w:t xml:space="preserve"> et al.</w:t>
      </w:r>
      <w:r>
        <w:rPr>
          <w:spacing w:val="-3"/>
        </w:rPr>
        <w:t xml:space="preserve">  [1984] showed that the</w:t>
      </w:r>
      <w:r w:rsidRPr="001B068D">
        <w:rPr>
          <w:spacing w:val="-3"/>
          <w:highlight w:val="yellow"/>
        </w:rPr>
        <w:t>"(spacing)</w:t>
      </w:r>
      <w:r w:rsidRPr="001B068D">
        <w:rPr>
          <w:spacing w:val="-3"/>
          <w:sz w:val="26"/>
          <w:highlight w:val="yellow"/>
          <w:vertAlign w:val="superscript"/>
        </w:rPr>
        <w:t>2</w:t>
      </w:r>
      <w:r w:rsidRPr="001B068D">
        <w:rPr>
          <w:spacing w:val="-3"/>
          <w:highlight w:val="yellow"/>
        </w:rPr>
        <w:t xml:space="preserve"> velocity</w:t>
      </w:r>
      <w:r>
        <w:rPr>
          <w:spacing w:val="-3"/>
        </w:rPr>
        <w:t xml:space="preserve">" constant was about an order of magnitude larger for irregular growth than for regular growth. </w:t>
      </w:r>
      <w:smartTag w:uri="urn:schemas-microsoft-com:office:smarttags" w:element="place">
        <w:smartTag w:uri="urn:schemas-microsoft-com:office:smarttags" w:element="City">
          <w:r>
            <w:rPr>
              <w:spacing w:val="-3"/>
            </w:rPr>
            <w:t>DERBY</w:t>
          </w:r>
        </w:smartTag>
      </w:smartTag>
      <w:r>
        <w:rPr>
          <w:spacing w:val="-3"/>
        </w:rPr>
        <w:t xml:space="preserve"> and FAVIER [1983] have presented a different model for the occurrence of regular and irregular structures similar to those used for irregular eutectics. KAMIO </w:t>
      </w:r>
      <w:r>
        <w:rPr>
          <w:i/>
          <w:iCs/>
          <w:spacing w:val="-3"/>
        </w:rPr>
        <w:t>et al.</w:t>
      </w:r>
      <w:r>
        <w:rPr>
          <w:spacing w:val="-3"/>
        </w:rPr>
        <w:t xml:space="preserve"> [1991] have shown that the value of the temperature gradient has a large effect on the transitions between aligned growth and the formation of droplets.</w:t>
      </w:r>
    </w:p>
    <w:p w14:paraId="464E3728" w14:textId="77777777" w:rsidR="00015B17" w:rsidRDefault="00015B17" w:rsidP="00015B17">
      <w:pPr>
        <w:suppressAutoHyphens/>
        <w:spacing w:line="360" w:lineRule="auto"/>
        <w:rPr>
          <w:spacing w:val="-3"/>
        </w:rPr>
      </w:pPr>
    </w:p>
    <w:p w14:paraId="41A6DE16" w14:textId="77777777" w:rsidR="00015B17" w:rsidRDefault="00015B17" w:rsidP="00015B17">
      <w:pPr>
        <w:suppressAutoHyphens/>
        <w:spacing w:line="360" w:lineRule="auto"/>
        <w:rPr>
          <w:spacing w:val="-3"/>
        </w:rPr>
      </w:pPr>
      <w:r>
        <w:rPr>
          <w:spacing w:val="-3"/>
        </w:rPr>
        <w:tab/>
        <w:t>GRUGEL and HELLAWELL [1981] also examined whether composites could be grown for compositions different than the exact monotectic composition. They found that the dendritic growth of the</w:t>
      </w:r>
      <w:r>
        <w:rPr>
          <w:i/>
          <w:iCs/>
          <w:spacing w:val="-3"/>
        </w:rPr>
        <w:t xml:space="preserve"> S</w:t>
      </w:r>
      <w:r w:rsidRPr="00911EC5">
        <w:rPr>
          <w:spacing w:val="-3"/>
          <w:sz w:val="26"/>
          <w:vertAlign w:val="subscript"/>
        </w:rPr>
        <w:t>1</w:t>
      </w:r>
      <w:r>
        <w:rPr>
          <w:spacing w:val="-3"/>
        </w:rPr>
        <w:t xml:space="preserve"> phase could be suppressed by sufficiently large values of</w:t>
      </w:r>
      <w:r>
        <w:rPr>
          <w:i/>
          <w:iCs/>
          <w:spacing w:val="-3"/>
        </w:rPr>
        <w:t xml:space="preserve"> G</w:t>
      </w:r>
      <w:r w:rsidRPr="00911EC5">
        <w:rPr>
          <w:spacing w:val="-3"/>
          <w:sz w:val="26"/>
          <w:vertAlign w:val="subscript"/>
        </w:rPr>
        <w:t>L</w:t>
      </w:r>
      <w:r>
        <w:rPr>
          <w:i/>
          <w:iCs/>
          <w:spacing w:val="-3"/>
        </w:rPr>
        <w:t>/V</w:t>
      </w:r>
      <w:r>
        <w:rPr>
          <w:spacing w:val="-3"/>
        </w:rPr>
        <w:t xml:space="preserve"> to permit planar composite growth just as for off-eutectic alloys. Attempts to grow composites with compositions on the other side of the monotectic (within the miscibility gap) failed due to convective instabilities. Reduced gravity experiments have been employed by ANDREWS </w:t>
      </w:r>
      <w:r>
        <w:rPr>
          <w:i/>
          <w:iCs/>
          <w:spacing w:val="-3"/>
        </w:rPr>
        <w:t>et al.</w:t>
      </w:r>
      <w:r>
        <w:rPr>
          <w:spacing w:val="-3"/>
        </w:rPr>
        <w:t xml:space="preserve"> [1992] to avoid these difficulties.</w:t>
      </w:r>
    </w:p>
    <w:p w14:paraId="39A2C2B1" w14:textId="77777777" w:rsidR="00015B17" w:rsidRDefault="00015B17" w:rsidP="00015B17">
      <w:pPr>
        <w:suppressAutoHyphens/>
        <w:spacing w:line="360" w:lineRule="auto"/>
        <w:rPr>
          <w:spacing w:val="-3"/>
        </w:rPr>
      </w:pPr>
    </w:p>
    <w:p w14:paraId="3413CBD4" w14:textId="1EE23E07" w:rsidR="00015B17" w:rsidRPr="008A0935" w:rsidRDefault="00015B17" w:rsidP="00015B17">
      <w:pPr>
        <w:suppressAutoHyphens/>
        <w:spacing w:line="360" w:lineRule="auto"/>
        <w:rPr>
          <w:spacing w:val="-3"/>
        </w:rPr>
      </w:pPr>
      <w:r>
        <w:rPr>
          <w:spacing w:val="-3"/>
        </w:rPr>
        <w:tab/>
        <w:t xml:space="preserve">Nestler et al. [2000] performed phase field calculations of monotectic growth including fluid flow in the two liquid phases. They were able to show the conditions under which a stable two phase composite could be grown </w:t>
      </w:r>
      <w:r w:rsidR="00EA538A">
        <w:rPr>
          <w:spacing w:val="-3"/>
        </w:rPr>
        <w:t xml:space="preserve">as </w:t>
      </w:r>
      <w:r>
        <w:rPr>
          <w:spacing w:val="-3"/>
        </w:rPr>
        <w:t xml:space="preserve">well as </w:t>
      </w:r>
      <w:r w:rsidR="00B306CB">
        <w:rPr>
          <w:spacing w:val="-3"/>
        </w:rPr>
        <w:t xml:space="preserve">the </w:t>
      </w:r>
      <w:r>
        <w:rPr>
          <w:spacing w:val="-3"/>
        </w:rPr>
        <w:t xml:space="preserve">conditions </w:t>
      </w:r>
      <w:r w:rsidR="00B306CB">
        <w:rPr>
          <w:spacing w:val="-3"/>
        </w:rPr>
        <w:t xml:space="preserve">that lead </w:t>
      </w:r>
      <w:r>
        <w:rPr>
          <w:spacing w:val="-3"/>
        </w:rPr>
        <w:t xml:space="preserve">to irregular microstructures and liquid droplet pushing. </w:t>
      </w:r>
    </w:p>
    <w:p w14:paraId="767F6173" w14:textId="77777777" w:rsidR="00015B17" w:rsidRDefault="00015B17" w:rsidP="00015B17">
      <w:pPr>
        <w:suppressAutoHyphens/>
        <w:spacing w:line="360" w:lineRule="auto"/>
        <w:rPr>
          <w:spacing w:val="-3"/>
        </w:rPr>
      </w:pPr>
    </w:p>
    <w:p w14:paraId="0FCA6607" w14:textId="77777777" w:rsidR="00015B17" w:rsidRDefault="00015B17" w:rsidP="00015B17">
      <w:pPr>
        <w:suppressAutoHyphens/>
        <w:spacing w:line="360" w:lineRule="auto"/>
        <w:rPr>
          <w:spacing w:val="-3"/>
        </w:rPr>
      </w:pPr>
      <w:r>
        <w:rPr>
          <w:b/>
          <w:bCs/>
          <w:spacing w:val="-3"/>
        </w:rPr>
        <w:t>8.2.2 - Rapid Solidification of Monotectic Alloys</w:t>
      </w:r>
    </w:p>
    <w:p w14:paraId="62B8C7B9" w14:textId="77777777" w:rsidR="00015B17" w:rsidRDefault="00015B17" w:rsidP="00015B17">
      <w:pPr>
        <w:suppressAutoHyphens/>
        <w:spacing w:line="360" w:lineRule="auto"/>
        <w:rPr>
          <w:spacing w:val="-3"/>
        </w:rPr>
      </w:pPr>
    </w:p>
    <w:p w14:paraId="65D2F25A" w14:textId="77777777" w:rsidR="00015B17" w:rsidRDefault="00015B17" w:rsidP="00015B17">
      <w:pPr>
        <w:suppressAutoHyphens/>
        <w:spacing w:line="360" w:lineRule="auto"/>
        <w:rPr>
          <w:spacing w:val="-3"/>
        </w:rPr>
      </w:pPr>
      <w:r>
        <w:rPr>
          <w:spacing w:val="-3"/>
        </w:rPr>
        <w:tab/>
        <w:t xml:space="preserve">Some alloys whose phase diagrams do not contain a miscibility gap or a monotectic reaction form microstructures consisting of droplets embedded in a matrix of a primary phase after rapid solidification. If the liquidus curve has a portion where the slope is close to zero, a metastable miscibility gap lies just beneath the liquidus curve. In fact the temperature difference between the liquidus and the metastable critical point is proportional to the liquidus slope (PEREPEZKO and BOETTINGER [1983]). Thus with the supercooling inherent in many rapid solidification processes, alloy microstructure can be influenced by </w:t>
      </w:r>
      <w:r>
        <w:rPr>
          <w:spacing w:val="-3"/>
        </w:rPr>
        <w:lastRenderedPageBreak/>
        <w:t xml:space="preserve">the presence of the metastable miscibility gap and its associated metastable monotectic reaction. The microstructure of rapidly solidified Al-Be alloys, which consists of fine Be particles in an Al matrix, have been interpreted in this manner (ELMER </w:t>
      </w:r>
      <w:r>
        <w:rPr>
          <w:i/>
          <w:iCs/>
          <w:spacing w:val="-3"/>
        </w:rPr>
        <w:t>et al.</w:t>
      </w:r>
      <w:r>
        <w:rPr>
          <w:spacing w:val="-3"/>
        </w:rPr>
        <w:t xml:space="preserve"> [1994]). In fact even some slowly cooled alloys can exhibit microstructures characteristic of monotectic solidification even though there is no apparent miscibility gap. VERHOEVEN and GIBSON [1978] showed that oxygen impurities raise the metastable miscibility gap in the Cu-Nb system so that it becomes stable and produces droplet microstructures.</w:t>
      </w:r>
    </w:p>
    <w:p w14:paraId="68A840FB" w14:textId="77777777" w:rsidR="00015B17" w:rsidRDefault="00015B17" w:rsidP="00015B17">
      <w:pPr>
        <w:suppressAutoHyphens/>
        <w:spacing w:line="360" w:lineRule="auto"/>
        <w:rPr>
          <w:spacing w:val="-3"/>
        </w:rPr>
      </w:pPr>
    </w:p>
    <w:p w14:paraId="19D1D8AB" w14:textId="77777777" w:rsidR="00015B17" w:rsidRDefault="00015B17" w:rsidP="00015B17">
      <w:pPr>
        <w:suppressAutoHyphens/>
        <w:spacing w:line="360" w:lineRule="auto"/>
        <w:rPr>
          <w:b/>
          <w:bCs/>
          <w:spacing w:val="-3"/>
        </w:rPr>
      </w:pPr>
      <w:r>
        <w:rPr>
          <w:b/>
          <w:bCs/>
          <w:spacing w:val="-3"/>
        </w:rPr>
        <w:t>8.3 Peritectic Solidification</w:t>
      </w:r>
    </w:p>
    <w:p w14:paraId="2271D8C9" w14:textId="77777777" w:rsidR="00015B17" w:rsidRDefault="00015B17" w:rsidP="00015B17">
      <w:pPr>
        <w:suppressAutoHyphens/>
        <w:spacing w:line="360" w:lineRule="auto"/>
        <w:rPr>
          <w:spacing w:val="-3"/>
        </w:rPr>
      </w:pPr>
    </w:p>
    <w:p w14:paraId="0496677F" w14:textId="77777777" w:rsidR="00015B17" w:rsidRDefault="00015B17" w:rsidP="00015B17">
      <w:pPr>
        <w:suppressAutoHyphens/>
        <w:spacing w:line="360" w:lineRule="auto"/>
        <w:rPr>
          <w:spacing w:val="-3"/>
        </w:rPr>
      </w:pPr>
      <w:r>
        <w:rPr>
          <w:spacing w:val="-3"/>
        </w:rPr>
        <w:tab/>
        <w:t>The phase diagram for the Pb-Bi system is shown in Fig. 8.22a. If a liquid with 33</w:t>
      </w:r>
      <w:r w:rsidR="00BD6531">
        <w:rPr>
          <w:spacing w:val="-3"/>
        </w:rPr>
        <w:t xml:space="preserve"> wt</w:t>
      </w:r>
      <w:r>
        <w:rPr>
          <w:spacing w:val="-3"/>
        </w:rPr>
        <w:t>% Bi is cooled, and global equilibrium could be maintained (see § 3), the alloy would be composed of</w:t>
      </w:r>
      <w:r>
        <w:rPr>
          <w:i/>
          <w:iCs/>
          <w:spacing w:val="-3"/>
        </w:rPr>
        <w:t xml:space="preserve"> L+α</w:t>
      </w:r>
      <w:r>
        <w:rPr>
          <w:spacing w:val="-3"/>
        </w:rPr>
        <w:t xml:space="preserve"> at a temperature just above the peritectic temperature of 18</w:t>
      </w:r>
      <w:r w:rsidR="00EA538A">
        <w:rPr>
          <w:spacing w:val="-3"/>
        </w:rPr>
        <w:t>4</w:t>
      </w:r>
      <w:r>
        <w:rPr>
          <w:spacing w:val="-3"/>
        </w:rPr>
        <w:sym w:font="Symbol" w:char="F0B0"/>
      </w:r>
      <w:r>
        <w:rPr>
          <w:spacing w:val="-3"/>
        </w:rPr>
        <w:t>C, denoted</w:t>
      </w:r>
      <w:r>
        <w:rPr>
          <w:i/>
          <w:iCs/>
          <w:spacing w:val="-3"/>
        </w:rPr>
        <w:t xml:space="preserve"> T</w:t>
      </w:r>
      <w:r w:rsidRPr="00911EC5">
        <w:rPr>
          <w:spacing w:val="-3"/>
          <w:sz w:val="26"/>
          <w:vertAlign w:val="subscript"/>
        </w:rPr>
        <w:t>p</w:t>
      </w:r>
      <w:r>
        <w:rPr>
          <w:spacing w:val="-3"/>
        </w:rPr>
        <w:t>, and would be composed of single phase</w:t>
      </w:r>
      <w:r>
        <w:rPr>
          <w:i/>
          <w:iCs/>
          <w:spacing w:val="-3"/>
        </w:rPr>
        <w:t xml:space="preserve"> β</w:t>
      </w:r>
      <w:r>
        <w:rPr>
          <w:spacing w:val="-3"/>
        </w:rPr>
        <w:t xml:space="preserve"> just below</w:t>
      </w:r>
      <w:r>
        <w:rPr>
          <w:i/>
          <w:iCs/>
          <w:spacing w:val="-3"/>
        </w:rPr>
        <w:t xml:space="preserve"> T</w:t>
      </w:r>
      <w:r w:rsidRPr="00911EC5">
        <w:rPr>
          <w:spacing w:val="-3"/>
          <w:sz w:val="26"/>
          <w:vertAlign w:val="subscript"/>
        </w:rPr>
        <w:t>p</w:t>
      </w:r>
      <w:r>
        <w:rPr>
          <w:spacing w:val="-3"/>
        </w:rPr>
        <w:t>. This gives rise to the notion of a peritectic "reaction" that occurs on cooling that is written as</w:t>
      </w:r>
      <w:r>
        <w:rPr>
          <w:i/>
          <w:iCs/>
          <w:spacing w:val="-3"/>
        </w:rPr>
        <w:t xml:space="preserve"> L+α</w:t>
      </w:r>
      <w:r>
        <w:rPr>
          <w:i/>
          <w:iCs/>
          <w:spacing w:val="-3"/>
        </w:rPr>
        <w:sym w:font="Symbol" w:char="F0AE"/>
      </w:r>
      <w:r w:rsidR="006E6FC2">
        <w:rPr>
          <w:i/>
          <w:iCs/>
          <w:spacing w:val="-3"/>
        </w:rPr>
        <w:t xml:space="preserve"> </w:t>
      </w:r>
      <w:r>
        <w:rPr>
          <w:i/>
          <w:iCs/>
          <w:spacing w:val="-3"/>
        </w:rPr>
        <w:t>β.</w:t>
      </w:r>
      <w:r>
        <w:rPr>
          <w:spacing w:val="-3"/>
        </w:rPr>
        <w:t xml:space="preserve"> However the solid state diffusion required to accomplish this "reaction" during </w:t>
      </w:r>
      <w:r w:rsidR="00EA538A">
        <w:rPr>
          <w:spacing w:val="-3"/>
        </w:rPr>
        <w:t xml:space="preserve">the </w:t>
      </w:r>
      <w:r>
        <w:rPr>
          <w:spacing w:val="-3"/>
        </w:rPr>
        <w:t xml:space="preserve">solidification process greatly reduces the amount of the </w:t>
      </w:r>
      <w:r>
        <w:rPr>
          <w:i/>
          <w:iCs/>
          <w:spacing w:val="-3"/>
        </w:rPr>
        <w:t>β</w:t>
      </w:r>
      <w:r>
        <w:rPr>
          <w:spacing w:val="-3"/>
        </w:rPr>
        <w:t xml:space="preserve"> phase formed with the exception of interstitial alloys.</w:t>
      </w:r>
    </w:p>
    <w:p w14:paraId="190D29C3" w14:textId="77777777" w:rsidR="00015B17" w:rsidRDefault="00015B17" w:rsidP="00015B17">
      <w:pPr>
        <w:suppressAutoHyphens/>
        <w:spacing w:line="360" w:lineRule="auto"/>
        <w:rPr>
          <w:b/>
          <w:bCs/>
          <w:spacing w:val="-3"/>
        </w:rPr>
      </w:pPr>
    </w:p>
    <w:p w14:paraId="2907E147" w14:textId="77777777" w:rsidR="00015B17" w:rsidRDefault="00015B17" w:rsidP="00015B17">
      <w:pPr>
        <w:suppressAutoHyphens/>
        <w:spacing w:line="360" w:lineRule="auto"/>
        <w:rPr>
          <w:spacing w:val="-3"/>
        </w:rPr>
      </w:pPr>
      <w:r>
        <w:rPr>
          <w:b/>
          <w:bCs/>
          <w:spacing w:val="-3"/>
        </w:rPr>
        <w:t>8.3.1 Peritectic solidification during dendritic growth</w:t>
      </w:r>
    </w:p>
    <w:p w14:paraId="2E5A268D" w14:textId="77777777" w:rsidR="00015B17" w:rsidRDefault="00015B17" w:rsidP="00015B17">
      <w:pPr>
        <w:suppressAutoHyphens/>
        <w:spacing w:line="360" w:lineRule="auto"/>
        <w:rPr>
          <w:spacing w:val="-3"/>
        </w:rPr>
      </w:pPr>
    </w:p>
    <w:p w14:paraId="5385CD2F" w14:textId="01845F60" w:rsidR="00015B17" w:rsidRDefault="00015B17" w:rsidP="00015B17">
      <w:pPr>
        <w:suppressAutoHyphens/>
        <w:spacing w:line="360" w:lineRule="auto"/>
        <w:rPr>
          <w:spacing w:val="-3"/>
        </w:rPr>
      </w:pPr>
      <w:r>
        <w:rPr>
          <w:spacing w:val="-3"/>
        </w:rPr>
        <w:tab/>
        <w:t xml:space="preserve">Under conditions where the </w:t>
      </w:r>
      <w:r>
        <w:rPr>
          <w:i/>
          <w:iCs/>
          <w:spacing w:val="-3"/>
        </w:rPr>
        <w:t>α</w:t>
      </w:r>
      <w:r>
        <w:rPr>
          <w:spacing w:val="-3"/>
        </w:rPr>
        <w:t xml:space="preserve"> phase grows dendritically, the</w:t>
      </w:r>
      <w:r>
        <w:rPr>
          <w:i/>
          <w:iCs/>
          <w:spacing w:val="-3"/>
        </w:rPr>
        <w:t xml:space="preserve"> β</w:t>
      </w:r>
      <w:r>
        <w:rPr>
          <w:spacing w:val="-3"/>
        </w:rPr>
        <w:t xml:space="preserve"> phase will usually begin to form along the surface of the </w:t>
      </w:r>
      <w:r>
        <w:rPr>
          <w:i/>
          <w:iCs/>
          <w:spacing w:val="-3"/>
        </w:rPr>
        <w:t>α</w:t>
      </w:r>
      <w:r>
        <w:rPr>
          <w:spacing w:val="-3"/>
        </w:rPr>
        <w:t xml:space="preserve"> phase as shown in</w:t>
      </w:r>
      <w:r w:rsidRPr="00343B19">
        <w:rPr>
          <w:spacing w:val="-3"/>
        </w:rPr>
        <w:t xml:space="preserve"> </w:t>
      </w:r>
      <w:r>
        <w:rPr>
          <w:spacing w:val="-3"/>
        </w:rPr>
        <w:t xml:space="preserve">the two left drawings in Fig. 7. 14. Although the </w:t>
      </w:r>
      <w:r>
        <w:rPr>
          <w:i/>
          <w:iCs/>
          <w:spacing w:val="-3"/>
        </w:rPr>
        <w:t>β</w:t>
      </w:r>
      <w:r>
        <w:rPr>
          <w:spacing w:val="-3"/>
        </w:rPr>
        <w:t xml:space="preserve"> phase can be formed by three mechanisms, the most important during continuous cooling is the formation of </w:t>
      </w:r>
      <w:r>
        <w:rPr>
          <w:i/>
          <w:iCs/>
          <w:spacing w:val="-3"/>
        </w:rPr>
        <w:t>β</w:t>
      </w:r>
      <w:r>
        <w:rPr>
          <w:spacing w:val="-3"/>
        </w:rPr>
        <w:t xml:space="preserve"> directly from the melt. The simplest way to treat this situation is to employ the Scheil approach in a small volume of the interdendritic liquid with the usual assumptions: local equilibrium at the solid-liquid interface, uniform liquid composition at each instant (temperature) and no solid diffusion. At small fraction solid, solidification of α phase occurs in the normal way with </w:t>
      </w:r>
      <w:r w:rsidR="00FA2661">
        <w:rPr>
          <w:spacing w:val="-3"/>
        </w:rPr>
        <w:t>buildup</w:t>
      </w:r>
      <w:r>
        <w:rPr>
          <w:spacing w:val="-3"/>
        </w:rPr>
        <w:t xml:space="preserve"> of solute in the liquid between the dendrites following the Scheil equation. When the liquid composition reaches 36</w:t>
      </w:r>
      <w:r w:rsidR="00BD6531">
        <w:rPr>
          <w:spacing w:val="-3"/>
        </w:rPr>
        <w:t xml:space="preserve"> wt</w:t>
      </w:r>
      <w:r>
        <w:rPr>
          <w:spacing w:val="-3"/>
        </w:rPr>
        <w:t>%</w:t>
      </w:r>
      <w:r w:rsidR="00FC30A1">
        <w:rPr>
          <w:spacing w:val="-3"/>
        </w:rPr>
        <w:t xml:space="preserve"> </w:t>
      </w:r>
      <w:r>
        <w:rPr>
          <w:spacing w:val="-3"/>
        </w:rPr>
        <w:t>Bi</w:t>
      </w:r>
      <w:r w:rsidR="006D06A4">
        <w:rPr>
          <w:spacing w:val="-3"/>
        </w:rPr>
        <w:t xml:space="preserve"> (see Fig. 8.22)</w:t>
      </w:r>
      <w:r>
        <w:rPr>
          <w:spacing w:val="-3"/>
        </w:rPr>
        <w:t xml:space="preserve">, denoted </w:t>
      </w:r>
      <w:r>
        <w:rPr>
          <w:i/>
          <w:iCs/>
          <w:spacing w:val="-3"/>
        </w:rPr>
        <w:t>C</w:t>
      </w:r>
      <w:r w:rsidRPr="00911EC5">
        <w:rPr>
          <w:spacing w:val="-3"/>
          <w:sz w:val="26"/>
          <w:vertAlign w:val="subscript"/>
        </w:rPr>
        <w:t>p</w:t>
      </w:r>
      <w:r>
        <w:rPr>
          <w:spacing w:val="-3"/>
        </w:rPr>
        <w:t>, solidification switches from the</w:t>
      </w:r>
      <w:r>
        <w:rPr>
          <w:i/>
          <w:iCs/>
          <w:spacing w:val="-3"/>
        </w:rPr>
        <w:t xml:space="preserve"> α</w:t>
      </w:r>
      <w:r>
        <w:rPr>
          <w:spacing w:val="-3"/>
        </w:rPr>
        <w:t xml:space="preserve"> phase to the</w:t>
      </w:r>
      <w:r>
        <w:rPr>
          <w:i/>
          <w:iCs/>
          <w:spacing w:val="-3"/>
        </w:rPr>
        <w:t xml:space="preserve"> β</w:t>
      </w:r>
      <w:r>
        <w:rPr>
          <w:spacing w:val="-3"/>
        </w:rPr>
        <w:t xml:space="preserve"> phase. A new value of the partition coefficient given by the</w:t>
      </w:r>
      <w:r>
        <w:rPr>
          <w:i/>
          <w:iCs/>
          <w:spacing w:val="-3"/>
        </w:rPr>
        <w:t xml:space="preserve"> β</w:t>
      </w:r>
      <w:r>
        <w:rPr>
          <w:spacing w:val="-3"/>
        </w:rPr>
        <w:t xml:space="preserve"> liquidus and solidus must then </w:t>
      </w:r>
      <w:r>
        <w:rPr>
          <w:spacing w:val="-3"/>
        </w:rPr>
        <w:lastRenderedPageBreak/>
        <w:t xml:space="preserve">be employed in the Scheil equation to follow the continued enrichment of the liquid composition in the component Bi. Often one must employ a concentration dependent partition coefficient for the </w:t>
      </w:r>
      <w:r>
        <w:rPr>
          <w:i/>
          <w:iCs/>
          <w:spacing w:val="-3"/>
        </w:rPr>
        <w:t>β</w:t>
      </w:r>
      <w:r>
        <w:rPr>
          <w:spacing w:val="-3"/>
        </w:rPr>
        <w:t xml:space="preserve"> phase in peritectic systems, a </w:t>
      </w:r>
      <w:r w:rsidR="00322BC7">
        <w:rPr>
          <w:spacing w:val="-3"/>
        </w:rPr>
        <w:t xml:space="preserve">situation </w:t>
      </w:r>
      <w:r>
        <w:rPr>
          <w:spacing w:val="-3"/>
        </w:rPr>
        <w:t xml:space="preserve">that </w:t>
      </w:r>
      <w:r w:rsidR="00322BC7">
        <w:rPr>
          <w:spacing w:val="-3"/>
        </w:rPr>
        <w:t xml:space="preserve">may </w:t>
      </w:r>
      <w:r>
        <w:rPr>
          <w:spacing w:val="-3"/>
        </w:rPr>
        <w:t xml:space="preserve">require numerical solution of the differential form of the Scheil equation. The solid composition and the fraction of </w:t>
      </w:r>
      <w:r>
        <w:rPr>
          <w:i/>
          <w:iCs/>
          <w:spacing w:val="-3"/>
        </w:rPr>
        <w:t>α</w:t>
      </w:r>
      <w:r>
        <w:rPr>
          <w:spacing w:val="-3"/>
        </w:rPr>
        <w:t xml:space="preserve"> and</w:t>
      </w:r>
      <w:r>
        <w:rPr>
          <w:i/>
          <w:iCs/>
          <w:spacing w:val="-3"/>
        </w:rPr>
        <w:t xml:space="preserve"> β</w:t>
      </w:r>
      <w:r>
        <w:rPr>
          <w:spacing w:val="-3"/>
        </w:rPr>
        <w:t xml:space="preserve"> phases formed by this mechanism using the Scheil model are shown in Fig. 8.22b. For Pb-Bi alloys the final solidification product is eutectic. One notes that using the Scheil approach,</w:t>
      </w:r>
      <w:r>
        <w:rPr>
          <w:i/>
          <w:iCs/>
          <w:spacing w:val="-3"/>
        </w:rPr>
        <w:t xml:space="preserve"> any </w:t>
      </w:r>
      <w:r>
        <w:rPr>
          <w:spacing w:val="-3"/>
        </w:rPr>
        <w:t>alloy composition to the left of 36</w:t>
      </w:r>
      <w:r w:rsidR="00BD6531">
        <w:rPr>
          <w:spacing w:val="-3"/>
        </w:rPr>
        <w:t xml:space="preserve"> </w:t>
      </w:r>
      <w:r w:rsidR="00BD6531" w:rsidRPr="00FA2661">
        <w:rPr>
          <w:spacing w:val="-3"/>
        </w:rPr>
        <w:t>wt</w:t>
      </w:r>
      <w:r w:rsidR="00FA2661">
        <w:rPr>
          <w:spacing w:val="-3"/>
        </w:rPr>
        <w:t xml:space="preserve"> </w:t>
      </w:r>
      <w:r>
        <w:rPr>
          <w:spacing w:val="-3"/>
        </w:rPr>
        <w:t xml:space="preserve">% </w:t>
      </w:r>
      <w:r w:rsidR="006D06A4">
        <w:rPr>
          <w:spacing w:val="-3"/>
        </w:rPr>
        <w:t xml:space="preserve">(in Fig. 8.22a) </w:t>
      </w:r>
      <w:r>
        <w:rPr>
          <w:spacing w:val="-3"/>
        </w:rPr>
        <w:t>will contain α phase in the solidified microstructure. Many systems involve a cascade of peritectic reactions, with solidification switching from phase to phase forming separate layers around the initial α dendrite.</w:t>
      </w:r>
    </w:p>
    <w:p w14:paraId="4F1D555F" w14:textId="77777777" w:rsidR="00015B17" w:rsidRDefault="00015B17" w:rsidP="00015B17">
      <w:pPr>
        <w:suppressAutoHyphens/>
        <w:spacing w:line="360" w:lineRule="auto"/>
        <w:rPr>
          <w:spacing w:val="-3"/>
        </w:rPr>
      </w:pPr>
    </w:p>
    <w:p w14:paraId="3360FA6D" w14:textId="12CF60D9" w:rsidR="00015B17" w:rsidRDefault="00015B17" w:rsidP="00015B17">
      <w:pPr>
        <w:suppressAutoHyphens/>
        <w:spacing w:line="360" w:lineRule="auto"/>
        <w:rPr>
          <w:spacing w:val="-3"/>
        </w:rPr>
      </w:pPr>
      <w:r>
        <w:rPr>
          <w:spacing w:val="-3"/>
        </w:rPr>
        <w:tab/>
        <w:t xml:space="preserve">The second and third mechanisms for the formation of </w:t>
      </w:r>
      <w:r>
        <w:rPr>
          <w:i/>
          <w:iCs/>
          <w:spacing w:val="-3"/>
        </w:rPr>
        <w:t>β</w:t>
      </w:r>
      <w:r>
        <w:rPr>
          <w:spacing w:val="-3"/>
        </w:rPr>
        <w:t xml:space="preserve"> are less important and more difficult to model. The geometry and connectivity of the </w:t>
      </w:r>
      <w:r>
        <w:rPr>
          <w:i/>
          <w:iCs/>
          <w:spacing w:val="-3"/>
        </w:rPr>
        <w:t>L</w:t>
      </w:r>
      <w:r>
        <w:rPr>
          <w:spacing w:val="-3"/>
        </w:rPr>
        <w:t>,</w:t>
      </w:r>
      <w:r>
        <w:rPr>
          <w:i/>
          <w:iCs/>
          <w:spacing w:val="-3"/>
        </w:rPr>
        <w:t xml:space="preserve"> α</w:t>
      </w:r>
      <w:r>
        <w:rPr>
          <w:spacing w:val="-3"/>
        </w:rPr>
        <w:t xml:space="preserve"> and </w:t>
      </w:r>
      <w:r>
        <w:rPr>
          <w:i/>
          <w:iCs/>
          <w:spacing w:val="-3"/>
        </w:rPr>
        <w:t>β</w:t>
      </w:r>
      <w:r>
        <w:rPr>
          <w:spacing w:val="-3"/>
        </w:rPr>
        <w:t xml:space="preserve"> phases determine their relative importance. Both decrease the fraction of</w:t>
      </w:r>
      <w:r>
        <w:rPr>
          <w:i/>
          <w:iCs/>
          <w:spacing w:val="-3"/>
        </w:rPr>
        <w:t xml:space="preserve"> α</w:t>
      </w:r>
      <w:r>
        <w:rPr>
          <w:spacing w:val="-3"/>
        </w:rPr>
        <w:t xml:space="preserve"> phase from that predicted </w:t>
      </w:r>
      <w:r w:rsidR="00322BC7">
        <w:rPr>
          <w:spacing w:val="-3"/>
        </w:rPr>
        <w:t>by a Scheil analysis</w:t>
      </w:r>
      <w:r>
        <w:rPr>
          <w:spacing w:val="-3"/>
        </w:rPr>
        <w:t xml:space="preserve">. They have been referred to as the </w:t>
      </w:r>
      <w:r>
        <w:rPr>
          <w:i/>
          <w:iCs/>
          <w:spacing w:val="-3"/>
        </w:rPr>
        <w:t>peritectic reaction</w:t>
      </w:r>
      <w:r>
        <w:rPr>
          <w:spacing w:val="-3"/>
        </w:rPr>
        <w:t xml:space="preserve"> and the </w:t>
      </w:r>
      <w:r>
        <w:rPr>
          <w:i/>
          <w:iCs/>
          <w:spacing w:val="-3"/>
        </w:rPr>
        <w:t>peritectic transformation</w:t>
      </w:r>
      <w:r>
        <w:rPr>
          <w:spacing w:val="-3"/>
        </w:rPr>
        <w:t xml:space="preserve"> by KERR </w:t>
      </w:r>
      <w:r>
        <w:rPr>
          <w:i/>
          <w:iCs/>
          <w:spacing w:val="-3"/>
        </w:rPr>
        <w:t>et al.</w:t>
      </w:r>
      <w:r>
        <w:rPr>
          <w:spacing w:val="-3"/>
        </w:rPr>
        <w:t xml:space="preserve"> [1974]. The peritectic reaction requires that all three phases be in contact with each other. This occurs in the vicinity of the liquid-</w:t>
      </w:r>
      <w:r>
        <w:rPr>
          <w:i/>
          <w:iCs/>
          <w:spacing w:val="-3"/>
        </w:rPr>
        <w:t>α-β</w:t>
      </w:r>
      <w:r>
        <w:rPr>
          <w:spacing w:val="-3"/>
        </w:rPr>
        <w:t xml:space="preserve"> triple junction and involves partial dissolution of the </w:t>
      </w:r>
      <w:r>
        <w:rPr>
          <w:i/>
          <w:iCs/>
          <w:spacing w:val="-3"/>
        </w:rPr>
        <w:t>α</w:t>
      </w:r>
      <w:r>
        <w:rPr>
          <w:spacing w:val="-3"/>
        </w:rPr>
        <w:t xml:space="preserve"> phase and solidification of the</w:t>
      </w:r>
      <w:r>
        <w:rPr>
          <w:i/>
          <w:iCs/>
          <w:spacing w:val="-3"/>
        </w:rPr>
        <w:t xml:space="preserve"> β</w:t>
      </w:r>
      <w:r>
        <w:rPr>
          <w:spacing w:val="-3"/>
        </w:rPr>
        <w:t xml:space="preserve"> by diffusion of solute through the liquid from the</w:t>
      </w:r>
      <w:r>
        <w:rPr>
          <w:i/>
          <w:iCs/>
          <w:spacing w:val="-3"/>
        </w:rPr>
        <w:t xml:space="preserve"> L-β </w:t>
      </w:r>
      <w:r>
        <w:rPr>
          <w:spacing w:val="-3"/>
        </w:rPr>
        <w:t xml:space="preserve">boundary to the </w:t>
      </w:r>
      <w:r>
        <w:rPr>
          <w:i/>
          <w:iCs/>
          <w:spacing w:val="-3"/>
        </w:rPr>
        <w:t>L-α</w:t>
      </w:r>
      <w:r>
        <w:rPr>
          <w:spacing w:val="-3"/>
        </w:rPr>
        <w:t xml:space="preserve"> boundary (Fig. 8.23a). HILLERT [1979] gives an approximate analysis of this process.</w:t>
      </w:r>
    </w:p>
    <w:p w14:paraId="2A73E411" w14:textId="77777777" w:rsidR="00015B17" w:rsidRDefault="00015B17" w:rsidP="00015B17">
      <w:pPr>
        <w:suppressAutoHyphens/>
        <w:spacing w:line="360" w:lineRule="auto"/>
        <w:rPr>
          <w:spacing w:val="-3"/>
        </w:rPr>
      </w:pPr>
    </w:p>
    <w:p w14:paraId="3B012A0E" w14:textId="38C3129D" w:rsidR="00015B17" w:rsidRDefault="00015B17" w:rsidP="00015B17">
      <w:pPr>
        <w:suppressAutoHyphens/>
        <w:spacing w:line="360" w:lineRule="auto"/>
        <w:rPr>
          <w:spacing w:val="-3"/>
        </w:rPr>
      </w:pPr>
      <w:r>
        <w:rPr>
          <w:spacing w:val="-3"/>
        </w:rPr>
        <w:tab/>
        <w:t>The third way that</w:t>
      </w:r>
      <w:r>
        <w:rPr>
          <w:i/>
          <w:iCs/>
          <w:spacing w:val="-3"/>
        </w:rPr>
        <w:t xml:space="preserve"> β</w:t>
      </w:r>
      <w:r>
        <w:rPr>
          <w:spacing w:val="-3"/>
        </w:rPr>
        <w:t xml:space="preserve"> phase can form, the peritectic transformation, involves solid state diffusion and the motion of the</w:t>
      </w:r>
      <w:r>
        <w:rPr>
          <w:i/>
          <w:iCs/>
          <w:spacing w:val="-3"/>
        </w:rPr>
        <w:t xml:space="preserve"> α-β</w:t>
      </w:r>
      <w:r>
        <w:rPr>
          <w:spacing w:val="-3"/>
        </w:rPr>
        <w:t xml:space="preserve"> interface during cooling as shown in Fig. 8.23b. This mechanism is very important when the solid diffusion coefficient is large; e.g., for interstitial solutes such as carbon in Fe. Indeed the peritectic reaction in low carbon steels </w:t>
      </w:r>
      <w:r w:rsidR="00FC30A1">
        <w:rPr>
          <w:spacing w:val="-3"/>
        </w:rPr>
        <w:br/>
      </w:r>
      <w:r>
        <w:rPr>
          <w:spacing w:val="-3"/>
        </w:rPr>
        <w:t>(</w:t>
      </w:r>
      <w:r>
        <w:rPr>
          <w:i/>
          <w:iCs/>
          <w:spacing w:val="-3"/>
        </w:rPr>
        <w:t>L</w:t>
      </w:r>
      <w:r w:rsidR="00FC30A1">
        <w:rPr>
          <w:i/>
          <w:iCs/>
          <w:spacing w:val="-3"/>
        </w:rPr>
        <w:t xml:space="preserve"> </w:t>
      </w:r>
      <w:r>
        <w:rPr>
          <w:i/>
          <w:iCs/>
          <w:spacing w:val="-3"/>
        </w:rPr>
        <w:t>+</w:t>
      </w:r>
      <w:r w:rsidR="00FC30A1">
        <w:rPr>
          <w:i/>
          <w:iCs/>
          <w:spacing w:val="-3"/>
        </w:rPr>
        <w:t xml:space="preserve"> </w:t>
      </w:r>
      <w:r>
        <w:rPr>
          <w:i/>
          <w:iCs/>
          <w:spacing w:val="-3"/>
        </w:rPr>
        <w:t>δ-</w:t>
      </w:r>
      <w:r>
        <w:rPr>
          <w:spacing w:val="-3"/>
        </w:rPr>
        <w:t>Fe</w:t>
      </w:r>
      <w:r w:rsidR="00FC30A1">
        <w:rPr>
          <w:spacing w:val="-3"/>
        </w:rPr>
        <w:t xml:space="preserve"> </w:t>
      </w:r>
      <w:r>
        <w:rPr>
          <w:spacing w:val="-3"/>
        </w:rPr>
        <w:sym w:font="Symbol" w:char="F0AE"/>
      </w:r>
      <w:r w:rsidR="00FC30A1">
        <w:rPr>
          <w:spacing w:val="-3"/>
        </w:rPr>
        <w:t xml:space="preserve"> </w:t>
      </w:r>
      <w:r>
        <w:rPr>
          <w:i/>
          <w:iCs/>
          <w:spacing w:val="-3"/>
        </w:rPr>
        <w:t>γ-</w:t>
      </w:r>
      <w:r>
        <w:rPr>
          <w:spacing w:val="-3"/>
        </w:rPr>
        <w:t xml:space="preserve">Fe) seems to go to completion; i.e., no </w:t>
      </w:r>
      <w:r>
        <w:rPr>
          <w:i/>
          <w:iCs/>
          <w:spacing w:val="-3"/>
        </w:rPr>
        <w:t>δ-</w:t>
      </w:r>
      <w:r>
        <w:rPr>
          <w:spacing w:val="-3"/>
        </w:rPr>
        <w:t>Fe is observed in these alloys. The diffusion problem that governs the motion of the</w:t>
      </w:r>
      <w:r>
        <w:rPr>
          <w:i/>
          <w:iCs/>
          <w:spacing w:val="-3"/>
        </w:rPr>
        <w:t xml:space="preserve"> α-β</w:t>
      </w:r>
      <w:r>
        <w:rPr>
          <w:spacing w:val="-3"/>
        </w:rPr>
        <w:t xml:space="preserve"> interface involves long range </w:t>
      </w:r>
      <w:r w:rsidR="00322BC7">
        <w:rPr>
          <w:spacing w:val="-3"/>
        </w:rPr>
        <w:t xml:space="preserve">(scale of dendrite spacing) </w:t>
      </w:r>
      <w:r>
        <w:rPr>
          <w:spacing w:val="-3"/>
        </w:rPr>
        <w:t xml:space="preserve">transport of solute from the liquid across the β phase to the </w:t>
      </w:r>
      <w:r>
        <w:rPr>
          <w:i/>
          <w:iCs/>
          <w:spacing w:val="-3"/>
        </w:rPr>
        <w:t>α-β</w:t>
      </w:r>
      <w:r>
        <w:rPr>
          <w:spacing w:val="-3"/>
        </w:rPr>
        <w:t xml:space="preserve"> interface. At this interface, this </w:t>
      </w:r>
      <w:r w:rsidR="00322BC7">
        <w:rPr>
          <w:spacing w:val="-3"/>
        </w:rPr>
        <w:t xml:space="preserve">flux </w:t>
      </w:r>
      <w:r>
        <w:rPr>
          <w:spacing w:val="-3"/>
        </w:rPr>
        <w:t>of solute causes the</w:t>
      </w:r>
      <w:r>
        <w:rPr>
          <w:i/>
          <w:iCs/>
          <w:spacing w:val="-3"/>
        </w:rPr>
        <w:t xml:space="preserve"> α</w:t>
      </w:r>
      <w:r>
        <w:rPr>
          <w:spacing w:val="-3"/>
        </w:rPr>
        <w:t xml:space="preserve"> phase to dissolve at the expense of the growing</w:t>
      </w:r>
      <w:r>
        <w:rPr>
          <w:i/>
          <w:iCs/>
          <w:spacing w:val="-3"/>
        </w:rPr>
        <w:t xml:space="preserve"> β </w:t>
      </w:r>
      <w:r>
        <w:rPr>
          <w:spacing w:val="-3"/>
        </w:rPr>
        <w:t xml:space="preserve">phase. The analysis must use compositions for the interfaces that are given by the </w:t>
      </w:r>
      <w:r>
        <w:rPr>
          <w:i/>
          <w:iCs/>
          <w:spacing w:val="-3"/>
        </w:rPr>
        <w:t>L+β</w:t>
      </w:r>
      <w:r>
        <w:rPr>
          <w:spacing w:val="-3"/>
        </w:rPr>
        <w:t xml:space="preserve"> and</w:t>
      </w:r>
      <w:r>
        <w:rPr>
          <w:i/>
          <w:iCs/>
          <w:spacing w:val="-3"/>
        </w:rPr>
        <w:t xml:space="preserve"> α+β</w:t>
      </w:r>
      <w:r>
        <w:rPr>
          <w:spacing w:val="-3"/>
        </w:rPr>
        <w:t xml:space="preserve"> two phase fields on the phase diagram. HILLERT [1979] has given an </w:t>
      </w:r>
      <w:r>
        <w:rPr>
          <w:spacing w:val="-3"/>
        </w:rPr>
        <w:lastRenderedPageBreak/>
        <w:t xml:space="preserve">approximation for the growth of the </w:t>
      </w:r>
      <w:r>
        <w:rPr>
          <w:i/>
          <w:iCs/>
          <w:spacing w:val="-3"/>
        </w:rPr>
        <w:t xml:space="preserve">β </w:t>
      </w:r>
      <w:r>
        <w:rPr>
          <w:spacing w:val="-3"/>
        </w:rPr>
        <w:t>phase by solid state diffusion. Due to the long range diffusion, the thickness of the</w:t>
      </w:r>
      <w:r>
        <w:rPr>
          <w:i/>
          <w:iCs/>
          <w:spacing w:val="-3"/>
        </w:rPr>
        <w:t xml:space="preserve"> β</w:t>
      </w:r>
      <w:r>
        <w:rPr>
          <w:spacing w:val="-3"/>
        </w:rPr>
        <w:t xml:space="preserve"> phase increases with the square root of time if the interface compositions and diffusion coefficients can be assumed to be independent of temperature.</w:t>
      </w:r>
    </w:p>
    <w:p w14:paraId="36B738AC" w14:textId="77777777" w:rsidR="00015B17" w:rsidRDefault="00015B17" w:rsidP="00015B17">
      <w:pPr>
        <w:suppressAutoHyphens/>
        <w:spacing w:line="360" w:lineRule="auto"/>
        <w:rPr>
          <w:spacing w:val="-3"/>
        </w:rPr>
      </w:pPr>
    </w:p>
    <w:p w14:paraId="2E05F34E" w14:textId="77777777" w:rsidR="00322BC7" w:rsidRDefault="00015B17" w:rsidP="00015B17">
      <w:pPr>
        <w:suppressAutoHyphens/>
        <w:spacing w:line="360" w:lineRule="auto"/>
        <w:rPr>
          <w:spacing w:val="-3"/>
        </w:rPr>
      </w:pPr>
      <w:r>
        <w:rPr>
          <w:spacing w:val="-3"/>
        </w:rPr>
        <w:tab/>
        <w:t xml:space="preserve">FREDRIKSSON and NYLEN [1982] have measured the fraction of </w:t>
      </w:r>
      <w:r>
        <w:rPr>
          <w:i/>
          <w:iCs/>
          <w:spacing w:val="-3"/>
        </w:rPr>
        <w:t>L, α,</w:t>
      </w:r>
      <w:r>
        <w:rPr>
          <w:spacing w:val="-3"/>
        </w:rPr>
        <w:t xml:space="preserve"> and </w:t>
      </w:r>
      <w:r>
        <w:rPr>
          <w:i/>
          <w:iCs/>
          <w:spacing w:val="-3"/>
        </w:rPr>
        <w:t>β</w:t>
      </w:r>
      <w:r>
        <w:rPr>
          <w:spacing w:val="-3"/>
        </w:rPr>
        <w:t xml:space="preserve"> phases as a function of distance behind the peritectic isotherm by quenching various alloys during directional solidification. The relative contributions of the three mechanisms are analyzed and compared to the measurements. In one alloy (Al-Mn) the</w:t>
      </w:r>
      <w:r>
        <w:rPr>
          <w:i/>
          <w:iCs/>
          <w:spacing w:val="-3"/>
        </w:rPr>
        <w:t xml:space="preserve"> β</w:t>
      </w:r>
      <w:r>
        <w:rPr>
          <w:spacing w:val="-3"/>
        </w:rPr>
        <w:t xml:space="preserve"> phase did not grow along the </w:t>
      </w:r>
      <w:r>
        <w:rPr>
          <w:i/>
          <w:iCs/>
          <w:spacing w:val="-3"/>
        </w:rPr>
        <w:t>L-α</w:t>
      </w:r>
      <w:r>
        <w:rPr>
          <w:spacing w:val="-3"/>
        </w:rPr>
        <w:t xml:space="preserve"> interface but grew independently from the melt.</w:t>
      </w:r>
    </w:p>
    <w:p w14:paraId="3553C27D" w14:textId="77777777" w:rsidR="00322BC7" w:rsidRDefault="00322BC7" w:rsidP="00015B17">
      <w:pPr>
        <w:suppressAutoHyphens/>
        <w:spacing w:line="360" w:lineRule="auto"/>
        <w:rPr>
          <w:spacing w:val="-3"/>
        </w:rPr>
      </w:pPr>
    </w:p>
    <w:p w14:paraId="6959165D" w14:textId="2EADEA34" w:rsidR="00015B17" w:rsidRDefault="00322BC7" w:rsidP="00015B17">
      <w:pPr>
        <w:suppressAutoHyphens/>
        <w:spacing w:line="360" w:lineRule="auto"/>
        <w:rPr>
          <w:spacing w:val="-3"/>
        </w:rPr>
      </w:pPr>
      <w:r>
        <w:rPr>
          <w:spacing w:val="-3"/>
        </w:rPr>
        <w:tab/>
      </w:r>
      <w:r w:rsidR="00015B17">
        <w:rPr>
          <w:spacing w:val="-3"/>
        </w:rPr>
        <w:t xml:space="preserve">A phase field simulation of solidification by Hecht et al. [2004] of an Fe-C-Mn alloy (Fig. 8.24) shows the formation of the peritectic sheath of austenite forming over the primary ferrite dendrite. The solid state peritectic transformation is shown far behind the dendrite tip region where the ferrite phase is being eaten by the austenite phase. </w:t>
      </w:r>
    </w:p>
    <w:p w14:paraId="19BBEFA3" w14:textId="77777777" w:rsidR="00015B17" w:rsidRDefault="00015B17" w:rsidP="00015B17">
      <w:pPr>
        <w:suppressAutoHyphens/>
        <w:spacing w:line="360" w:lineRule="auto"/>
        <w:rPr>
          <w:b/>
          <w:bCs/>
          <w:spacing w:val="-3"/>
        </w:rPr>
      </w:pPr>
    </w:p>
    <w:p w14:paraId="59E511BC" w14:textId="77777777" w:rsidR="00015B17" w:rsidRDefault="00015B17" w:rsidP="00015B17">
      <w:pPr>
        <w:suppressAutoHyphens/>
        <w:spacing w:line="360" w:lineRule="auto"/>
        <w:rPr>
          <w:spacing w:val="-3"/>
        </w:rPr>
      </w:pPr>
      <w:r>
        <w:rPr>
          <w:b/>
          <w:bCs/>
          <w:spacing w:val="-3"/>
        </w:rPr>
        <w:t>8.3.2 Aligned peritectic growth</w:t>
      </w:r>
    </w:p>
    <w:p w14:paraId="43E64B1D" w14:textId="77777777" w:rsidR="00015B17" w:rsidRDefault="00015B17" w:rsidP="00015B17">
      <w:pPr>
        <w:suppressAutoHyphens/>
        <w:spacing w:line="360" w:lineRule="auto"/>
        <w:rPr>
          <w:spacing w:val="-3"/>
        </w:rPr>
      </w:pPr>
    </w:p>
    <w:p w14:paraId="74DC6E00" w14:textId="7434671E" w:rsidR="00015B17" w:rsidRDefault="00015B17" w:rsidP="00015B17">
      <w:pPr>
        <w:suppressAutoHyphens/>
        <w:spacing w:line="360" w:lineRule="auto"/>
        <w:rPr>
          <w:spacing w:val="-3"/>
        </w:rPr>
      </w:pPr>
      <w:r>
        <w:rPr>
          <w:spacing w:val="-3"/>
        </w:rPr>
        <w:tab/>
        <w:t>A two phase solid – solid region exists at low temperatures in binary peritectic phase diagrams. Of interest are attempts to achieve coupled growth of the</w:t>
      </w:r>
      <w:r>
        <w:rPr>
          <w:i/>
          <w:iCs/>
          <w:spacing w:val="-3"/>
        </w:rPr>
        <w:t xml:space="preserve"> α</w:t>
      </w:r>
      <w:r>
        <w:rPr>
          <w:spacing w:val="-3"/>
        </w:rPr>
        <w:t xml:space="preserve"> and </w:t>
      </w:r>
      <w:r>
        <w:rPr>
          <w:i/>
          <w:iCs/>
          <w:spacing w:val="-3"/>
        </w:rPr>
        <w:t>β</w:t>
      </w:r>
      <w:r>
        <w:rPr>
          <w:spacing w:val="-3"/>
        </w:rPr>
        <w:t xml:space="preserve"> phases to produce a fine two-phase composite structure. It was thought that if the </w:t>
      </w:r>
      <w:r>
        <w:rPr>
          <w:i/>
          <w:iCs/>
          <w:spacing w:val="-3"/>
        </w:rPr>
        <w:t>G</w:t>
      </w:r>
      <w:r w:rsidRPr="00911EC5">
        <w:rPr>
          <w:spacing w:val="-3"/>
          <w:sz w:val="26"/>
          <w:vertAlign w:val="subscript"/>
        </w:rPr>
        <w:t>L</w:t>
      </w:r>
      <w:r>
        <w:rPr>
          <w:i/>
          <w:iCs/>
          <w:spacing w:val="-3"/>
        </w:rPr>
        <w:t>/V</w:t>
      </w:r>
      <w:r>
        <w:rPr>
          <w:spacing w:val="-3"/>
        </w:rPr>
        <w:t xml:space="preserve"> ratio were large enough to suppress dendritic and cellular solidification of the</w:t>
      </w:r>
      <w:r>
        <w:rPr>
          <w:i/>
          <w:iCs/>
          <w:spacing w:val="-3"/>
        </w:rPr>
        <w:t xml:space="preserve"> α </w:t>
      </w:r>
      <w:r>
        <w:rPr>
          <w:spacing w:val="-3"/>
        </w:rPr>
        <w:t>phase and force a planar solidification front</w:t>
      </w:r>
      <w:r w:rsidR="00EA538A">
        <w:rPr>
          <w:spacing w:val="-3"/>
        </w:rPr>
        <w:t>,</w:t>
      </w:r>
      <w:r>
        <w:rPr>
          <w:spacing w:val="-3"/>
        </w:rPr>
        <w:t xml:space="preserve"> </w:t>
      </w:r>
      <w:r w:rsidR="00EA538A">
        <w:rPr>
          <w:spacing w:val="-3"/>
        </w:rPr>
        <w:t xml:space="preserve">then </w:t>
      </w:r>
      <w:r>
        <w:rPr>
          <w:spacing w:val="-3"/>
        </w:rPr>
        <w:t>coupled growth of the two solid phases might be possible. This would also require that the composition of the liquid near the interface be maintained near</w:t>
      </w:r>
      <w:r>
        <w:rPr>
          <w:i/>
          <w:iCs/>
          <w:spacing w:val="-3"/>
        </w:rPr>
        <w:t xml:space="preserve"> C</w:t>
      </w:r>
      <w:r w:rsidRPr="00911EC5">
        <w:rPr>
          <w:spacing w:val="-3"/>
          <w:sz w:val="26"/>
          <w:vertAlign w:val="subscript"/>
        </w:rPr>
        <w:t>p</w:t>
      </w:r>
      <w:r>
        <w:rPr>
          <w:spacing w:val="-3"/>
        </w:rPr>
        <w:t>, a liquid composition from which both</w:t>
      </w:r>
      <w:r>
        <w:rPr>
          <w:i/>
          <w:iCs/>
          <w:spacing w:val="-3"/>
        </w:rPr>
        <w:t xml:space="preserve"> α</w:t>
      </w:r>
      <w:r>
        <w:rPr>
          <w:spacing w:val="-3"/>
        </w:rPr>
        <w:t xml:space="preserve"> and </w:t>
      </w:r>
      <w:r>
        <w:rPr>
          <w:i/>
          <w:iCs/>
          <w:spacing w:val="-3"/>
        </w:rPr>
        <w:t>β</w:t>
      </w:r>
      <w:r>
        <w:rPr>
          <w:spacing w:val="-3"/>
        </w:rPr>
        <w:t xml:space="preserve"> could form. When the </w:t>
      </w:r>
      <w:r>
        <w:rPr>
          <w:i/>
          <w:iCs/>
          <w:spacing w:val="-3"/>
        </w:rPr>
        <w:t>G</w:t>
      </w:r>
      <w:r w:rsidRPr="00911EC5">
        <w:rPr>
          <w:spacing w:val="-3"/>
          <w:sz w:val="26"/>
          <w:vertAlign w:val="subscript"/>
        </w:rPr>
        <w:t>L</w:t>
      </w:r>
      <w:r>
        <w:rPr>
          <w:i/>
          <w:iCs/>
          <w:spacing w:val="-3"/>
        </w:rPr>
        <w:t>/V</w:t>
      </w:r>
      <w:r>
        <w:rPr>
          <w:spacing w:val="-3"/>
        </w:rPr>
        <w:t xml:space="preserve"> ratio was high enough to suppress dendritic and cellular growth of the primary phase BOETTINGER [1974] and  BRODY and DAVID [1979]  both obtained banded structures with alternating layers of the </w:t>
      </w:r>
      <w:r w:rsidRPr="00450388">
        <w:rPr>
          <w:spacing w:val="-3"/>
          <w:position w:val="-6"/>
        </w:rPr>
        <w:object w:dxaOrig="240" w:dyaOrig="220" w14:anchorId="22739A62">
          <v:shape id="_x0000_i1666" type="#_x0000_t75" style="width:12.15pt;height:10.3pt" o:ole="">
            <v:imagedata r:id="rId1229" o:title=""/>
          </v:shape>
          <o:OLEObject Type="Embed" ProgID="Equation.DSMT4" ShapeID="_x0000_i1666" DrawAspect="Content" ObjectID="_1840627232" r:id="rId1230"/>
        </w:object>
      </w:r>
      <w:r>
        <w:rPr>
          <w:spacing w:val="-3"/>
        </w:rPr>
        <w:t xml:space="preserve"> and </w:t>
      </w:r>
      <w:r w:rsidRPr="00450388">
        <w:rPr>
          <w:spacing w:val="-3"/>
          <w:position w:val="-10"/>
        </w:rPr>
        <w:object w:dxaOrig="240" w:dyaOrig="320" w14:anchorId="47F659B9">
          <v:shape id="_x0000_i1667" type="#_x0000_t75" style="width:12.15pt;height:16.85pt" o:ole="">
            <v:imagedata r:id="rId1231" o:title=""/>
          </v:shape>
          <o:OLEObject Type="Embed" ProgID="Equation.DSMT4" ShapeID="_x0000_i1667" DrawAspect="Content" ObjectID="_1840627233" r:id="rId1232"/>
        </w:object>
      </w:r>
      <w:r>
        <w:rPr>
          <w:spacing w:val="-3"/>
        </w:rPr>
        <w:t xml:space="preserve"> phases rather than coupled growth. The systems were found to be extremely sensitive to minor growth rate fluctuations that lead to the solidification of the alternating </w:t>
      </w:r>
      <w:r w:rsidRPr="00900E8E">
        <w:rPr>
          <w:iCs/>
          <w:spacing w:val="-3"/>
        </w:rPr>
        <w:t>bands of</w:t>
      </w:r>
      <w:r>
        <w:rPr>
          <w:i/>
          <w:iCs/>
          <w:spacing w:val="-3"/>
        </w:rPr>
        <w:t xml:space="preserve"> α</w:t>
      </w:r>
      <w:r>
        <w:rPr>
          <w:spacing w:val="-3"/>
        </w:rPr>
        <w:t xml:space="preserve"> and</w:t>
      </w:r>
      <w:r>
        <w:rPr>
          <w:i/>
          <w:iCs/>
          <w:spacing w:val="-3"/>
        </w:rPr>
        <w:t xml:space="preserve"> β</w:t>
      </w:r>
      <w:r>
        <w:rPr>
          <w:spacing w:val="-3"/>
        </w:rPr>
        <w:t xml:space="preserve">. These banded structures have been studied theoretically by TRIVEDI [1995] for possible use to determine heterogeneous nucleation temperature. However a subsequent attempt by </w:t>
      </w:r>
      <w:r w:rsidRPr="00AA724D">
        <w:rPr>
          <w:spacing w:val="-3"/>
        </w:rPr>
        <w:t>V</w:t>
      </w:r>
      <w:r>
        <w:rPr>
          <w:spacing w:val="-3"/>
        </w:rPr>
        <w:t xml:space="preserve">andyoussefi et al. [2000] was successful in obtaining </w:t>
      </w:r>
      <w:r>
        <w:rPr>
          <w:spacing w:val="-3"/>
        </w:rPr>
        <w:lastRenderedPageBreak/>
        <w:t xml:space="preserve">couple growth in the Fe-Ni system. Work by Lo et al. [2003], Dobler et al. [2004], and Dobler and Kurz [2004] </w:t>
      </w:r>
      <w:r w:rsidR="00322BC7">
        <w:rPr>
          <w:spacing w:val="-3"/>
        </w:rPr>
        <w:t xml:space="preserve">have elucidated </w:t>
      </w:r>
      <w:r>
        <w:rPr>
          <w:spacing w:val="-3"/>
        </w:rPr>
        <w:t xml:space="preserve"> this interesting solidification phenomenon.</w:t>
      </w:r>
    </w:p>
    <w:p w14:paraId="4774E75E" w14:textId="77777777" w:rsidR="00015B17" w:rsidRDefault="00015B17" w:rsidP="00015B17">
      <w:pPr>
        <w:suppressAutoHyphens/>
        <w:spacing w:line="360" w:lineRule="auto"/>
        <w:rPr>
          <w:spacing w:val="-3"/>
        </w:rPr>
      </w:pPr>
    </w:p>
    <w:p w14:paraId="6ADCD43E" w14:textId="77777777" w:rsidR="00015B17" w:rsidRDefault="00015B17" w:rsidP="00015B17">
      <w:pPr>
        <w:suppressAutoHyphens/>
        <w:spacing w:line="360" w:lineRule="auto"/>
        <w:rPr>
          <w:spacing w:val="-3"/>
        </w:rPr>
      </w:pPr>
      <w:r w:rsidRPr="005A1EB7">
        <w:rPr>
          <w:bCs/>
          <w:spacing w:val="-3"/>
        </w:rPr>
        <w:t xml:space="preserve"> </w:t>
      </w:r>
      <w:r>
        <w:rPr>
          <w:b/>
          <w:bCs/>
          <w:spacing w:val="-3"/>
        </w:rPr>
        <w:t>8.3.3 Rapid Solidification of Peritectic Systems</w:t>
      </w:r>
    </w:p>
    <w:p w14:paraId="34C73939" w14:textId="77777777" w:rsidR="00015B17" w:rsidRDefault="00015B17" w:rsidP="00015B17">
      <w:pPr>
        <w:suppressAutoHyphens/>
        <w:spacing w:line="360" w:lineRule="auto"/>
        <w:rPr>
          <w:spacing w:val="-3"/>
        </w:rPr>
      </w:pPr>
    </w:p>
    <w:p w14:paraId="59EB0C5B" w14:textId="4E4B9AA0" w:rsidR="00015B17" w:rsidRDefault="00015B17" w:rsidP="00015B17">
      <w:pPr>
        <w:suppressAutoHyphens/>
        <w:spacing w:line="360" w:lineRule="auto"/>
        <w:rPr>
          <w:spacing w:val="-3"/>
        </w:rPr>
      </w:pPr>
      <w:r>
        <w:rPr>
          <w:spacing w:val="-3"/>
        </w:rPr>
        <w:tab/>
        <w:t xml:space="preserve">As shown in Fig. 8.25, the metastable </w:t>
      </w:r>
      <w:r w:rsidR="00322BC7">
        <w:rPr>
          <w:spacing w:val="-3"/>
        </w:rPr>
        <w:t xml:space="preserve">extension of the </w:t>
      </w:r>
      <w:r>
        <w:rPr>
          <w:spacing w:val="-3"/>
        </w:rPr>
        <w:t xml:space="preserve">liquidus curve of the </w:t>
      </w:r>
      <w:r>
        <w:rPr>
          <w:i/>
          <w:iCs/>
          <w:spacing w:val="-3"/>
        </w:rPr>
        <w:t>α</w:t>
      </w:r>
      <w:r>
        <w:rPr>
          <w:spacing w:val="-3"/>
        </w:rPr>
        <w:t xml:space="preserve"> phase below the peritectic temperature must lie below the stable</w:t>
      </w:r>
      <w:r>
        <w:rPr>
          <w:i/>
          <w:iCs/>
          <w:spacing w:val="-3"/>
        </w:rPr>
        <w:t xml:space="preserve"> β</w:t>
      </w:r>
      <w:r>
        <w:rPr>
          <w:spacing w:val="-3"/>
        </w:rPr>
        <w:t xml:space="preserve"> liquidus. However when compared to a eutectic system, the metastable </w:t>
      </w:r>
      <w:r w:rsidR="00322BC7">
        <w:rPr>
          <w:i/>
          <w:iCs/>
          <w:spacing w:val="-3"/>
        </w:rPr>
        <w:t>α</w:t>
      </w:r>
      <w:r w:rsidR="00322BC7">
        <w:rPr>
          <w:spacing w:val="-3"/>
        </w:rPr>
        <w:t xml:space="preserve"> </w:t>
      </w:r>
      <w:r>
        <w:rPr>
          <w:spacing w:val="-3"/>
        </w:rPr>
        <w:t>liquidus is relatively close to the stable</w:t>
      </w:r>
      <w:r>
        <w:rPr>
          <w:i/>
          <w:iCs/>
          <w:spacing w:val="-3"/>
        </w:rPr>
        <w:t xml:space="preserve"> β</w:t>
      </w:r>
      <w:r>
        <w:rPr>
          <w:spacing w:val="-3"/>
        </w:rPr>
        <w:t xml:space="preserve"> liquidus. Thus there exists considerable opportunity for the formation of the </w:t>
      </w:r>
      <w:r>
        <w:rPr>
          <w:i/>
          <w:iCs/>
          <w:spacing w:val="-3"/>
        </w:rPr>
        <w:t xml:space="preserve">α </w:t>
      </w:r>
      <w:r>
        <w:rPr>
          <w:spacing w:val="-3"/>
        </w:rPr>
        <w:t>phase directly from the melt at modest levels of supercooling at compositions where it is not expected. Whether or not this happens depends on the competition of nucleation and growth kinetics for the</w:t>
      </w:r>
      <w:r>
        <w:rPr>
          <w:i/>
          <w:iCs/>
          <w:spacing w:val="-3"/>
        </w:rPr>
        <w:t xml:space="preserve"> α</w:t>
      </w:r>
      <w:r>
        <w:rPr>
          <w:spacing w:val="-3"/>
        </w:rPr>
        <w:t xml:space="preserve"> and </w:t>
      </w:r>
      <w:r>
        <w:rPr>
          <w:i/>
          <w:iCs/>
          <w:spacing w:val="-3"/>
        </w:rPr>
        <w:t>β</w:t>
      </w:r>
      <w:r>
        <w:rPr>
          <w:spacing w:val="-3"/>
        </w:rPr>
        <w:t xml:space="preserve"> phases. An example of this kind of behavior is found in the classic experiments of CECH [1956] on solidification of small droplets (3</w:t>
      </w:r>
      <w:r w:rsidR="00BD6531" w:rsidRPr="00BD6531">
        <w:rPr>
          <w:spacing w:val="-3"/>
        </w:rPr>
        <w:t xml:space="preserve"> </w:t>
      </w:r>
      <w:r w:rsidR="00BD6531" w:rsidRPr="001B068D">
        <w:rPr>
          <w:i/>
          <w:iCs/>
          <w:spacing w:val="-3"/>
        </w:rPr>
        <w:t>μm</w:t>
      </w:r>
      <w:r w:rsidR="00BD6531">
        <w:rPr>
          <w:spacing w:val="-3"/>
        </w:rPr>
        <w:t xml:space="preserve"> </w:t>
      </w:r>
      <w:r w:rsidR="0041576B">
        <w:rPr>
          <w:spacing w:val="-3"/>
        </w:rPr>
        <w:t xml:space="preserve">to </w:t>
      </w:r>
      <w:r>
        <w:rPr>
          <w:spacing w:val="-3"/>
        </w:rPr>
        <w:t>30</w:t>
      </w:r>
      <w:r w:rsidR="00BD6531">
        <w:rPr>
          <w:spacing w:val="-3"/>
        </w:rPr>
        <w:t xml:space="preserve"> </w:t>
      </w:r>
      <w:r w:rsidRPr="001B068D">
        <w:rPr>
          <w:i/>
          <w:iCs/>
          <w:spacing w:val="-3"/>
        </w:rPr>
        <w:t>μm</w:t>
      </w:r>
      <w:r>
        <w:rPr>
          <w:spacing w:val="-3"/>
        </w:rPr>
        <w:t>) of Fe-30</w:t>
      </w:r>
      <w:r w:rsidR="00BD6531">
        <w:rPr>
          <w:spacing w:val="-3"/>
        </w:rPr>
        <w:t xml:space="preserve"> </w:t>
      </w:r>
      <w:r w:rsidR="00BD6531" w:rsidRPr="00FA2661">
        <w:rPr>
          <w:spacing w:val="-3"/>
        </w:rPr>
        <w:t>wt</w:t>
      </w:r>
      <w:r>
        <w:rPr>
          <w:spacing w:val="-3"/>
        </w:rPr>
        <w:t>%</w:t>
      </w:r>
      <w:r w:rsidR="00BD6531">
        <w:rPr>
          <w:spacing w:val="-3"/>
        </w:rPr>
        <w:t xml:space="preserve"> </w:t>
      </w:r>
      <w:r>
        <w:rPr>
          <w:spacing w:val="-3"/>
        </w:rPr>
        <w:t>Ni alloys in a drop tube. This system contains a peritectic reaction, L+</w:t>
      </w:r>
      <w:r w:rsidR="00B36D3D">
        <w:rPr>
          <w:spacing w:val="-3"/>
        </w:rPr>
        <w:t>BCC</w:t>
      </w:r>
      <w:r>
        <w:rPr>
          <w:spacing w:val="-3"/>
        </w:rPr>
        <w:sym w:font="Symbol" w:char="F0AE"/>
      </w:r>
      <w:r w:rsidR="00B36D3D">
        <w:rPr>
          <w:spacing w:val="-3"/>
        </w:rPr>
        <w:t>FCC</w:t>
      </w:r>
      <w:r>
        <w:rPr>
          <w:spacing w:val="-3"/>
        </w:rPr>
        <w:t xml:space="preserve">. Experiments showed that </w:t>
      </w:r>
      <w:r w:rsidR="00B36D3D">
        <w:rPr>
          <w:spacing w:val="-3"/>
        </w:rPr>
        <w:t>BCC</w:t>
      </w:r>
      <w:r>
        <w:rPr>
          <w:spacing w:val="-3"/>
        </w:rPr>
        <w:t xml:space="preserve"> was formed from the melt (and not by solid state transformation) at compositions with high Ni content where only </w:t>
      </w:r>
      <w:r w:rsidR="00B36D3D">
        <w:rPr>
          <w:spacing w:val="-3"/>
        </w:rPr>
        <w:t>FCC</w:t>
      </w:r>
      <w:r>
        <w:rPr>
          <w:spacing w:val="-3"/>
        </w:rPr>
        <w:t xml:space="preserve"> should have formed. In contradiction to the experimental facts, analysis of the dendritic growth kinetics of the competing </w:t>
      </w:r>
      <w:r w:rsidR="00B36D3D">
        <w:rPr>
          <w:spacing w:val="-3"/>
        </w:rPr>
        <w:t>FCC</w:t>
      </w:r>
      <w:r>
        <w:rPr>
          <w:spacing w:val="-3"/>
        </w:rPr>
        <w:t xml:space="preserve"> and </w:t>
      </w:r>
      <w:r w:rsidR="00B36D3D">
        <w:rPr>
          <w:spacing w:val="-3"/>
        </w:rPr>
        <w:t>BCC</w:t>
      </w:r>
      <w:r>
        <w:rPr>
          <w:spacing w:val="-3"/>
        </w:rPr>
        <w:t xml:space="preserve"> structures showed that </w:t>
      </w:r>
      <w:r w:rsidR="00B36D3D">
        <w:rPr>
          <w:spacing w:val="-3"/>
        </w:rPr>
        <w:t>FCC</w:t>
      </w:r>
      <w:r>
        <w:rPr>
          <w:spacing w:val="-3"/>
        </w:rPr>
        <w:t xml:space="preserve"> would be the favored product phase at all supercoolings for Fe-30</w:t>
      </w:r>
      <w:r w:rsidR="00BD6531">
        <w:rPr>
          <w:spacing w:val="-3"/>
        </w:rPr>
        <w:t xml:space="preserve"> </w:t>
      </w:r>
      <w:r w:rsidR="00BD6531" w:rsidRPr="00FA2661">
        <w:rPr>
          <w:spacing w:val="-3"/>
        </w:rPr>
        <w:t>wt</w:t>
      </w:r>
      <w:r>
        <w:rPr>
          <w:spacing w:val="-3"/>
        </w:rPr>
        <w:t>%</w:t>
      </w:r>
      <w:r w:rsidR="00BD6531">
        <w:rPr>
          <w:spacing w:val="-3"/>
        </w:rPr>
        <w:t xml:space="preserve"> </w:t>
      </w:r>
      <w:r>
        <w:rPr>
          <w:spacing w:val="-3"/>
        </w:rPr>
        <w:t xml:space="preserve">Ni (BOETTINGER [1988]). This result is due primarily to the fact that the partition coefficient for </w:t>
      </w:r>
      <w:r w:rsidR="00B36D3D">
        <w:rPr>
          <w:spacing w:val="-3"/>
        </w:rPr>
        <w:t>BCC</w:t>
      </w:r>
      <w:r>
        <w:rPr>
          <w:spacing w:val="-3"/>
        </w:rPr>
        <w:t xml:space="preserve"> is much larger than for </w:t>
      </w:r>
      <w:r w:rsidR="00B36D3D">
        <w:rPr>
          <w:spacing w:val="-3"/>
        </w:rPr>
        <w:t>FCC</w:t>
      </w:r>
      <w:r>
        <w:rPr>
          <w:spacing w:val="-3"/>
        </w:rPr>
        <w:t xml:space="preserve">. On the other hand, analysis of the nucleation behavior indicates that </w:t>
      </w:r>
      <w:r w:rsidR="00B36D3D">
        <w:rPr>
          <w:spacing w:val="-3"/>
        </w:rPr>
        <w:t>BCC</w:t>
      </w:r>
      <w:r>
        <w:rPr>
          <w:spacing w:val="-3"/>
        </w:rPr>
        <w:t xml:space="preserve"> is favored over </w:t>
      </w:r>
      <w:r w:rsidR="00B36D3D">
        <w:rPr>
          <w:spacing w:val="-3"/>
        </w:rPr>
        <w:t>FCC</w:t>
      </w:r>
      <w:r>
        <w:rPr>
          <w:spacing w:val="-3"/>
        </w:rPr>
        <w:t xml:space="preserve"> if the nucleation is homogeneous or if the contact angle on heterogeneities is greater than about 45</w:t>
      </w:r>
      <w:r>
        <w:rPr>
          <w:spacing w:val="-3"/>
        </w:rPr>
        <w:sym w:font="Symbol" w:char="F0B0"/>
      </w:r>
      <w:r>
        <w:rPr>
          <w:spacing w:val="-3"/>
        </w:rPr>
        <w:t xml:space="preserve"> (KELLY and VANDERSANDE  [1987]). Thus only nucleation can explain the observed </w:t>
      </w:r>
      <w:r w:rsidR="00B36D3D">
        <w:rPr>
          <w:spacing w:val="-3"/>
        </w:rPr>
        <w:t>BCC</w:t>
      </w:r>
      <w:r>
        <w:rPr>
          <w:spacing w:val="-3"/>
        </w:rPr>
        <w:t xml:space="preserve"> structure.</w:t>
      </w:r>
    </w:p>
    <w:p w14:paraId="2945F84B" w14:textId="77777777" w:rsidR="00015B17" w:rsidRDefault="00015B17" w:rsidP="00015B17">
      <w:pPr>
        <w:suppressAutoHyphens/>
        <w:spacing w:line="360" w:lineRule="auto"/>
        <w:rPr>
          <w:spacing w:val="-3"/>
        </w:rPr>
      </w:pPr>
    </w:p>
    <w:p w14:paraId="7C532B09" w14:textId="0F629186" w:rsidR="00015B17" w:rsidRPr="00AA724D" w:rsidRDefault="00015B17" w:rsidP="00015B17">
      <w:pPr>
        <w:suppressAutoHyphens/>
        <w:spacing w:line="360" w:lineRule="auto"/>
        <w:rPr>
          <w:spacing w:val="-3"/>
        </w:rPr>
      </w:pPr>
      <w:r>
        <w:rPr>
          <w:spacing w:val="-3"/>
        </w:rPr>
        <w:tab/>
        <w:t>In alloys containing a cascade of peritectic reactions, the close proximity of stable and metastable liquidus curves can also explain why one or more phases may be skipped in the layer structure that coats the initial dendritic phase in rapidly solidified alloys.</w:t>
      </w:r>
    </w:p>
    <w:p w14:paraId="1DA6F7A6" w14:textId="77777777" w:rsidR="00015B17" w:rsidRDefault="00015B17" w:rsidP="00015B17">
      <w:pPr>
        <w:suppressAutoHyphens/>
        <w:spacing w:line="360" w:lineRule="auto"/>
        <w:jc w:val="center"/>
        <w:rPr>
          <w:b/>
          <w:bCs/>
          <w:i/>
          <w:iCs/>
          <w:sz w:val="28"/>
          <w:szCs w:val="28"/>
        </w:rPr>
      </w:pPr>
      <w:r>
        <w:rPr>
          <w:bCs/>
          <w:spacing w:val="-3"/>
        </w:rPr>
        <w:br w:type="page"/>
      </w:r>
      <w:r>
        <w:rPr>
          <w:b/>
          <w:bCs/>
          <w:i/>
          <w:iCs/>
          <w:sz w:val="28"/>
          <w:szCs w:val="28"/>
        </w:rPr>
        <w:lastRenderedPageBreak/>
        <w:t>9. Cast Structure and Fluid Flow</w:t>
      </w:r>
    </w:p>
    <w:p w14:paraId="29776D0E" w14:textId="77777777" w:rsidR="00015B17" w:rsidRDefault="00015B17" w:rsidP="00015B17">
      <w:pPr>
        <w:suppressAutoHyphens/>
        <w:spacing w:line="360" w:lineRule="auto"/>
      </w:pPr>
    </w:p>
    <w:p w14:paraId="659F6C14" w14:textId="77777777" w:rsidR="00015B17" w:rsidRDefault="00015B17" w:rsidP="00015B17">
      <w:pPr>
        <w:suppressAutoHyphens/>
        <w:spacing w:line="360" w:lineRule="auto"/>
        <w:rPr>
          <w:spacing w:val="-3"/>
        </w:rPr>
      </w:pPr>
      <w:r>
        <w:rPr>
          <w:spacing w:val="-3"/>
        </w:rPr>
        <w:tab/>
        <w:t>The flow of molten metal or alloy is an important consideration during casting. Although the requirements for mold filling especially in narrow cross sections have been considered for centuries, the importance of flow near the freezing interface has been recognized much more recently. In this section we consider: i) the general origins of fluid flow in castings; ii) the development of casting macrostructure (grain structure); iii) the macrosegregation observed in ingots and castings due to flow in the mushy zone; and iv) the formation of porosity and inclusions. Finally, the foundry concept of</w:t>
      </w:r>
      <w:r>
        <w:rPr>
          <w:i/>
          <w:iCs/>
          <w:spacing w:val="-3"/>
        </w:rPr>
        <w:t xml:space="preserve"> fluidity</w:t>
      </w:r>
      <w:r>
        <w:rPr>
          <w:spacing w:val="-3"/>
        </w:rPr>
        <w:t xml:space="preserve"> associated with the mold filling capability of alloys will be briefly described.</w:t>
      </w:r>
      <w:r w:rsidRPr="00D41F6E">
        <w:rPr>
          <w:spacing w:val="-3"/>
        </w:rPr>
        <w:t xml:space="preserve"> </w:t>
      </w:r>
    </w:p>
    <w:p w14:paraId="30022BBC" w14:textId="77777777" w:rsidR="00015B17" w:rsidRDefault="00015B17" w:rsidP="00015B17">
      <w:pPr>
        <w:suppressAutoHyphens/>
        <w:spacing w:line="360" w:lineRule="auto"/>
        <w:rPr>
          <w:spacing w:val="-3"/>
        </w:rPr>
      </w:pPr>
    </w:p>
    <w:p w14:paraId="5E54976C" w14:textId="77777777" w:rsidR="00015B17" w:rsidRDefault="00015B17" w:rsidP="00015B17">
      <w:pPr>
        <w:suppressAutoHyphens/>
        <w:spacing w:line="360" w:lineRule="auto"/>
        <w:rPr>
          <w:spacing w:val="-3"/>
        </w:rPr>
      </w:pPr>
    </w:p>
    <w:p w14:paraId="6E41F90D" w14:textId="77777777" w:rsidR="00015B17" w:rsidRDefault="00015B17" w:rsidP="00015B17">
      <w:pPr>
        <w:tabs>
          <w:tab w:val="left" w:pos="-1432"/>
          <w:tab w:val="left" w:pos="-761"/>
          <w:tab w:val="left" w:pos="850"/>
          <w:tab w:val="left" w:pos="3600"/>
        </w:tabs>
        <w:suppressAutoHyphens/>
        <w:spacing w:line="360" w:lineRule="auto"/>
        <w:rPr>
          <w:spacing w:val="-3"/>
        </w:rPr>
      </w:pPr>
      <w:r>
        <w:rPr>
          <w:b/>
          <w:bCs/>
          <w:spacing w:val="-3"/>
        </w:rPr>
        <w:t>9.1. General aspects of fluid flow in castings</w:t>
      </w:r>
    </w:p>
    <w:p w14:paraId="73FC5A5C" w14:textId="77777777" w:rsidR="00015B17" w:rsidRDefault="00015B17" w:rsidP="00015B17">
      <w:pPr>
        <w:tabs>
          <w:tab w:val="left" w:pos="-1432"/>
          <w:tab w:val="left" w:pos="-761"/>
          <w:tab w:val="left" w:pos="850"/>
          <w:tab w:val="left" w:pos="3600"/>
        </w:tabs>
        <w:suppressAutoHyphens/>
        <w:spacing w:line="360" w:lineRule="auto"/>
        <w:rPr>
          <w:spacing w:val="-3"/>
        </w:rPr>
      </w:pPr>
    </w:p>
    <w:p w14:paraId="33237854" w14:textId="6BAD999E" w:rsidR="00015B17" w:rsidRDefault="00015B17" w:rsidP="00015B17">
      <w:pPr>
        <w:tabs>
          <w:tab w:val="left" w:pos="-1432"/>
          <w:tab w:val="left" w:pos="-761"/>
          <w:tab w:val="left" w:pos="850"/>
          <w:tab w:val="left" w:pos="3600"/>
        </w:tabs>
        <w:suppressAutoHyphens/>
        <w:spacing w:line="360" w:lineRule="auto"/>
        <w:rPr>
          <w:spacing w:val="-3"/>
        </w:rPr>
      </w:pPr>
      <w:r>
        <w:rPr>
          <w:spacing w:val="-3"/>
        </w:rPr>
        <w:tab/>
        <w:t>There are many aspects of material transport that can occur during solidification: i) residual flow due to mold filling, ii) thermal and solute driven buoyancy convection, iii) convection due to expansion or contraction of alloys upon solidification,</w:t>
      </w:r>
      <w:r w:rsidRPr="00547A37">
        <w:rPr>
          <w:spacing w:val="-3"/>
        </w:rPr>
        <w:t xml:space="preserve"> </w:t>
      </w:r>
      <w:r>
        <w:rPr>
          <w:spacing w:val="-3"/>
        </w:rPr>
        <w:t xml:space="preserve">iv)  convection driven by </w:t>
      </w:r>
      <w:r w:rsidR="007A62EA">
        <w:rPr>
          <w:spacing w:val="-3"/>
        </w:rPr>
        <w:t xml:space="preserve">the variation of </w:t>
      </w:r>
      <w:r>
        <w:rPr>
          <w:spacing w:val="-3"/>
        </w:rPr>
        <w:t xml:space="preserve">free surface </w:t>
      </w:r>
      <w:r w:rsidR="007A62EA">
        <w:rPr>
          <w:spacing w:val="-3"/>
        </w:rPr>
        <w:t xml:space="preserve">energy with temperature </w:t>
      </w:r>
      <w:r w:rsidR="00CB6C42">
        <w:rPr>
          <w:spacing w:val="-3"/>
        </w:rPr>
        <w:t>and / or</w:t>
      </w:r>
      <w:r w:rsidR="007A62EA">
        <w:rPr>
          <w:spacing w:val="-3"/>
        </w:rPr>
        <w:t xml:space="preserve"> concentration</w:t>
      </w:r>
      <w:r>
        <w:rPr>
          <w:spacing w:val="-3"/>
        </w:rPr>
        <w:t>, v) effect of external forces (rotation, magnetic fields, etc.), vi) floating or settling of free crystals</w:t>
      </w:r>
      <w:r w:rsidR="007A62EA">
        <w:rPr>
          <w:spacing w:val="-3"/>
        </w:rPr>
        <w:t xml:space="preserve"> due to density differences</w:t>
      </w:r>
      <w:r>
        <w:rPr>
          <w:spacing w:val="-3"/>
        </w:rPr>
        <w:t>, vii) dendritic breakage and transport, and viii) pushing of equiaxed crystals and</w:t>
      </w:r>
      <w:r w:rsidR="007A62EA">
        <w:rPr>
          <w:spacing w:val="-3"/>
        </w:rPr>
        <w:t>/or</w:t>
      </w:r>
      <w:r>
        <w:rPr>
          <w:spacing w:val="-3"/>
        </w:rPr>
        <w:t xml:space="preserve"> inclusions by the columnar solidification front.</w:t>
      </w:r>
    </w:p>
    <w:p w14:paraId="72CC008F" w14:textId="77777777" w:rsidR="00015B17" w:rsidRDefault="00015B17" w:rsidP="00015B17">
      <w:pPr>
        <w:tabs>
          <w:tab w:val="left" w:pos="-1432"/>
          <w:tab w:val="left" w:pos="-761"/>
          <w:tab w:val="left" w:pos="850"/>
          <w:tab w:val="left" w:pos="3600"/>
        </w:tabs>
        <w:suppressAutoHyphens/>
        <w:spacing w:line="360" w:lineRule="auto"/>
        <w:rPr>
          <w:spacing w:val="-3"/>
        </w:rPr>
      </w:pPr>
    </w:p>
    <w:p w14:paraId="173E6A2F" w14:textId="77777777" w:rsidR="00015B17" w:rsidRDefault="00015B17" w:rsidP="00015B17">
      <w:pPr>
        <w:tabs>
          <w:tab w:val="left" w:pos="-1432"/>
          <w:tab w:val="left" w:pos="-761"/>
          <w:tab w:val="left" w:pos="850"/>
          <w:tab w:val="left" w:pos="3600"/>
        </w:tabs>
        <w:suppressAutoHyphens/>
        <w:spacing w:line="360" w:lineRule="auto"/>
        <w:rPr>
          <w:spacing w:val="-3"/>
        </w:rPr>
      </w:pPr>
      <w:r>
        <w:rPr>
          <w:spacing w:val="-3"/>
        </w:rPr>
        <w:tab/>
        <w:t xml:space="preserve">Experimental observation of liquid metal motion is difficult. COLE [1971] and WEINBERG [1975] extensively studied the flow in the fully liquid part of castings using radioactive tracers.  They overcame the handicap of other experiments performed with transparent model liquids having much lower thermal conductivity than metals. Convection has the largest effect on thermal transport and macrostructure when the </w:t>
      </w:r>
      <w:r w:rsidR="004201E7">
        <w:rPr>
          <w:spacing w:val="-3"/>
        </w:rPr>
        <w:t>L-S</w:t>
      </w:r>
      <w:r>
        <w:rPr>
          <w:spacing w:val="-3"/>
        </w:rPr>
        <w:t xml:space="preserve"> interface (position of dendrite tips) is parallel to the gravity vector. Thus horizontal solidification is dramatically affected by convection due to the ho</w:t>
      </w:r>
      <w:r w:rsidR="009402FF">
        <w:rPr>
          <w:spacing w:val="-3"/>
        </w:rPr>
        <w:t>rizontal temperature gradients.</w:t>
      </w:r>
    </w:p>
    <w:p w14:paraId="507C46D8" w14:textId="77777777" w:rsidR="009402FF" w:rsidRDefault="009402FF" w:rsidP="00015B17">
      <w:pPr>
        <w:tabs>
          <w:tab w:val="left" w:pos="-1432"/>
          <w:tab w:val="left" w:pos="-761"/>
          <w:tab w:val="left" w:pos="850"/>
          <w:tab w:val="left" w:pos="3600"/>
        </w:tabs>
        <w:suppressAutoHyphens/>
        <w:spacing w:line="360" w:lineRule="auto"/>
        <w:rPr>
          <w:spacing w:val="-3"/>
        </w:rPr>
      </w:pPr>
    </w:p>
    <w:p w14:paraId="4AB6A808" w14:textId="7DEB40F3" w:rsidR="009402FF" w:rsidRDefault="009402FF" w:rsidP="00015B17">
      <w:pPr>
        <w:tabs>
          <w:tab w:val="left" w:pos="-1432"/>
          <w:tab w:val="left" w:pos="-761"/>
          <w:tab w:val="left" w:pos="850"/>
          <w:tab w:val="left" w:pos="3600"/>
        </w:tabs>
        <w:suppressAutoHyphens/>
        <w:spacing w:line="360" w:lineRule="auto"/>
        <w:rPr>
          <w:spacing w:val="-3"/>
        </w:rPr>
      </w:pPr>
      <w:r>
        <w:rPr>
          <w:spacing w:val="-3"/>
        </w:rPr>
        <w:lastRenderedPageBreak/>
        <w:tab/>
        <w:t>A situation where fluid flow makes a large change in the heat flow is found in welding (</w:t>
      </w:r>
      <w:r w:rsidRPr="0039045F">
        <w:rPr>
          <w:spacing w:val="-3"/>
        </w:rPr>
        <w:t>K</w:t>
      </w:r>
      <w:r>
        <w:rPr>
          <w:spacing w:val="-3"/>
        </w:rPr>
        <w:t>ou</w:t>
      </w:r>
      <w:r w:rsidRPr="0039045F">
        <w:rPr>
          <w:spacing w:val="-3"/>
        </w:rPr>
        <w:t xml:space="preserve"> </w:t>
      </w:r>
      <w:r>
        <w:rPr>
          <w:spacing w:val="-3"/>
        </w:rPr>
        <w:t xml:space="preserve">and </w:t>
      </w:r>
      <w:r w:rsidRPr="0039045F">
        <w:rPr>
          <w:spacing w:val="-3"/>
        </w:rPr>
        <w:t>S</w:t>
      </w:r>
      <w:r>
        <w:rPr>
          <w:spacing w:val="-3"/>
        </w:rPr>
        <w:t>un, 1985)</w:t>
      </w:r>
      <w:r w:rsidR="007A62EA">
        <w:rPr>
          <w:spacing w:val="-3"/>
        </w:rPr>
        <w:t>. Here</w:t>
      </w:r>
      <w:r>
        <w:rPr>
          <w:spacing w:val="-3"/>
        </w:rPr>
        <w:t xml:space="preserve"> capillary flow on the free surface of a weld puddle can reverse the circulation direction depending on surface active additions and significantly alter the penetration depth.  Limmaneevichitr &amp; Kou (2000) have employed transparent analogue materials to visualize these flows.</w:t>
      </w:r>
    </w:p>
    <w:p w14:paraId="5C591365" w14:textId="77777777" w:rsidR="00015B17" w:rsidRDefault="00015B17" w:rsidP="00015B17">
      <w:pPr>
        <w:tabs>
          <w:tab w:val="left" w:pos="-1432"/>
          <w:tab w:val="left" w:pos="-761"/>
          <w:tab w:val="left" w:pos="850"/>
          <w:tab w:val="left" w:pos="3600"/>
        </w:tabs>
        <w:suppressAutoHyphens/>
        <w:spacing w:line="360" w:lineRule="auto"/>
        <w:rPr>
          <w:spacing w:val="-3"/>
        </w:rPr>
      </w:pPr>
    </w:p>
    <w:p w14:paraId="6049F763" w14:textId="77777777" w:rsidR="00015B17" w:rsidRDefault="00015B17" w:rsidP="00015B17">
      <w:pPr>
        <w:tabs>
          <w:tab w:val="left" w:pos="-1432"/>
          <w:tab w:val="left" w:pos="-761"/>
          <w:tab w:val="left" w:pos="850"/>
          <w:tab w:val="left" w:pos="3600"/>
        </w:tabs>
        <w:suppressAutoHyphens/>
        <w:spacing w:line="360" w:lineRule="auto"/>
        <w:rPr>
          <w:spacing w:val="-3"/>
        </w:rPr>
      </w:pPr>
      <w:r>
        <w:rPr>
          <w:spacing w:val="-3"/>
        </w:rPr>
        <w:tab/>
        <w:t xml:space="preserve">Flows in metals and the heat transfer due to the flow can be reduced by the application of a magnetic field resulting in an induced eddy current that exerts a body force on the fluid. Rotation of ingots gives an effect similar to the application of a magnetic field; here the body force is a Coriolis force that deflects particles of fluid in a direction normal to the axis of rotation, and normal to the direction of fluid motion. On the other hand, an increase in heat transfer can be accomplished by vigorous fluid motion near the </w:t>
      </w:r>
      <w:r w:rsidR="004201E7">
        <w:rPr>
          <w:spacing w:val="-3"/>
        </w:rPr>
        <w:t>L-S</w:t>
      </w:r>
      <w:r>
        <w:rPr>
          <w:spacing w:val="-3"/>
        </w:rPr>
        <w:t xml:space="preserve"> interface. Rotation or oscillations of the crucible, a rotating magnetic field, or electromagnetic field interactions can be used for this purpose (COLE [1971]).</w:t>
      </w:r>
    </w:p>
    <w:p w14:paraId="10A467CF" w14:textId="77777777" w:rsidR="00015B17" w:rsidRDefault="00015B17" w:rsidP="00015B17">
      <w:pPr>
        <w:tabs>
          <w:tab w:val="left" w:pos="-1432"/>
          <w:tab w:val="left" w:pos="-761"/>
          <w:tab w:val="left" w:pos="850"/>
          <w:tab w:val="left" w:pos="3600"/>
        </w:tabs>
        <w:suppressAutoHyphens/>
        <w:spacing w:line="360" w:lineRule="auto"/>
        <w:rPr>
          <w:spacing w:val="-3"/>
        </w:rPr>
      </w:pPr>
    </w:p>
    <w:p w14:paraId="0E2F37AF" w14:textId="77777777" w:rsidR="00015B17" w:rsidRPr="00F81025" w:rsidRDefault="00015B17" w:rsidP="00015B17">
      <w:pPr>
        <w:tabs>
          <w:tab w:val="left" w:pos="-1432"/>
          <w:tab w:val="left" w:pos="-761"/>
          <w:tab w:val="left" w:pos="850"/>
          <w:tab w:val="left" w:pos="3600"/>
        </w:tabs>
        <w:suppressAutoHyphens/>
        <w:spacing w:line="360" w:lineRule="auto"/>
        <w:rPr>
          <w:spacing w:val="-3"/>
        </w:rPr>
      </w:pPr>
      <w:r>
        <w:rPr>
          <w:spacing w:val="-3"/>
        </w:rPr>
        <w:tab/>
        <w:t xml:space="preserve">Liquid alloys have viscosities similar to water and consequently, the flow is rapid and liquid alloys are usually treated as Newtonian fluids. Indeed turbulent flow occurs quite frequently during rapid mold filling increasing the possibilities for entrapment of oxide and for mold erosion. Thus smooth transitions between different mold segments are needed to reduce turbulence. Filters are typically used to choke liquid flow and reduce turbulence in the runners. </w:t>
      </w:r>
      <w:smartTag w:uri="urn:schemas-microsoft-com:office:smarttags" w:element="place">
        <w:smartTag w:uri="urn:schemas-microsoft-com:office:smarttags" w:element="City">
          <w:r>
            <w:rPr>
              <w:spacing w:val="-3"/>
            </w:rPr>
            <w:t>Campbell</w:t>
          </w:r>
        </w:smartTag>
      </w:smartTag>
      <w:r>
        <w:rPr>
          <w:spacing w:val="-3"/>
        </w:rPr>
        <w:t xml:space="preserve"> [</w:t>
      </w:r>
      <w:r w:rsidR="00C02CE7">
        <w:rPr>
          <w:spacing w:val="-3"/>
        </w:rPr>
        <w:t>2003</w:t>
      </w:r>
      <w:r>
        <w:rPr>
          <w:spacing w:val="-3"/>
        </w:rPr>
        <w:t>] suggests a maximum flow velocity of 0.5 m/s to avoid major turbulence.</w:t>
      </w:r>
    </w:p>
    <w:p w14:paraId="4477F2FD" w14:textId="77777777" w:rsidR="00015B17" w:rsidRDefault="00015B17" w:rsidP="00015B17">
      <w:pPr>
        <w:tabs>
          <w:tab w:val="left" w:pos="-1432"/>
          <w:tab w:val="left" w:pos="-761"/>
          <w:tab w:val="left" w:pos="850"/>
          <w:tab w:val="left" w:pos="3600"/>
        </w:tabs>
        <w:suppressAutoHyphens/>
        <w:spacing w:line="360" w:lineRule="auto"/>
        <w:rPr>
          <w:spacing w:val="-3"/>
        </w:rPr>
      </w:pPr>
    </w:p>
    <w:p w14:paraId="48B1B983" w14:textId="5A763DE8" w:rsidR="00015B17" w:rsidRPr="005B4266" w:rsidRDefault="00015B17" w:rsidP="00C50E98">
      <w:pPr>
        <w:tabs>
          <w:tab w:val="left" w:pos="-1432"/>
          <w:tab w:val="left" w:pos="-761"/>
          <w:tab w:val="left" w:pos="850"/>
          <w:tab w:val="left" w:pos="3600"/>
        </w:tabs>
        <w:suppressAutoHyphens/>
        <w:spacing w:line="360" w:lineRule="auto"/>
        <w:rPr>
          <w:spacing w:val="-3"/>
        </w:rPr>
      </w:pPr>
      <w:r>
        <w:rPr>
          <w:spacing w:val="-3"/>
        </w:rPr>
        <w:tab/>
      </w:r>
      <w:r w:rsidRPr="005B4266">
        <w:rPr>
          <w:spacing w:val="-3"/>
        </w:rPr>
        <w:t>Current mathematical models of flow used for castings usually assume laminar flow. When turbulence modeling is required (for high pressure die</w:t>
      </w:r>
      <w:r>
        <w:rPr>
          <w:spacing w:val="-3"/>
        </w:rPr>
        <w:t xml:space="preserve"> casting)</w:t>
      </w:r>
      <w:r w:rsidRPr="005B4266">
        <w:rPr>
          <w:spacing w:val="-3"/>
        </w:rPr>
        <w:t>, the flow is treated in terms of time-averaged quantities, since a direct numerical approach is considered impractical. The instantaneous quantities are described as the sum of a mean time-averaged value and a fluctuating quantity. As a consequence, the resulting fluid flow equations lead to unknown correlations between fluctuating part of the velocity and temperature. Turbulence models describe these correlations in terms of mean-flow quantities (Schlichting</w:t>
      </w:r>
      <w:r>
        <w:rPr>
          <w:spacing w:val="-3"/>
        </w:rPr>
        <w:t xml:space="preserve"> [</w:t>
      </w:r>
      <w:r w:rsidRPr="005B4266">
        <w:rPr>
          <w:spacing w:val="-3"/>
        </w:rPr>
        <w:t>1979</w:t>
      </w:r>
      <w:r>
        <w:rPr>
          <w:spacing w:val="-3"/>
        </w:rPr>
        <w:t>]</w:t>
      </w:r>
      <w:r w:rsidRPr="005B4266">
        <w:rPr>
          <w:spacing w:val="-3"/>
        </w:rPr>
        <w:t xml:space="preserve">). One common model that is widely used for turbulence modeling is called </w:t>
      </w:r>
      <m:oMath>
        <m:r>
          <w:rPr>
            <w:rFonts w:ascii="Cambria Math"/>
            <w:spacing w:val="-3"/>
          </w:rPr>
          <m:t>TKE</m:t>
        </m:r>
        <m:r>
          <w:rPr>
            <w:rFonts w:ascii="Cambria Math"/>
            <w:spacing w:val="-3"/>
          </w:rPr>
          <m:t>-</m:t>
        </m:r>
        <m:r>
          <w:rPr>
            <w:rFonts w:ascii="Cambria Math"/>
            <w:spacing w:val="-3"/>
          </w:rPr>
          <m:t>ε</m:t>
        </m:r>
      </m:oMath>
      <w:r w:rsidRPr="005B4266">
        <w:rPr>
          <w:spacing w:val="-3"/>
        </w:rPr>
        <w:t xml:space="preserve"> model. </w:t>
      </w:r>
      <w:r w:rsidRPr="005B4266">
        <w:rPr>
          <w:spacing w:val="-3"/>
        </w:rPr>
        <w:lastRenderedPageBreak/>
        <w:t xml:space="preserve">In this model, turbulence kinetic energy, </w:t>
      </w:r>
      <m:oMath>
        <m:r>
          <w:rPr>
            <w:rFonts w:ascii="Cambria Math" w:hAnsi="Cambria Math"/>
            <w:spacing w:val="-3"/>
          </w:rPr>
          <m:t>TKE</m:t>
        </m:r>
      </m:oMath>
      <w:r w:rsidRPr="005B4266">
        <w:rPr>
          <w:spacing w:val="-3"/>
        </w:rPr>
        <w:t xml:space="preserve"> and viscous dissipation rate of turbulent kinetic energy, </w:t>
      </w:r>
      <w:r w:rsidRPr="005B4266">
        <w:rPr>
          <w:rFonts w:ascii="Microsoft Sans Serif" w:hAnsi="Microsoft Sans Serif" w:cs="Microsoft Sans Serif"/>
          <w:spacing w:val="-3"/>
          <w:position w:val="-6"/>
        </w:rPr>
        <w:object w:dxaOrig="200" w:dyaOrig="220" w14:anchorId="31323548">
          <v:shape id="_x0000_i1668" type="#_x0000_t75" style="width:10.3pt;height:10.3pt" o:ole="">
            <v:imagedata r:id="rId1233" o:title=""/>
          </v:shape>
          <o:OLEObject Type="Embed" ProgID="Equation.DSMT4" ShapeID="_x0000_i1668" DrawAspect="Content" ObjectID="_1840627234" r:id="rId1234"/>
        </w:object>
      </w:r>
      <w:r w:rsidRPr="005B4266">
        <w:rPr>
          <w:spacing w:val="-3"/>
        </w:rPr>
        <w:t xml:space="preserve"> define the turbulence field. The turbulence viscosity can be directly related to </w:t>
      </w:r>
      <m:oMath>
        <m:r>
          <w:rPr>
            <w:rFonts w:ascii="Cambria Math" w:hAnsi="Cambria Math"/>
            <w:spacing w:val="-3"/>
          </w:rPr>
          <m:t>TKE</m:t>
        </m:r>
      </m:oMath>
      <w:r w:rsidRPr="005B4266">
        <w:rPr>
          <w:spacing w:val="-3"/>
        </w:rPr>
        <w:t xml:space="preserve"> and</w:t>
      </w:r>
      <w:r w:rsidRPr="005B4266">
        <w:rPr>
          <w:rFonts w:ascii="Microsoft Sans Serif" w:hAnsi="Microsoft Sans Serif" w:cs="Microsoft Sans Serif"/>
          <w:spacing w:val="-3"/>
          <w:position w:val="-6"/>
        </w:rPr>
        <w:object w:dxaOrig="200" w:dyaOrig="220" w14:anchorId="66A58CE9">
          <v:shape id="_x0000_i1669" type="#_x0000_t75" style="width:10.3pt;height:10.3pt" o:ole="">
            <v:imagedata r:id="rId1235" o:title=""/>
          </v:shape>
          <o:OLEObject Type="Embed" ProgID="Equation.DSMT4" ShapeID="_x0000_i1669" DrawAspect="Content" ObjectID="_1840627235" r:id="rId1236"/>
        </w:object>
      </w:r>
      <w:r w:rsidRPr="005B4266">
        <w:rPr>
          <w:spacing w:val="-3"/>
        </w:rPr>
        <w:t>. Equations for turbulent quantities are solved along with basic conservation equations of mass, momentum, and energy to fully describe the flow field.</w:t>
      </w:r>
    </w:p>
    <w:p w14:paraId="6526BC1E" w14:textId="77777777" w:rsidR="00015B17" w:rsidRDefault="00015B17" w:rsidP="00015B17">
      <w:pPr>
        <w:tabs>
          <w:tab w:val="left" w:pos="-1432"/>
          <w:tab w:val="left" w:pos="-761"/>
          <w:tab w:val="left" w:pos="850"/>
          <w:tab w:val="left" w:pos="3600"/>
        </w:tabs>
        <w:suppressAutoHyphens/>
        <w:spacing w:line="360" w:lineRule="auto"/>
        <w:rPr>
          <w:spacing w:val="-3"/>
        </w:rPr>
      </w:pPr>
    </w:p>
    <w:p w14:paraId="1A0BA976" w14:textId="77777777" w:rsidR="00015B17" w:rsidRDefault="00015B17" w:rsidP="00015B17">
      <w:pPr>
        <w:tabs>
          <w:tab w:val="left" w:pos="-1432"/>
          <w:tab w:val="left" w:pos="-761"/>
          <w:tab w:val="left" w:pos="850"/>
          <w:tab w:val="left" w:pos="3600"/>
        </w:tabs>
        <w:suppressAutoHyphens/>
        <w:spacing w:line="360" w:lineRule="auto"/>
        <w:rPr>
          <w:b/>
          <w:bCs/>
          <w:spacing w:val="-3"/>
        </w:rPr>
      </w:pPr>
      <w:r>
        <w:rPr>
          <w:b/>
          <w:bCs/>
          <w:spacing w:val="-3"/>
        </w:rPr>
        <w:t>9.2. Effect of flow on the grain size of castings</w:t>
      </w:r>
    </w:p>
    <w:p w14:paraId="4C70D02F" w14:textId="77777777" w:rsidR="00015B17" w:rsidRDefault="00015B17" w:rsidP="00015B17">
      <w:pPr>
        <w:tabs>
          <w:tab w:val="left" w:pos="-1432"/>
          <w:tab w:val="left" w:pos="-761"/>
          <w:tab w:val="left" w:pos="850"/>
          <w:tab w:val="left" w:pos="3600"/>
        </w:tabs>
        <w:suppressAutoHyphens/>
        <w:spacing w:line="360" w:lineRule="auto"/>
        <w:rPr>
          <w:b/>
          <w:bCs/>
          <w:spacing w:val="-3"/>
        </w:rPr>
      </w:pPr>
    </w:p>
    <w:p w14:paraId="1EEF7D62" w14:textId="77777777" w:rsidR="00015B17" w:rsidRPr="001F336B" w:rsidRDefault="00015B17" w:rsidP="00015B17">
      <w:pPr>
        <w:tabs>
          <w:tab w:val="left" w:pos="-1432"/>
          <w:tab w:val="left" w:pos="-761"/>
          <w:tab w:val="left" w:pos="850"/>
          <w:tab w:val="left" w:pos="3600"/>
        </w:tabs>
        <w:suppressAutoHyphens/>
        <w:spacing w:line="360" w:lineRule="auto"/>
        <w:rPr>
          <w:bCs/>
          <w:spacing w:val="-3"/>
        </w:rPr>
      </w:pPr>
      <w:r>
        <w:rPr>
          <w:b/>
          <w:bCs/>
          <w:spacing w:val="-3"/>
        </w:rPr>
        <w:t xml:space="preserve"> </w:t>
      </w:r>
      <w:r>
        <w:rPr>
          <w:b/>
          <w:bCs/>
          <w:spacing w:val="-3"/>
        </w:rPr>
        <w:tab/>
      </w:r>
      <w:r>
        <w:rPr>
          <w:bCs/>
          <w:spacing w:val="-3"/>
        </w:rPr>
        <w:t xml:space="preserve">The classical grain structure of ingots will be described, followed by descriptions of the source and survival of centers for growth of grains. </w:t>
      </w:r>
    </w:p>
    <w:p w14:paraId="64A9D810" w14:textId="77777777" w:rsidR="00015B17" w:rsidRDefault="00015B17" w:rsidP="00015B17">
      <w:pPr>
        <w:tabs>
          <w:tab w:val="left" w:pos="-1432"/>
          <w:tab w:val="left" w:pos="-761"/>
          <w:tab w:val="left" w:pos="850"/>
          <w:tab w:val="left" w:pos="3600"/>
        </w:tabs>
        <w:suppressAutoHyphens/>
        <w:spacing w:line="360" w:lineRule="auto"/>
        <w:rPr>
          <w:b/>
          <w:bCs/>
          <w:spacing w:val="-3"/>
        </w:rPr>
      </w:pPr>
    </w:p>
    <w:p w14:paraId="62D2D83E" w14:textId="77777777" w:rsidR="00015B17" w:rsidRDefault="00015B17" w:rsidP="00015B17">
      <w:pPr>
        <w:tabs>
          <w:tab w:val="left" w:pos="-1432"/>
          <w:tab w:val="left" w:pos="-761"/>
          <w:tab w:val="left" w:pos="850"/>
          <w:tab w:val="left" w:pos="3600"/>
        </w:tabs>
        <w:suppressAutoHyphens/>
        <w:spacing w:line="360" w:lineRule="auto"/>
        <w:rPr>
          <w:spacing w:val="-3"/>
        </w:rPr>
      </w:pPr>
      <w:r>
        <w:rPr>
          <w:b/>
          <w:bCs/>
          <w:spacing w:val="-3"/>
        </w:rPr>
        <w:t>9.2.1 Description of classical ingot structure</w:t>
      </w:r>
    </w:p>
    <w:p w14:paraId="4DBEBB15" w14:textId="77777777" w:rsidR="00015B17" w:rsidRDefault="00015B17" w:rsidP="00015B17">
      <w:pPr>
        <w:tabs>
          <w:tab w:val="left" w:pos="-1432"/>
          <w:tab w:val="left" w:pos="-761"/>
          <w:tab w:val="left" w:pos="850"/>
          <w:tab w:val="left" w:pos="3600"/>
        </w:tabs>
        <w:suppressAutoHyphens/>
        <w:spacing w:line="360" w:lineRule="auto"/>
        <w:rPr>
          <w:spacing w:val="-3"/>
        </w:rPr>
      </w:pPr>
      <w:r>
        <w:rPr>
          <w:spacing w:val="-3"/>
        </w:rPr>
        <w:tab/>
      </w:r>
    </w:p>
    <w:p w14:paraId="291BF86F" w14:textId="77777777" w:rsidR="00015B17" w:rsidRDefault="00015B17" w:rsidP="00015B17">
      <w:pPr>
        <w:tabs>
          <w:tab w:val="left" w:pos="-1432"/>
          <w:tab w:val="left" w:pos="-761"/>
          <w:tab w:val="left" w:pos="850"/>
          <w:tab w:val="left" w:pos="3600"/>
        </w:tabs>
        <w:suppressAutoHyphens/>
        <w:spacing w:line="360" w:lineRule="auto"/>
        <w:rPr>
          <w:spacing w:val="-3"/>
        </w:rPr>
      </w:pPr>
      <w:r>
        <w:rPr>
          <w:spacing w:val="-3"/>
        </w:rPr>
        <w:tab/>
        <w:t>The classical representation of ingot macrostructure shows three distinct zones: the chill zone, which is a peripheral region near the mold surface, composed of small equiaxed grains, the columnar zone composed of grains elongated in the heat flow direction and a central equiaxed zone. Inside each grain a substructure of cells, dendrites, and/or eutectic exists. Fluid flow during solidification affects the origin and development of the three zones significantly. Extensive research has been performed because of the important influence of macro- and microstructure of ingots and castings upon subsequent as-cast mechanical properties or forming properties.</w:t>
      </w:r>
    </w:p>
    <w:p w14:paraId="31169211" w14:textId="77777777" w:rsidR="00015B17" w:rsidRDefault="00015B17" w:rsidP="00015B17">
      <w:pPr>
        <w:tabs>
          <w:tab w:val="left" w:pos="-1432"/>
          <w:tab w:val="left" w:pos="-761"/>
          <w:tab w:val="left" w:pos="850"/>
          <w:tab w:val="left" w:pos="3600"/>
        </w:tabs>
        <w:suppressAutoHyphens/>
        <w:spacing w:line="360" w:lineRule="auto"/>
        <w:rPr>
          <w:spacing w:val="-3"/>
        </w:rPr>
      </w:pPr>
    </w:p>
    <w:p w14:paraId="49EE648D" w14:textId="16070D7C" w:rsidR="00015B17" w:rsidRDefault="00015B17" w:rsidP="00015B17">
      <w:pPr>
        <w:tabs>
          <w:tab w:val="left" w:pos="-1432"/>
          <w:tab w:val="left" w:pos="-761"/>
          <w:tab w:val="left" w:pos="850"/>
          <w:tab w:val="left" w:pos="3600"/>
        </w:tabs>
        <w:suppressAutoHyphens/>
        <w:spacing w:line="360" w:lineRule="auto"/>
        <w:rPr>
          <w:spacing w:val="-3"/>
        </w:rPr>
      </w:pPr>
      <w:r>
        <w:rPr>
          <w:b/>
          <w:bCs/>
          <w:spacing w:val="-3"/>
        </w:rPr>
        <w:t>9.2.1.1 Chill Zone</w:t>
      </w:r>
    </w:p>
    <w:p w14:paraId="59944EE9" w14:textId="77777777" w:rsidR="00015B17" w:rsidRDefault="00015B17" w:rsidP="00015B17">
      <w:pPr>
        <w:tabs>
          <w:tab w:val="left" w:pos="-1432"/>
          <w:tab w:val="left" w:pos="-761"/>
          <w:tab w:val="left" w:pos="850"/>
          <w:tab w:val="left" w:pos="3600"/>
        </w:tabs>
        <w:suppressAutoHyphens/>
        <w:spacing w:line="360" w:lineRule="auto"/>
        <w:rPr>
          <w:spacing w:val="-3"/>
        </w:rPr>
      </w:pPr>
    </w:p>
    <w:p w14:paraId="29A42ABF" w14:textId="77777777" w:rsidR="00015B17" w:rsidRDefault="00015B17" w:rsidP="00015B17">
      <w:pPr>
        <w:tabs>
          <w:tab w:val="left" w:pos="-1432"/>
          <w:tab w:val="left" w:pos="-761"/>
          <w:tab w:val="left" w:pos="850"/>
          <w:tab w:val="left" w:pos="3600"/>
        </w:tabs>
        <w:suppressAutoHyphens/>
        <w:spacing w:line="360" w:lineRule="auto"/>
        <w:rPr>
          <w:spacing w:val="-3"/>
        </w:rPr>
      </w:pPr>
      <w:r>
        <w:rPr>
          <w:spacing w:val="-3"/>
        </w:rPr>
        <w:tab/>
        <w:t xml:space="preserve">The formation of the chill zone structure involves complex interactions of liquid metal flow, metal-mold heat transfer, heterogeneous nucleation and dendritic growth, a subject reviewed by BILONI [1980]. When the liquid melt is rapidly cooled in the vicinity of a cold mold, heterogeneous nucleation on the mold wall or on other heterogeneous sites occurs producing a large number of initiation sites. The growth from these sites is limited by impingement with neighboring crystals formed at almost similar times. Therefore, sizes of these grains are usually very small and uniform with random orientations. BOWER and FLEMINGS [1967] experimentally simulated the thermal conditions existing in the chill </w:t>
      </w:r>
      <w:r>
        <w:rPr>
          <w:spacing w:val="-3"/>
        </w:rPr>
        <w:lastRenderedPageBreak/>
        <w:t>zone using thin samples filled quickly by a vacuum technique. They found a dendritic substructure in the chill grains and established that a</w:t>
      </w:r>
      <w:r>
        <w:rPr>
          <w:i/>
          <w:iCs/>
          <w:spacing w:val="-3"/>
        </w:rPr>
        <w:t xml:space="preserve"> grain multiplication (fragmentation)</w:t>
      </w:r>
      <w:r>
        <w:rPr>
          <w:spacing w:val="-3"/>
        </w:rPr>
        <w:t xml:space="preserve"> mechanism induced by melt turbulence during pouring was quite important for formation of this substructure.</w:t>
      </w:r>
    </w:p>
    <w:p w14:paraId="1A089CA8" w14:textId="77777777" w:rsidR="00015B17" w:rsidRDefault="00015B17" w:rsidP="00015B17">
      <w:pPr>
        <w:tabs>
          <w:tab w:val="left" w:pos="-1432"/>
          <w:tab w:val="left" w:pos="-761"/>
          <w:tab w:val="left" w:pos="850"/>
          <w:tab w:val="left" w:pos="3600"/>
        </w:tabs>
        <w:suppressAutoHyphens/>
        <w:spacing w:line="360" w:lineRule="auto"/>
        <w:rPr>
          <w:spacing w:val="-3"/>
        </w:rPr>
      </w:pPr>
    </w:p>
    <w:p w14:paraId="576EA682" w14:textId="77777777" w:rsidR="00015B17" w:rsidRDefault="00015B17" w:rsidP="00015B17">
      <w:pPr>
        <w:tabs>
          <w:tab w:val="left" w:pos="-1432"/>
          <w:tab w:val="left" w:pos="-761"/>
          <w:tab w:val="left" w:pos="850"/>
          <w:tab w:val="left" w:pos="3600"/>
        </w:tabs>
        <w:suppressAutoHyphens/>
        <w:spacing w:line="360" w:lineRule="auto"/>
        <w:rPr>
          <w:spacing w:val="-3"/>
        </w:rPr>
      </w:pPr>
      <w:r>
        <w:rPr>
          <w:spacing w:val="-3"/>
        </w:rPr>
        <w:tab/>
        <w:t>The effect of the mold coating modifications shows the importance of local values of the heat transfer in determining the chill zone structure. BILONI and MORANDO [1968] coated a copper mold with lamp black except for a small region. (cross in Fig. 9.1). The chill grains in the region without the lampblack were smaller and contained a different predendritic substructure with solute rich cores than the region coated with lampblack</w:t>
      </w:r>
      <w:r w:rsidR="008F37C3">
        <w:rPr>
          <w:spacing w:val="-3"/>
        </w:rPr>
        <w:t>.</w:t>
      </w:r>
      <w:r>
        <w:rPr>
          <w:spacing w:val="-3"/>
        </w:rPr>
        <w:t xml:space="preserve"> These solute-rich cores are an indication of solute trapping at the dendrite tips due to higher local solidification rate than was present in chill grains formed in the coated regions.  MORALES </w:t>
      </w:r>
      <w:r>
        <w:rPr>
          <w:i/>
          <w:iCs/>
          <w:spacing w:val="-3"/>
        </w:rPr>
        <w:t>et al.</w:t>
      </w:r>
      <w:r>
        <w:rPr>
          <w:spacing w:val="-3"/>
        </w:rPr>
        <w:t xml:space="preserve"> [1979] showed how a tailored coating microprofile can influence the columnar grains originating from the chill zone (Fig. 9.2).   Mizukami et el. (1991) showed that the  predendritic nuclei density per unit area for a Al-5</w:t>
      </w:r>
      <w:r w:rsidR="00BD6531">
        <w:rPr>
          <w:spacing w:val="-3"/>
        </w:rPr>
        <w:t xml:space="preserve"> </w:t>
      </w:r>
      <w:r w:rsidR="00BD6531" w:rsidRPr="00FA2661">
        <w:rPr>
          <w:spacing w:val="-3"/>
        </w:rPr>
        <w:t>wt</w:t>
      </w:r>
      <w:r>
        <w:rPr>
          <w:spacing w:val="-3"/>
        </w:rPr>
        <w:t>%</w:t>
      </w:r>
      <w:r w:rsidR="00BD6531">
        <w:rPr>
          <w:spacing w:val="-3"/>
        </w:rPr>
        <w:t xml:space="preserve"> </w:t>
      </w:r>
      <w:r>
        <w:rPr>
          <w:spacing w:val="-3"/>
        </w:rPr>
        <w:t xml:space="preserve">Cu alloy poured in a bare copper mold decreased with an increase in the waviness of the surface (rugosity). </w:t>
      </w:r>
    </w:p>
    <w:p w14:paraId="4AF69C06" w14:textId="77777777" w:rsidR="00015B17" w:rsidRDefault="00015B17" w:rsidP="00015B17">
      <w:pPr>
        <w:tabs>
          <w:tab w:val="left" w:pos="-1432"/>
          <w:tab w:val="left" w:pos="-761"/>
          <w:tab w:val="left" w:pos="850"/>
          <w:tab w:val="left" w:pos="3600"/>
        </w:tabs>
        <w:suppressAutoHyphens/>
        <w:spacing w:line="360" w:lineRule="auto"/>
        <w:rPr>
          <w:spacing w:val="-3"/>
        </w:rPr>
      </w:pPr>
    </w:p>
    <w:p w14:paraId="71CC6100" w14:textId="64E11D34" w:rsidR="00015B17" w:rsidRDefault="00015B17" w:rsidP="00015B17">
      <w:pPr>
        <w:tabs>
          <w:tab w:val="left" w:pos="-1432"/>
          <w:tab w:val="left" w:pos="-761"/>
          <w:tab w:val="left" w:pos="850"/>
          <w:tab w:val="left" w:pos="3600"/>
        </w:tabs>
        <w:suppressAutoHyphens/>
        <w:spacing w:line="360" w:lineRule="auto"/>
        <w:rPr>
          <w:color w:val="FF0000"/>
          <w:spacing w:val="-3"/>
        </w:rPr>
      </w:pPr>
      <w:r>
        <w:rPr>
          <w:spacing w:val="-3"/>
        </w:rPr>
        <w:tab/>
        <w:t xml:space="preserve">In an attempt to mimic the conditions occurring when the liquid metal first encounters a chill surface, Mizukami et al (1993) studied </w:t>
      </w:r>
      <w:r w:rsidR="007A62EA">
        <w:rPr>
          <w:spacing w:val="-3"/>
        </w:rPr>
        <w:t xml:space="preserve">the </w:t>
      </w:r>
      <w:r>
        <w:rPr>
          <w:spacing w:val="-3"/>
        </w:rPr>
        <w:t xml:space="preserve">initial solidification of 18-8 stainless steel droplets ejected into cold Cu substrates using pressurized inert gas. They investigated both the microstructure and undercoolings in the vicinity of the substrate surface by varying parameters such as substrate roughness, inert gas pressure, and substrate and liquid steel droplet temperatures. They used a novel technique to measure the steel droplet temperatures at the contact surface of the substrate. A 0.5 mm diameter hole was made in the substrate. Through this hole, a silicon photodiode was used to measure the surface temperature with reasonable accuracy at about 1 µs time intervals. The cooling rate was computed prior to the onset of solidification by analyzing the recorded cooling curve. The cooling rate of steel droplets was influenced by the substrate material, both substrate and liquid droplet temperatures, and gas pressure. As expected, measured undercoolings increased as the cooling rate was enhanced. Also, as the cooling rate was increased, surface grain density was found to increase. Electron microprobe analysis was used to characterize </w:t>
      </w:r>
      <w:r>
        <w:rPr>
          <w:spacing w:val="-3"/>
        </w:rPr>
        <w:lastRenderedPageBreak/>
        <w:t xml:space="preserve">the microstructure. Above a critical supercooling of about 50 K (equivalent </w:t>
      </w:r>
      <w:r w:rsidR="00C36CAA">
        <w:rPr>
          <w:spacing w:val="-3"/>
        </w:rPr>
        <w:t xml:space="preserve">in their </w:t>
      </w:r>
      <w:r w:rsidR="007A62EA">
        <w:rPr>
          <w:spacing w:val="-3"/>
        </w:rPr>
        <w:t>experiments</w:t>
      </w:r>
      <w:r w:rsidR="00C36CAA">
        <w:rPr>
          <w:spacing w:val="-3"/>
        </w:rPr>
        <w:t xml:space="preserve"> to  a </w:t>
      </w:r>
      <w:r>
        <w:rPr>
          <w:spacing w:val="-3"/>
        </w:rPr>
        <w:t xml:space="preserve">cooling rate of 5000 K/s), metastable cellular </w:t>
      </w:r>
      <w:r w:rsidR="00C50E98">
        <w:rPr>
          <w:spacing w:val="-3"/>
        </w:rPr>
        <w:t xml:space="preserve">FCC </w:t>
      </w:r>
      <w:r w:rsidRPr="001E0694">
        <w:rPr>
          <w:i/>
          <w:spacing w:val="-3"/>
        </w:rPr>
        <w:sym w:font="Symbol" w:char="F067"/>
      </w:r>
      <w:r>
        <w:rPr>
          <w:spacing w:val="-3"/>
        </w:rPr>
        <w:t xml:space="preserve">  formed </w:t>
      </w:r>
      <w:r w:rsidR="00C36CAA">
        <w:rPr>
          <w:spacing w:val="-3"/>
        </w:rPr>
        <w:t xml:space="preserve">at the </w:t>
      </w:r>
      <w:r w:rsidR="007A62EA">
        <w:rPr>
          <w:spacing w:val="-3"/>
        </w:rPr>
        <w:t>chill</w:t>
      </w:r>
      <w:r w:rsidR="00C36CAA">
        <w:rPr>
          <w:spacing w:val="-3"/>
        </w:rPr>
        <w:t xml:space="preserve"> face that changed to the stable </w:t>
      </w:r>
      <w:r w:rsidR="00C50E98">
        <w:rPr>
          <w:spacing w:val="-3"/>
        </w:rPr>
        <w:t xml:space="preserve">BCC </w:t>
      </w:r>
      <w:r w:rsidR="00C36CAA" w:rsidRPr="00C36CAA">
        <w:rPr>
          <w:rFonts w:ascii="Symbol" w:hAnsi="Symbol"/>
          <w:i/>
          <w:spacing w:val="-3"/>
        </w:rPr>
        <w:t></w:t>
      </w:r>
      <w:r w:rsidR="00C36CAA">
        <w:rPr>
          <w:spacing w:val="-3"/>
        </w:rPr>
        <w:t xml:space="preserve">  phase farther from the chill face.  B</w:t>
      </w:r>
      <w:r>
        <w:rPr>
          <w:spacing w:val="-3"/>
        </w:rPr>
        <w:t xml:space="preserve">elow a supercooling of about 20 K to 30 K, stable </w:t>
      </w:r>
      <w:r w:rsidRPr="001E0694">
        <w:rPr>
          <w:i/>
          <w:spacing w:val="-3"/>
        </w:rPr>
        <w:sym w:font="Symbol" w:char="F064"/>
      </w:r>
      <w:r w:rsidR="00C36CAA">
        <w:rPr>
          <w:i/>
          <w:spacing w:val="-3"/>
        </w:rPr>
        <w:t xml:space="preserve"> </w:t>
      </w:r>
      <w:r>
        <w:rPr>
          <w:spacing w:val="-3"/>
        </w:rPr>
        <w:t xml:space="preserve"> phase with dendritic microstructure formed</w:t>
      </w:r>
      <w:r w:rsidR="00C36CAA">
        <w:rPr>
          <w:spacing w:val="-3"/>
        </w:rPr>
        <w:t xml:space="preserve"> at the chill face</w:t>
      </w:r>
      <w:r>
        <w:rPr>
          <w:spacing w:val="-3"/>
        </w:rPr>
        <w:t>. Between these two supercooling range</w:t>
      </w:r>
      <w:r w:rsidR="00C36CAA">
        <w:rPr>
          <w:spacing w:val="-3"/>
        </w:rPr>
        <w:t>s</w:t>
      </w:r>
      <w:r>
        <w:rPr>
          <w:spacing w:val="-3"/>
        </w:rPr>
        <w:t xml:space="preserve">, a mixture of cellular and dendritic microstructure was observed. Thus, for this stainless steel, the conditions in the chill zone not only influence the grain density but also the phase selection between austenite or ferrite growth. </w:t>
      </w:r>
      <w:r w:rsidRPr="00B62184">
        <w:rPr>
          <w:color w:val="FF0000"/>
          <w:spacing w:val="-3"/>
        </w:rPr>
        <w:t xml:space="preserve">  </w:t>
      </w:r>
    </w:p>
    <w:p w14:paraId="48B24080" w14:textId="77777777" w:rsidR="00C36CAA" w:rsidRPr="00C162F9" w:rsidRDefault="00C36CAA" w:rsidP="00015B17">
      <w:pPr>
        <w:tabs>
          <w:tab w:val="left" w:pos="-1432"/>
          <w:tab w:val="left" w:pos="-761"/>
          <w:tab w:val="left" w:pos="850"/>
          <w:tab w:val="left" w:pos="3600"/>
        </w:tabs>
        <w:suppressAutoHyphens/>
        <w:spacing w:line="360" w:lineRule="auto"/>
        <w:rPr>
          <w:spacing w:val="-3"/>
        </w:rPr>
      </w:pPr>
    </w:p>
    <w:p w14:paraId="79613FF2" w14:textId="77777777" w:rsidR="00015B17" w:rsidRDefault="00015B17" w:rsidP="00015B17">
      <w:pPr>
        <w:tabs>
          <w:tab w:val="left" w:pos="-1432"/>
          <w:tab w:val="left" w:pos="-761"/>
          <w:tab w:val="left" w:pos="850"/>
          <w:tab w:val="left" w:pos="3600"/>
        </w:tabs>
        <w:suppressAutoHyphens/>
        <w:spacing w:line="360" w:lineRule="auto"/>
        <w:rPr>
          <w:spacing w:val="-3"/>
        </w:rPr>
      </w:pPr>
      <w:r>
        <w:rPr>
          <w:spacing w:val="-3"/>
        </w:rPr>
        <w:tab/>
        <w:t xml:space="preserve">The control of chill surface quality during continuous casting of steel is a major focus for the determination of proper process parameters.  Bobadilla et al. (1993) noted that </w:t>
      </w:r>
      <w:r w:rsidR="00C36CAA">
        <w:rPr>
          <w:spacing w:val="-3"/>
        </w:rPr>
        <w:t xml:space="preserve">the </w:t>
      </w:r>
      <w:r>
        <w:rPr>
          <w:spacing w:val="-3"/>
        </w:rPr>
        <w:t xml:space="preserve">surface of vertically cast billets develop parallel depressions perpendicular to the casting direction. These depressions are called “oscillation marks” and were found to occur at regular spacings. These marks were associated with surface defects. Detailed analysis revealed that these oscillation marks were suitable for entrapment of inclusions during early solidification of steel. It was assumed that these oscillation marks resulted from the freezing of the curved part of liquid meniscus in contact with the cold mold. In summary, mold surface geometry, casting process parameters, surface defects, nucleation and growth of grains control the microstructure of the chill zone. </w:t>
      </w:r>
    </w:p>
    <w:p w14:paraId="22DF11C4" w14:textId="77777777" w:rsidR="00015B17" w:rsidRDefault="00015B17" w:rsidP="00015B17">
      <w:pPr>
        <w:tabs>
          <w:tab w:val="left" w:pos="-1432"/>
          <w:tab w:val="left" w:pos="-761"/>
          <w:tab w:val="left" w:pos="850"/>
          <w:tab w:val="left" w:pos="3600"/>
        </w:tabs>
        <w:suppressAutoHyphens/>
        <w:spacing w:line="360" w:lineRule="auto"/>
        <w:rPr>
          <w:spacing w:val="-3"/>
        </w:rPr>
      </w:pPr>
    </w:p>
    <w:p w14:paraId="62B94094" w14:textId="1AE444CE" w:rsidR="00015B17" w:rsidRDefault="00015B17" w:rsidP="00015B17">
      <w:pPr>
        <w:tabs>
          <w:tab w:val="left" w:pos="-1432"/>
          <w:tab w:val="left" w:pos="-761"/>
          <w:tab w:val="left" w:pos="850"/>
          <w:tab w:val="left" w:pos="3600"/>
        </w:tabs>
        <w:suppressAutoHyphens/>
        <w:spacing w:line="360" w:lineRule="auto"/>
        <w:rPr>
          <w:spacing w:val="-3"/>
        </w:rPr>
      </w:pPr>
      <w:r>
        <w:rPr>
          <w:spacing w:val="-3"/>
        </w:rPr>
        <w:tab/>
        <w:t xml:space="preserve">The fineness of the chill zone microstructure formed with high initial supercooling </w:t>
      </w:r>
      <w:r w:rsidR="00C50E98">
        <w:rPr>
          <w:spacing w:val="-3"/>
        </w:rPr>
        <w:t>has been</w:t>
      </w:r>
      <w:r>
        <w:rPr>
          <w:spacing w:val="-3"/>
        </w:rPr>
        <w:t xml:space="preserve"> examined to obta</w:t>
      </w:r>
      <w:r w:rsidRPr="00C911C2">
        <w:rPr>
          <w:spacing w:val="-3"/>
        </w:rPr>
        <w:t xml:space="preserve">in enhanced mechanical properties. </w:t>
      </w:r>
      <w:r w:rsidR="00C50E98">
        <w:rPr>
          <w:spacing w:val="-3"/>
        </w:rPr>
        <w:t>R</w:t>
      </w:r>
      <w:r w:rsidRPr="00C911C2">
        <w:rPr>
          <w:spacing w:val="-3"/>
        </w:rPr>
        <w:t>esearch by Yavari et al. [2008] sh</w:t>
      </w:r>
      <w:r>
        <w:rPr>
          <w:spacing w:val="-3"/>
        </w:rPr>
        <w:t xml:space="preserve">owed that it is possible to obtain chill zone copper alloys of about 2-4 mm thickness with fracture strengths of about 1.9 </w:t>
      </w:r>
      <w:r w:rsidR="00C36CAA">
        <w:rPr>
          <w:spacing w:val="-3"/>
        </w:rPr>
        <w:t>G</w:t>
      </w:r>
      <w:smartTag w:uri="urn:schemas-microsoft-com:office:smarttags" w:element="State">
        <w:smartTag w:uri="urn:schemas-microsoft-com:office:smarttags" w:element="place">
          <w:r>
            <w:rPr>
              <w:spacing w:val="-3"/>
            </w:rPr>
            <w:t>Pa.</w:t>
          </w:r>
        </w:smartTag>
      </w:smartTag>
      <w:r>
        <w:rPr>
          <w:spacing w:val="-3"/>
        </w:rPr>
        <w:t xml:space="preserve"> Such high strengths result from the formation of nanocrystalline surface layer next to the mold contact surface. They showed that the melt can be significantly supercooled when the alloy composition is chosen such that the contact surface of the copper mold used does not serve as preferred nucleation sites for solidification. By reducing the casting section thickness, a copper alloy casting composed of chill zone alone is possible with strengths similar to those of stainless steels. These principles are increasingly being used to develop “chill-zone” ingots of various other alloy systems with superior mechanical strengths.</w:t>
      </w:r>
    </w:p>
    <w:p w14:paraId="77EF4654" w14:textId="77777777" w:rsidR="00015B17" w:rsidRDefault="00015B17" w:rsidP="00015B17">
      <w:pPr>
        <w:tabs>
          <w:tab w:val="left" w:pos="-1432"/>
          <w:tab w:val="left" w:pos="-761"/>
          <w:tab w:val="left" w:pos="850"/>
          <w:tab w:val="left" w:pos="3600"/>
        </w:tabs>
        <w:suppressAutoHyphens/>
        <w:spacing w:line="360" w:lineRule="auto"/>
        <w:rPr>
          <w:spacing w:val="-3"/>
        </w:rPr>
      </w:pPr>
    </w:p>
    <w:p w14:paraId="3169F92E" w14:textId="77777777" w:rsidR="00015B17" w:rsidRDefault="00015B17" w:rsidP="00015B17">
      <w:pPr>
        <w:tabs>
          <w:tab w:val="left" w:pos="-1432"/>
          <w:tab w:val="left" w:pos="-761"/>
          <w:tab w:val="left" w:pos="850"/>
          <w:tab w:val="left" w:pos="3600"/>
        </w:tabs>
        <w:suppressAutoHyphens/>
        <w:spacing w:line="360" w:lineRule="auto"/>
        <w:rPr>
          <w:spacing w:val="-3"/>
        </w:rPr>
      </w:pPr>
      <w:r>
        <w:rPr>
          <w:b/>
          <w:bCs/>
          <w:spacing w:val="-3"/>
        </w:rPr>
        <w:t>9.2.1.2 Columnar Zone</w:t>
      </w:r>
    </w:p>
    <w:p w14:paraId="49892C82" w14:textId="77777777" w:rsidR="00015B17" w:rsidRDefault="00015B17" w:rsidP="00015B17">
      <w:pPr>
        <w:tabs>
          <w:tab w:val="left" w:pos="-1432"/>
          <w:tab w:val="left" w:pos="-761"/>
          <w:tab w:val="left" w:pos="850"/>
          <w:tab w:val="left" w:pos="3600"/>
        </w:tabs>
        <w:suppressAutoHyphens/>
        <w:spacing w:line="360" w:lineRule="auto"/>
        <w:rPr>
          <w:spacing w:val="-3"/>
        </w:rPr>
      </w:pPr>
    </w:p>
    <w:p w14:paraId="2E7D460D" w14:textId="77777777" w:rsidR="00015B17" w:rsidRDefault="00015B17" w:rsidP="00015B17">
      <w:pPr>
        <w:tabs>
          <w:tab w:val="left" w:pos="-1432"/>
          <w:tab w:val="left" w:pos="-761"/>
          <w:tab w:val="left" w:pos="850"/>
          <w:tab w:val="left" w:pos="3600"/>
        </w:tabs>
        <w:suppressAutoHyphens/>
        <w:spacing w:line="360" w:lineRule="auto"/>
        <w:rPr>
          <w:spacing w:val="-3"/>
        </w:rPr>
      </w:pPr>
      <w:r>
        <w:rPr>
          <w:spacing w:val="-3"/>
        </w:rPr>
        <w:tab/>
        <w:t>Further from the mold surface, the grain structure evolves into columnar grains growing roughly parallel to the heat flow direction. Each grain is typically composed of many primary dendrite stalks. WALTON and CHALMERS [1959] proposed the competitive mechanism through which favorably oriented grains eliminate other grains such that a crystallographic texture arises. In FCC and BCC alloys, a preferred &lt;100&gt; orientation is characteristic of the structure.</w:t>
      </w:r>
    </w:p>
    <w:p w14:paraId="16F53DDD" w14:textId="77777777" w:rsidR="00015B17" w:rsidRDefault="00015B17" w:rsidP="00015B17">
      <w:pPr>
        <w:tabs>
          <w:tab w:val="left" w:pos="-1432"/>
          <w:tab w:val="left" w:pos="-761"/>
          <w:tab w:val="left" w:pos="850"/>
          <w:tab w:val="left" w:pos="3600"/>
        </w:tabs>
        <w:suppressAutoHyphens/>
        <w:spacing w:line="360" w:lineRule="auto"/>
        <w:rPr>
          <w:spacing w:val="-3"/>
        </w:rPr>
      </w:pPr>
    </w:p>
    <w:p w14:paraId="5952F24B" w14:textId="4577D82A" w:rsidR="00015B17" w:rsidRDefault="00015B17" w:rsidP="00015B17">
      <w:pPr>
        <w:tabs>
          <w:tab w:val="left" w:pos="-1432"/>
          <w:tab w:val="left" w:pos="-761"/>
          <w:tab w:val="left" w:pos="850"/>
          <w:tab w:val="left" w:pos="3600"/>
        </w:tabs>
        <w:suppressAutoHyphens/>
        <w:spacing w:line="360" w:lineRule="auto"/>
        <w:rPr>
          <w:spacing w:val="-3"/>
        </w:rPr>
      </w:pPr>
      <w:r>
        <w:rPr>
          <w:spacing w:val="-3"/>
        </w:rPr>
        <w:tab/>
        <w:t xml:space="preserve"> In conventional ingots, columnar growth may not be perpendicular to the mold wall if convection sweeps past the </w:t>
      </w:r>
      <w:r w:rsidR="004201E7">
        <w:rPr>
          <w:spacing w:val="-3"/>
        </w:rPr>
        <w:t>L-S</w:t>
      </w:r>
      <w:r>
        <w:rPr>
          <w:spacing w:val="-3"/>
        </w:rPr>
        <w:t xml:space="preserve"> interface due to horizontal temperature gradients.  If convection is diminished through magnetic fields or mold rotation, perpendicular columnar growth can be restored (COLE [1971]). For the twin-roller strip casting of steels, Takatani et al. (2000) characterized the grain orientation using electron backscattered </w:t>
      </w:r>
      <w:r w:rsidR="0055318D">
        <w:rPr>
          <w:spacing w:val="-3"/>
        </w:rPr>
        <w:t>diffraction and</w:t>
      </w:r>
      <w:r>
        <w:rPr>
          <w:spacing w:val="-3"/>
        </w:rPr>
        <w:t xml:space="preserve"> showed that the &lt;100&gt; texture that develops near the central region of the strip was inclined by about </w:t>
      </w:r>
      <w:r w:rsidRPr="00C52C53">
        <w:rPr>
          <w:spacing w:val="-3"/>
          <w:position w:val="-6"/>
        </w:rPr>
        <w:object w:dxaOrig="340" w:dyaOrig="320" w14:anchorId="781BB204">
          <v:shape id="_x0000_i1670" type="#_x0000_t75" style="width:16.85pt;height:16.85pt" o:ole="">
            <v:imagedata r:id="rId1237" o:title=""/>
          </v:shape>
          <o:OLEObject Type="Embed" ProgID="Equation.DSMT4" ShapeID="_x0000_i1670" DrawAspect="Content" ObjectID="_1840627236" r:id="rId1238"/>
        </w:object>
      </w:r>
      <w:r>
        <w:rPr>
          <w:spacing w:val="-3"/>
        </w:rPr>
        <w:t xml:space="preserve"> in the casting direction (toward the upstream direction of the flow). </w:t>
      </w:r>
    </w:p>
    <w:p w14:paraId="5E260B20" w14:textId="77777777" w:rsidR="00015B17" w:rsidRDefault="00015B17" w:rsidP="00015B17">
      <w:pPr>
        <w:tabs>
          <w:tab w:val="left" w:pos="-1432"/>
          <w:tab w:val="left" w:pos="-761"/>
          <w:tab w:val="left" w:pos="850"/>
          <w:tab w:val="left" w:pos="3600"/>
        </w:tabs>
        <w:suppressAutoHyphens/>
        <w:spacing w:line="360" w:lineRule="auto"/>
        <w:rPr>
          <w:spacing w:val="-3"/>
        </w:rPr>
      </w:pPr>
    </w:p>
    <w:p w14:paraId="7485A955" w14:textId="77777777" w:rsidR="00015B17" w:rsidRDefault="00015B17" w:rsidP="00015B17">
      <w:pPr>
        <w:tabs>
          <w:tab w:val="left" w:pos="-1432"/>
          <w:tab w:val="left" w:pos="-761"/>
          <w:tab w:val="left" w:pos="850"/>
          <w:tab w:val="left" w:pos="3600"/>
        </w:tabs>
        <w:suppressAutoHyphens/>
        <w:spacing w:line="360" w:lineRule="auto"/>
        <w:rPr>
          <w:spacing w:val="-3"/>
        </w:rPr>
      </w:pPr>
      <w:r>
        <w:rPr>
          <w:spacing w:val="-3"/>
        </w:rPr>
        <w:tab/>
        <w:t>In general</w:t>
      </w:r>
      <w:r w:rsidR="00C36CAA">
        <w:rPr>
          <w:spacing w:val="-3"/>
        </w:rPr>
        <w:t>,</w:t>
      </w:r>
      <w:r>
        <w:rPr>
          <w:spacing w:val="-3"/>
        </w:rPr>
        <w:t xml:space="preserve"> the growth of the columnar front in a casting can be modeled using a macroscopic heat code that solves Eqn. 2.7. As described in § 2, this requires a fraction solid versus temperature (and other variables) relationship obtained from one of the various dendritic microsegregation models presented in § 7.3. The various computational methods are summarized by RAPPAZ and STEFANESCU [1988] and RAPPAZ [1989]. In principle</w:t>
      </w:r>
      <w:r w:rsidR="00C36CAA">
        <w:rPr>
          <w:spacing w:val="-3"/>
        </w:rPr>
        <w:t>,</w:t>
      </w:r>
      <w:r>
        <w:rPr>
          <w:spacing w:val="-3"/>
        </w:rPr>
        <w:t xml:space="preserve"> a fully iterative numerical scheme is required; i.e., one estimates a fraction solid</w:t>
      </w:r>
      <w:r w:rsidR="007A62EA">
        <w:rPr>
          <w:spacing w:val="-3"/>
        </w:rPr>
        <w:t xml:space="preserve"> vs.</w:t>
      </w:r>
      <w:r>
        <w:rPr>
          <w:spacing w:val="-3"/>
        </w:rPr>
        <w:t xml:space="preserve"> (and hence enthalpy) vs. temperature relation, computes the thermal field and then resets the fraction solid vs. temperature relation based on local values of isotherm velocity, temperature gradient and /or local freezing time. Iteration is required until convergence is obtained. This is almost never done due to computational constraints.  The Scheil approach is normally used for the heat flow calculation and other details like the dendrite arm spacing o</w:t>
      </w:r>
      <w:r w:rsidR="00C36CAA">
        <w:rPr>
          <w:spacing w:val="-3"/>
        </w:rPr>
        <w:t>r</w:t>
      </w:r>
      <w:r>
        <w:rPr>
          <w:spacing w:val="-3"/>
        </w:rPr>
        <w:t xml:space="preserve"> dendrite tip temperatures are recovered in a post-processing step.</w:t>
      </w:r>
    </w:p>
    <w:p w14:paraId="46BE127F" w14:textId="77777777" w:rsidR="00015B17" w:rsidRDefault="00015B17" w:rsidP="00015B17">
      <w:pPr>
        <w:tabs>
          <w:tab w:val="left" w:pos="-1432"/>
          <w:tab w:val="left" w:pos="-761"/>
          <w:tab w:val="left" w:pos="850"/>
          <w:tab w:val="left" w:pos="3600"/>
        </w:tabs>
        <w:suppressAutoHyphens/>
        <w:spacing w:line="360" w:lineRule="auto"/>
        <w:rPr>
          <w:spacing w:val="-3"/>
        </w:rPr>
      </w:pPr>
      <w:r>
        <w:rPr>
          <w:spacing w:val="-3"/>
        </w:rPr>
        <w:t xml:space="preserve"> </w:t>
      </w:r>
    </w:p>
    <w:p w14:paraId="04D86C48" w14:textId="77777777" w:rsidR="00015B17" w:rsidRDefault="00015B17" w:rsidP="00015B17">
      <w:pPr>
        <w:tabs>
          <w:tab w:val="left" w:pos="-1432"/>
          <w:tab w:val="left" w:pos="-761"/>
          <w:tab w:val="left" w:pos="850"/>
          <w:tab w:val="left" w:pos="3600"/>
        </w:tabs>
        <w:suppressAutoHyphens/>
        <w:spacing w:line="360" w:lineRule="auto"/>
        <w:rPr>
          <w:spacing w:val="-3"/>
        </w:rPr>
      </w:pPr>
      <w:r>
        <w:rPr>
          <w:spacing w:val="-3"/>
        </w:rPr>
        <w:lastRenderedPageBreak/>
        <w:tab/>
        <w:t xml:space="preserve"> To model the developing grain shape in the columnar zone, RAPPAZ and GANDIN [1993] developed </w:t>
      </w:r>
      <w:r w:rsidRPr="00C911C2">
        <w:rPr>
          <w:spacing w:val="-3"/>
        </w:rPr>
        <w:t>a</w:t>
      </w:r>
      <w:r w:rsidRPr="00C911C2">
        <w:rPr>
          <w:iCs/>
          <w:spacing w:val="-3"/>
        </w:rPr>
        <w:t>n approach</w:t>
      </w:r>
      <w:r>
        <w:rPr>
          <w:spacing w:val="-3"/>
        </w:rPr>
        <w:t xml:space="preserve"> that includes an orientation variable for each grain and uses a cellular automaton technique. Fig. 9.3 shows a schematic example of this type of modeling for the competitive columnar growth of three grains. (Some equiaxed grains that nucleate and grow in front of the columnar zone are also depicted which will be discussed in a later section.) The columnar grains on the left and on the right contain dendrites whose &lt;100&gt; crystallographic orientations are nearly perpendicular to the liquidus isotherm. These dendrites grow with the same velocity </w:t>
      </w:r>
      <w:r>
        <w:rPr>
          <w:i/>
          <w:iCs/>
          <w:spacing w:val="-3"/>
        </w:rPr>
        <w:t>V</w:t>
      </w:r>
      <w:r w:rsidRPr="00911EC5">
        <w:rPr>
          <w:spacing w:val="-3"/>
          <w:sz w:val="26"/>
          <w:vertAlign w:val="subscript"/>
        </w:rPr>
        <w:t>L</w:t>
      </w:r>
      <w:r>
        <w:rPr>
          <w:spacing w:val="-3"/>
        </w:rPr>
        <w:t xml:space="preserve">, as that of the isotherms. The grain in the middle of the figure, having a deviation of its &lt;100&gt; crystallographic direction from the heat flow direction, has dendrite tips growing with a velocity </w:t>
      </w:r>
      <w:r>
        <w:rPr>
          <w:i/>
          <w:iCs/>
          <w:spacing w:val="-3"/>
        </w:rPr>
        <w:t>V</w:t>
      </w:r>
      <w:r w:rsidRPr="00911EC5">
        <w:rPr>
          <w:spacing w:val="-3"/>
          <w:sz w:val="26"/>
          <w:vertAlign w:val="subscript"/>
        </w:rPr>
        <w:t>θ</w:t>
      </w:r>
      <w:r>
        <w:rPr>
          <w:spacing w:val="-3"/>
        </w:rPr>
        <w:t xml:space="preserve"> = </w:t>
      </w:r>
      <w:r>
        <w:rPr>
          <w:i/>
          <w:iCs/>
          <w:spacing w:val="-3"/>
        </w:rPr>
        <w:t>V</w:t>
      </w:r>
      <w:r w:rsidRPr="00911EC5">
        <w:rPr>
          <w:spacing w:val="-3"/>
          <w:sz w:val="26"/>
          <w:vertAlign w:val="subscript"/>
        </w:rPr>
        <w:t>L</w:t>
      </w:r>
      <w:r>
        <w:rPr>
          <w:spacing w:val="-3"/>
        </w:rPr>
        <w:t>/cos</w:t>
      </w:r>
      <w:r>
        <w:rPr>
          <w:i/>
          <w:iCs/>
          <w:spacing w:val="-3"/>
        </w:rPr>
        <w:t>θ</w:t>
      </w:r>
      <w:r>
        <w:rPr>
          <w:spacing w:val="-3"/>
        </w:rPr>
        <w:t xml:space="preserve"> that is larger than </w:t>
      </w:r>
      <w:r>
        <w:rPr>
          <w:i/>
          <w:iCs/>
          <w:spacing w:val="-3"/>
        </w:rPr>
        <w:t>V</w:t>
      </w:r>
      <w:r w:rsidRPr="00911EC5">
        <w:rPr>
          <w:spacing w:val="-3"/>
          <w:sz w:val="26"/>
          <w:vertAlign w:val="subscript"/>
        </w:rPr>
        <w:t>L</w:t>
      </w:r>
      <w:r>
        <w:rPr>
          <w:spacing w:val="-3"/>
        </w:rPr>
        <w:t>. According to the growth kinetic model of the dendrite tip for constrained growth (§7), the faster growing (misoriented) dendrites are characterized by a larger tip supercooling. Thus the tips lag behind those of the better oriented grains and thus the central misoriented grain is pinched off by the left and right grains. Also shown in Fig. 9.3 is how the left hand grain boundary is parallel to the nominal heat flow direction while the right hand boundary is tilted due to the details of tertiary arm formation. This effect was also recovered in the modeling. In complementary work, Gandin et al. [1995] measured columnar grain diameters and the crystallographic texture in the columnar zone of an INX750 superalloy casting. The orientation distribution of the columnar grains narrows and the grain size increases as the distance from the mold surface increases. The probabilistic model produces reasonable agreement with experiment. The method is also useful for modeling the grain competition in the grain selector during directional solidification (DS) for the production of modern turbine blades (RAPPAZ and GANDIN [1994]).</w:t>
      </w:r>
    </w:p>
    <w:p w14:paraId="7DBEA6F9" w14:textId="77777777" w:rsidR="00015B17" w:rsidRDefault="00015B17" w:rsidP="00015B17">
      <w:pPr>
        <w:tabs>
          <w:tab w:val="left" w:pos="-1432"/>
          <w:tab w:val="left" w:pos="-761"/>
          <w:tab w:val="left" w:pos="850"/>
          <w:tab w:val="left" w:pos="3600"/>
        </w:tabs>
        <w:suppressAutoHyphens/>
        <w:spacing w:line="360" w:lineRule="auto"/>
        <w:rPr>
          <w:spacing w:val="-3"/>
        </w:rPr>
      </w:pPr>
    </w:p>
    <w:p w14:paraId="16188DBA" w14:textId="77777777" w:rsidR="00015B17" w:rsidRDefault="00015B17" w:rsidP="00015B17">
      <w:pPr>
        <w:tabs>
          <w:tab w:val="left" w:pos="-1432"/>
          <w:tab w:val="left" w:pos="-761"/>
          <w:tab w:val="left" w:pos="850"/>
          <w:tab w:val="left" w:pos="3600"/>
        </w:tabs>
        <w:suppressAutoHyphens/>
        <w:spacing w:line="360" w:lineRule="auto"/>
        <w:rPr>
          <w:spacing w:val="-3"/>
        </w:rPr>
      </w:pPr>
      <w:r>
        <w:rPr>
          <w:b/>
          <w:bCs/>
          <w:spacing w:val="-3"/>
        </w:rPr>
        <w:t>9.2.1.3 Central Equiaxed Zone</w:t>
      </w:r>
    </w:p>
    <w:p w14:paraId="4701E85E" w14:textId="77777777" w:rsidR="00015B17" w:rsidRDefault="00015B17" w:rsidP="00015B17">
      <w:pPr>
        <w:tabs>
          <w:tab w:val="left" w:pos="-1432"/>
          <w:tab w:val="left" w:pos="-761"/>
          <w:tab w:val="left" w:pos="850"/>
          <w:tab w:val="left" w:pos="3600"/>
        </w:tabs>
        <w:suppressAutoHyphens/>
        <w:spacing w:line="360" w:lineRule="auto"/>
        <w:rPr>
          <w:spacing w:val="-3"/>
        </w:rPr>
      </w:pPr>
    </w:p>
    <w:p w14:paraId="2F3C4926" w14:textId="77777777" w:rsidR="00015B17" w:rsidRDefault="00015B17" w:rsidP="00015B17">
      <w:pPr>
        <w:tabs>
          <w:tab w:val="left" w:pos="-1432"/>
          <w:tab w:val="left" w:pos="-761"/>
          <w:tab w:val="left" w:pos="850"/>
          <w:tab w:val="left" w:pos="3600"/>
        </w:tabs>
        <w:suppressAutoHyphens/>
        <w:spacing w:line="360" w:lineRule="auto"/>
        <w:rPr>
          <w:spacing w:val="-3"/>
        </w:rPr>
      </w:pPr>
      <w:r>
        <w:rPr>
          <w:spacing w:val="-3"/>
        </w:rPr>
        <w:tab/>
        <w:t xml:space="preserve">In many ingots a central zone of equiaxed grains is formed. Typically this grain structure is more desirable than the columnar structure described above due to improved mechanical properties. Equiaxed grains grow ahead of the columnar dendrites as shown in Fig. 9.3. The columnar to equiaxed transition (CET) occurs when growth centers formed by the mechanisms described below can survive and grow to occupy sufficient space to impede </w:t>
      </w:r>
      <w:r>
        <w:rPr>
          <w:spacing w:val="-3"/>
        </w:rPr>
        <w:lastRenderedPageBreak/>
        <w:t xml:space="preserve">the advance of the columnar front. Some ingots have almost no equiaxed zone while others have almost no columnar zone. The major challenges to predict the columnar to equiaxed transition and the size of the equiaxed zone in castings involve an accurate description of the source of the nuclei (growth sites) and an accurate description of the competing growth rates of the columnar and equiaxed crystals under the prevailing conditions. </w:t>
      </w:r>
    </w:p>
    <w:p w14:paraId="36CEF8F8" w14:textId="77777777" w:rsidR="00015B17" w:rsidRDefault="00015B17" w:rsidP="00015B17">
      <w:pPr>
        <w:tabs>
          <w:tab w:val="left" w:pos="-1432"/>
          <w:tab w:val="left" w:pos="-761"/>
          <w:tab w:val="left" w:pos="850"/>
          <w:tab w:val="left" w:pos="3600"/>
        </w:tabs>
        <w:suppressAutoHyphens/>
        <w:spacing w:line="360" w:lineRule="auto"/>
        <w:rPr>
          <w:spacing w:val="-3"/>
        </w:rPr>
      </w:pPr>
    </w:p>
    <w:p w14:paraId="3D32047B" w14:textId="77777777" w:rsidR="00015B17" w:rsidRDefault="00015B17" w:rsidP="00015B17">
      <w:pPr>
        <w:tabs>
          <w:tab w:val="left" w:pos="-1432"/>
          <w:tab w:val="left" w:pos="-761"/>
          <w:tab w:val="left" w:pos="850"/>
          <w:tab w:val="left" w:pos="3600"/>
        </w:tabs>
        <w:suppressAutoHyphens/>
        <w:spacing w:line="360" w:lineRule="auto"/>
        <w:rPr>
          <w:b/>
          <w:bCs/>
          <w:spacing w:val="-3"/>
        </w:rPr>
      </w:pPr>
      <w:r>
        <w:rPr>
          <w:b/>
          <w:bCs/>
          <w:spacing w:val="-3"/>
        </w:rPr>
        <w:t>9.2.2 Source of growth sites for equiaxed solidification</w:t>
      </w:r>
    </w:p>
    <w:p w14:paraId="42E2B9FA" w14:textId="77777777" w:rsidR="00015B17" w:rsidRDefault="00015B17" w:rsidP="00015B17">
      <w:pPr>
        <w:tabs>
          <w:tab w:val="left" w:pos="-1432"/>
          <w:tab w:val="left" w:pos="-761"/>
          <w:tab w:val="left" w:pos="850"/>
          <w:tab w:val="left" w:pos="3600"/>
        </w:tabs>
        <w:suppressAutoHyphens/>
        <w:spacing w:line="360" w:lineRule="auto"/>
        <w:rPr>
          <w:spacing w:val="-3"/>
        </w:rPr>
      </w:pPr>
    </w:p>
    <w:p w14:paraId="0F0576C0" w14:textId="42304A22" w:rsidR="00015B17" w:rsidRDefault="00015B17" w:rsidP="00015B17">
      <w:pPr>
        <w:tabs>
          <w:tab w:val="left" w:pos="-1432"/>
          <w:tab w:val="left" w:pos="-761"/>
          <w:tab w:val="left" w:pos="850"/>
          <w:tab w:val="left" w:pos="3600"/>
        </w:tabs>
        <w:suppressAutoHyphens/>
        <w:spacing w:line="360" w:lineRule="auto"/>
        <w:rPr>
          <w:spacing w:val="-3"/>
        </w:rPr>
      </w:pPr>
      <w:r>
        <w:rPr>
          <w:spacing w:val="-3"/>
        </w:rPr>
        <w:tab/>
        <w:t>The three sources of growth sites for equiaxed grains in the bulk liquid zone of a casting are heterogeneous nucleation on  heterogeneities, nucleation on intentionally added grain refiners, and dendritic fragments produced from the columnar zone.</w:t>
      </w:r>
      <w:r w:rsidRPr="00C541BE">
        <w:rPr>
          <w:spacing w:val="-3"/>
        </w:rPr>
        <w:t xml:space="preserve"> </w:t>
      </w:r>
    </w:p>
    <w:p w14:paraId="5FA96FCD" w14:textId="77777777" w:rsidR="00015B17" w:rsidRDefault="00015B17" w:rsidP="00015B17">
      <w:pPr>
        <w:tabs>
          <w:tab w:val="left" w:pos="-1432"/>
          <w:tab w:val="left" w:pos="-761"/>
          <w:tab w:val="left" w:pos="850"/>
          <w:tab w:val="left" w:pos="3600"/>
        </w:tabs>
        <w:suppressAutoHyphens/>
        <w:spacing w:line="360" w:lineRule="auto"/>
        <w:rPr>
          <w:b/>
          <w:bCs/>
          <w:spacing w:val="-3"/>
        </w:rPr>
      </w:pPr>
    </w:p>
    <w:p w14:paraId="0232F354" w14:textId="77777777" w:rsidR="00015B17" w:rsidRDefault="00015B17" w:rsidP="00015B17">
      <w:pPr>
        <w:tabs>
          <w:tab w:val="left" w:pos="-1432"/>
          <w:tab w:val="left" w:pos="-761"/>
          <w:tab w:val="left" w:pos="850"/>
          <w:tab w:val="left" w:pos="3600"/>
        </w:tabs>
        <w:suppressAutoHyphens/>
        <w:spacing w:line="360" w:lineRule="auto"/>
        <w:rPr>
          <w:b/>
          <w:bCs/>
          <w:spacing w:val="-3"/>
        </w:rPr>
      </w:pPr>
      <w:r>
        <w:rPr>
          <w:b/>
          <w:bCs/>
          <w:spacing w:val="-3"/>
        </w:rPr>
        <w:t xml:space="preserve">9.2.2.1 Heterogeneous sites and grain refiners </w:t>
      </w:r>
    </w:p>
    <w:p w14:paraId="77AD878C" w14:textId="77777777" w:rsidR="00015B17" w:rsidRDefault="00015B17" w:rsidP="00015B17">
      <w:pPr>
        <w:tabs>
          <w:tab w:val="left" w:pos="-1432"/>
          <w:tab w:val="left" w:pos="-761"/>
          <w:tab w:val="left" w:pos="850"/>
          <w:tab w:val="left" w:pos="3600"/>
        </w:tabs>
        <w:suppressAutoHyphens/>
        <w:spacing w:line="360" w:lineRule="auto"/>
        <w:rPr>
          <w:b/>
          <w:bCs/>
          <w:spacing w:val="-3"/>
        </w:rPr>
      </w:pPr>
    </w:p>
    <w:p w14:paraId="5736023E" w14:textId="34311581" w:rsidR="00015B17" w:rsidRDefault="00015B17" w:rsidP="00015B17">
      <w:pPr>
        <w:tabs>
          <w:tab w:val="left" w:pos="-1432"/>
          <w:tab w:val="left" w:pos="-761"/>
          <w:tab w:val="left" w:pos="850"/>
          <w:tab w:val="left" w:pos="3600"/>
        </w:tabs>
        <w:suppressAutoHyphens/>
        <w:spacing w:line="360" w:lineRule="auto"/>
        <w:rPr>
          <w:spacing w:val="-3"/>
        </w:rPr>
      </w:pPr>
      <w:r>
        <w:rPr>
          <w:spacing w:val="-3"/>
        </w:rPr>
        <w:tab/>
        <w:t xml:space="preserve">In the absence of grain refiners, </w:t>
      </w:r>
      <w:r w:rsidRPr="003C1C6A">
        <w:rPr>
          <w:spacing w:val="-3"/>
        </w:rPr>
        <w:t>THEVO</w:t>
      </w:r>
      <w:r>
        <w:rPr>
          <w:spacing w:val="-3"/>
        </w:rPr>
        <w:t>Z</w:t>
      </w:r>
      <w:r w:rsidRPr="003C1C6A">
        <w:rPr>
          <w:spacing w:val="-3"/>
        </w:rPr>
        <w:t xml:space="preserve"> </w:t>
      </w:r>
      <w:r w:rsidRPr="003C1C6A">
        <w:rPr>
          <w:i/>
          <w:iCs/>
          <w:spacing w:val="-3"/>
        </w:rPr>
        <w:t>et al</w:t>
      </w:r>
      <w:r w:rsidRPr="003C1C6A">
        <w:rPr>
          <w:spacing w:val="-3"/>
        </w:rPr>
        <w:t xml:space="preserve">. [1989] and STEFANESCU </w:t>
      </w:r>
      <w:r w:rsidRPr="003C1C6A">
        <w:rPr>
          <w:i/>
          <w:iCs/>
          <w:spacing w:val="-3"/>
        </w:rPr>
        <w:t>et al</w:t>
      </w:r>
      <w:r w:rsidRPr="003C1C6A">
        <w:rPr>
          <w:spacing w:val="-3"/>
        </w:rPr>
        <w:t>. [1990]</w:t>
      </w:r>
      <w:r>
        <w:rPr>
          <w:spacing w:val="-3"/>
        </w:rPr>
        <w:t xml:space="preserve"> </w:t>
      </w:r>
      <w:r w:rsidRPr="003C1C6A">
        <w:rPr>
          <w:spacing w:val="-3"/>
        </w:rPr>
        <w:t xml:space="preserve">found it necessary to postulate </w:t>
      </w:r>
      <w:r>
        <w:rPr>
          <w:spacing w:val="-3"/>
        </w:rPr>
        <w:t xml:space="preserve">the existence of unknown </w:t>
      </w:r>
      <w:r w:rsidRPr="003C1C6A">
        <w:rPr>
          <w:spacing w:val="-3"/>
        </w:rPr>
        <w:t>catalytic sites</w:t>
      </w:r>
      <w:r>
        <w:rPr>
          <w:spacing w:val="-3"/>
        </w:rPr>
        <w:t xml:space="preserve"> to properly predict grain size.</w:t>
      </w:r>
      <w:r w:rsidRPr="00211C80">
        <w:rPr>
          <w:spacing w:val="-3"/>
        </w:rPr>
        <w:t xml:space="preserve"> </w:t>
      </w:r>
      <w:r>
        <w:rPr>
          <w:spacing w:val="-3"/>
        </w:rPr>
        <w:t>T</w:t>
      </w:r>
      <w:r w:rsidRPr="003C1C6A">
        <w:rPr>
          <w:spacing w:val="-3"/>
        </w:rPr>
        <w:t>o predict accurately the grain size of castings</w:t>
      </w:r>
      <w:r>
        <w:rPr>
          <w:spacing w:val="-3"/>
        </w:rPr>
        <w:t xml:space="preserve">, the former employed a </w:t>
      </w:r>
      <w:r w:rsidRPr="003C1C6A">
        <w:rPr>
          <w:spacing w:val="-3"/>
        </w:rPr>
        <w:t xml:space="preserve">distribution of </w:t>
      </w:r>
      <w:r>
        <w:rPr>
          <w:spacing w:val="-3"/>
        </w:rPr>
        <w:t xml:space="preserve">nucleation temperature for the sites while the latter </w:t>
      </w:r>
      <w:r w:rsidRPr="003C1C6A">
        <w:rPr>
          <w:spacing w:val="-3"/>
        </w:rPr>
        <w:t>employed</w:t>
      </w:r>
      <w:r>
        <w:rPr>
          <w:spacing w:val="-3"/>
        </w:rPr>
        <w:t xml:space="preserve"> a </w:t>
      </w:r>
      <w:r w:rsidRPr="003C1C6A">
        <w:rPr>
          <w:spacing w:val="-3"/>
        </w:rPr>
        <w:t xml:space="preserve">cooling rate dependence for </w:t>
      </w:r>
      <w:r w:rsidR="007A62EA">
        <w:rPr>
          <w:spacing w:val="-3"/>
        </w:rPr>
        <w:t xml:space="preserve">action of </w:t>
      </w:r>
      <w:r w:rsidRPr="003C1C6A">
        <w:rPr>
          <w:spacing w:val="-3"/>
        </w:rPr>
        <w:t>the sites</w:t>
      </w:r>
      <w:r>
        <w:rPr>
          <w:spacing w:val="-3"/>
        </w:rPr>
        <w:t xml:space="preserve">. The identification of the </w:t>
      </w:r>
      <w:r w:rsidR="007A62EA">
        <w:rPr>
          <w:spacing w:val="-3"/>
        </w:rPr>
        <w:t xml:space="preserve">nature of the </w:t>
      </w:r>
      <w:r>
        <w:rPr>
          <w:spacing w:val="-3"/>
        </w:rPr>
        <w:t>heterogeneous sites remains elusive.</w:t>
      </w:r>
    </w:p>
    <w:p w14:paraId="4E00E328" w14:textId="77777777" w:rsidR="00015B17" w:rsidRDefault="00015B17" w:rsidP="00015B17">
      <w:pPr>
        <w:tabs>
          <w:tab w:val="left" w:pos="-1432"/>
          <w:tab w:val="left" w:pos="-761"/>
          <w:tab w:val="left" w:pos="850"/>
          <w:tab w:val="left" w:pos="3600"/>
        </w:tabs>
        <w:suppressAutoHyphens/>
        <w:spacing w:line="360" w:lineRule="auto"/>
        <w:rPr>
          <w:spacing w:val="-3"/>
        </w:rPr>
      </w:pPr>
    </w:p>
    <w:p w14:paraId="13175F2F" w14:textId="77777777" w:rsidR="00015B17" w:rsidRDefault="00015B17" w:rsidP="00015B17">
      <w:pPr>
        <w:tabs>
          <w:tab w:val="left" w:pos="-1432"/>
          <w:tab w:val="left" w:pos="-761"/>
          <w:tab w:val="left" w:pos="850"/>
          <w:tab w:val="left" w:pos="3600"/>
        </w:tabs>
        <w:suppressAutoHyphens/>
        <w:spacing w:line="360" w:lineRule="auto"/>
        <w:rPr>
          <w:spacing w:val="-3"/>
        </w:rPr>
      </w:pPr>
      <w:r>
        <w:rPr>
          <w:spacing w:val="-3"/>
        </w:rPr>
        <w:tab/>
        <w:t>The mechanisms by which grain refiners operate to produce viable growth centers has been described by Perepezko [2008] and Kelton and Greer [2010]. Aspects of lattice matching, adsorption and the control of inoculant fading are subjects beyond the scope of this chapter.</w:t>
      </w:r>
    </w:p>
    <w:p w14:paraId="02AB45E6" w14:textId="77777777" w:rsidR="00015B17" w:rsidRDefault="00015B17" w:rsidP="00015B17">
      <w:pPr>
        <w:tabs>
          <w:tab w:val="left" w:pos="-1432"/>
          <w:tab w:val="left" w:pos="-761"/>
          <w:tab w:val="left" w:pos="850"/>
          <w:tab w:val="left" w:pos="3600"/>
        </w:tabs>
        <w:suppressAutoHyphens/>
        <w:spacing w:line="360" w:lineRule="auto"/>
        <w:rPr>
          <w:spacing w:val="-3"/>
        </w:rPr>
      </w:pPr>
    </w:p>
    <w:p w14:paraId="7FA54864" w14:textId="77777777" w:rsidR="00015B17" w:rsidRDefault="00015B17" w:rsidP="00015B17">
      <w:pPr>
        <w:tabs>
          <w:tab w:val="left" w:pos="-1432"/>
          <w:tab w:val="left" w:pos="-761"/>
          <w:tab w:val="left" w:pos="0"/>
          <w:tab w:val="left" w:pos="850"/>
          <w:tab w:val="left" w:pos="3600"/>
        </w:tabs>
        <w:suppressAutoHyphens/>
        <w:spacing w:line="360" w:lineRule="auto"/>
        <w:rPr>
          <w:b/>
          <w:bCs/>
          <w:spacing w:val="-3"/>
        </w:rPr>
      </w:pPr>
      <w:r>
        <w:rPr>
          <w:b/>
          <w:bCs/>
          <w:spacing w:val="-3"/>
        </w:rPr>
        <w:t>9.2.2.2 Dendrite fragments</w:t>
      </w:r>
    </w:p>
    <w:p w14:paraId="02D71B3F" w14:textId="77777777" w:rsidR="00015B17" w:rsidRDefault="00015B17" w:rsidP="00015B17">
      <w:pPr>
        <w:tabs>
          <w:tab w:val="left" w:pos="-1432"/>
          <w:tab w:val="left" w:pos="-761"/>
          <w:tab w:val="left" w:pos="0"/>
          <w:tab w:val="left" w:pos="850"/>
          <w:tab w:val="left" w:pos="3600"/>
        </w:tabs>
        <w:suppressAutoHyphens/>
        <w:spacing w:line="360" w:lineRule="auto"/>
        <w:rPr>
          <w:b/>
          <w:bCs/>
          <w:spacing w:val="-3"/>
        </w:rPr>
      </w:pPr>
    </w:p>
    <w:p w14:paraId="113CEE1F" w14:textId="5A12CDE7" w:rsidR="00015B17" w:rsidRDefault="00015B17" w:rsidP="00015B17">
      <w:pPr>
        <w:tabs>
          <w:tab w:val="left" w:pos="-720"/>
        </w:tabs>
        <w:suppressAutoHyphens/>
        <w:spacing w:line="360" w:lineRule="auto"/>
        <w:rPr>
          <w:spacing w:val="-3"/>
        </w:rPr>
      </w:pPr>
      <w:r>
        <w:rPr>
          <w:spacing w:val="-3"/>
        </w:rPr>
        <w:tab/>
        <w:t xml:space="preserve">There is mounting evidence that dendrite fragments are the growth initiation centers for equiaxed grains </w:t>
      </w:r>
      <w:r w:rsidR="007A62EA">
        <w:rPr>
          <w:spacing w:val="-3"/>
        </w:rPr>
        <w:t xml:space="preserve">in castings </w:t>
      </w:r>
      <w:r>
        <w:rPr>
          <w:spacing w:val="-3"/>
        </w:rPr>
        <w:t xml:space="preserve">as well as for spurious grain </w:t>
      </w:r>
      <w:r w:rsidR="007A62EA">
        <w:rPr>
          <w:spacing w:val="-3"/>
        </w:rPr>
        <w:t xml:space="preserve">formation </w:t>
      </w:r>
      <w:r>
        <w:rPr>
          <w:spacing w:val="-3"/>
        </w:rPr>
        <w:t xml:space="preserve">in directionally solidified single crystal aero-turbine blades. Over the years, some researchers had argued for </w:t>
      </w:r>
      <w:r>
        <w:rPr>
          <w:spacing w:val="-3"/>
        </w:rPr>
        <w:lastRenderedPageBreak/>
        <w:t xml:space="preserve">a mechanical breakage model of fragmentation due to </w:t>
      </w:r>
      <w:r w:rsidR="007A62EA">
        <w:rPr>
          <w:spacing w:val="-3"/>
        </w:rPr>
        <w:t xml:space="preserve">the existence of </w:t>
      </w:r>
      <w:r>
        <w:rPr>
          <w:spacing w:val="-3"/>
        </w:rPr>
        <w:t>vigorous fluid flow and have thus limited the idea of fragmentation to highly convecting situations.  But Pilling and Hellawell [1996] analyzed the pressure exerted on a fragile dendrite network by buoyancy driven fluid flow and estimated the stress in the solid dendrite. They concluded that dendrite breakage (fracture) was unlikely to occur especially considering the ductile nature of metals near their melting point. They argued for a dendrite remelting mechanism due to deceleration of the growth front caused by convection.</w:t>
      </w:r>
      <w:r w:rsidRPr="00791AB9">
        <w:rPr>
          <w:spacing w:val="-3"/>
        </w:rPr>
        <w:t xml:space="preserve"> </w:t>
      </w:r>
      <w:r>
        <w:rPr>
          <w:spacing w:val="-3"/>
        </w:rPr>
        <w:t xml:space="preserve">Indeed such an effect had already been discovered by Jackson et al. in 1966.  They showed that a modest deceleration of the growth rate of a dendritic array could cause dendrite arm separation during directional solidification of transparent organic </w:t>
      </w:r>
      <w:r w:rsidR="00C36CAA">
        <w:rPr>
          <w:spacing w:val="-3"/>
        </w:rPr>
        <w:t>metal/</w:t>
      </w:r>
      <w:r>
        <w:rPr>
          <w:spacing w:val="-3"/>
        </w:rPr>
        <w:t>alloy analogues.</w:t>
      </w:r>
    </w:p>
    <w:p w14:paraId="6987D183" w14:textId="77777777" w:rsidR="00015B17" w:rsidRDefault="00015B17" w:rsidP="00015B17">
      <w:pPr>
        <w:tabs>
          <w:tab w:val="left" w:pos="-720"/>
        </w:tabs>
        <w:suppressAutoHyphens/>
        <w:spacing w:line="360" w:lineRule="auto"/>
        <w:rPr>
          <w:spacing w:val="-3"/>
        </w:rPr>
      </w:pPr>
    </w:p>
    <w:p w14:paraId="1A7D6C8D" w14:textId="77777777" w:rsidR="00015B17" w:rsidRDefault="00015B17" w:rsidP="00015B17">
      <w:pPr>
        <w:tabs>
          <w:tab w:val="left" w:pos="-720"/>
        </w:tabs>
        <w:suppressAutoHyphens/>
        <w:spacing w:line="360" w:lineRule="auto"/>
        <w:rPr>
          <w:spacing w:val="-3"/>
        </w:rPr>
      </w:pPr>
      <w:r>
        <w:rPr>
          <w:spacing w:val="-3"/>
        </w:rPr>
        <w:tab/>
        <w:t>Conclusive evidence for fragmentation was obtained by Hellawell et al. [1993] who performed studies of solute convection caused by liquid density gradients in the mushy zone. Using a transparent analogue system undergoing vertical solidification they showed the formation of rising convective plumes of solute rich and less dense liquid within the fully molten zone. These plumes caused the formation of hollow channels in the dendritic array (Fig 9.4). A gentle radial flow from the surrounding mushy zone collected into the hollow channels to feed to the strong upward plume that propagates into the fully molten zone.  Often dendrite fragments were directly observed to be ejected from the mushy zone into the plumes that rose into the fully liquid region.  Other fragments were not ejected but merely settled deeper into the mushy zone within the channel.</w:t>
      </w:r>
    </w:p>
    <w:p w14:paraId="58BA2E85" w14:textId="77777777" w:rsidR="00015B17" w:rsidRDefault="00015B17" w:rsidP="00015B17">
      <w:pPr>
        <w:tabs>
          <w:tab w:val="left" w:pos="-720"/>
        </w:tabs>
        <w:suppressAutoHyphens/>
        <w:spacing w:line="360" w:lineRule="auto"/>
        <w:rPr>
          <w:spacing w:val="-3"/>
        </w:rPr>
      </w:pPr>
    </w:p>
    <w:p w14:paraId="79978139" w14:textId="77777777" w:rsidR="00015B17" w:rsidRDefault="00015B17" w:rsidP="00015B17">
      <w:pPr>
        <w:tabs>
          <w:tab w:val="left" w:pos="-720"/>
        </w:tabs>
        <w:suppressAutoHyphens/>
        <w:spacing w:line="360" w:lineRule="auto"/>
        <w:rPr>
          <w:spacing w:val="-3"/>
        </w:rPr>
      </w:pPr>
      <w:r>
        <w:rPr>
          <w:spacing w:val="-3"/>
        </w:rPr>
        <w:tab/>
        <w:t xml:space="preserve">Further  convincing evidence for a fragmentation  mechanism was obtained in metals by Matheissen et al. [1999, 2006] using synchrotron generated x-rays to produce time resolved microradiographs of dendritic fragmentation. Fig 9.5 shows a sequence of snap shots of an Al-Cu alloy during directional solidification. </w:t>
      </w:r>
    </w:p>
    <w:p w14:paraId="444570E7" w14:textId="77777777" w:rsidR="00015B17" w:rsidRDefault="00015B17" w:rsidP="00015B17">
      <w:pPr>
        <w:tabs>
          <w:tab w:val="left" w:pos="-720"/>
        </w:tabs>
        <w:suppressAutoHyphens/>
        <w:spacing w:line="360" w:lineRule="auto"/>
        <w:rPr>
          <w:spacing w:val="-3"/>
        </w:rPr>
      </w:pPr>
    </w:p>
    <w:p w14:paraId="370917E0" w14:textId="77777777" w:rsidR="00015B17" w:rsidRDefault="00015B17" w:rsidP="00015B17">
      <w:pPr>
        <w:tabs>
          <w:tab w:val="left" w:pos="-720"/>
        </w:tabs>
        <w:suppressAutoHyphens/>
        <w:spacing w:line="360" w:lineRule="auto"/>
        <w:rPr>
          <w:spacing w:val="-3"/>
        </w:rPr>
      </w:pPr>
      <w:r>
        <w:rPr>
          <w:spacing w:val="-3"/>
        </w:rPr>
        <w:tab/>
        <w:t>In castings, where growth happens inwards from the mold walls, both the temperature gradients and growth rates decrease in a continuous manner.  Indeed Liu et al.</w:t>
      </w:r>
      <w:r w:rsidR="001D1192">
        <w:rPr>
          <w:spacing w:val="-3"/>
        </w:rPr>
        <w:t xml:space="preserve"> (2002) </w:t>
      </w:r>
      <w:r>
        <w:rPr>
          <w:spacing w:val="-3"/>
        </w:rPr>
        <w:t>further studied the mechanism of the detachment of dendrite side arms induced by deceleration in the NH</w:t>
      </w:r>
      <w:r w:rsidRPr="00911EC5">
        <w:rPr>
          <w:spacing w:val="-3"/>
          <w:sz w:val="26"/>
          <w:vertAlign w:val="subscript"/>
        </w:rPr>
        <w:t>4</w:t>
      </w:r>
      <w:r>
        <w:rPr>
          <w:spacing w:val="-3"/>
        </w:rPr>
        <w:t>Cl-H</w:t>
      </w:r>
      <w:r w:rsidRPr="00911EC5">
        <w:rPr>
          <w:spacing w:val="-3"/>
          <w:sz w:val="26"/>
          <w:vertAlign w:val="subscript"/>
        </w:rPr>
        <w:t>2</w:t>
      </w:r>
      <w:r>
        <w:rPr>
          <w:spacing w:val="-3"/>
        </w:rPr>
        <w:t>O and [CH</w:t>
      </w:r>
      <w:r w:rsidRPr="00911EC5">
        <w:rPr>
          <w:spacing w:val="-3"/>
          <w:sz w:val="26"/>
          <w:vertAlign w:val="subscript"/>
        </w:rPr>
        <w:t>2</w:t>
      </w:r>
      <w:r>
        <w:rPr>
          <w:spacing w:val="-3"/>
        </w:rPr>
        <w:t xml:space="preserve"> CN]</w:t>
      </w:r>
      <w:r w:rsidRPr="00911EC5">
        <w:rPr>
          <w:spacing w:val="-3"/>
          <w:sz w:val="26"/>
          <w:vertAlign w:val="subscript"/>
        </w:rPr>
        <w:t>2</w:t>
      </w:r>
      <w:r>
        <w:rPr>
          <w:spacing w:val="-3"/>
        </w:rPr>
        <w:t>-H</w:t>
      </w:r>
      <w:r w:rsidRPr="00911EC5">
        <w:rPr>
          <w:spacing w:val="-3"/>
          <w:sz w:val="26"/>
          <w:vertAlign w:val="subscript"/>
        </w:rPr>
        <w:t>2</w:t>
      </w:r>
      <w:r>
        <w:rPr>
          <w:spacing w:val="-3"/>
        </w:rPr>
        <w:t xml:space="preserve">O systems. They noted that detachment </w:t>
      </w:r>
      <w:r>
        <w:rPr>
          <w:spacing w:val="-3"/>
        </w:rPr>
        <w:lastRenderedPageBreak/>
        <w:t>of dendrite arms rarely occurs during steady state growth and often is promoted by deceleration. They noted that the fraction of detached arms increased as a function of time and rate of deceleration. Since there was no evidence of thermal recalescence as a deceleration mechanism in their experimental setup, they concluded that solutal effects arising from the slow adjustment of the spacings of the primary dendrites was the main cause for detachment. They contended that increased interdendritic solute concentration cause necking where secondary arms attach to the primary stems. The rates of detachment at these locations were found to be related to solute diffusion.</w:t>
      </w:r>
    </w:p>
    <w:p w14:paraId="72E5AA90" w14:textId="77777777" w:rsidR="00015B17" w:rsidRDefault="00015B17" w:rsidP="00015B17">
      <w:pPr>
        <w:tabs>
          <w:tab w:val="left" w:pos="-720"/>
        </w:tabs>
        <w:suppressAutoHyphens/>
        <w:spacing w:line="360" w:lineRule="auto"/>
        <w:rPr>
          <w:spacing w:val="-3"/>
        </w:rPr>
      </w:pPr>
    </w:p>
    <w:p w14:paraId="6FCD4D5F" w14:textId="77777777" w:rsidR="00015B17" w:rsidRDefault="00015B17" w:rsidP="00015B17">
      <w:pPr>
        <w:tabs>
          <w:tab w:val="left" w:pos="-1432"/>
          <w:tab w:val="left" w:pos="-761"/>
          <w:tab w:val="left" w:pos="850"/>
          <w:tab w:val="left" w:pos="3600"/>
        </w:tabs>
        <w:suppressAutoHyphens/>
        <w:spacing w:line="360" w:lineRule="auto"/>
        <w:rPr>
          <w:spacing w:val="-3"/>
        </w:rPr>
      </w:pPr>
      <w:r>
        <w:rPr>
          <w:spacing w:val="-3"/>
        </w:rPr>
        <w:tab/>
        <w:t>In 2003, Esaka et al. studied the formation of equiaxed grains due to forced convection by conducting in-situ observation using a transparent organic substance. They noticed emission of spherical particles from the columnar zone while studying the transport behavior using a fiber scope installed in the experimental setup. These particles were identified as secondary dendrite arms that were detached by the fluctuating thermal and/or solutal field or by the process mechanical stirring used. The multiplication rate of equiaxed grains was found to increase with an increase in flow velocity.</w:t>
      </w:r>
    </w:p>
    <w:p w14:paraId="321E277B" w14:textId="77777777" w:rsidR="00015B17" w:rsidRDefault="00015B17" w:rsidP="00015B17">
      <w:pPr>
        <w:tabs>
          <w:tab w:val="left" w:pos="-720"/>
        </w:tabs>
        <w:suppressAutoHyphens/>
        <w:spacing w:line="360" w:lineRule="auto"/>
        <w:rPr>
          <w:spacing w:val="-3"/>
        </w:rPr>
      </w:pPr>
    </w:p>
    <w:p w14:paraId="49DD57CD" w14:textId="77777777" w:rsidR="00015B17" w:rsidRDefault="00015B17" w:rsidP="00015B17">
      <w:pPr>
        <w:tabs>
          <w:tab w:val="left" w:pos="-720"/>
        </w:tabs>
        <w:suppressAutoHyphens/>
        <w:spacing w:line="360" w:lineRule="auto"/>
        <w:rPr>
          <w:spacing w:val="-3"/>
        </w:rPr>
      </w:pPr>
      <w:r>
        <w:rPr>
          <w:spacing w:val="-3"/>
        </w:rPr>
        <w:tab/>
        <w:t xml:space="preserve"> Rivulcaba et al. [2007] using the synchrotron observation of fragmentation in Al-Cu observed a localized deceleration of single dendrites and the subsequent solute enrichment locally near the site of fragmentation. Such small fluctuations are likely due to convection and are much more subtle </w:t>
      </w:r>
      <w:r w:rsidR="00C36CAA">
        <w:rPr>
          <w:spacing w:val="-3"/>
        </w:rPr>
        <w:t xml:space="preserve">than </w:t>
      </w:r>
      <w:r>
        <w:rPr>
          <w:spacing w:val="-3"/>
        </w:rPr>
        <w:t>those that occur in the solute rich plumes shown in Fig. 9.4.</w:t>
      </w:r>
    </w:p>
    <w:p w14:paraId="4B7E1D34" w14:textId="77777777" w:rsidR="00015B17" w:rsidRDefault="00015B17" w:rsidP="00015B17">
      <w:pPr>
        <w:tabs>
          <w:tab w:val="left" w:pos="-720"/>
        </w:tabs>
        <w:suppressAutoHyphens/>
        <w:spacing w:line="360" w:lineRule="auto"/>
        <w:rPr>
          <w:spacing w:val="-3"/>
        </w:rPr>
      </w:pPr>
      <w:r>
        <w:rPr>
          <w:spacing w:val="-3"/>
        </w:rPr>
        <w:t xml:space="preserve"> </w:t>
      </w:r>
    </w:p>
    <w:p w14:paraId="4033238A" w14:textId="21ACAD82" w:rsidR="00015B17" w:rsidRDefault="00015B17" w:rsidP="00015B17">
      <w:pPr>
        <w:tabs>
          <w:tab w:val="left" w:pos="-1432"/>
          <w:tab w:val="left" w:pos="-761"/>
          <w:tab w:val="left" w:pos="850"/>
          <w:tab w:val="left" w:pos="3600"/>
        </w:tabs>
        <w:suppressAutoHyphens/>
        <w:spacing w:line="360" w:lineRule="auto"/>
        <w:rPr>
          <w:spacing w:val="-3"/>
        </w:rPr>
      </w:pPr>
      <w:r>
        <w:rPr>
          <w:spacing w:val="-3"/>
        </w:rPr>
        <w:tab/>
        <w:t>An extreme case of deceleration is found during recalescence</w:t>
      </w:r>
      <w:r w:rsidRPr="0009767C">
        <w:rPr>
          <w:spacing w:val="-3"/>
        </w:rPr>
        <w:t xml:space="preserve"> </w:t>
      </w:r>
      <w:r>
        <w:rPr>
          <w:spacing w:val="-3"/>
        </w:rPr>
        <w:t>from deeply bulk undercooled melts.</w:t>
      </w:r>
      <w:r w:rsidRPr="00150F06">
        <w:rPr>
          <w:spacing w:val="-3"/>
        </w:rPr>
        <w:t xml:space="preserve"> </w:t>
      </w:r>
      <w:r>
        <w:rPr>
          <w:spacing w:val="-3"/>
        </w:rPr>
        <w:t>Recalescence is reheating due to rapid heat of fusion release after fast solidification</w:t>
      </w:r>
      <w:r w:rsidR="007A62EA">
        <w:rPr>
          <w:spacing w:val="-3"/>
        </w:rPr>
        <w:t xml:space="preserve"> that </w:t>
      </w:r>
      <w:r w:rsidR="0041576B">
        <w:rPr>
          <w:spacing w:val="-3"/>
        </w:rPr>
        <w:t>cannot</w:t>
      </w:r>
      <w:r w:rsidR="007A62EA">
        <w:rPr>
          <w:spacing w:val="-3"/>
        </w:rPr>
        <w:t xml:space="preserve"> be suppressed by the rate of external heat extraction</w:t>
      </w:r>
      <w:r>
        <w:rPr>
          <w:spacing w:val="-3"/>
        </w:rPr>
        <w:t xml:space="preserve">. Small grain sizes were observed experimentally only at intermediate initial (bath) undercooling (between 80 K and 175 K for Ni-Cu). Schwartz et al, [1994] proposed a model for dendritic breakup to provide the growth centers for the observed fine grains at the intermediate initial undercooling.  Their idea is based on a simple model that treats the dendrite stalk as a cylinder undergoing a breakup into spheroidal particles at a temperature near the liquidus. The breakup is </w:t>
      </w:r>
      <w:r w:rsidR="007A62EA">
        <w:rPr>
          <w:spacing w:val="-3"/>
        </w:rPr>
        <w:t>driven by</w:t>
      </w:r>
      <w:r>
        <w:rPr>
          <w:spacing w:val="-3"/>
        </w:rPr>
        <w:t xml:space="preserve"> the </w:t>
      </w:r>
      <w:r w:rsidR="007A62EA">
        <w:rPr>
          <w:spacing w:val="-3"/>
        </w:rPr>
        <w:t xml:space="preserve">possibility to </w:t>
      </w:r>
      <w:r>
        <w:rPr>
          <w:spacing w:val="-3"/>
        </w:rPr>
        <w:t>reduc</w:t>
      </w:r>
      <w:r w:rsidR="007A62EA">
        <w:rPr>
          <w:spacing w:val="-3"/>
        </w:rPr>
        <w:t>e</w:t>
      </w:r>
      <w:r>
        <w:rPr>
          <w:spacing w:val="-3"/>
        </w:rPr>
        <w:t xml:space="preserve"> interface </w:t>
      </w:r>
      <w:r w:rsidR="007A62EA">
        <w:rPr>
          <w:spacing w:val="-3"/>
        </w:rPr>
        <w:t>area</w:t>
      </w:r>
      <w:r>
        <w:rPr>
          <w:spacing w:val="-3"/>
        </w:rPr>
        <w:t xml:space="preserve"> and the rate is governed by </w:t>
      </w:r>
      <w:r>
        <w:rPr>
          <w:spacing w:val="-3"/>
        </w:rPr>
        <w:lastRenderedPageBreak/>
        <w:t xml:space="preserve">diffusion kinetics.  They propose that if the estimated time for breakup is shorter than the quasi-isothermal time period after the reheating and during subsequent freezing, fragmentation is predicted to occur.  The quasi-isothermal time period was measured by </w:t>
      </w:r>
      <w:r w:rsidR="00FC30A1">
        <w:rPr>
          <w:spacing w:val="-3"/>
        </w:rPr>
        <w:t>pyrometry</w:t>
      </w:r>
      <w:r>
        <w:rPr>
          <w:spacing w:val="-3"/>
        </w:rPr>
        <w:t xml:space="preserve"> on levitation melted and freezing samples. Because these measured time</w:t>
      </w:r>
      <w:r w:rsidR="00C36CAA">
        <w:rPr>
          <w:spacing w:val="-3"/>
        </w:rPr>
        <w:t>s</w:t>
      </w:r>
      <w:r>
        <w:rPr>
          <w:spacing w:val="-3"/>
        </w:rPr>
        <w:t xml:space="preserve"> scale inversely with the cooling rate of the melt prior to nucleation (a measure as the external cooling conditions), a predictive model was obtained that agreed with the grain size transitions observed.</w:t>
      </w:r>
    </w:p>
    <w:p w14:paraId="04E74233" w14:textId="77777777" w:rsidR="00015B17" w:rsidRDefault="00015B17" w:rsidP="00015B17">
      <w:pPr>
        <w:tabs>
          <w:tab w:val="left" w:pos="-1432"/>
          <w:tab w:val="left" w:pos="-761"/>
          <w:tab w:val="left" w:pos="850"/>
          <w:tab w:val="left" w:pos="3600"/>
        </w:tabs>
        <w:suppressAutoHyphens/>
        <w:spacing w:line="360" w:lineRule="auto"/>
        <w:rPr>
          <w:spacing w:val="-3"/>
        </w:rPr>
      </w:pPr>
    </w:p>
    <w:p w14:paraId="36E34292" w14:textId="77777777" w:rsidR="00015B17" w:rsidRDefault="00015B17" w:rsidP="00015B17">
      <w:pPr>
        <w:tabs>
          <w:tab w:val="left" w:pos="-720"/>
        </w:tabs>
        <w:suppressAutoHyphens/>
        <w:spacing w:line="360" w:lineRule="auto"/>
        <w:rPr>
          <w:spacing w:val="-3"/>
        </w:rPr>
      </w:pPr>
      <w:r>
        <w:rPr>
          <w:spacing w:val="-3"/>
        </w:rPr>
        <w:tab/>
        <w:t xml:space="preserve">The accumulating evidence presented above suggests that a dendrite detachment mechanism is the most plausible explanation for the formation of equiaxed zone in </w:t>
      </w:r>
      <w:r w:rsidR="0049546D">
        <w:rPr>
          <w:spacing w:val="-3"/>
        </w:rPr>
        <w:t>castings with no grain refiners.</w:t>
      </w:r>
      <w:r>
        <w:rPr>
          <w:spacing w:val="-3"/>
        </w:rPr>
        <w:t xml:space="preserve"> Quantitative prediction of fragment yield (number per volume per time) as a function of local flow conditions in the mushy zone must await further research.</w:t>
      </w:r>
    </w:p>
    <w:p w14:paraId="477D9CAD" w14:textId="77777777" w:rsidR="00015B17" w:rsidRDefault="00015B17" w:rsidP="00015B17">
      <w:pPr>
        <w:tabs>
          <w:tab w:val="left" w:pos="-1432"/>
          <w:tab w:val="left" w:pos="-761"/>
          <w:tab w:val="left" w:pos="850"/>
          <w:tab w:val="left" w:pos="3600"/>
        </w:tabs>
        <w:suppressAutoHyphens/>
        <w:spacing w:line="360" w:lineRule="auto"/>
        <w:rPr>
          <w:spacing w:val="-3"/>
        </w:rPr>
      </w:pPr>
    </w:p>
    <w:p w14:paraId="38F0772F" w14:textId="77777777" w:rsidR="00015B17" w:rsidRDefault="00015B17" w:rsidP="00015B17">
      <w:pPr>
        <w:tabs>
          <w:tab w:val="left" w:pos="-1432"/>
          <w:tab w:val="left" w:pos="-761"/>
          <w:tab w:val="left" w:pos="850"/>
          <w:tab w:val="left" w:pos="3600"/>
        </w:tabs>
        <w:suppressAutoHyphens/>
        <w:spacing w:line="360" w:lineRule="auto"/>
        <w:rPr>
          <w:b/>
          <w:bCs/>
          <w:spacing w:val="-3"/>
        </w:rPr>
      </w:pPr>
      <w:r>
        <w:rPr>
          <w:b/>
          <w:bCs/>
          <w:spacing w:val="-3"/>
        </w:rPr>
        <w:t>9.2.3 Viability of growth sites for equiaxed solidification</w:t>
      </w:r>
    </w:p>
    <w:p w14:paraId="7C1913D9" w14:textId="77777777" w:rsidR="00015B17" w:rsidRDefault="00015B17" w:rsidP="00015B17">
      <w:pPr>
        <w:tabs>
          <w:tab w:val="left" w:pos="-1432"/>
          <w:tab w:val="left" w:pos="-761"/>
          <w:tab w:val="left" w:pos="850"/>
          <w:tab w:val="left" w:pos="3600"/>
        </w:tabs>
        <w:suppressAutoHyphens/>
        <w:spacing w:line="360" w:lineRule="auto"/>
        <w:rPr>
          <w:b/>
          <w:bCs/>
          <w:spacing w:val="-3"/>
        </w:rPr>
      </w:pPr>
    </w:p>
    <w:p w14:paraId="691B5A80" w14:textId="0EFD8D1F" w:rsidR="00015B17" w:rsidRDefault="00015B17" w:rsidP="00015B17">
      <w:pPr>
        <w:tabs>
          <w:tab w:val="left" w:pos="-1432"/>
          <w:tab w:val="left" w:pos="-761"/>
          <w:tab w:val="left" w:pos="850"/>
          <w:tab w:val="left" w:pos="3600"/>
        </w:tabs>
        <w:suppressAutoHyphens/>
        <w:spacing w:line="360" w:lineRule="auto"/>
        <w:rPr>
          <w:bCs/>
          <w:spacing w:val="-3"/>
        </w:rPr>
      </w:pPr>
      <w:r>
        <w:rPr>
          <w:b/>
          <w:bCs/>
          <w:spacing w:val="-3"/>
        </w:rPr>
        <w:tab/>
      </w:r>
      <w:r w:rsidRPr="0058440B">
        <w:rPr>
          <w:bCs/>
          <w:spacing w:val="-3"/>
        </w:rPr>
        <w:t>Regardless of the source of sites</w:t>
      </w:r>
      <w:r>
        <w:rPr>
          <w:bCs/>
          <w:spacing w:val="-3"/>
        </w:rPr>
        <w:t xml:space="preserve">, the formation of either spurious grains in single crystal blade production or the formation of the equiaxed zone in a casting requires that the sites must survive and be able to grow. </w:t>
      </w:r>
      <w:r w:rsidRPr="0058440B">
        <w:rPr>
          <w:bCs/>
          <w:spacing w:val="-3"/>
        </w:rPr>
        <w:t xml:space="preserve"> </w:t>
      </w:r>
      <w:r>
        <w:rPr>
          <w:bCs/>
          <w:spacing w:val="-3"/>
        </w:rPr>
        <w:t>We first describe the simplest description of survival as presented by a discussion of the columnar to equiaxed transition and then follow with a discussion more specific to dendrite fragments.  The former example treats the growth of a seed with no fluid flow and in the simple situation of a linear temperature gradient</w:t>
      </w:r>
      <w:r w:rsidR="007A62EA">
        <w:rPr>
          <w:bCs/>
          <w:spacing w:val="-3"/>
        </w:rPr>
        <w:t xml:space="preserve"> in the liquid ahead of a columnar front</w:t>
      </w:r>
      <w:r>
        <w:rPr>
          <w:bCs/>
          <w:spacing w:val="-3"/>
        </w:rPr>
        <w:t>.</w:t>
      </w:r>
      <w:r w:rsidR="007A62EA">
        <w:rPr>
          <w:bCs/>
          <w:spacing w:val="-3"/>
        </w:rPr>
        <w:t xml:space="preserve"> In t</w:t>
      </w:r>
      <w:r>
        <w:rPr>
          <w:bCs/>
          <w:spacing w:val="-3"/>
        </w:rPr>
        <w:t>he latter</w:t>
      </w:r>
      <w:r w:rsidR="007A62EA">
        <w:rPr>
          <w:bCs/>
          <w:spacing w:val="-3"/>
        </w:rPr>
        <w:t xml:space="preserve"> example</w:t>
      </w:r>
      <w:r>
        <w:rPr>
          <w:bCs/>
          <w:spacing w:val="-3"/>
        </w:rPr>
        <w:t xml:space="preserve">, the motion and growth/dissolution of seeds in the complex thermal and solute environment of a flowing melt is considered. </w:t>
      </w:r>
    </w:p>
    <w:p w14:paraId="596BC547" w14:textId="77777777" w:rsidR="00015B17" w:rsidRPr="0058440B" w:rsidRDefault="00015B17" w:rsidP="00015B17">
      <w:pPr>
        <w:tabs>
          <w:tab w:val="left" w:pos="-1432"/>
          <w:tab w:val="left" w:pos="-761"/>
          <w:tab w:val="left" w:pos="850"/>
          <w:tab w:val="left" w:pos="3600"/>
        </w:tabs>
        <w:suppressAutoHyphens/>
        <w:spacing w:line="360" w:lineRule="auto"/>
        <w:rPr>
          <w:bCs/>
          <w:spacing w:val="-3"/>
        </w:rPr>
      </w:pPr>
    </w:p>
    <w:p w14:paraId="167C1A66" w14:textId="77777777" w:rsidR="00015B17" w:rsidRDefault="00015B17" w:rsidP="00015B17">
      <w:pPr>
        <w:tabs>
          <w:tab w:val="left" w:pos="-1432"/>
          <w:tab w:val="left" w:pos="-761"/>
          <w:tab w:val="left" w:pos="850"/>
          <w:tab w:val="left" w:pos="3600"/>
        </w:tabs>
        <w:suppressAutoHyphens/>
        <w:spacing w:line="360" w:lineRule="auto"/>
        <w:ind w:left="720"/>
        <w:rPr>
          <w:b/>
          <w:bCs/>
          <w:spacing w:val="-3"/>
        </w:rPr>
      </w:pPr>
      <w:r>
        <w:rPr>
          <w:b/>
          <w:bCs/>
          <w:spacing w:val="-3"/>
        </w:rPr>
        <w:t>9.2.3.1 Columnar to equiaxed transition</w:t>
      </w:r>
    </w:p>
    <w:p w14:paraId="320D7A38" w14:textId="77777777" w:rsidR="00015B17" w:rsidRDefault="00015B17" w:rsidP="00015B17">
      <w:pPr>
        <w:tabs>
          <w:tab w:val="left" w:pos="-720"/>
        </w:tabs>
        <w:suppressAutoHyphens/>
        <w:spacing w:line="360" w:lineRule="auto"/>
        <w:rPr>
          <w:spacing w:val="-3"/>
        </w:rPr>
      </w:pPr>
    </w:p>
    <w:p w14:paraId="4A1694E7" w14:textId="77777777" w:rsidR="00015B17" w:rsidRDefault="00015B17" w:rsidP="00015B17">
      <w:pPr>
        <w:tabs>
          <w:tab w:val="left" w:pos="-720"/>
        </w:tabs>
        <w:suppressAutoHyphens/>
        <w:spacing w:line="360" w:lineRule="auto"/>
        <w:rPr>
          <w:spacing w:val="-3"/>
        </w:rPr>
      </w:pPr>
      <w:r>
        <w:rPr>
          <w:spacing w:val="-3"/>
        </w:rPr>
        <w:t xml:space="preserve">  </w:t>
      </w:r>
      <w:r>
        <w:rPr>
          <w:spacing w:val="-3"/>
        </w:rPr>
        <w:tab/>
      </w:r>
      <w:r w:rsidR="00F02BEB">
        <w:rPr>
          <w:spacing w:val="-3"/>
        </w:rPr>
        <w:t xml:space="preserve">Early research on this topic was performed by Maxwell and Hellawell (1975). </w:t>
      </w:r>
      <w:r>
        <w:rPr>
          <w:spacing w:val="-3"/>
        </w:rPr>
        <w:t>The model of HUNT [1984] and FLOOD and HUNT [1987</w:t>
      </w:r>
      <w:r w:rsidR="004F3C8D">
        <w:rPr>
          <w:spacing w:val="-3"/>
        </w:rPr>
        <w:t>a</w:t>
      </w:r>
      <w:r>
        <w:rPr>
          <w:spacing w:val="-3"/>
        </w:rPr>
        <w:t xml:space="preserve">] use </w:t>
      </w:r>
      <w:r w:rsidR="00F02BEB">
        <w:rPr>
          <w:spacing w:val="-3"/>
        </w:rPr>
        <w:t>more refined</w:t>
      </w:r>
      <w:r>
        <w:rPr>
          <w:spacing w:val="-3"/>
        </w:rPr>
        <w:t xml:space="preserve"> dendritic growth and nucleation models to determine whether the structure will be fully equiaxed or fully columnar. The results depend respectively on whether the </w:t>
      </w:r>
      <w:r w:rsidR="007A62EA">
        <w:rPr>
          <w:spacing w:val="-3"/>
        </w:rPr>
        <w:t xml:space="preserve">liquid </w:t>
      </w:r>
      <w:r>
        <w:rPr>
          <w:spacing w:val="-3"/>
        </w:rPr>
        <w:t>temperature gradient is smaller or larger respectively than a critical value given by</w:t>
      </w:r>
    </w:p>
    <w:p w14:paraId="5F5B4499" w14:textId="77777777" w:rsidR="00015B17" w:rsidRDefault="00015B17" w:rsidP="00015B17">
      <w:pPr>
        <w:tabs>
          <w:tab w:val="left" w:pos="-720"/>
        </w:tabs>
        <w:suppressAutoHyphens/>
        <w:spacing w:line="360" w:lineRule="auto"/>
        <w:rPr>
          <w:spacing w:val="-3"/>
        </w:rPr>
      </w:pPr>
    </w:p>
    <w:p w14:paraId="4B6383E3" w14:textId="77777777" w:rsidR="00015B17" w:rsidRDefault="00015B17" w:rsidP="00015B17">
      <w:pPr>
        <w:tabs>
          <w:tab w:val="left" w:pos="-1432"/>
          <w:tab w:val="left" w:pos="-761"/>
          <w:tab w:val="left" w:pos="850"/>
          <w:tab w:val="left" w:pos="3600"/>
        </w:tabs>
        <w:suppressAutoHyphens/>
        <w:spacing w:line="360" w:lineRule="auto"/>
        <w:jc w:val="center"/>
        <w:rPr>
          <w:spacing w:val="-3"/>
        </w:rPr>
      </w:pPr>
      <w:r w:rsidRPr="00941015">
        <w:rPr>
          <w:position w:val="-38"/>
        </w:rPr>
        <w:object w:dxaOrig="3240" w:dyaOrig="880" w14:anchorId="59893F75">
          <v:shape id="_x0000_i1671" type="#_x0000_t75" style="width:160.85pt;height:43.95pt" o:ole="">
            <v:imagedata r:id="rId1239" o:title=""/>
          </v:shape>
          <o:OLEObject Type="Embed" ProgID="Equation.DSMT4" ShapeID="_x0000_i1671" DrawAspect="Content" ObjectID="_1840627237" r:id="rId1240"/>
        </w:object>
      </w:r>
      <w:r>
        <w:tab/>
      </w:r>
      <w:r w:rsidR="006E6FC2">
        <w:t>,</w:t>
      </w:r>
      <w:r>
        <w:tab/>
      </w:r>
      <w:r>
        <w:tab/>
      </w:r>
      <w:r>
        <w:rPr>
          <w:spacing w:val="-3"/>
        </w:rPr>
        <w:t>(9.1)</w:t>
      </w:r>
    </w:p>
    <w:p w14:paraId="43C7814B" w14:textId="77777777" w:rsidR="00015B17" w:rsidRDefault="00015B17" w:rsidP="00015B17">
      <w:pPr>
        <w:tabs>
          <w:tab w:val="left" w:pos="-1432"/>
          <w:tab w:val="left" w:pos="-761"/>
          <w:tab w:val="left" w:pos="850"/>
          <w:tab w:val="left" w:pos="3600"/>
        </w:tabs>
        <w:suppressAutoHyphens/>
        <w:spacing w:line="360" w:lineRule="auto"/>
        <w:rPr>
          <w:spacing w:val="-3"/>
        </w:rPr>
      </w:pPr>
    </w:p>
    <w:p w14:paraId="57B7EE51" w14:textId="4566D5CB" w:rsidR="00015B17" w:rsidRDefault="00015B17" w:rsidP="00015B17">
      <w:pPr>
        <w:tabs>
          <w:tab w:val="left" w:pos="-1432"/>
          <w:tab w:val="left" w:pos="-761"/>
          <w:tab w:val="left" w:pos="850"/>
          <w:tab w:val="left" w:pos="3600"/>
        </w:tabs>
        <w:suppressAutoHyphens/>
        <w:spacing w:line="360" w:lineRule="auto"/>
        <w:rPr>
          <w:spacing w:val="-3"/>
        </w:rPr>
      </w:pPr>
      <w:r>
        <w:rPr>
          <w:spacing w:val="-3"/>
        </w:rPr>
        <w:t>where</w:t>
      </w:r>
      <w:r>
        <w:rPr>
          <w:i/>
          <w:iCs/>
          <w:spacing w:val="-3"/>
        </w:rPr>
        <w:t xml:space="preserve"> N</w:t>
      </w:r>
      <w:r w:rsidR="00911EC5">
        <w:rPr>
          <w:spacing w:val="-3"/>
          <w:sz w:val="26"/>
          <w:vertAlign w:val="subscript"/>
        </w:rPr>
        <w:t>0</w:t>
      </w:r>
      <w:r>
        <w:rPr>
          <w:spacing w:val="-3"/>
        </w:rPr>
        <w:t xml:space="preserve"> = density of nucleating sites, </w:t>
      </w:r>
      <w:r>
        <w:rPr>
          <w:i/>
          <w:iCs/>
          <w:spacing w:val="-3"/>
        </w:rPr>
        <w:t>ΔT</w:t>
      </w:r>
      <w:r w:rsidRPr="00911EC5">
        <w:rPr>
          <w:spacing w:val="-3"/>
          <w:sz w:val="26"/>
          <w:vertAlign w:val="subscript"/>
        </w:rPr>
        <w:t>n</w:t>
      </w:r>
      <w:r>
        <w:rPr>
          <w:spacing w:val="-3"/>
        </w:rPr>
        <w:t xml:space="preserve"> = supercooling required for heterogeneous nucleation and </w:t>
      </w:r>
      <w:r>
        <w:rPr>
          <w:i/>
          <w:iCs/>
          <w:spacing w:val="-3"/>
        </w:rPr>
        <w:t>ΔT</w:t>
      </w:r>
      <w:r w:rsidRPr="00911EC5">
        <w:rPr>
          <w:spacing w:val="-3"/>
          <w:sz w:val="26"/>
          <w:vertAlign w:val="subscript"/>
        </w:rPr>
        <w:t>c</w:t>
      </w:r>
      <w:r>
        <w:rPr>
          <w:spacing w:val="-3"/>
        </w:rPr>
        <w:t xml:space="preserve"> = supercooling of the dendrite tips </w:t>
      </w:r>
      <w:r w:rsidR="007A62EA">
        <w:rPr>
          <w:spacing w:val="-3"/>
        </w:rPr>
        <w:t xml:space="preserve">below the liquidus temperature of </w:t>
      </w:r>
      <w:r>
        <w:rPr>
          <w:spacing w:val="-3"/>
        </w:rPr>
        <w:t xml:space="preserve">the columnar </w:t>
      </w:r>
      <w:r w:rsidR="007A62EA">
        <w:rPr>
          <w:spacing w:val="-3"/>
        </w:rPr>
        <w:t>front</w:t>
      </w:r>
      <w:r>
        <w:rPr>
          <w:spacing w:val="-3"/>
        </w:rPr>
        <w:t>. The experimental results for Al-3</w:t>
      </w:r>
      <w:r w:rsidR="00BD6531">
        <w:rPr>
          <w:spacing w:val="-3"/>
        </w:rPr>
        <w:t xml:space="preserve"> </w:t>
      </w:r>
      <w:r w:rsidR="00BD6531" w:rsidRPr="0055318D">
        <w:rPr>
          <w:spacing w:val="-3"/>
        </w:rPr>
        <w:t>wt</w:t>
      </w:r>
      <w:r w:rsidR="00BD6531">
        <w:rPr>
          <w:spacing w:val="-3"/>
        </w:rPr>
        <w:t xml:space="preserve"> </w:t>
      </w:r>
      <w:r>
        <w:rPr>
          <w:spacing w:val="-3"/>
        </w:rPr>
        <w:t xml:space="preserve">% Cu by ZIV and WEINBERG [1989] are in close agreement with Eqn. 9.1. Factors which promote a columnar to equiaxed transition by this mechanism are: large solute content (increases the value of </w:t>
      </w:r>
      <w:r>
        <w:rPr>
          <w:i/>
          <w:iCs/>
          <w:spacing w:val="-3"/>
        </w:rPr>
        <w:t>ΔT</w:t>
      </w:r>
      <w:r w:rsidRPr="00911EC5">
        <w:rPr>
          <w:spacing w:val="-3"/>
          <w:sz w:val="26"/>
          <w:vertAlign w:val="subscript"/>
        </w:rPr>
        <w:t>c</w:t>
      </w:r>
      <w:r>
        <w:rPr>
          <w:spacing w:val="-3"/>
        </w:rPr>
        <w:t xml:space="preserve"> for fixed growth </w:t>
      </w:r>
      <w:r w:rsidR="007A62EA">
        <w:rPr>
          <w:spacing w:val="-3"/>
        </w:rPr>
        <w:t>speed</w:t>
      </w:r>
      <w:r>
        <w:rPr>
          <w:spacing w:val="-3"/>
        </w:rPr>
        <w:t xml:space="preserve">), low temperature gradient, which increases the size of the </w:t>
      </w:r>
      <w:r w:rsidR="007A62EA">
        <w:rPr>
          <w:spacing w:val="-3"/>
        </w:rPr>
        <w:t xml:space="preserve">constitutionally </w:t>
      </w:r>
      <w:r>
        <w:rPr>
          <w:spacing w:val="-3"/>
        </w:rPr>
        <w:t xml:space="preserve">supercooled region in front of the dendritic tips, a small value for </w:t>
      </w:r>
      <w:r>
        <w:rPr>
          <w:i/>
          <w:iCs/>
          <w:spacing w:val="-3"/>
        </w:rPr>
        <w:t>ΔT</w:t>
      </w:r>
      <w:r w:rsidRPr="00911EC5">
        <w:rPr>
          <w:spacing w:val="-3"/>
          <w:sz w:val="26"/>
          <w:vertAlign w:val="subscript"/>
        </w:rPr>
        <w:t>n</w:t>
      </w:r>
      <w:r>
        <w:rPr>
          <w:spacing w:val="-3"/>
        </w:rPr>
        <w:t xml:space="preserve"> (potent nucleation sites), and a large number of nuclei.  Hunt's model ignores many complexities of the dendritic growth of equiaxed grains and nucleation was assumed to take place at a single temperature rather than over a range of temperature. It therefore cannot predict the effect of solidification conditions on equiaxed grain size (KERR and VILLAFUERTE [1992]). More detailed models of equiaxed growth employing empirical nucleation laws have been combined with numerical solutions of the heat flow to predict the grain size of fully equiaxed structures (THEVOZ </w:t>
      </w:r>
      <w:r w:rsidRPr="0055318D">
        <w:rPr>
          <w:spacing w:val="-3"/>
        </w:rPr>
        <w:t>et al</w:t>
      </w:r>
      <w:r w:rsidR="0041576B">
        <w:rPr>
          <w:spacing w:val="-3"/>
        </w:rPr>
        <w:t>.</w:t>
      </w:r>
      <w:r>
        <w:rPr>
          <w:spacing w:val="-3"/>
        </w:rPr>
        <w:t xml:space="preserve"> [1989], RAPPAZ [1989], STEFANESCU </w:t>
      </w:r>
      <w:r w:rsidRPr="001B068D">
        <w:rPr>
          <w:spacing w:val="-3"/>
        </w:rPr>
        <w:t>et al.</w:t>
      </w:r>
      <w:r>
        <w:rPr>
          <w:i/>
          <w:iCs/>
          <w:spacing w:val="-3"/>
        </w:rPr>
        <w:t xml:space="preserve"> </w:t>
      </w:r>
      <w:r>
        <w:rPr>
          <w:spacing w:val="-3"/>
        </w:rPr>
        <w:t>[1990]). These more detailed analyses could be used to predict the columnar to equiaxed transition. FLOOD and HUNT [1988] have critically reviewed the models and experiments of several researchers.</w:t>
      </w:r>
    </w:p>
    <w:p w14:paraId="463E6B9F" w14:textId="77777777" w:rsidR="00015B17" w:rsidRDefault="00015B17" w:rsidP="00015B17">
      <w:pPr>
        <w:tabs>
          <w:tab w:val="left" w:pos="-1432"/>
          <w:tab w:val="left" w:pos="-761"/>
          <w:tab w:val="left" w:pos="850"/>
          <w:tab w:val="left" w:pos="3600"/>
        </w:tabs>
        <w:suppressAutoHyphens/>
        <w:spacing w:line="360" w:lineRule="auto"/>
        <w:rPr>
          <w:spacing w:val="-3"/>
        </w:rPr>
      </w:pPr>
    </w:p>
    <w:p w14:paraId="63B39690" w14:textId="77777777" w:rsidR="00015B17" w:rsidRDefault="00015B17" w:rsidP="00015B17">
      <w:pPr>
        <w:tabs>
          <w:tab w:val="left" w:pos="-1432"/>
          <w:tab w:val="left" w:pos="-761"/>
          <w:tab w:val="left" w:pos="850"/>
          <w:tab w:val="left" w:pos="3600"/>
        </w:tabs>
        <w:suppressAutoHyphens/>
        <w:spacing w:line="360" w:lineRule="auto"/>
        <w:rPr>
          <w:spacing w:val="-3"/>
        </w:rPr>
      </w:pPr>
      <w:r>
        <w:rPr>
          <w:spacing w:val="-3"/>
        </w:rPr>
        <w:tab/>
        <w:t>RAPPAZ and GANDIN [1993], employing the cellular automaton method, simulated the columnar to equiaxed transition. Fig. 9.6a corresponds to the simulation of the final grain structure of an Al-5</w:t>
      </w:r>
      <w:r w:rsidR="00BD6531">
        <w:rPr>
          <w:spacing w:val="-3"/>
        </w:rPr>
        <w:t xml:space="preserve"> </w:t>
      </w:r>
      <w:r w:rsidR="00BD6531" w:rsidRPr="0055318D">
        <w:rPr>
          <w:spacing w:val="-3"/>
        </w:rPr>
        <w:t>wt</w:t>
      </w:r>
      <w:r>
        <w:rPr>
          <w:spacing w:val="-3"/>
        </w:rPr>
        <w:t>%</w:t>
      </w:r>
      <w:r w:rsidR="009E7034">
        <w:rPr>
          <w:spacing w:val="-3"/>
        </w:rPr>
        <w:t xml:space="preserve"> </w:t>
      </w:r>
      <w:r>
        <w:rPr>
          <w:spacing w:val="-3"/>
        </w:rPr>
        <w:t>Si casting when cooled at 2.3</w:t>
      </w:r>
      <w:r w:rsidR="00BD6531">
        <w:rPr>
          <w:spacing w:val="-3"/>
        </w:rPr>
        <w:t xml:space="preserve"> </w:t>
      </w:r>
      <w:r>
        <w:rPr>
          <w:spacing w:val="-3"/>
        </w:rPr>
        <w:t>K</w:t>
      </w:r>
      <w:r w:rsidR="00BD6531">
        <w:rPr>
          <w:spacing w:val="-3"/>
        </w:rPr>
        <w:t>s</w:t>
      </w:r>
      <w:r w:rsidR="00BD6531" w:rsidRPr="00883A53">
        <w:rPr>
          <w:spacing w:val="-3"/>
          <w:sz w:val="26"/>
          <w:vertAlign w:val="superscript"/>
        </w:rPr>
        <w:t>-1</w:t>
      </w:r>
      <w:r>
        <w:rPr>
          <w:spacing w:val="-3"/>
        </w:rPr>
        <w:t>. Fig. 9.6b corresponds to an Al-7</w:t>
      </w:r>
      <w:r w:rsidR="00BD6531">
        <w:rPr>
          <w:spacing w:val="-3"/>
        </w:rPr>
        <w:t xml:space="preserve"> </w:t>
      </w:r>
      <w:r w:rsidR="00BD6531" w:rsidRPr="0055318D">
        <w:rPr>
          <w:spacing w:val="-3"/>
        </w:rPr>
        <w:t>wt</w:t>
      </w:r>
      <w:r>
        <w:rPr>
          <w:spacing w:val="-3"/>
        </w:rPr>
        <w:t>%</w:t>
      </w:r>
      <w:r w:rsidR="009E7034">
        <w:rPr>
          <w:spacing w:val="-3"/>
        </w:rPr>
        <w:t xml:space="preserve"> </w:t>
      </w:r>
      <w:r>
        <w:rPr>
          <w:spacing w:val="-3"/>
        </w:rPr>
        <w:t>Si casting cooled at 2.3</w:t>
      </w:r>
      <w:r w:rsidR="00BD6531">
        <w:rPr>
          <w:spacing w:val="-3"/>
        </w:rPr>
        <w:t xml:space="preserve"> </w:t>
      </w:r>
      <w:r>
        <w:rPr>
          <w:spacing w:val="-3"/>
        </w:rPr>
        <w:t>K</w:t>
      </w:r>
      <w:r w:rsidR="00BD6531" w:rsidRPr="00BD6531">
        <w:rPr>
          <w:spacing w:val="-3"/>
        </w:rPr>
        <w:t xml:space="preserve"> </w:t>
      </w:r>
      <w:r w:rsidR="00BD6531">
        <w:rPr>
          <w:spacing w:val="-3"/>
        </w:rPr>
        <w:t>s</w:t>
      </w:r>
      <w:r w:rsidR="00BD6531" w:rsidRPr="00883A53">
        <w:rPr>
          <w:spacing w:val="-3"/>
          <w:sz w:val="26"/>
          <w:vertAlign w:val="superscript"/>
        </w:rPr>
        <w:t>-1</w:t>
      </w:r>
      <w:r>
        <w:rPr>
          <w:spacing w:val="-3"/>
        </w:rPr>
        <w:t xml:space="preserve"> and Fig. 9.6c to an Al-</w:t>
      </w:r>
      <w:r w:rsidRPr="0055318D">
        <w:rPr>
          <w:spacing w:val="-3"/>
        </w:rPr>
        <w:t>7</w:t>
      </w:r>
      <w:r w:rsidR="00BD6531" w:rsidRPr="0055318D">
        <w:rPr>
          <w:spacing w:val="-3"/>
        </w:rPr>
        <w:t>wt</w:t>
      </w:r>
      <w:r w:rsidR="00BD6531">
        <w:rPr>
          <w:spacing w:val="-3"/>
        </w:rPr>
        <w:t xml:space="preserve"> </w:t>
      </w:r>
      <w:r>
        <w:rPr>
          <w:spacing w:val="-3"/>
        </w:rPr>
        <w:t>%Si casting cooled at 7.0</w:t>
      </w:r>
      <w:r w:rsidR="00BD6531">
        <w:rPr>
          <w:spacing w:val="-3"/>
        </w:rPr>
        <w:t xml:space="preserve"> </w:t>
      </w:r>
      <w:r>
        <w:rPr>
          <w:spacing w:val="-3"/>
        </w:rPr>
        <w:t>K</w:t>
      </w:r>
      <w:r w:rsidR="00BD6531" w:rsidRPr="00BD6531">
        <w:rPr>
          <w:spacing w:val="-3"/>
        </w:rPr>
        <w:t xml:space="preserve"> </w:t>
      </w:r>
      <w:r w:rsidR="00BD6531">
        <w:rPr>
          <w:spacing w:val="-3"/>
        </w:rPr>
        <w:t>s</w:t>
      </w:r>
      <w:r w:rsidR="00BD6531" w:rsidRPr="00883A53">
        <w:rPr>
          <w:spacing w:val="-3"/>
          <w:sz w:val="26"/>
          <w:vertAlign w:val="superscript"/>
        </w:rPr>
        <w:t>-1</w:t>
      </w:r>
      <w:r>
        <w:rPr>
          <w:spacing w:val="-3"/>
        </w:rPr>
        <w:t>. Comparisons among the three figures show the effect of the alloy composition and cooling rate upon the grain structure. RAPPAZ and GANDIN [1994] present a very comprehensive review of the modeling of grain structure formation in solidification processes.</w:t>
      </w:r>
    </w:p>
    <w:p w14:paraId="7BA4106A" w14:textId="77777777" w:rsidR="00015B17" w:rsidRDefault="00015B17" w:rsidP="00015B17">
      <w:pPr>
        <w:tabs>
          <w:tab w:val="left" w:pos="-1432"/>
          <w:tab w:val="left" w:pos="-761"/>
          <w:tab w:val="left" w:pos="850"/>
          <w:tab w:val="left" w:pos="3600"/>
        </w:tabs>
        <w:suppressAutoHyphens/>
        <w:spacing w:line="360" w:lineRule="auto"/>
        <w:rPr>
          <w:spacing w:val="-3"/>
        </w:rPr>
      </w:pPr>
    </w:p>
    <w:p w14:paraId="6016A73F" w14:textId="77777777" w:rsidR="00015B17" w:rsidRDefault="00015B17" w:rsidP="00015B17">
      <w:pPr>
        <w:tabs>
          <w:tab w:val="left" w:pos="-1432"/>
          <w:tab w:val="left" w:pos="-761"/>
          <w:tab w:val="left" w:pos="850"/>
          <w:tab w:val="left" w:pos="3600"/>
        </w:tabs>
        <w:suppressAutoHyphens/>
        <w:spacing w:line="360" w:lineRule="auto"/>
        <w:rPr>
          <w:spacing w:val="-3"/>
        </w:rPr>
      </w:pPr>
      <w:r>
        <w:rPr>
          <w:spacing w:val="-3"/>
        </w:rPr>
        <w:tab/>
      </w:r>
      <w:r w:rsidRPr="00A50A71">
        <w:rPr>
          <w:spacing w:val="-3"/>
        </w:rPr>
        <w:t>The above analysis assumed that a physical blocking of the columnar front by equiaxed grains causes the CET. However around every growing equiaxed dendritic grain is a boundary layer of solute. Martorano et al. [2003] propose that solutal interactions between the equiaxed grains and the advancing columnar front are important. The resulting differences in the CET prediction are demonstrated and a revised isotherm velocity vs. temperature gradient map for the CET is presented.</w:t>
      </w:r>
    </w:p>
    <w:p w14:paraId="601AF5B9" w14:textId="77777777" w:rsidR="00015B17" w:rsidRDefault="00015B17" w:rsidP="00015B17">
      <w:pPr>
        <w:tabs>
          <w:tab w:val="left" w:pos="-1432"/>
          <w:tab w:val="left" w:pos="-761"/>
          <w:tab w:val="left" w:pos="850"/>
          <w:tab w:val="left" w:pos="3600"/>
        </w:tabs>
        <w:suppressAutoHyphens/>
        <w:spacing w:line="360" w:lineRule="auto"/>
        <w:rPr>
          <w:spacing w:val="-3"/>
        </w:rPr>
      </w:pPr>
    </w:p>
    <w:p w14:paraId="0551B23F" w14:textId="77777777" w:rsidR="00015B17" w:rsidRDefault="00015B17" w:rsidP="00015B17">
      <w:pPr>
        <w:tabs>
          <w:tab w:val="left" w:pos="-1432"/>
          <w:tab w:val="left" w:pos="-761"/>
          <w:tab w:val="left" w:pos="850"/>
          <w:tab w:val="left" w:pos="3600"/>
        </w:tabs>
        <w:suppressAutoHyphens/>
        <w:spacing w:line="360" w:lineRule="auto"/>
        <w:rPr>
          <w:spacing w:val="-3"/>
        </w:rPr>
      </w:pPr>
      <w:r>
        <w:rPr>
          <w:spacing w:val="-3"/>
        </w:rPr>
        <w:tab/>
        <w:t>Kurz et al. (2001) has proposed an approach based on development of processing maps by combining a model for columnar to equiaxed transition with local solidification conditions computed numerically. They relaxed some of the simplifications in the original Hunt approach. Their dendritic growth model included nonequilibrium effects, which showed marked changes from Hunt’s model in terms of values of processing conditions (</w:t>
      </w:r>
      <w:r w:rsidRPr="003E0F31">
        <w:rPr>
          <w:i/>
          <w:spacing w:val="-3"/>
        </w:rPr>
        <w:t>G</w:t>
      </w:r>
      <w:r>
        <w:rPr>
          <w:spacing w:val="-3"/>
        </w:rPr>
        <w:t xml:space="preserve"> and </w:t>
      </w:r>
      <w:r w:rsidRPr="003E0F31">
        <w:rPr>
          <w:i/>
          <w:spacing w:val="-3"/>
        </w:rPr>
        <w:t>V</w:t>
      </w:r>
      <w:r>
        <w:rPr>
          <w:spacing w:val="-3"/>
        </w:rPr>
        <w:t xml:space="preserve">) where the CET will occur. They demonstrated the utility of development of processing maps in prediction of CET for welding and laser treatment of castings. Such maps could help in avoiding or promoting CET based on specific requirements. Such a microstructure selection map is shown in </w:t>
      </w:r>
      <w:r w:rsidRPr="009A67C7">
        <w:rPr>
          <w:spacing w:val="-3"/>
        </w:rPr>
        <w:t>Fig. 9.</w:t>
      </w:r>
      <w:r>
        <w:rPr>
          <w:spacing w:val="-3"/>
        </w:rPr>
        <w:t>7</w:t>
      </w:r>
      <w:r w:rsidRPr="009A67C7">
        <w:rPr>
          <w:spacing w:val="-3"/>
        </w:rPr>
        <w:t xml:space="preserve"> </w:t>
      </w:r>
      <w:r w:rsidRPr="004C6960">
        <w:rPr>
          <w:spacing w:val="-3"/>
        </w:rPr>
        <w:t xml:space="preserve">for </w:t>
      </w:r>
      <w:r>
        <w:rPr>
          <w:spacing w:val="-3"/>
        </w:rPr>
        <w:t>laser repair of single crystal turbine blades of CMSX-4 alloy. The first transition in the figure at low velocities is for planar to cellular/dendritic breakdown, while the next transition is for CET.</w:t>
      </w:r>
    </w:p>
    <w:p w14:paraId="2A2FCDEA" w14:textId="77777777" w:rsidR="00015B17" w:rsidRDefault="00015B17" w:rsidP="00015B17">
      <w:pPr>
        <w:tabs>
          <w:tab w:val="left" w:pos="-1432"/>
          <w:tab w:val="left" w:pos="-761"/>
          <w:tab w:val="left" w:pos="850"/>
          <w:tab w:val="left" w:pos="3600"/>
        </w:tabs>
        <w:suppressAutoHyphens/>
        <w:spacing w:line="360" w:lineRule="auto"/>
        <w:rPr>
          <w:spacing w:val="-3"/>
        </w:rPr>
      </w:pPr>
    </w:p>
    <w:p w14:paraId="06FB583D" w14:textId="77777777" w:rsidR="00015B17" w:rsidRPr="00D042A3" w:rsidRDefault="00015B17" w:rsidP="00015B17">
      <w:pPr>
        <w:tabs>
          <w:tab w:val="left" w:pos="-1432"/>
          <w:tab w:val="left" w:pos="-761"/>
          <w:tab w:val="left" w:pos="850"/>
          <w:tab w:val="left" w:pos="3600"/>
        </w:tabs>
        <w:suppressAutoHyphens/>
        <w:spacing w:line="360" w:lineRule="auto"/>
        <w:rPr>
          <w:spacing w:val="-3"/>
        </w:rPr>
      </w:pPr>
      <w:r>
        <w:rPr>
          <w:b/>
          <w:bCs/>
          <w:spacing w:val="-3"/>
        </w:rPr>
        <w:t>9.2.3.2 Details of fragment survival</w:t>
      </w:r>
    </w:p>
    <w:p w14:paraId="7374C18C" w14:textId="77777777" w:rsidR="00015B17" w:rsidRDefault="00015B17" w:rsidP="00015B17">
      <w:pPr>
        <w:tabs>
          <w:tab w:val="left" w:pos="-1432"/>
          <w:tab w:val="left" w:pos="-761"/>
          <w:tab w:val="left" w:pos="850"/>
          <w:tab w:val="left" w:pos="3600"/>
        </w:tabs>
        <w:suppressAutoHyphens/>
        <w:spacing w:line="360" w:lineRule="auto"/>
        <w:ind w:left="720"/>
        <w:rPr>
          <w:b/>
          <w:bCs/>
          <w:spacing w:val="-3"/>
        </w:rPr>
      </w:pPr>
    </w:p>
    <w:p w14:paraId="61320A33" w14:textId="2B0454C1" w:rsidR="00015B17" w:rsidRDefault="00015B17" w:rsidP="00015B17">
      <w:pPr>
        <w:tabs>
          <w:tab w:val="left" w:pos="-720"/>
        </w:tabs>
        <w:suppressAutoHyphens/>
        <w:spacing w:line="360" w:lineRule="auto"/>
        <w:rPr>
          <w:spacing w:val="-3"/>
        </w:rPr>
      </w:pPr>
      <w:r>
        <w:rPr>
          <w:spacing w:val="-3"/>
        </w:rPr>
        <w:tab/>
        <w:t xml:space="preserve"> The question of whether a fragment or for that matter any potential growth site survives might begin by applying the analysis of the growth of a spherical solid particle or a free dendrite into an undercooled melt (the latter presented in § 7). The difficulty however is that the freely growing dendrite model assumes a surrounding that is quiescent and has uniform temperature and composition far from the growing crystal. In reality</w:t>
      </w:r>
      <w:r w:rsidR="0049546D">
        <w:rPr>
          <w:spacing w:val="-3"/>
        </w:rPr>
        <w:t>,</w:t>
      </w:r>
      <w:r>
        <w:rPr>
          <w:spacing w:val="-3"/>
        </w:rPr>
        <w:t xml:space="preserve"> a potential growth site finds itself in a moving fluid with nonuniform temperature and composition. To answer the survival question, many approximations and complicated analyses are necessary.</w:t>
      </w:r>
    </w:p>
    <w:p w14:paraId="57BE278F" w14:textId="77777777" w:rsidR="00015B17" w:rsidRDefault="00015B17" w:rsidP="00015B17">
      <w:pPr>
        <w:tabs>
          <w:tab w:val="left" w:pos="-720"/>
        </w:tabs>
        <w:suppressAutoHyphens/>
        <w:spacing w:line="360" w:lineRule="auto"/>
        <w:rPr>
          <w:spacing w:val="-3"/>
        </w:rPr>
      </w:pPr>
    </w:p>
    <w:p w14:paraId="35007B68" w14:textId="77777777" w:rsidR="00015B17" w:rsidRDefault="00015B17" w:rsidP="00015B17">
      <w:pPr>
        <w:tabs>
          <w:tab w:val="left" w:pos="-720"/>
        </w:tabs>
        <w:suppressAutoHyphens/>
        <w:spacing w:line="360" w:lineRule="auto"/>
        <w:rPr>
          <w:spacing w:val="-3"/>
        </w:rPr>
      </w:pPr>
      <w:r>
        <w:rPr>
          <w:spacing w:val="-3"/>
        </w:rPr>
        <w:lastRenderedPageBreak/>
        <w:t xml:space="preserve"> </w:t>
      </w:r>
      <w:r>
        <w:rPr>
          <w:spacing w:val="-3"/>
        </w:rPr>
        <w:tab/>
        <w:t>Hellawell et al. (1997) experimentally studied the dendrite fragmentation mechanism and the influence of fluid flow in the transport of grain fragments. The observed dendrite fragments had sizes between 10</w:t>
      </w:r>
      <w:r w:rsidRPr="00AD7B26">
        <w:rPr>
          <w:spacing w:val="-3"/>
          <w:position w:val="-10"/>
        </w:rPr>
        <w:object w:dxaOrig="400" w:dyaOrig="260" w14:anchorId="01545D06">
          <v:shape id="_x0000_i1672" type="#_x0000_t75" style="width:19.65pt;height:13.1pt" o:ole="">
            <v:imagedata r:id="rId1241" o:title=""/>
          </v:shape>
          <o:OLEObject Type="Embed" ProgID="Equation.DSMT4" ShapeID="_x0000_i1672" DrawAspect="Content" ObjectID="_1840627238" r:id="rId1242"/>
        </w:object>
      </w:r>
      <w:r>
        <w:rPr>
          <w:spacing w:val="-3"/>
        </w:rPr>
        <w:t xml:space="preserve"> and 50</w:t>
      </w:r>
      <w:r w:rsidRPr="00AD7B26">
        <w:rPr>
          <w:spacing w:val="-3"/>
          <w:position w:val="-10"/>
        </w:rPr>
        <w:object w:dxaOrig="400" w:dyaOrig="260" w14:anchorId="1C8169C7">
          <v:shape id="_x0000_i1673" type="#_x0000_t75" style="width:19.65pt;height:13.1pt" o:ole="">
            <v:imagedata r:id="rId1243" o:title=""/>
          </v:shape>
          <o:OLEObject Type="Embed" ProgID="Equation.DSMT4" ShapeID="_x0000_i1673" DrawAspect="Content" ObjectID="_1840627239" r:id="rId1244"/>
        </w:object>
      </w:r>
      <w:r>
        <w:rPr>
          <w:spacing w:val="-3"/>
        </w:rPr>
        <w:t xml:space="preserve">. At temperatures equal to or above the liquidus temperature, dissolution </w:t>
      </w:r>
      <w:r w:rsidR="0057080F">
        <w:rPr>
          <w:spacing w:val="-3"/>
        </w:rPr>
        <w:t xml:space="preserve">of particles </w:t>
      </w:r>
      <w:r>
        <w:rPr>
          <w:spacing w:val="-3"/>
        </w:rPr>
        <w:t>occurs rapidly due to solute diffusion in liquid. They estimated that the survival time of these fragments to be less than 1 second once the liquidus temperature is reached. They proposed a possible approach to quantify the particle density by subtracting the rate of dissolution of particles or “death rate” from the supply of particles (fragmentation) or “birth rate”.</w:t>
      </w:r>
    </w:p>
    <w:p w14:paraId="6E8B122E" w14:textId="77777777" w:rsidR="00015B17" w:rsidRDefault="00015B17" w:rsidP="00015B17">
      <w:pPr>
        <w:tabs>
          <w:tab w:val="left" w:pos="-720"/>
        </w:tabs>
        <w:suppressAutoHyphens/>
        <w:spacing w:line="360" w:lineRule="auto"/>
        <w:rPr>
          <w:spacing w:val="-3"/>
        </w:rPr>
      </w:pPr>
    </w:p>
    <w:p w14:paraId="684560E6" w14:textId="603435DF" w:rsidR="00015B17" w:rsidRDefault="00015B17" w:rsidP="00015B17">
      <w:pPr>
        <w:tabs>
          <w:tab w:val="left" w:pos="-720"/>
        </w:tabs>
        <w:suppressAutoHyphens/>
        <w:spacing w:line="360" w:lineRule="auto"/>
        <w:rPr>
          <w:spacing w:val="-3"/>
        </w:rPr>
      </w:pPr>
      <w:r>
        <w:rPr>
          <w:spacing w:val="-3"/>
        </w:rPr>
        <w:tab/>
        <w:t xml:space="preserve">Computation of fragment survival is a difficult problem. Because the density of the solid is normally higher than the liquid, they tend to sink once the upward convecting currents decrease. How well they are carried by the local flow depends on their size through their drag coefficients. Melting and or freezing </w:t>
      </w:r>
      <w:r w:rsidR="009E7034">
        <w:rPr>
          <w:spacing w:val="-3"/>
        </w:rPr>
        <w:t>occur</w:t>
      </w:r>
      <w:r>
        <w:rPr>
          <w:spacing w:val="-3"/>
        </w:rPr>
        <w:t xml:space="preserve"> depending on the local temperature and liquid concentration. Gu et al. (1997) performed heroic calculations of how fragments might survive under some conditions during vertical solidification as they flow up into the bulk liquid above the columnar zone and as they fall back down to the columnar growth front and form a growth center for an equiaxed grain (or to stray grains in the case of single crystal growth of superalloy blades).  </w:t>
      </w:r>
    </w:p>
    <w:p w14:paraId="48A350DD" w14:textId="77777777" w:rsidR="00015B17" w:rsidRDefault="00015B17" w:rsidP="00015B17">
      <w:pPr>
        <w:tabs>
          <w:tab w:val="left" w:pos="-720"/>
        </w:tabs>
        <w:suppressAutoHyphens/>
        <w:spacing w:line="360" w:lineRule="auto"/>
        <w:rPr>
          <w:spacing w:val="-3"/>
        </w:rPr>
      </w:pPr>
    </w:p>
    <w:p w14:paraId="3C620B0C" w14:textId="77777777" w:rsidR="00015B17" w:rsidRDefault="00015B17" w:rsidP="00015B17">
      <w:pPr>
        <w:tabs>
          <w:tab w:val="left" w:pos="-1432"/>
          <w:tab w:val="left" w:pos="-761"/>
          <w:tab w:val="left" w:pos="793"/>
          <w:tab w:val="left" w:pos="3600"/>
        </w:tabs>
        <w:suppressAutoHyphens/>
        <w:spacing w:line="360" w:lineRule="auto"/>
        <w:rPr>
          <w:spacing w:val="-3"/>
        </w:rPr>
      </w:pPr>
      <w:r>
        <w:rPr>
          <w:b/>
          <w:bCs/>
          <w:spacing w:val="-3"/>
        </w:rPr>
        <w:t>9.3. Macrosegregation</w:t>
      </w:r>
    </w:p>
    <w:p w14:paraId="184EA042" w14:textId="77777777" w:rsidR="00015B17" w:rsidRDefault="00015B17" w:rsidP="00015B17">
      <w:pPr>
        <w:tabs>
          <w:tab w:val="left" w:pos="-1440"/>
          <w:tab w:val="left" w:pos="-1021"/>
          <w:tab w:val="left" w:pos="2160"/>
          <w:tab w:val="left" w:pos="10488"/>
          <w:tab w:val="left" w:pos="10800"/>
          <w:tab w:val="left" w:pos="11339"/>
          <w:tab w:val="left" w:pos="11678"/>
          <w:tab w:val="left" w:pos="11905"/>
          <w:tab w:val="left" w:pos="12240"/>
        </w:tabs>
        <w:suppressAutoHyphens/>
        <w:spacing w:line="360" w:lineRule="auto"/>
        <w:rPr>
          <w:spacing w:val="-3"/>
        </w:rPr>
      </w:pPr>
      <w:r>
        <w:rPr>
          <w:spacing w:val="-3"/>
        </w:rPr>
        <w:t xml:space="preserve">    </w:t>
      </w:r>
    </w:p>
    <w:p w14:paraId="1B66AFBD" w14:textId="77777777" w:rsidR="00015B17" w:rsidRDefault="00015B17" w:rsidP="00015B17">
      <w:pPr>
        <w:tabs>
          <w:tab w:val="left" w:pos="-1432"/>
          <w:tab w:val="left" w:pos="-1021"/>
          <w:tab w:val="left" w:pos="2160"/>
          <w:tab w:val="left" w:pos="10488"/>
          <w:tab w:val="left" w:pos="10800"/>
          <w:tab w:val="left" w:pos="11339"/>
          <w:tab w:val="left" w:pos="11678"/>
          <w:tab w:val="left" w:pos="11905"/>
          <w:tab w:val="left" w:pos="12240"/>
        </w:tabs>
        <w:suppressAutoHyphens/>
        <w:spacing w:line="360" w:lineRule="auto"/>
        <w:rPr>
          <w:spacing w:val="-3"/>
        </w:rPr>
      </w:pPr>
      <w:r>
        <w:rPr>
          <w:spacing w:val="-3"/>
        </w:rPr>
        <w:t xml:space="preserve">              Macrosegregation is defined as variations in composition that exist over large dimensions, typically from millimeters to the size of an entire ingot or casting. Macrosegregation can be a significant problem for large castings. Macrosegregation typically results from relative movement of fluid and solid during the solidification process. We have already considered forms of macrosegregation in the initial and final transients during planar growth of a rod sample (§ 6.2) and during zone refining. However in order to define or measure macrosegregation for dendritically solidified samples, it is necessary to determine an average composition over a volume element that contains several dendrite arms. As we will see, changes in the dendritic microsegregation profile in such a volume element due to flow of solute-rich liquid in or out of the volume element during </w:t>
      </w:r>
      <w:r>
        <w:rPr>
          <w:spacing w:val="-3"/>
        </w:rPr>
        <w:lastRenderedPageBreak/>
        <w:t xml:space="preserve">solidification will change the average composition of the volume element away from the nominal composition of the alloy. </w:t>
      </w:r>
    </w:p>
    <w:p w14:paraId="4D709C22" w14:textId="77777777" w:rsidR="00015B17" w:rsidRDefault="00015B17" w:rsidP="00015B17">
      <w:pPr>
        <w:tabs>
          <w:tab w:val="left" w:pos="-1432"/>
          <w:tab w:val="left" w:pos="-1021"/>
          <w:tab w:val="left" w:pos="2160"/>
          <w:tab w:val="left" w:pos="10488"/>
          <w:tab w:val="left" w:pos="10800"/>
          <w:tab w:val="left" w:pos="11339"/>
          <w:tab w:val="left" w:pos="11678"/>
          <w:tab w:val="left" w:pos="11905"/>
          <w:tab w:val="left" w:pos="12240"/>
        </w:tabs>
        <w:suppressAutoHyphens/>
        <w:spacing w:line="360" w:lineRule="auto"/>
        <w:rPr>
          <w:spacing w:val="-3"/>
        </w:rPr>
      </w:pPr>
    </w:p>
    <w:p w14:paraId="7422A036" w14:textId="78D0E6C0" w:rsidR="00015B17" w:rsidRDefault="00015B17" w:rsidP="00015B17">
      <w:pPr>
        <w:pStyle w:val="ListParagraph"/>
        <w:tabs>
          <w:tab w:val="left" w:pos="-1432"/>
          <w:tab w:val="left" w:pos="-1021"/>
          <w:tab w:val="left" w:pos="850"/>
          <w:tab w:val="left" w:pos="10800"/>
          <w:tab w:val="left" w:pos="11339"/>
          <w:tab w:val="left" w:pos="11905"/>
          <w:tab w:val="left" w:pos="12240"/>
        </w:tabs>
        <w:suppressAutoHyphens/>
        <w:spacing w:line="360" w:lineRule="auto"/>
        <w:ind w:left="0"/>
        <w:rPr>
          <w:rFonts w:ascii="Times New Roman" w:hAnsi="Times New Roman"/>
          <w:spacing w:val="-3"/>
          <w:sz w:val="24"/>
          <w:szCs w:val="24"/>
        </w:rPr>
      </w:pPr>
      <w:r>
        <w:rPr>
          <w:rFonts w:ascii="Times New Roman" w:hAnsi="Times New Roman"/>
          <w:spacing w:val="-3"/>
          <w:sz w:val="24"/>
          <w:szCs w:val="24"/>
        </w:rPr>
        <w:tab/>
        <w:t xml:space="preserve">Fig. 9.8 shows a drawing of a large steel ingot showing some of the major types of macrosegregation commonly found. Positive and negative macrosegregation refer to solute content greater or less than the average. A cone of negative segregation forms at the bottom region of the ingot, where equiaxed grains formed early in the solidification process are thought to settle. Heavier inclusions may also settle in this region (Flemings </w:t>
      </w:r>
      <w:r w:rsidR="002D5326">
        <w:rPr>
          <w:rFonts w:ascii="Times New Roman" w:hAnsi="Times New Roman"/>
          <w:spacing w:val="-3"/>
          <w:sz w:val="24"/>
          <w:szCs w:val="24"/>
        </w:rPr>
        <w:t>[</w:t>
      </w:r>
      <w:r>
        <w:rPr>
          <w:rFonts w:ascii="Times New Roman" w:hAnsi="Times New Roman"/>
          <w:spacing w:val="-3"/>
          <w:sz w:val="24"/>
          <w:szCs w:val="24"/>
        </w:rPr>
        <w:t>1974</w:t>
      </w:r>
      <w:r w:rsidR="002D5326">
        <w:rPr>
          <w:rFonts w:ascii="Times New Roman" w:hAnsi="Times New Roman"/>
          <w:spacing w:val="-3"/>
          <w:sz w:val="24"/>
          <w:szCs w:val="24"/>
        </w:rPr>
        <w:t>]</w:t>
      </w:r>
      <w:r>
        <w:rPr>
          <w:rFonts w:ascii="Times New Roman" w:hAnsi="Times New Roman"/>
          <w:spacing w:val="-3"/>
          <w:sz w:val="24"/>
          <w:szCs w:val="24"/>
        </w:rPr>
        <w:t>).</w:t>
      </w:r>
      <w:r w:rsidRPr="00283741">
        <w:rPr>
          <w:rFonts w:ascii="Times New Roman" w:hAnsi="Times New Roman"/>
          <w:color w:val="FF0000"/>
          <w:spacing w:val="-3"/>
          <w:sz w:val="24"/>
          <w:szCs w:val="24"/>
        </w:rPr>
        <w:t xml:space="preserve"> </w:t>
      </w:r>
      <w:r>
        <w:rPr>
          <w:rFonts w:ascii="Times New Roman" w:hAnsi="Times New Roman"/>
          <w:spacing w:val="-3"/>
          <w:sz w:val="24"/>
          <w:szCs w:val="24"/>
        </w:rPr>
        <w:t xml:space="preserve">Positive segregation at the centerline and the hot top segregation result from buoyancy-driven and solidification shrinkage induced flow toward the end of the solidification process. Channel segregates forming a V pattern in the central region often contain fine equiaxed grains with increased levels of microporosity. The A-segregates are formed in the upper and outer regions of the ingot. These segregates are typically solute rich. </w:t>
      </w:r>
    </w:p>
    <w:p w14:paraId="6F692BFA" w14:textId="77777777" w:rsidR="00015B17" w:rsidRDefault="00015B17" w:rsidP="00015B17">
      <w:pPr>
        <w:pStyle w:val="ListParagraph"/>
        <w:tabs>
          <w:tab w:val="left" w:pos="-1432"/>
          <w:tab w:val="left" w:pos="-1021"/>
          <w:tab w:val="left" w:pos="850"/>
          <w:tab w:val="left" w:pos="10800"/>
          <w:tab w:val="left" w:pos="11339"/>
          <w:tab w:val="left" w:pos="11905"/>
          <w:tab w:val="left" w:pos="12240"/>
        </w:tabs>
        <w:suppressAutoHyphens/>
        <w:spacing w:line="360" w:lineRule="auto"/>
        <w:ind w:left="0"/>
        <w:rPr>
          <w:rFonts w:ascii="Times New Roman" w:hAnsi="Times New Roman"/>
          <w:spacing w:val="-3"/>
          <w:sz w:val="24"/>
          <w:szCs w:val="24"/>
        </w:rPr>
      </w:pPr>
    </w:p>
    <w:p w14:paraId="30C91978" w14:textId="78891D6E"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r>
        <w:rPr>
          <w:spacing w:val="-3"/>
        </w:rPr>
        <w:tab/>
        <w:t xml:space="preserve">In describing models that predict macrosegregation we proceed from the simple to the complex. First is an approach appropriate for a columnar structure where the solid in the mushy zone remains attached. Situations </w:t>
      </w:r>
      <w:r w:rsidR="0041576B">
        <w:rPr>
          <w:spacing w:val="-3"/>
        </w:rPr>
        <w:t>where</w:t>
      </w:r>
      <w:r>
        <w:rPr>
          <w:spacing w:val="-3"/>
        </w:rPr>
        <w:t xml:space="preserve"> the solid can move as free-floating equiaxed grains are described second. The former also includes a discussion when the mushy zone is deformed as in continuous casting.</w:t>
      </w:r>
    </w:p>
    <w:p w14:paraId="2DE2EFFB"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p>
    <w:p w14:paraId="761D2C6C" w14:textId="77777777" w:rsidR="00015B17" w:rsidRPr="00101AE5" w:rsidRDefault="00015B17" w:rsidP="00015B17">
      <w:pPr>
        <w:tabs>
          <w:tab w:val="left" w:pos="-1432"/>
          <w:tab w:val="left" w:pos="-1021"/>
          <w:tab w:val="left" w:pos="850"/>
          <w:tab w:val="left" w:pos="10800"/>
          <w:tab w:val="left" w:pos="11339"/>
          <w:tab w:val="left" w:pos="11905"/>
          <w:tab w:val="left" w:pos="12240"/>
        </w:tabs>
        <w:suppressAutoHyphens/>
        <w:spacing w:line="360" w:lineRule="auto"/>
        <w:rPr>
          <w:b/>
          <w:spacing w:val="-3"/>
        </w:rPr>
      </w:pPr>
      <w:r w:rsidRPr="00101AE5">
        <w:rPr>
          <w:b/>
          <w:spacing w:val="-3"/>
        </w:rPr>
        <w:t>9.3.1 Macrosegregation models for columnar structures</w:t>
      </w:r>
    </w:p>
    <w:p w14:paraId="583E2CEF" w14:textId="77777777" w:rsidR="00015B17" w:rsidRDefault="00015B17" w:rsidP="00015B17">
      <w:pPr>
        <w:tabs>
          <w:tab w:val="left" w:pos="-1432"/>
          <w:tab w:val="left" w:pos="-1021"/>
          <w:tab w:val="left" w:pos="10488"/>
          <w:tab w:val="left" w:pos="10800"/>
          <w:tab w:val="left" w:pos="11339"/>
          <w:tab w:val="left" w:pos="11678"/>
          <w:tab w:val="left" w:pos="11905"/>
          <w:tab w:val="left" w:pos="12240"/>
        </w:tabs>
        <w:suppressAutoHyphens/>
        <w:spacing w:line="360" w:lineRule="auto"/>
        <w:rPr>
          <w:spacing w:val="-3"/>
        </w:rPr>
      </w:pPr>
    </w:p>
    <w:p w14:paraId="644EB6D9"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pPr>
      <w:r>
        <w:rPr>
          <w:b/>
          <w:bCs/>
        </w:rPr>
        <w:t xml:space="preserve">9.3.1.1 Modification of the Scheil equation to include flow </w:t>
      </w:r>
    </w:p>
    <w:p w14:paraId="3AC97D7F"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pPr>
    </w:p>
    <w:p w14:paraId="5EE042BB" w14:textId="5CE46402"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r>
        <w:rPr>
          <w:spacing w:val="-3"/>
        </w:rPr>
        <w:tab/>
        <w:t>The first mathematical treatment of macrosegregation was provided by FLEMINGS and NEREO [1967] and MEHRABIAN</w:t>
      </w:r>
      <w:r>
        <w:rPr>
          <w:i/>
          <w:iCs/>
          <w:spacing w:val="-3"/>
        </w:rPr>
        <w:t xml:space="preserve"> et al</w:t>
      </w:r>
      <w:r>
        <w:rPr>
          <w:spacing w:val="-3"/>
        </w:rPr>
        <w:t xml:space="preserve">. [1970] and </w:t>
      </w:r>
      <w:r w:rsidR="009A0EFA">
        <w:rPr>
          <w:spacing w:val="-3"/>
        </w:rPr>
        <w:t>as</w:t>
      </w:r>
      <w:r>
        <w:rPr>
          <w:spacing w:val="-3"/>
        </w:rPr>
        <w:t xml:space="preserve"> summarized by FLEMINGS [1974], [1976]. Using a volume element similar to that chosen in Fig. 7.13</w:t>
      </w:r>
      <w:r w:rsidRPr="006613C5">
        <w:rPr>
          <w:spacing w:val="-3"/>
        </w:rPr>
        <w:t xml:space="preserve"> </w:t>
      </w:r>
      <w:r>
        <w:rPr>
          <w:spacing w:val="-3"/>
        </w:rPr>
        <w:t xml:space="preserve">that was used to describe microsegregation in § 7, a mass balance is performed under the additional possibility that flow of liquid in or out of the volume elements can occur and that the liquid and solid can have different densities. Thus the necessity for flow to feed </w:t>
      </w:r>
      <w:r>
        <w:rPr>
          <w:spacing w:val="-3"/>
        </w:rPr>
        <w:lastRenderedPageBreak/>
        <w:t xml:space="preserve">solidification shrinkage is treated. The result is a modified form of the local solute redistribution, LSRE, (Scheil) equation  </w:t>
      </w:r>
    </w:p>
    <w:p w14:paraId="5C6CF8B7"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p>
    <w:p w14:paraId="5B8E7D30" w14:textId="77777777" w:rsidR="00015B17" w:rsidRDefault="0049546D" w:rsidP="00015B17">
      <w:pPr>
        <w:tabs>
          <w:tab w:val="left" w:pos="-1432"/>
          <w:tab w:val="left" w:pos="-1021"/>
          <w:tab w:val="left" w:pos="850"/>
          <w:tab w:val="left" w:pos="10800"/>
          <w:tab w:val="left" w:pos="11339"/>
          <w:tab w:val="left" w:pos="11905"/>
          <w:tab w:val="left" w:pos="12240"/>
        </w:tabs>
        <w:suppressAutoHyphens/>
        <w:spacing w:line="360" w:lineRule="auto"/>
        <w:jc w:val="center"/>
        <w:rPr>
          <w:spacing w:val="-3"/>
        </w:rPr>
      </w:pPr>
      <w:r w:rsidRPr="0049546D">
        <w:rPr>
          <w:position w:val="-40"/>
        </w:rPr>
        <w:object w:dxaOrig="2720" w:dyaOrig="920" w14:anchorId="2BC3AC6B">
          <v:shape id="_x0000_i1674" type="#_x0000_t75" style="width:135.6pt;height:46.75pt" o:ole="">
            <v:imagedata r:id="rId1245" o:title=""/>
          </v:shape>
          <o:OLEObject Type="Embed" ProgID="Equation.DSMT4" ShapeID="_x0000_i1674" DrawAspect="Content" ObjectID="_1840627240" r:id="rId1246"/>
        </w:object>
      </w:r>
      <w:r w:rsidR="00015B17">
        <w:t xml:space="preserve"> </w:t>
      </w:r>
      <w:r w:rsidR="006E6FC2">
        <w:t xml:space="preserve">,        </w:t>
      </w:r>
      <w:r w:rsidR="00015B17">
        <w:t xml:space="preserve"> </w:t>
      </w:r>
      <w:r w:rsidR="00015B17">
        <w:rPr>
          <w:spacing w:val="-3"/>
        </w:rPr>
        <w:t>(9.2)</w:t>
      </w:r>
    </w:p>
    <w:p w14:paraId="04658C2F"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p>
    <w:p w14:paraId="46BF9036" w14:textId="0F0F6326" w:rsidR="00015B17" w:rsidRDefault="00015B17" w:rsidP="009A0EFA">
      <w:pPr>
        <w:tabs>
          <w:tab w:val="left" w:pos="-1432"/>
          <w:tab w:val="left" w:pos="-1021"/>
          <w:tab w:val="left" w:pos="850"/>
          <w:tab w:val="left" w:pos="10800"/>
          <w:tab w:val="left" w:pos="11339"/>
          <w:tab w:val="left" w:pos="11905"/>
          <w:tab w:val="left" w:pos="12240"/>
        </w:tabs>
        <w:suppressAutoHyphens/>
        <w:spacing w:line="360" w:lineRule="auto"/>
        <w:rPr>
          <w:spacing w:val="-3"/>
        </w:rPr>
      </w:pPr>
      <w:r>
        <w:rPr>
          <w:spacing w:val="-3"/>
        </w:rPr>
        <w:t xml:space="preserve">where, </w:t>
      </w:r>
      <w:r w:rsidRPr="00437FD8">
        <w:rPr>
          <w:spacing w:val="-3"/>
          <w:position w:val="-12"/>
        </w:rPr>
        <w:object w:dxaOrig="1440" w:dyaOrig="360" w14:anchorId="0CBA61E6">
          <v:shape id="_x0000_i1675" type="#_x0000_t75" style="width:1in;height:17.75pt" o:ole="">
            <v:imagedata r:id="rId1247" o:title=""/>
          </v:shape>
          <o:OLEObject Type="Embed" ProgID="Equation.DSMT4" ShapeID="_x0000_i1675" DrawAspect="Content" ObjectID="_1840627241" r:id="rId1248"/>
        </w:object>
      </w:r>
      <w:r>
        <w:rPr>
          <w:spacing w:val="-3"/>
        </w:rPr>
        <w:t xml:space="preserve"> = solidification shrinkage;  </w:t>
      </w:r>
      <w:r w:rsidRPr="001B16BB">
        <w:rPr>
          <w:spacing w:val="-3"/>
          <w:position w:val="-10"/>
        </w:rPr>
        <w:object w:dxaOrig="440" w:dyaOrig="320" w14:anchorId="654A684A">
          <v:shape id="_x0000_i1676" type="#_x0000_t75" style="width:21.5pt;height:16.85pt" o:ole="">
            <v:imagedata r:id="rId1249" o:title=""/>
          </v:shape>
          <o:OLEObject Type="Embed" ProgID="Equation.DSMT4" ShapeID="_x0000_i1676" DrawAspect="Content" ObjectID="_1840627242" r:id="rId1250"/>
        </w:object>
      </w:r>
      <w:r>
        <w:rPr>
          <w:spacing w:val="-3"/>
        </w:rPr>
        <w:t xml:space="preserve">  = velocity vector component of interdendritic liquid in the direction normal to the isotherm; </w:t>
      </w:r>
      <w:r w:rsidRPr="003F4B5A">
        <w:rPr>
          <w:spacing w:val="-3"/>
        </w:rPr>
        <w:fldChar w:fldCharType="begin"/>
      </w:r>
      <w:r w:rsidRPr="003F4B5A">
        <w:rPr>
          <w:spacing w:val="-3"/>
        </w:rPr>
        <w:instrText xml:space="preserve"> QUOTE </w:instrText>
      </w:r>
      <m:oMath>
        <m:sSub>
          <m:sSubPr>
            <m:ctrlPr>
              <w:rPr>
                <w:rFonts w:ascii="Cambria Math" w:hAnsi="Cambria Math"/>
                <w:i/>
                <w:spacing w:val="-3"/>
              </w:rPr>
            </m:ctrlPr>
          </m:sSubPr>
          <m:e>
            <m:r>
              <m:rPr>
                <m:sty m:val="p"/>
              </m:rPr>
              <w:rPr>
                <w:rFonts w:ascii="Cambria Math" w:hAnsi="Cambria Math"/>
                <w:spacing w:val="-3"/>
              </w:rPr>
              <m:t>v</m:t>
            </m:r>
          </m:e>
          <m:sub>
            <m:r>
              <m:rPr>
                <m:sty m:val="p"/>
              </m:rPr>
              <w:rPr>
                <w:rFonts w:ascii="Cambria Math" w:hAnsi="Cambria Math"/>
                <w:spacing w:val="-3"/>
              </w:rPr>
              <m:t>T</m:t>
            </m:r>
          </m:sub>
        </m:sSub>
      </m:oMath>
      <w:r w:rsidRPr="003F4B5A">
        <w:rPr>
          <w:spacing w:val="-3"/>
        </w:rPr>
        <w:instrText xml:space="preserve"> </w:instrText>
      </w:r>
      <w:r w:rsidRPr="003F4B5A">
        <w:rPr>
          <w:spacing w:val="-3"/>
        </w:rPr>
        <w:fldChar w:fldCharType="separate"/>
      </w:r>
      <w:r w:rsidR="0049546D" w:rsidRPr="0049546D">
        <w:rPr>
          <w:spacing w:val="-3"/>
          <w:position w:val="-10"/>
        </w:rPr>
        <w:object w:dxaOrig="279" w:dyaOrig="380" w14:anchorId="13FC95BD">
          <v:shape id="_x0000_i1677" type="#_x0000_t75" style="width:14.05pt;height:18.7pt" o:ole="">
            <v:imagedata r:id="rId1251" o:title=""/>
          </v:shape>
          <o:OLEObject Type="Embed" ProgID="Equation.DSMT4" ShapeID="_x0000_i1677" DrawAspect="Content" ObjectID="_1840627243" r:id="rId1252"/>
        </w:object>
      </w:r>
      <w:r w:rsidRPr="003F4B5A">
        <w:rPr>
          <w:spacing w:val="-3"/>
        </w:rPr>
        <w:fldChar w:fldCharType="end"/>
      </w:r>
      <w:r>
        <w:rPr>
          <w:spacing w:val="-3"/>
        </w:rPr>
        <w:t xml:space="preserve"> = isotherm velocity; </w:t>
      </w:r>
      <m:oMath>
        <m:sSub>
          <m:sSubPr>
            <m:ctrlPr>
              <w:rPr>
                <w:rFonts w:ascii="Cambria Math" w:hAnsi="Cambria Math"/>
                <w:i/>
                <w:spacing w:val="-3"/>
                <w:sz w:val="26"/>
                <w:szCs w:val="26"/>
              </w:rPr>
            </m:ctrlPr>
          </m:sSubPr>
          <m:e>
            <m:r>
              <w:rPr>
                <w:rFonts w:ascii="Cambria Math"/>
                <w:spacing w:val="-3"/>
                <w:sz w:val="26"/>
                <w:szCs w:val="26"/>
              </w:rPr>
              <m:t>g</m:t>
            </m:r>
          </m:e>
          <m:sub>
            <m:r>
              <w:rPr>
                <w:rFonts w:ascii="Cambria Math"/>
                <w:spacing w:val="-3"/>
                <w:sz w:val="26"/>
                <w:szCs w:val="26"/>
              </w:rPr>
              <m:t>s</m:t>
            </m:r>
          </m:sub>
        </m:sSub>
      </m:oMath>
      <w:r>
        <w:rPr>
          <w:spacing w:val="-3"/>
        </w:rPr>
        <w:t xml:space="preserve">and </w:t>
      </w:r>
      <m:oMath>
        <m:sSub>
          <m:sSubPr>
            <m:ctrlPr>
              <w:rPr>
                <w:rFonts w:ascii="Cambria Math" w:hAnsi="Cambria Math"/>
                <w:i/>
                <w:spacing w:val="-3"/>
                <w:sz w:val="26"/>
                <w:szCs w:val="26"/>
              </w:rPr>
            </m:ctrlPr>
          </m:sSubPr>
          <m:e>
            <m:r>
              <w:rPr>
                <w:rFonts w:ascii="Cambria Math"/>
                <w:spacing w:val="-3"/>
                <w:sz w:val="26"/>
                <w:szCs w:val="26"/>
              </w:rPr>
              <m:t>g</m:t>
            </m:r>
          </m:e>
          <m:sub>
            <m:r>
              <w:rPr>
                <w:rFonts w:ascii="Cambria Math"/>
                <w:spacing w:val="-3"/>
                <w:sz w:val="26"/>
                <w:szCs w:val="26"/>
              </w:rPr>
              <m:t>L</m:t>
            </m:r>
          </m:sub>
        </m:sSub>
      </m:oMath>
      <w:r>
        <w:rPr>
          <w:spacing w:val="-3"/>
        </w:rPr>
        <w:t>are volume fractions of solid and liquid respectively.</w:t>
      </w:r>
    </w:p>
    <w:p w14:paraId="3E0C36BE"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r>
        <w:rPr>
          <w:spacing w:val="-3"/>
        </w:rPr>
        <w:t xml:space="preserve"> </w:t>
      </w:r>
    </w:p>
    <w:p w14:paraId="759CE9AB"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r>
        <w:rPr>
          <w:spacing w:val="-3"/>
        </w:rPr>
        <w:tab/>
        <w:t xml:space="preserve">This expression assumes: i) local equilibrium without curvature correction, </w:t>
      </w:r>
    </w:p>
    <w:p w14:paraId="1FBD2C60"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r>
        <w:rPr>
          <w:spacing w:val="-3"/>
        </w:rPr>
        <w:t>ii) uniform liquid composition  in the small volume of interest, iii) no solid diffusion,</w:t>
      </w:r>
    </w:p>
    <w:p w14:paraId="375C1E0A" w14:textId="1A8D306F" w:rsidR="00015B17" w:rsidRDefault="00015B17" w:rsidP="009A0EFA">
      <w:pPr>
        <w:tabs>
          <w:tab w:val="left" w:pos="-1432"/>
          <w:tab w:val="left" w:pos="-1021"/>
          <w:tab w:val="left" w:pos="850"/>
          <w:tab w:val="left" w:pos="10800"/>
          <w:tab w:val="left" w:pos="11339"/>
          <w:tab w:val="left" w:pos="11905"/>
          <w:tab w:val="left" w:pos="12240"/>
        </w:tabs>
        <w:suppressAutoHyphens/>
        <w:spacing w:line="360" w:lineRule="auto"/>
        <w:rPr>
          <w:spacing w:val="-3"/>
        </w:rPr>
      </w:pPr>
      <w:r>
        <w:rPr>
          <w:spacing w:val="-3"/>
        </w:rPr>
        <w:t xml:space="preserve">iv) constant solid density, v) no solid motion, and vi) absence of voids. In this approach, the appropriate values for </w:t>
      </w:r>
      <w:r w:rsidRPr="003F4B5A">
        <w:rPr>
          <w:spacing w:val="-3"/>
        </w:rPr>
        <w:fldChar w:fldCharType="begin"/>
      </w:r>
      <w:r w:rsidRPr="003F4B5A">
        <w:rPr>
          <w:spacing w:val="-3"/>
        </w:rPr>
        <w:instrText xml:space="preserve"> QUOTE </w:instrText>
      </w:r>
      <m:oMath>
        <m:acc>
          <m:accPr>
            <m:chr m:val="̅"/>
            <m:ctrlPr>
              <w:rPr>
                <w:rFonts w:ascii="Cambria Math" w:hAnsi="Cambria Math"/>
                <w:i/>
                <w:spacing w:val="-3"/>
              </w:rPr>
            </m:ctrlPr>
          </m:accPr>
          <m:e>
            <m:r>
              <m:rPr>
                <m:sty m:val="p"/>
              </m:rPr>
              <w:rPr>
                <w:rFonts w:ascii="Cambria Math" w:hAnsi="Cambria Math"/>
                <w:spacing w:val="-3"/>
              </w:rPr>
              <m:t>v</m:t>
            </m:r>
          </m:e>
        </m:acc>
      </m:oMath>
      <w:r w:rsidRPr="003F4B5A">
        <w:rPr>
          <w:spacing w:val="-3"/>
        </w:rPr>
        <w:instrText xml:space="preserve"> </w:instrText>
      </w:r>
      <w:r w:rsidRPr="003F4B5A">
        <w:rPr>
          <w:spacing w:val="-3"/>
        </w:rPr>
        <w:fldChar w:fldCharType="separate"/>
      </w:r>
      <m:oMath>
        <m:acc>
          <m:accPr>
            <m:chr m:val="⃗"/>
            <m:ctrlPr>
              <w:rPr>
                <w:rFonts w:ascii="Cambria Math" w:hAnsi="Cambria Math"/>
                <w:i/>
                <w:spacing w:val="-3"/>
                <w:sz w:val="26"/>
                <w:szCs w:val="26"/>
              </w:rPr>
            </m:ctrlPr>
          </m:accPr>
          <m:e>
            <m:r>
              <m:rPr>
                <m:sty m:val="p"/>
              </m:rPr>
              <w:rPr>
                <w:rFonts w:ascii="Cambria Math"/>
                <w:spacing w:val="-3"/>
                <w:sz w:val="26"/>
                <w:szCs w:val="26"/>
              </w:rPr>
              <m:t>v</m:t>
            </m:r>
          </m:e>
        </m:acc>
      </m:oMath>
      <w:r w:rsidRPr="003F4B5A">
        <w:rPr>
          <w:spacing w:val="-3"/>
        </w:rPr>
        <w:fldChar w:fldCharType="end"/>
      </w:r>
      <w:r>
        <w:rPr>
          <w:spacing w:val="-3"/>
        </w:rPr>
        <w:t xml:space="preserve"> and </w:t>
      </w:r>
      <w:r w:rsidR="0049546D" w:rsidRPr="0049546D">
        <w:rPr>
          <w:spacing w:val="-3"/>
          <w:position w:val="-10"/>
        </w:rPr>
        <w:object w:dxaOrig="279" w:dyaOrig="380" w14:anchorId="14C3B0A4">
          <v:shape id="_x0000_i1678" type="#_x0000_t75" style="width:14.05pt;height:18.7pt" o:ole="">
            <v:imagedata r:id="rId1253" o:title=""/>
          </v:shape>
          <o:OLEObject Type="Embed" ProgID="Equation.DSMT4" ShapeID="_x0000_i1678" DrawAspect="Content" ObjectID="_1840627244" r:id="rId1254"/>
        </w:object>
      </w:r>
      <w:r>
        <w:rPr>
          <w:spacing w:val="-3"/>
        </w:rPr>
        <w:t xml:space="preserve"> at each location must be determined from a separate calculation involving thermal analysis and flow in the mushy zone. However given these values for each small volume element,</w:t>
      </w:r>
      <w:r>
        <w:rPr>
          <w:i/>
          <w:iCs/>
          <w:spacing w:val="-3"/>
        </w:rPr>
        <w:t xml:space="preserve"> </w:t>
      </w:r>
      <w:r w:rsidRPr="009813C6">
        <w:rPr>
          <w:i/>
          <w:iCs/>
          <w:spacing w:val="-3"/>
          <w:position w:val="-10"/>
        </w:rPr>
        <w:object w:dxaOrig="320" w:dyaOrig="360" w14:anchorId="325C3B8D">
          <v:shape id="_x0000_i1679" type="#_x0000_t75" style="width:16.85pt;height:17.75pt" o:ole="">
            <v:imagedata r:id="rId1255" o:title=""/>
          </v:shape>
          <o:OLEObject Type="Embed" ProgID="Equation.DSMT4" ShapeID="_x0000_i1679" DrawAspect="Content" ObjectID="_1840627245" r:id="rId1256"/>
        </w:object>
      </w:r>
      <w:r>
        <w:rPr>
          <w:spacing w:val="-3"/>
        </w:rPr>
        <w:t xml:space="preserve"> and hence</w:t>
      </w:r>
      <w:r w:rsidRPr="009813C6">
        <w:rPr>
          <w:i/>
          <w:iCs/>
          <w:spacing w:val="-3"/>
          <w:position w:val="-12"/>
        </w:rPr>
        <w:object w:dxaOrig="320" w:dyaOrig="380" w14:anchorId="17655E00">
          <v:shape id="_x0000_i1680" type="#_x0000_t75" style="width:16.85pt;height:18.7pt" o:ole="">
            <v:imagedata r:id="rId1257" o:title=""/>
          </v:shape>
          <o:OLEObject Type="Embed" ProgID="Equation.DSMT4" ShapeID="_x0000_i1680" DrawAspect="Content" ObjectID="_1840627246" r:id="rId1258"/>
        </w:object>
      </w:r>
      <w:r>
        <w:rPr>
          <w:i/>
          <w:iCs/>
          <w:spacing w:val="-3"/>
        </w:rPr>
        <w:t xml:space="preserve"> </w:t>
      </w:r>
      <w:r>
        <w:rPr>
          <w:spacing w:val="-3"/>
        </w:rPr>
        <w:t>as a function of</w:t>
      </w:r>
      <w:r>
        <w:rPr>
          <w:i/>
          <w:iCs/>
          <w:spacing w:val="-3"/>
        </w:rPr>
        <w:t xml:space="preserve"> </w:t>
      </w:r>
      <m:oMath>
        <m:sSub>
          <m:sSubPr>
            <m:ctrlPr>
              <w:rPr>
                <w:rFonts w:ascii="Cambria Math" w:hAnsi="Cambria Math"/>
                <w:i/>
                <w:spacing w:val="-3"/>
                <w:sz w:val="26"/>
                <w:szCs w:val="26"/>
              </w:rPr>
            </m:ctrlPr>
          </m:sSubPr>
          <m:e>
            <m:r>
              <w:rPr>
                <w:rFonts w:ascii="Cambria Math"/>
                <w:spacing w:val="-3"/>
                <w:sz w:val="26"/>
                <w:szCs w:val="26"/>
              </w:rPr>
              <m:t>g</m:t>
            </m:r>
          </m:e>
          <m:sub>
            <m:r>
              <w:rPr>
                <w:rFonts w:ascii="Cambria Math"/>
                <w:spacing w:val="-3"/>
                <w:sz w:val="26"/>
                <w:szCs w:val="26"/>
              </w:rPr>
              <m:t>s</m:t>
            </m:r>
          </m:sub>
        </m:sSub>
      </m:oMath>
      <w:r>
        <w:rPr>
          <w:spacing w:val="-3"/>
        </w:rPr>
        <w:t xml:space="preserve"> can be determined along with the fraction of eutectic if appropriate for the phase diagram of the alloy. The average value of</w:t>
      </w:r>
      <w:r>
        <w:rPr>
          <w:i/>
          <w:iCs/>
          <w:spacing w:val="-3"/>
        </w:rPr>
        <w:t xml:space="preserve"> </w:t>
      </w:r>
      <w:r w:rsidRPr="009813C6">
        <w:rPr>
          <w:i/>
          <w:iCs/>
          <w:spacing w:val="-3"/>
          <w:position w:val="-12"/>
        </w:rPr>
        <w:object w:dxaOrig="320" w:dyaOrig="380" w14:anchorId="26A4E35B">
          <v:shape id="_x0000_i1681" type="#_x0000_t75" style="width:16.85pt;height:18.7pt" o:ole="">
            <v:imagedata r:id="rId1257" o:title=""/>
          </v:shape>
          <o:OLEObject Type="Embed" ProgID="Equation.DSMT4" ShapeID="_x0000_i1681" DrawAspect="Content" ObjectID="_1840627247" r:id="rId1259"/>
        </w:object>
      </w:r>
      <w:r>
        <w:rPr>
          <w:spacing w:val="-3"/>
        </w:rPr>
        <w:t xml:space="preserve"> from</w:t>
      </w:r>
      <w:r>
        <w:rPr>
          <w:i/>
          <w:iCs/>
          <w:spacing w:val="-3"/>
        </w:rPr>
        <w:t xml:space="preserve"> </w:t>
      </w:r>
      <m:oMath>
        <m:sSub>
          <m:sSubPr>
            <m:ctrlPr>
              <w:rPr>
                <w:rFonts w:ascii="Cambria Math" w:hAnsi="Cambria Math"/>
                <w:i/>
                <w:spacing w:val="-3"/>
                <w:sz w:val="26"/>
                <w:szCs w:val="26"/>
              </w:rPr>
            </m:ctrlPr>
          </m:sSubPr>
          <m:e>
            <m:r>
              <w:rPr>
                <w:rFonts w:ascii="Cambria Math"/>
                <w:spacing w:val="-3"/>
                <w:sz w:val="26"/>
                <w:szCs w:val="26"/>
              </w:rPr>
              <m:t>g</m:t>
            </m:r>
          </m:e>
          <m:sub>
            <m:r>
              <w:rPr>
                <w:rFonts w:ascii="Cambria Math"/>
                <w:spacing w:val="-3"/>
                <w:sz w:val="26"/>
                <w:szCs w:val="26"/>
              </w:rPr>
              <m:t>s</m:t>
            </m:r>
          </m:sub>
        </m:sSub>
      </m:oMath>
      <w:r>
        <w:rPr>
          <w:spacing w:val="-3"/>
        </w:rPr>
        <w:t>=0 to 1 gives the average composition at each location in the casting. The average composition will not in general be equal to the nominal alloy composition. Indeed one hallmark of macrosegregation is a varying amount of eutectic from one region of the casting to another.</w:t>
      </w:r>
    </w:p>
    <w:p w14:paraId="63F94431"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p>
    <w:p w14:paraId="6CB9EE7B"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r>
        <w:rPr>
          <w:spacing w:val="-3"/>
        </w:rPr>
        <w:tab/>
        <w:t xml:space="preserve">If one defines a flow factor, </w:t>
      </w:r>
      <w:r w:rsidRPr="000176F4">
        <w:rPr>
          <w:i/>
          <w:spacing w:val="-3"/>
        </w:rPr>
        <w:t>ξ</w:t>
      </w:r>
      <w:r>
        <w:rPr>
          <w:spacing w:val="-3"/>
        </w:rPr>
        <w:t>, as</w:t>
      </w:r>
    </w:p>
    <w:p w14:paraId="33FEC6FE"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pPr>
    </w:p>
    <w:p w14:paraId="5024BDBD"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jc w:val="center"/>
        <w:rPr>
          <w:spacing w:val="-3"/>
        </w:rPr>
      </w:pPr>
      <w:r w:rsidRPr="002C1C74">
        <w:rPr>
          <w:spacing w:val="-3"/>
          <w:position w:val="-32"/>
        </w:rPr>
        <w:object w:dxaOrig="2060" w:dyaOrig="760" w14:anchorId="3373730A">
          <v:shape id="_x0000_i1682" type="#_x0000_t75" style="width:103.8pt;height:38.35pt" o:ole="">
            <v:imagedata r:id="rId1260" o:title=""/>
          </v:shape>
          <o:OLEObject Type="Embed" ProgID="Equation.DSMT4" ShapeID="_x0000_i1682" DrawAspect="Content" ObjectID="_1840627248" r:id="rId1261"/>
        </w:object>
      </w:r>
      <w:r>
        <w:rPr>
          <w:spacing w:val="-3"/>
        </w:rPr>
        <w:t xml:space="preserve">   </w:t>
      </w:r>
      <w:r w:rsidR="006E6FC2">
        <w:rPr>
          <w:spacing w:val="-3"/>
        </w:rPr>
        <w:t xml:space="preserve">,       </w:t>
      </w:r>
      <w:r>
        <w:rPr>
          <w:spacing w:val="-3"/>
        </w:rPr>
        <w:t>(9.3)</w:t>
      </w:r>
    </w:p>
    <w:p w14:paraId="2C8FCFBB"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p>
    <w:p w14:paraId="24210B22"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r>
        <w:rPr>
          <w:spacing w:val="-3"/>
        </w:rPr>
        <w:t>and assumes it to be a constant, Eqn, 9.2 can be integrated to yield</w:t>
      </w:r>
    </w:p>
    <w:p w14:paraId="22B4D4CB"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r>
        <w:rPr>
          <w:spacing w:val="-3"/>
        </w:rPr>
        <w:t xml:space="preserve"> </w:t>
      </w:r>
    </w:p>
    <w:p w14:paraId="0E54477E"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jc w:val="center"/>
        <w:rPr>
          <w:spacing w:val="-3"/>
        </w:rPr>
      </w:pPr>
      <w:r w:rsidRPr="00AF47B5">
        <w:rPr>
          <w:spacing w:val="-3"/>
          <w:position w:val="-30"/>
        </w:rPr>
        <w:object w:dxaOrig="1620" w:dyaOrig="720" w14:anchorId="6F110618">
          <v:shape id="_x0000_i1683" type="#_x0000_t75" style="width:81.35pt;height:36.45pt" o:ole="">
            <v:imagedata r:id="rId1262" o:title=""/>
          </v:shape>
          <o:OLEObject Type="Embed" ProgID="Equation.DSMT4" ShapeID="_x0000_i1683" DrawAspect="Content" ObjectID="_1840627249" r:id="rId1263"/>
        </w:object>
      </w:r>
      <w:r>
        <w:rPr>
          <w:spacing w:val="-3"/>
        </w:rPr>
        <w:t xml:space="preserve">     </w:t>
      </w:r>
      <w:r w:rsidR="006E6FC2">
        <w:rPr>
          <w:spacing w:val="-3"/>
        </w:rPr>
        <w:t>.</w:t>
      </w:r>
      <w:r>
        <w:rPr>
          <w:spacing w:val="-3"/>
        </w:rPr>
        <w:t xml:space="preserve">    (9.4) </w:t>
      </w:r>
    </w:p>
    <w:p w14:paraId="524754C9"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p>
    <w:p w14:paraId="158C7CB6" w14:textId="3F3AF08F"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r>
        <w:rPr>
          <w:spacing w:val="-3"/>
        </w:rPr>
        <w:t xml:space="preserve">If </w:t>
      </w:r>
      <w:r w:rsidRPr="00AF47B5">
        <w:rPr>
          <w:spacing w:val="-3"/>
          <w:position w:val="-10"/>
        </w:rPr>
        <w:object w:dxaOrig="520" w:dyaOrig="320" w14:anchorId="7B23C126">
          <v:shape id="_x0000_i1684" type="#_x0000_t75" style="width:25.25pt;height:16.85pt" o:ole="">
            <v:imagedata r:id="rId1264" o:title=""/>
          </v:shape>
          <o:OLEObject Type="Embed" ProgID="Equation.DSMT4" ShapeID="_x0000_i1684" DrawAspect="Content" ObjectID="_1840627250" r:id="rId1265"/>
        </w:object>
      </w:r>
      <w:r>
        <w:rPr>
          <w:spacing w:val="-3"/>
        </w:rPr>
        <w:t xml:space="preserve">, Eqn. 9.4 reverts to the standard Scheil equation and the average composition is equal to the nominal composition resulting in no macrosegregation. Note that </w:t>
      </w:r>
      <w:r w:rsidRPr="00AF47B5">
        <w:rPr>
          <w:spacing w:val="-3"/>
          <w:position w:val="-10"/>
        </w:rPr>
        <w:object w:dxaOrig="520" w:dyaOrig="320" w14:anchorId="25B5C784">
          <v:shape id="_x0000_i1685" type="#_x0000_t75" style="width:25.25pt;height:16.85pt" o:ole="">
            <v:imagedata r:id="rId1264" o:title=""/>
          </v:shape>
          <o:OLEObject Type="Embed" ProgID="Equation.DSMT4" ShapeID="_x0000_i1685" DrawAspect="Content" ObjectID="_1840627251" r:id="rId1266"/>
        </w:object>
      </w:r>
      <w:r>
        <w:rPr>
          <w:spacing w:val="-3"/>
        </w:rPr>
        <w:t xml:space="preserve"> when the liquid flow occurring is </w:t>
      </w:r>
      <w:r w:rsidR="00D00EB2">
        <w:rPr>
          <w:spacing w:val="-3"/>
        </w:rPr>
        <w:t xml:space="preserve">exactly </w:t>
      </w:r>
      <w:r>
        <w:rPr>
          <w:spacing w:val="-3"/>
        </w:rPr>
        <w:t xml:space="preserve">that required for the solidification </w:t>
      </w:r>
      <w:r w:rsidR="0055318D">
        <w:rPr>
          <w:spacing w:val="-3"/>
        </w:rPr>
        <w:t>shrinkage,</w:t>
      </w:r>
      <w:r>
        <w:rPr>
          <w:spacing w:val="-3"/>
        </w:rPr>
        <w:t xml:space="preserve"> i.e., </w:t>
      </w:r>
    </w:p>
    <w:p w14:paraId="499915DA"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p>
    <w:p w14:paraId="3632EB7E" w14:textId="34B93B46" w:rsidR="00015B17" w:rsidRDefault="00015B17" w:rsidP="006E6FC2">
      <w:pPr>
        <w:tabs>
          <w:tab w:val="left" w:pos="-1432"/>
          <w:tab w:val="left" w:pos="-1021"/>
          <w:tab w:val="left" w:pos="850"/>
          <w:tab w:val="left" w:pos="3150"/>
          <w:tab w:val="left" w:pos="4410"/>
          <w:tab w:val="left" w:pos="10800"/>
          <w:tab w:val="left" w:pos="11339"/>
          <w:tab w:val="left" w:pos="11905"/>
          <w:tab w:val="left" w:pos="12240"/>
        </w:tabs>
        <w:suppressAutoHyphens/>
        <w:spacing w:line="360" w:lineRule="auto"/>
        <w:rPr>
          <w:spacing w:val="-3"/>
        </w:rPr>
      </w:pPr>
      <w:r>
        <w:tab/>
      </w:r>
      <w:r>
        <w:tab/>
      </w:r>
      <w:r w:rsidR="0049546D" w:rsidRPr="002C1C74">
        <w:rPr>
          <w:position w:val="-32"/>
        </w:rPr>
        <w:object w:dxaOrig="1860" w:dyaOrig="700" w14:anchorId="49B3DE68">
          <v:shape id="_x0000_i1686" type="#_x0000_t75" style="width:92.55pt;height:35.55pt" o:ole="">
            <v:imagedata r:id="rId1267" o:title=""/>
          </v:shape>
          <o:OLEObject Type="Embed" ProgID="Equation.DSMT4" ShapeID="_x0000_i1686" DrawAspect="Content" ObjectID="_1840627252" r:id="rId1268"/>
        </w:object>
      </w:r>
      <w:r>
        <w:t xml:space="preserve">   </w:t>
      </w:r>
      <w:r w:rsidR="006E6FC2">
        <w:t>.</w:t>
      </w:r>
      <w:r>
        <w:t xml:space="preserve">     </w:t>
      </w:r>
      <w:r w:rsidRPr="0044318E">
        <w:t>(9.</w:t>
      </w:r>
      <w:r>
        <w:t>5</w:t>
      </w:r>
      <w:r w:rsidRPr="0044318E">
        <w:t>)</w:t>
      </w:r>
      <w:r>
        <w:tab/>
      </w:r>
    </w:p>
    <w:p w14:paraId="5A811391" w14:textId="77777777" w:rsidR="00015B17" w:rsidRDefault="006E6FC2"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r>
        <w:rPr>
          <w:spacing w:val="-3"/>
        </w:rPr>
        <w:tab/>
      </w:r>
      <w:r w:rsidR="00015B17">
        <w:rPr>
          <w:spacing w:val="-3"/>
        </w:rPr>
        <w:t xml:space="preserve">We now discuss specific cases depending on the value of </w:t>
      </w:r>
      <w:r w:rsidR="00015B17" w:rsidRPr="00AF47B5">
        <w:rPr>
          <w:spacing w:val="-3"/>
          <w:position w:val="-10"/>
        </w:rPr>
        <w:object w:dxaOrig="200" w:dyaOrig="320" w14:anchorId="14681240">
          <v:shape id="_x0000_i1687" type="#_x0000_t75" style="width:10.3pt;height:16.85pt" o:ole="">
            <v:imagedata r:id="rId1269" o:title=""/>
          </v:shape>
          <o:OLEObject Type="Embed" ProgID="Equation.DSMT4" ShapeID="_x0000_i1687" DrawAspect="Content" ObjectID="_1840627253" r:id="rId1270"/>
        </w:object>
      </w:r>
      <w:r w:rsidR="00015B17">
        <w:rPr>
          <w:spacing w:val="-3"/>
        </w:rPr>
        <w:t xml:space="preserve"> where </w:t>
      </w:r>
      <w:r w:rsidR="00015B17" w:rsidRPr="00FB1091">
        <w:rPr>
          <w:spacing w:val="-3"/>
          <w:position w:val="-10"/>
        </w:rPr>
        <w:object w:dxaOrig="600" w:dyaOrig="320" w14:anchorId="7790EC40">
          <v:shape id="_x0000_i1688" type="#_x0000_t75" style="width:29.9pt;height:16.85pt" o:ole="">
            <v:imagedata r:id="rId1271" o:title=""/>
          </v:shape>
          <o:OLEObject Type="Embed" ProgID="Equation.DSMT4" ShapeID="_x0000_i1688" DrawAspect="Content" ObjectID="_1840627254" r:id="rId1272"/>
        </w:object>
      </w:r>
      <w:r w:rsidR="00015B17">
        <w:rPr>
          <w:spacing w:val="-3"/>
        </w:rPr>
        <w:t xml:space="preserve">and </w:t>
      </w:r>
      <w:r w:rsidR="00015B17" w:rsidRPr="007059AE">
        <w:rPr>
          <w:spacing w:val="-3"/>
          <w:position w:val="-6"/>
        </w:rPr>
        <w:object w:dxaOrig="520" w:dyaOrig="279" w14:anchorId="0DC44CA3">
          <v:shape id="_x0000_i1689" type="#_x0000_t75" style="width:25.25pt;height:14.05pt" o:ole="">
            <v:imagedata r:id="rId1273" o:title=""/>
          </v:shape>
          <o:OLEObject Type="Embed" ProgID="Equation.DSMT4" ShapeID="_x0000_i1689" DrawAspect="Content" ObjectID="_1840627255" r:id="rId1274"/>
        </w:object>
      </w:r>
      <w:r w:rsidR="00015B17">
        <w:rPr>
          <w:spacing w:val="-3"/>
        </w:rPr>
        <w:t>are assumed:</w:t>
      </w:r>
      <w:r w:rsidR="00015B17">
        <w:rPr>
          <w:spacing w:val="-3"/>
        </w:rPr>
        <w:tab/>
      </w:r>
    </w:p>
    <w:p w14:paraId="24D896DE" w14:textId="77777777" w:rsidR="00015B17" w:rsidRDefault="00015B17" w:rsidP="00015B17">
      <w:pPr>
        <w:pStyle w:val="ListParagraph"/>
        <w:widowControl w:val="0"/>
        <w:numPr>
          <w:ilvl w:val="0"/>
          <w:numId w:val="10"/>
        </w:numPr>
        <w:tabs>
          <w:tab w:val="left" w:pos="-1432"/>
          <w:tab w:val="left" w:pos="-1021"/>
          <w:tab w:val="left" w:pos="850"/>
          <w:tab w:val="left" w:pos="10800"/>
          <w:tab w:val="left" w:pos="11339"/>
          <w:tab w:val="left" w:pos="11905"/>
          <w:tab w:val="left" w:pos="12240"/>
        </w:tabs>
        <w:suppressAutoHyphens/>
        <w:autoSpaceDE w:val="0"/>
        <w:autoSpaceDN w:val="0"/>
        <w:adjustRightInd w:val="0"/>
        <w:spacing w:after="0" w:line="360" w:lineRule="auto"/>
        <w:rPr>
          <w:rFonts w:ascii="Times New Roman" w:hAnsi="Times New Roman"/>
          <w:spacing w:val="-3"/>
          <w:sz w:val="24"/>
          <w:szCs w:val="24"/>
        </w:rPr>
      </w:pPr>
      <w:r w:rsidRPr="00AF47B5">
        <w:rPr>
          <w:rFonts w:ascii="Times New Roman" w:hAnsi="Times New Roman"/>
          <w:spacing w:val="-3"/>
          <w:position w:val="-10"/>
          <w:sz w:val="24"/>
          <w:szCs w:val="24"/>
        </w:rPr>
        <w:object w:dxaOrig="520" w:dyaOrig="320" w14:anchorId="3EBCC695">
          <v:shape id="_x0000_i1690" type="#_x0000_t75" style="width:25.25pt;height:16.85pt" o:ole="">
            <v:imagedata r:id="rId1275" o:title=""/>
          </v:shape>
          <o:OLEObject Type="Embed" ProgID="Equation.DSMT4" ShapeID="_x0000_i1690" DrawAspect="Content" ObjectID="_1840627256" r:id="rId1276"/>
        </w:object>
      </w:r>
      <w:r w:rsidR="009A0EFA">
        <w:rPr>
          <w:rFonts w:ascii="Times New Roman" w:hAnsi="Times New Roman"/>
          <w:spacing w:val="-3"/>
          <w:sz w:val="24"/>
          <w:szCs w:val="24"/>
        </w:rPr>
        <w:t xml:space="preserve">, i.e., </w:t>
      </w:r>
      <w:r>
        <w:rPr>
          <w:rFonts w:ascii="Times New Roman" w:hAnsi="Times New Roman"/>
          <w:spacing w:val="-3"/>
          <w:sz w:val="24"/>
          <w:szCs w:val="24"/>
        </w:rPr>
        <w:t xml:space="preserve"> </w:t>
      </w:r>
      <w:r w:rsidR="0049546D" w:rsidRPr="0049546D">
        <w:rPr>
          <w:rFonts w:ascii="Times New Roman" w:hAnsi="Times New Roman"/>
          <w:spacing w:val="-3"/>
          <w:position w:val="-40"/>
          <w:sz w:val="24"/>
          <w:szCs w:val="24"/>
        </w:rPr>
        <w:object w:dxaOrig="1800" w:dyaOrig="920" w14:anchorId="6B1B12E6">
          <v:shape id="_x0000_i1691" type="#_x0000_t75" style="width:88.85pt;height:46.75pt" o:ole="">
            <v:imagedata r:id="rId1277" o:title=""/>
          </v:shape>
          <o:OLEObject Type="Embed" ProgID="Equation.DSMT4" ShapeID="_x0000_i1691" DrawAspect="Content" ObjectID="_1840627257" r:id="rId1278"/>
        </w:object>
      </w:r>
      <w:r>
        <w:rPr>
          <w:rFonts w:ascii="Times New Roman" w:hAnsi="Times New Roman"/>
          <w:spacing w:val="-3"/>
          <w:sz w:val="24"/>
          <w:szCs w:val="24"/>
        </w:rPr>
        <w:t xml:space="preserve">: </w:t>
      </w:r>
      <w:r w:rsidRPr="000176F4">
        <w:rPr>
          <w:rFonts w:ascii="Times New Roman" w:hAnsi="Times New Roman"/>
          <w:spacing w:val="-3"/>
          <w:sz w:val="24"/>
          <w:szCs w:val="24"/>
        </w:rPr>
        <w:t xml:space="preserve"> </w:t>
      </w:r>
      <w:r>
        <w:rPr>
          <w:rFonts w:ascii="Times New Roman" w:hAnsi="Times New Roman"/>
          <w:spacing w:val="-3"/>
          <w:sz w:val="24"/>
          <w:szCs w:val="24"/>
        </w:rPr>
        <w:t xml:space="preserve">At the same solid fraction </w:t>
      </w:r>
      <w:r w:rsidRPr="00FB1091">
        <w:rPr>
          <w:rFonts w:ascii="Times New Roman" w:hAnsi="Times New Roman"/>
          <w:spacing w:val="-3"/>
          <w:position w:val="-10"/>
          <w:sz w:val="24"/>
          <w:szCs w:val="24"/>
        </w:rPr>
        <w:object w:dxaOrig="320" w:dyaOrig="360" w14:anchorId="08B0FA6B">
          <v:shape id="_x0000_i1692" type="#_x0000_t75" style="width:16.85pt;height:17.75pt" o:ole="">
            <v:imagedata r:id="rId1279" o:title=""/>
          </v:shape>
          <o:OLEObject Type="Embed" ProgID="Equation.DSMT4" ShapeID="_x0000_i1692" DrawAspect="Content" ObjectID="_1840627258" r:id="rId1280"/>
        </w:object>
      </w:r>
      <w:r w:rsidRPr="000176F4">
        <w:rPr>
          <w:rFonts w:ascii="Times New Roman" w:hAnsi="Times New Roman"/>
          <w:spacing w:val="-3"/>
          <w:sz w:val="24"/>
          <w:szCs w:val="24"/>
        </w:rPr>
        <w:t xml:space="preserve"> </w:t>
      </w:r>
      <w:r>
        <w:rPr>
          <w:rFonts w:ascii="Times New Roman" w:hAnsi="Times New Roman"/>
          <w:spacing w:val="-3"/>
          <w:sz w:val="24"/>
          <w:szCs w:val="24"/>
        </w:rPr>
        <w:t xml:space="preserve">is </w:t>
      </w:r>
      <w:r w:rsidRPr="007059AE">
        <w:rPr>
          <w:rFonts w:ascii="Times New Roman" w:hAnsi="Times New Roman"/>
          <w:i/>
          <w:spacing w:val="-3"/>
          <w:sz w:val="24"/>
          <w:szCs w:val="24"/>
        </w:rPr>
        <w:t>smaller</w:t>
      </w:r>
      <w:r w:rsidRPr="000176F4">
        <w:rPr>
          <w:rFonts w:ascii="Times New Roman" w:hAnsi="Times New Roman"/>
          <w:spacing w:val="-3"/>
          <w:sz w:val="24"/>
          <w:szCs w:val="24"/>
        </w:rPr>
        <w:t xml:space="preserve"> than the value computed with the Scheil equation resulting in </w:t>
      </w:r>
      <w:r w:rsidRPr="007059AE">
        <w:rPr>
          <w:rFonts w:ascii="Times New Roman" w:hAnsi="Times New Roman"/>
          <w:i/>
          <w:spacing w:val="-3"/>
          <w:sz w:val="24"/>
          <w:szCs w:val="24"/>
        </w:rPr>
        <w:t>negative</w:t>
      </w:r>
      <w:r w:rsidRPr="000176F4">
        <w:rPr>
          <w:rFonts w:ascii="Times New Roman" w:hAnsi="Times New Roman"/>
          <w:spacing w:val="-3"/>
          <w:sz w:val="24"/>
          <w:szCs w:val="24"/>
        </w:rPr>
        <w:t xml:space="preserve"> macrosegregation</w:t>
      </w:r>
      <w:r>
        <w:rPr>
          <w:rFonts w:ascii="Times New Roman" w:hAnsi="Times New Roman"/>
          <w:spacing w:val="-3"/>
          <w:sz w:val="24"/>
          <w:szCs w:val="24"/>
        </w:rPr>
        <w:t>. This happens when the absolute value of the flow velocity toward regions of higher solid fraction is greater than is required to feed the shrinkage).</w:t>
      </w:r>
    </w:p>
    <w:p w14:paraId="2420796C" w14:textId="77777777" w:rsidR="00015B17" w:rsidRDefault="00015B17" w:rsidP="00015B17">
      <w:pPr>
        <w:pStyle w:val="ListParagraph"/>
        <w:tabs>
          <w:tab w:val="left" w:pos="-1432"/>
          <w:tab w:val="left" w:pos="-1021"/>
          <w:tab w:val="left" w:pos="850"/>
          <w:tab w:val="left" w:pos="10800"/>
          <w:tab w:val="left" w:pos="11339"/>
          <w:tab w:val="left" w:pos="11905"/>
          <w:tab w:val="left" w:pos="12240"/>
        </w:tabs>
        <w:suppressAutoHyphens/>
        <w:spacing w:line="360" w:lineRule="auto"/>
        <w:ind w:left="450"/>
        <w:rPr>
          <w:rFonts w:ascii="Times New Roman" w:hAnsi="Times New Roman"/>
          <w:spacing w:val="-3"/>
          <w:sz w:val="24"/>
          <w:szCs w:val="24"/>
        </w:rPr>
      </w:pPr>
    </w:p>
    <w:p w14:paraId="0CDEF59C" w14:textId="77777777" w:rsidR="00015B17" w:rsidRDefault="00015B17" w:rsidP="00015B17">
      <w:pPr>
        <w:pStyle w:val="ListParagraph"/>
        <w:widowControl w:val="0"/>
        <w:numPr>
          <w:ilvl w:val="0"/>
          <w:numId w:val="10"/>
        </w:numPr>
        <w:tabs>
          <w:tab w:val="left" w:pos="-1432"/>
          <w:tab w:val="left" w:pos="-1021"/>
          <w:tab w:val="left" w:pos="850"/>
          <w:tab w:val="left" w:pos="10800"/>
          <w:tab w:val="left" w:pos="11339"/>
          <w:tab w:val="left" w:pos="11905"/>
          <w:tab w:val="left" w:pos="12240"/>
        </w:tabs>
        <w:suppressAutoHyphens/>
        <w:autoSpaceDE w:val="0"/>
        <w:autoSpaceDN w:val="0"/>
        <w:adjustRightInd w:val="0"/>
        <w:spacing w:after="0" w:line="360" w:lineRule="auto"/>
        <w:rPr>
          <w:rFonts w:ascii="Times New Roman" w:hAnsi="Times New Roman"/>
          <w:spacing w:val="-3"/>
          <w:sz w:val="24"/>
          <w:szCs w:val="24"/>
        </w:rPr>
      </w:pPr>
      <w:r w:rsidRPr="00AF47B5">
        <w:rPr>
          <w:rFonts w:ascii="Times New Roman" w:hAnsi="Times New Roman"/>
          <w:spacing w:val="-3"/>
          <w:position w:val="-10"/>
          <w:sz w:val="24"/>
          <w:szCs w:val="24"/>
        </w:rPr>
        <w:object w:dxaOrig="880" w:dyaOrig="320" w14:anchorId="08838DE7">
          <v:shape id="_x0000_i1693" type="#_x0000_t75" style="width:43.95pt;height:16.85pt" o:ole="">
            <v:imagedata r:id="rId1281" o:title=""/>
          </v:shape>
          <o:OLEObject Type="Embed" ProgID="Equation.DSMT4" ShapeID="_x0000_i1693" DrawAspect="Content" ObjectID="_1840627259" r:id="rId1282"/>
        </w:object>
      </w:r>
      <w:r w:rsidR="009A0EFA">
        <w:rPr>
          <w:rFonts w:ascii="Times New Roman" w:hAnsi="Times New Roman"/>
          <w:spacing w:val="-3"/>
          <w:sz w:val="24"/>
          <w:szCs w:val="24"/>
        </w:rPr>
        <w:t xml:space="preserve">, i.e., </w:t>
      </w:r>
      <w:r>
        <w:rPr>
          <w:rFonts w:ascii="Times New Roman" w:hAnsi="Times New Roman"/>
          <w:spacing w:val="-3"/>
          <w:sz w:val="24"/>
          <w:szCs w:val="24"/>
        </w:rPr>
        <w:t xml:space="preserve"> </w:t>
      </w:r>
      <w:r w:rsidR="0049546D" w:rsidRPr="0049546D">
        <w:rPr>
          <w:rFonts w:ascii="Times New Roman" w:hAnsi="Times New Roman"/>
          <w:spacing w:val="-3"/>
          <w:position w:val="-40"/>
          <w:sz w:val="24"/>
          <w:szCs w:val="24"/>
        </w:rPr>
        <w:object w:dxaOrig="1960" w:dyaOrig="920" w14:anchorId="39E77EC8">
          <v:shape id="_x0000_i1694" type="#_x0000_t75" style="width:97.25pt;height:46.75pt" o:ole="">
            <v:imagedata r:id="rId1283" o:title=""/>
          </v:shape>
          <o:OLEObject Type="Embed" ProgID="Equation.DSMT4" ShapeID="_x0000_i1694" DrawAspect="Content" ObjectID="_1840627260" r:id="rId1284"/>
        </w:object>
      </w:r>
      <w:r>
        <w:rPr>
          <w:rFonts w:ascii="Times New Roman" w:hAnsi="Times New Roman"/>
          <w:spacing w:val="-3"/>
          <w:sz w:val="24"/>
          <w:szCs w:val="24"/>
        </w:rPr>
        <w:t xml:space="preserve">: At the same solid fraction </w:t>
      </w:r>
      <w:r w:rsidRPr="00FB1091">
        <w:rPr>
          <w:rFonts w:ascii="Times New Roman" w:hAnsi="Times New Roman"/>
          <w:spacing w:val="-3"/>
          <w:position w:val="-10"/>
          <w:sz w:val="24"/>
          <w:szCs w:val="24"/>
        </w:rPr>
        <w:object w:dxaOrig="320" w:dyaOrig="360" w14:anchorId="00F78A6A">
          <v:shape id="_x0000_i1695" type="#_x0000_t75" style="width:16.85pt;height:17.75pt" o:ole="">
            <v:imagedata r:id="rId1279" o:title=""/>
          </v:shape>
          <o:OLEObject Type="Embed" ProgID="Equation.DSMT4" ShapeID="_x0000_i1695" DrawAspect="Content" ObjectID="_1840627261" r:id="rId1285"/>
        </w:object>
      </w:r>
      <w:r w:rsidRPr="000176F4">
        <w:rPr>
          <w:rFonts w:ascii="Times New Roman" w:hAnsi="Times New Roman"/>
          <w:spacing w:val="-3"/>
          <w:sz w:val="24"/>
          <w:szCs w:val="24"/>
        </w:rPr>
        <w:t xml:space="preserve"> becomes </w:t>
      </w:r>
      <w:r w:rsidRPr="007059AE">
        <w:rPr>
          <w:rFonts w:ascii="Times New Roman" w:hAnsi="Times New Roman"/>
          <w:i/>
          <w:spacing w:val="-3"/>
          <w:sz w:val="24"/>
          <w:szCs w:val="24"/>
        </w:rPr>
        <w:t>larger</w:t>
      </w:r>
      <w:r>
        <w:rPr>
          <w:rFonts w:ascii="Times New Roman" w:hAnsi="Times New Roman"/>
          <w:spacing w:val="-3"/>
          <w:sz w:val="24"/>
          <w:szCs w:val="24"/>
        </w:rPr>
        <w:t xml:space="preserve"> </w:t>
      </w:r>
      <w:r w:rsidRPr="000176F4">
        <w:rPr>
          <w:rFonts w:ascii="Times New Roman" w:hAnsi="Times New Roman"/>
          <w:spacing w:val="-3"/>
          <w:sz w:val="24"/>
          <w:szCs w:val="24"/>
        </w:rPr>
        <w:t xml:space="preserve">than the value computed with the Scheil equation resulting in </w:t>
      </w:r>
      <w:r>
        <w:rPr>
          <w:rFonts w:ascii="Times New Roman" w:hAnsi="Times New Roman"/>
          <w:i/>
          <w:spacing w:val="-3"/>
          <w:sz w:val="24"/>
          <w:szCs w:val="24"/>
        </w:rPr>
        <w:t>posi</w:t>
      </w:r>
      <w:r w:rsidRPr="007059AE">
        <w:rPr>
          <w:rFonts w:ascii="Times New Roman" w:hAnsi="Times New Roman"/>
          <w:i/>
          <w:spacing w:val="-3"/>
          <w:sz w:val="24"/>
          <w:szCs w:val="24"/>
        </w:rPr>
        <w:t xml:space="preserve">tive </w:t>
      </w:r>
      <w:r w:rsidRPr="000176F4">
        <w:rPr>
          <w:rFonts w:ascii="Times New Roman" w:hAnsi="Times New Roman"/>
          <w:spacing w:val="-3"/>
          <w:sz w:val="24"/>
          <w:szCs w:val="24"/>
        </w:rPr>
        <w:t>macrosegregation</w:t>
      </w:r>
      <w:r>
        <w:rPr>
          <w:rFonts w:ascii="Times New Roman" w:hAnsi="Times New Roman"/>
          <w:spacing w:val="-3"/>
          <w:sz w:val="24"/>
          <w:szCs w:val="24"/>
        </w:rPr>
        <w:t xml:space="preserve">. This happens when the absolute value of the flow velocity toward regions of higher solid fraction is less than is required to feed the shrinkage). </w:t>
      </w:r>
      <w:r w:rsidRPr="00075209">
        <w:rPr>
          <w:rFonts w:ascii="Times New Roman" w:hAnsi="Times New Roman"/>
          <w:spacing w:val="-3"/>
          <w:sz w:val="24"/>
          <w:szCs w:val="24"/>
        </w:rPr>
        <w:t xml:space="preserve">A particularly simple case occurs at the chill face of a casting. Here </w:t>
      </w:r>
      <w:r w:rsidRPr="00437FD8">
        <w:rPr>
          <w:rFonts w:ascii="Times New Roman" w:hAnsi="Times New Roman"/>
          <w:spacing w:val="-3"/>
          <w:position w:val="-6"/>
          <w:sz w:val="24"/>
          <w:szCs w:val="24"/>
        </w:rPr>
        <w:object w:dxaOrig="460" w:dyaOrig="279" w14:anchorId="3385AA1F">
          <v:shape id="_x0000_i1696" type="#_x0000_t75" style="width:23.4pt;height:14.05pt" o:ole="">
            <v:imagedata r:id="rId1286" o:title=""/>
          </v:shape>
          <o:OLEObject Type="Embed" ProgID="Equation.DSMT4" ShapeID="_x0000_i1696" DrawAspect="Content" ObjectID="_1840627262" r:id="rId1287"/>
        </w:object>
      </w:r>
      <w:r w:rsidRPr="00075209">
        <w:rPr>
          <w:rFonts w:ascii="Times New Roman" w:hAnsi="Times New Roman"/>
          <w:spacing w:val="-3"/>
          <w:sz w:val="24"/>
          <w:szCs w:val="24"/>
        </w:rPr>
        <w:t xml:space="preserve">  must be zero because there can be no flow into the chill face. This clearly produces positive macrosegregation</w:t>
      </w:r>
      <w:r>
        <w:rPr>
          <w:rFonts w:ascii="Times New Roman" w:hAnsi="Times New Roman"/>
          <w:spacing w:val="-3"/>
          <w:sz w:val="24"/>
          <w:szCs w:val="24"/>
        </w:rPr>
        <w:t>.</w:t>
      </w:r>
      <w:r w:rsidRPr="00075209">
        <w:rPr>
          <w:rFonts w:ascii="Times New Roman" w:hAnsi="Times New Roman"/>
          <w:spacing w:val="-3"/>
          <w:sz w:val="24"/>
          <w:szCs w:val="24"/>
        </w:rPr>
        <w:t xml:space="preserve">  This is commonly observed in ingots and is termed inverse segregation because it is reversed from what one would expect based on the initial transient of plane front growth</w:t>
      </w:r>
      <w:r>
        <w:rPr>
          <w:rFonts w:ascii="Times New Roman" w:hAnsi="Times New Roman"/>
          <w:spacing w:val="-3"/>
          <w:sz w:val="24"/>
          <w:szCs w:val="24"/>
        </w:rPr>
        <w:t xml:space="preserve"> (Fig. 6.1)</w:t>
      </w:r>
      <w:r w:rsidRPr="00075209">
        <w:rPr>
          <w:rFonts w:ascii="Times New Roman" w:hAnsi="Times New Roman"/>
          <w:spacing w:val="-3"/>
          <w:sz w:val="24"/>
          <w:szCs w:val="24"/>
        </w:rPr>
        <w:t>.</w:t>
      </w:r>
      <w:r w:rsidRPr="007059AE">
        <w:rPr>
          <w:rFonts w:ascii="Times New Roman" w:hAnsi="Times New Roman"/>
          <w:spacing w:val="-3"/>
          <w:sz w:val="24"/>
          <w:szCs w:val="24"/>
        </w:rPr>
        <w:t xml:space="preserve"> </w:t>
      </w:r>
    </w:p>
    <w:p w14:paraId="60811F30" w14:textId="77777777" w:rsidR="00015B17" w:rsidRDefault="00015B17" w:rsidP="00015B17">
      <w:pPr>
        <w:pStyle w:val="ListParagraph"/>
        <w:tabs>
          <w:tab w:val="left" w:pos="-1432"/>
          <w:tab w:val="left" w:pos="-1021"/>
          <w:tab w:val="left" w:pos="850"/>
          <w:tab w:val="left" w:pos="10800"/>
          <w:tab w:val="left" w:pos="11339"/>
          <w:tab w:val="left" w:pos="11905"/>
          <w:tab w:val="left" w:pos="12240"/>
        </w:tabs>
        <w:suppressAutoHyphens/>
        <w:spacing w:line="360" w:lineRule="auto"/>
        <w:ind w:left="450"/>
        <w:rPr>
          <w:rFonts w:ascii="Times New Roman" w:hAnsi="Times New Roman"/>
          <w:spacing w:val="-3"/>
          <w:sz w:val="24"/>
          <w:szCs w:val="24"/>
        </w:rPr>
      </w:pPr>
    </w:p>
    <w:p w14:paraId="54965325" w14:textId="77777777" w:rsidR="00015B17" w:rsidRDefault="00015B17" w:rsidP="00015B17">
      <w:pPr>
        <w:pStyle w:val="ListParagraph"/>
        <w:widowControl w:val="0"/>
        <w:numPr>
          <w:ilvl w:val="0"/>
          <w:numId w:val="10"/>
        </w:numPr>
        <w:tabs>
          <w:tab w:val="left" w:pos="-1432"/>
          <w:tab w:val="left" w:pos="-1021"/>
          <w:tab w:val="left" w:pos="850"/>
          <w:tab w:val="left" w:pos="10800"/>
          <w:tab w:val="left" w:pos="11339"/>
          <w:tab w:val="left" w:pos="11905"/>
          <w:tab w:val="left" w:pos="12240"/>
        </w:tabs>
        <w:suppressAutoHyphens/>
        <w:autoSpaceDE w:val="0"/>
        <w:autoSpaceDN w:val="0"/>
        <w:adjustRightInd w:val="0"/>
        <w:spacing w:after="0" w:line="360" w:lineRule="auto"/>
        <w:rPr>
          <w:rFonts w:ascii="Times New Roman" w:hAnsi="Times New Roman"/>
          <w:spacing w:val="-3"/>
          <w:sz w:val="24"/>
          <w:szCs w:val="24"/>
        </w:rPr>
      </w:pPr>
      <w:r w:rsidRPr="00AF47B5">
        <w:rPr>
          <w:rFonts w:ascii="Times New Roman" w:hAnsi="Times New Roman"/>
          <w:spacing w:val="-3"/>
          <w:position w:val="-10"/>
          <w:sz w:val="24"/>
          <w:szCs w:val="24"/>
        </w:rPr>
        <w:object w:dxaOrig="560" w:dyaOrig="320" w14:anchorId="29DC4826">
          <v:shape id="_x0000_i1697" type="#_x0000_t75" style="width:28.05pt;height:16.85pt" o:ole="">
            <v:imagedata r:id="rId1288" o:title=""/>
          </v:shape>
          <o:OLEObject Type="Embed" ProgID="Equation.DSMT4" ShapeID="_x0000_i1697" DrawAspect="Content" ObjectID="_1840627263" r:id="rId1289"/>
        </w:object>
      </w:r>
      <w:r w:rsidR="009A0EFA">
        <w:rPr>
          <w:rFonts w:ascii="Times New Roman" w:hAnsi="Times New Roman"/>
          <w:spacing w:val="-3"/>
          <w:sz w:val="24"/>
          <w:szCs w:val="24"/>
        </w:rPr>
        <w:t xml:space="preserve">, i.e., </w:t>
      </w:r>
      <w:r>
        <w:rPr>
          <w:rFonts w:ascii="Times New Roman" w:hAnsi="Times New Roman"/>
          <w:spacing w:val="-3"/>
          <w:sz w:val="24"/>
          <w:szCs w:val="24"/>
        </w:rPr>
        <w:t xml:space="preserve"> </w:t>
      </w:r>
      <w:r w:rsidR="0049546D" w:rsidRPr="0049546D">
        <w:rPr>
          <w:rFonts w:ascii="Times New Roman" w:hAnsi="Times New Roman"/>
          <w:spacing w:val="-3"/>
          <w:position w:val="-18"/>
          <w:sz w:val="24"/>
          <w:szCs w:val="24"/>
        </w:rPr>
        <w:object w:dxaOrig="1260" w:dyaOrig="480" w14:anchorId="02C89377">
          <v:shape id="_x0000_i1698" type="#_x0000_t75" style="width:62.65pt;height:24.3pt" o:ole="">
            <v:imagedata r:id="rId1290" o:title=""/>
          </v:shape>
          <o:OLEObject Type="Embed" ProgID="Equation.DSMT4" ShapeID="_x0000_i1698" DrawAspect="Content" ObjectID="_1840627264" r:id="rId1291"/>
        </w:object>
      </w:r>
      <w:r>
        <w:rPr>
          <w:rFonts w:ascii="Times New Roman" w:hAnsi="Times New Roman"/>
          <w:spacing w:val="-3"/>
          <w:sz w:val="24"/>
          <w:szCs w:val="24"/>
        </w:rPr>
        <w:t xml:space="preserve">: This condition can occur if liquid flows toward the region of lower solid fraction with a velocity higher than the isotherm velocity. Using Eqn. </w:t>
      </w:r>
      <w:r w:rsidRPr="0044318E">
        <w:rPr>
          <w:rFonts w:ascii="Times New Roman" w:hAnsi="Times New Roman"/>
          <w:spacing w:val="-3"/>
          <w:sz w:val="24"/>
          <w:szCs w:val="24"/>
        </w:rPr>
        <w:t>9.4</w:t>
      </w:r>
      <w:r>
        <w:rPr>
          <w:rFonts w:ascii="Times New Roman" w:hAnsi="Times New Roman"/>
          <w:spacing w:val="-3"/>
          <w:sz w:val="24"/>
          <w:szCs w:val="24"/>
        </w:rPr>
        <w:t xml:space="preserve"> results in solid fraction decreasing with decreasing temperature. This results in localized remelting. This is the case for channel macrosegregation discussed below.</w:t>
      </w:r>
    </w:p>
    <w:p w14:paraId="2600A30F" w14:textId="77777777" w:rsidR="00015B17" w:rsidRDefault="00015B17" w:rsidP="00015B17">
      <w:pPr>
        <w:pStyle w:val="ListParagraph"/>
        <w:tabs>
          <w:tab w:val="left" w:pos="-1432"/>
          <w:tab w:val="left" w:pos="-1021"/>
          <w:tab w:val="left" w:pos="850"/>
          <w:tab w:val="left" w:pos="10800"/>
          <w:tab w:val="left" w:pos="11339"/>
          <w:tab w:val="left" w:pos="11905"/>
          <w:tab w:val="left" w:pos="12240"/>
        </w:tabs>
        <w:suppressAutoHyphens/>
        <w:spacing w:line="360" w:lineRule="auto"/>
        <w:ind w:left="0"/>
        <w:rPr>
          <w:rFonts w:ascii="Times New Roman" w:hAnsi="Times New Roman"/>
          <w:spacing w:val="-3"/>
          <w:sz w:val="24"/>
          <w:szCs w:val="24"/>
        </w:rPr>
      </w:pPr>
    </w:p>
    <w:p w14:paraId="017C5084"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r>
        <w:rPr>
          <w:spacing w:val="-3"/>
        </w:rPr>
        <w:tab/>
        <w:t xml:space="preserve">The LSRE approach had shed significant light on macrosegregation.   However a separate analysis of the flow velocity must be performed. In simple cases the flow can be computed by treating the mushy zone as a porous media and </w:t>
      </w:r>
      <w:r>
        <w:rPr>
          <w:i/>
          <w:iCs/>
          <w:spacing w:val="-3"/>
        </w:rPr>
        <w:t>D'Arcy's Law</w:t>
      </w:r>
      <w:r>
        <w:rPr>
          <w:spacing w:val="-3"/>
        </w:rPr>
        <w:t xml:space="preserve"> is used. The pressure gradient and the body force due to gravity control the fluid velocity according to </w:t>
      </w:r>
    </w:p>
    <w:p w14:paraId="1929982B"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p>
    <w:p w14:paraId="6BBF76A5"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jc w:val="center"/>
        <w:rPr>
          <w:spacing w:val="-3"/>
        </w:rPr>
      </w:pPr>
      <w:r w:rsidRPr="001F14D0">
        <w:rPr>
          <w:position w:val="-30"/>
        </w:rPr>
        <w:object w:dxaOrig="2160" w:dyaOrig="680" w14:anchorId="63CDFA28">
          <v:shape id="_x0000_i1699" type="#_x0000_t75" style="width:108.45pt;height:33.65pt" o:ole="">
            <v:imagedata r:id="rId1292" o:title=""/>
          </v:shape>
          <o:OLEObject Type="Embed" ProgID="Equation.DSMT4" ShapeID="_x0000_i1699" DrawAspect="Content" ObjectID="_1840627265" r:id="rId1293"/>
        </w:object>
      </w:r>
      <w:r>
        <w:t xml:space="preserve"> </w:t>
      </w:r>
      <w:r w:rsidR="006E6FC2">
        <w:t>,</w:t>
      </w:r>
      <w:r>
        <w:t xml:space="preserve">  </w:t>
      </w:r>
      <w:r>
        <w:rPr>
          <w:spacing w:val="-3"/>
        </w:rPr>
        <w:t>(9.6)</w:t>
      </w:r>
      <w:r w:rsidRPr="00FC59FE">
        <w:rPr>
          <w:color w:val="FF0000"/>
          <w:spacing w:val="-3"/>
        </w:rPr>
        <w:t xml:space="preserve"> </w:t>
      </w:r>
    </w:p>
    <w:p w14:paraId="2B379928"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p>
    <w:p w14:paraId="0EFB637C" w14:textId="508D011D" w:rsidR="00015B17" w:rsidRDefault="006E6FC2"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r>
        <w:rPr>
          <w:spacing w:val="-3"/>
        </w:rPr>
        <w:t>w</w:t>
      </w:r>
      <w:r w:rsidR="00015B17">
        <w:rPr>
          <w:spacing w:val="-3"/>
        </w:rPr>
        <w:t>here</w:t>
      </w:r>
      <w:r w:rsidR="007D26B6">
        <w:rPr>
          <w:spacing w:val="-3"/>
        </w:rPr>
        <w:t>,</w:t>
      </w:r>
      <w:r w:rsidR="00015B17">
        <w:rPr>
          <w:spacing w:val="-3"/>
        </w:rPr>
        <w:t xml:space="preserve"> </w:t>
      </w:r>
      <w:r w:rsidR="00015B17">
        <w:rPr>
          <w:i/>
          <w:iCs/>
          <w:spacing w:val="-3"/>
        </w:rPr>
        <w:t>K</w:t>
      </w:r>
      <w:r w:rsidR="00015B17">
        <w:rPr>
          <w:spacing w:val="-3"/>
        </w:rPr>
        <w:t xml:space="preserve"> = specific permeability; </w:t>
      </w:r>
      <w:r w:rsidR="00015B17" w:rsidRPr="003F4B5A">
        <w:rPr>
          <w:spacing w:val="-3"/>
        </w:rPr>
        <w:fldChar w:fldCharType="begin"/>
      </w:r>
      <w:r w:rsidR="00015B17" w:rsidRPr="003F4B5A">
        <w:rPr>
          <w:spacing w:val="-3"/>
        </w:rPr>
        <w:instrText xml:space="preserve"> QUOTE </w:instrText>
      </w:r>
      <m:oMath>
        <m:r>
          <w:rPr>
            <w:rFonts w:ascii="Cambria Math" w:hAnsi="Cambria Math"/>
            <w:i/>
            <w:spacing w:val="-3"/>
          </w:rPr>
          <w:sym w:font="Symbol" w:char="F068"/>
        </m:r>
      </m:oMath>
      <w:r w:rsidR="00015B17" w:rsidRPr="003F4B5A">
        <w:rPr>
          <w:spacing w:val="-3"/>
        </w:rPr>
        <w:instrText xml:space="preserve"> </w:instrText>
      </w:r>
      <w:r w:rsidR="00015B17" w:rsidRPr="003F4B5A">
        <w:rPr>
          <w:spacing w:val="-3"/>
        </w:rPr>
        <w:fldChar w:fldCharType="separate"/>
      </w:r>
      <w:r w:rsidR="00015B17" w:rsidRPr="001F14D0">
        <w:rPr>
          <w:spacing w:val="-3"/>
          <w:position w:val="-10"/>
        </w:rPr>
        <w:object w:dxaOrig="200" w:dyaOrig="260" w14:anchorId="34E82DB3">
          <v:shape id="_x0000_i1700" type="#_x0000_t75" style="width:10.3pt;height:13.1pt" o:ole="">
            <v:imagedata r:id="rId1294" o:title=""/>
          </v:shape>
          <o:OLEObject Type="Embed" ProgID="Equation.DSMT4" ShapeID="_x0000_i1700" DrawAspect="Content" ObjectID="_1840627266" r:id="rId1295"/>
        </w:object>
      </w:r>
      <w:r w:rsidR="00015B17" w:rsidRPr="003F4B5A">
        <w:rPr>
          <w:spacing w:val="-3"/>
        </w:rPr>
        <w:fldChar w:fldCharType="end"/>
      </w:r>
      <w:r w:rsidR="00015B17">
        <w:rPr>
          <w:spacing w:val="-3"/>
        </w:rPr>
        <w:t xml:space="preserve"> = viscosity of the interdendritic liquid; </w:t>
      </w:r>
      <w:r w:rsidR="00015B17">
        <w:rPr>
          <w:spacing w:val="-3"/>
        </w:rPr>
        <w:sym w:font="Symbol" w:char="F0D1"/>
      </w:r>
      <w:r w:rsidR="00015B17">
        <w:rPr>
          <w:i/>
          <w:iCs/>
          <w:spacing w:val="-3"/>
        </w:rPr>
        <w:t>P</w:t>
      </w:r>
      <w:r w:rsidR="00015B17">
        <w:rPr>
          <w:spacing w:val="-3"/>
        </w:rPr>
        <w:t xml:space="preserve"> = pressure gradient;</w:t>
      </w:r>
      <w:r w:rsidR="00015B17">
        <w:rPr>
          <w:i/>
          <w:iCs/>
          <w:spacing w:val="-3"/>
        </w:rPr>
        <w:t xml:space="preserve"> </w:t>
      </w:r>
      <w:r w:rsidR="00015B17">
        <w:rPr>
          <w:spacing w:val="-3"/>
        </w:rPr>
        <w:t xml:space="preserve"> </w:t>
      </w:r>
      <w:r w:rsidR="00015B17" w:rsidRPr="00841862">
        <w:rPr>
          <w:spacing w:val="-3"/>
          <w:position w:val="-10"/>
        </w:rPr>
        <w:object w:dxaOrig="220" w:dyaOrig="320" w14:anchorId="4A2E0EDC">
          <v:shape id="_x0000_i1701" type="#_x0000_t75" style="width:10.3pt;height:16.85pt" o:ole="">
            <v:imagedata r:id="rId1296" o:title=""/>
          </v:shape>
          <o:OLEObject Type="Embed" ProgID="Equation.DSMT4" ShapeID="_x0000_i1701" DrawAspect="Content" ObjectID="_1840627267" r:id="rId1297"/>
        </w:object>
      </w:r>
      <w:r w:rsidR="00015B17">
        <w:rPr>
          <w:spacing w:val="-3"/>
        </w:rPr>
        <w:t xml:space="preserve"> = acceleration vector due to gravity. Determining an accurate expression for the permeability of a mushy zone is a difficult problem since the value of</w:t>
      </w:r>
      <w:r w:rsidR="00015B17">
        <w:rPr>
          <w:i/>
          <w:iCs/>
          <w:spacing w:val="-3"/>
        </w:rPr>
        <w:t xml:space="preserve"> K </w:t>
      </w:r>
      <w:r w:rsidR="00015B17">
        <w:rPr>
          <w:spacing w:val="-3"/>
        </w:rPr>
        <w:t>depends on interdendritic channel size and geometry. The Blake-Kozeny form for the permeability is widely used and is given by</w:t>
      </w:r>
    </w:p>
    <w:p w14:paraId="5D243841"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r>
        <w:rPr>
          <w:spacing w:val="-3"/>
        </w:rPr>
        <w:t xml:space="preserve"> </w:t>
      </w:r>
    </w:p>
    <w:p w14:paraId="518EF5E5"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jc w:val="center"/>
        <w:rPr>
          <w:spacing w:val="-3"/>
        </w:rPr>
      </w:pPr>
      <w:r w:rsidRPr="00A9179F">
        <w:rPr>
          <w:position w:val="-38"/>
        </w:rPr>
        <w:object w:dxaOrig="1280" w:dyaOrig="800" w14:anchorId="63FCD7CD">
          <v:shape id="_x0000_i1702" type="#_x0000_t75" style="width:63.6pt;height:40.2pt" o:ole="">
            <v:imagedata r:id="rId1298" o:title=""/>
          </v:shape>
          <o:OLEObject Type="Embed" ProgID="Equation.DSMT4" ShapeID="_x0000_i1702" DrawAspect="Content" ObjectID="_1840627268" r:id="rId1299"/>
        </w:object>
      </w:r>
      <w:r>
        <w:t xml:space="preserve">   </w:t>
      </w:r>
      <w:r w:rsidR="006E6FC2">
        <w:t xml:space="preserve">,    </w:t>
      </w:r>
      <w:r>
        <w:rPr>
          <w:spacing w:val="-3"/>
        </w:rPr>
        <w:t>(9.7)</w:t>
      </w:r>
    </w:p>
    <w:p w14:paraId="747C3BB0"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p>
    <w:p w14:paraId="5D0AC58C" w14:textId="4123C9F1" w:rsidR="00015B17" w:rsidRPr="00527779" w:rsidRDefault="006E6FC2" w:rsidP="00015B17">
      <w:pPr>
        <w:spacing w:line="360" w:lineRule="auto"/>
        <w:rPr>
          <w:spacing w:val="-3"/>
        </w:rPr>
      </w:pPr>
      <w:r>
        <w:rPr>
          <w:spacing w:val="-3"/>
        </w:rPr>
        <w:t>w</w:t>
      </w:r>
      <w:r w:rsidR="00015B17">
        <w:rPr>
          <w:spacing w:val="-3"/>
        </w:rPr>
        <w:t xml:space="preserve">here </w:t>
      </w:r>
      <w:r w:rsidR="00015B17" w:rsidRPr="00527779">
        <w:rPr>
          <w:i/>
          <w:spacing w:val="-3"/>
        </w:rPr>
        <w:t>C</w:t>
      </w:r>
      <w:r w:rsidR="00015B17">
        <w:rPr>
          <w:color w:val="FF0000"/>
          <w:spacing w:val="-3"/>
        </w:rPr>
        <w:t xml:space="preserve"> </w:t>
      </w:r>
      <w:r w:rsidR="00015B17" w:rsidRPr="00527779">
        <w:rPr>
          <w:spacing w:val="-3"/>
        </w:rPr>
        <w:t xml:space="preserve">is a constant with a value of </w:t>
      </w:r>
      <w:r w:rsidR="00015B17">
        <w:rPr>
          <w:spacing w:val="-3"/>
        </w:rPr>
        <w:t xml:space="preserve">about </w:t>
      </w:r>
      <w:r w:rsidR="00015B17" w:rsidRPr="00527779">
        <w:rPr>
          <w:spacing w:val="-3"/>
        </w:rPr>
        <w:t>0.2</w:t>
      </w:r>
      <w:r w:rsidR="00015B17">
        <w:rPr>
          <w:color w:val="FF0000"/>
          <w:spacing w:val="-3"/>
        </w:rPr>
        <w:t xml:space="preserve"> </w:t>
      </w:r>
      <w:r w:rsidR="00015B17">
        <w:rPr>
          <w:spacing w:val="-3"/>
        </w:rPr>
        <w:t xml:space="preserve">and </w:t>
      </w:r>
      <w:r w:rsidR="00015B17" w:rsidRPr="00C865BF">
        <w:rPr>
          <w:spacing w:val="-3"/>
          <w:position w:val="-6"/>
        </w:rPr>
        <w:object w:dxaOrig="220" w:dyaOrig="279" w14:anchorId="75EFB10E">
          <v:shape id="_x0000_i1703" type="#_x0000_t75" style="width:10.3pt;height:14.05pt" o:ole="">
            <v:imagedata r:id="rId1300" o:title=""/>
          </v:shape>
          <o:OLEObject Type="Embed" ProgID="Equation.DSMT4" ShapeID="_x0000_i1703" DrawAspect="Content" ObjectID="_1840627269" r:id="rId1301"/>
        </w:object>
      </w:r>
      <w:r w:rsidR="00015B17">
        <w:rPr>
          <w:spacing w:val="-3"/>
        </w:rPr>
        <w:t xml:space="preserve"> a characteristic dimension. It is </w:t>
      </w:r>
      <w:r w:rsidR="00015B17" w:rsidRPr="00527779">
        <w:rPr>
          <w:spacing w:val="-3"/>
        </w:rPr>
        <w:t>either</w:t>
      </w:r>
      <w:r w:rsidR="00015B17">
        <w:rPr>
          <w:spacing w:val="-3"/>
        </w:rPr>
        <w:t xml:space="preserve"> the primary or secondary dendrite arm spacing. A better measure is </w:t>
      </w:r>
      <w:r w:rsidR="00015B17" w:rsidRPr="00527779">
        <w:rPr>
          <w:spacing w:val="-3"/>
        </w:rPr>
        <w:t xml:space="preserve">the </w:t>
      </w:r>
      <w:r w:rsidR="006363EC">
        <w:rPr>
          <w:spacing w:val="-3"/>
        </w:rPr>
        <w:t xml:space="preserve">L-S interface area per </w:t>
      </w:r>
      <w:r w:rsidR="00FC30A1">
        <w:rPr>
          <w:spacing w:val="-3"/>
        </w:rPr>
        <w:t>unit</w:t>
      </w:r>
      <w:r w:rsidR="006363EC">
        <w:rPr>
          <w:spacing w:val="-3"/>
        </w:rPr>
        <w:t xml:space="preserve"> volume</w:t>
      </w:r>
      <w:r w:rsidR="00015B17" w:rsidRPr="00527779">
        <w:rPr>
          <w:spacing w:val="-3"/>
        </w:rPr>
        <w:t>.</w:t>
      </w:r>
    </w:p>
    <w:p w14:paraId="01497A62" w14:textId="77777777" w:rsidR="00015B17" w:rsidRDefault="00015B17" w:rsidP="00015B17">
      <w:pPr>
        <w:spacing w:line="360" w:lineRule="auto"/>
        <w:jc w:val="center"/>
        <w:rPr>
          <w:spacing w:val="-3"/>
        </w:rPr>
      </w:pPr>
    </w:p>
    <w:p w14:paraId="7AE8B201" w14:textId="148DFD4D" w:rsidR="00015B17" w:rsidRPr="005524CD" w:rsidRDefault="00015B17" w:rsidP="00015B17">
      <w:pPr>
        <w:spacing w:line="360" w:lineRule="auto"/>
      </w:pPr>
      <w:r>
        <w:tab/>
        <w:t xml:space="preserve">Erdman et al. </w:t>
      </w:r>
      <w:r w:rsidRPr="005524CD">
        <w:t xml:space="preserve"> (2010) provide a comprehensive review of permeability of the mushy zone for both columnar and equiaxed microstructures. For equiaxed dendrites, </w:t>
      </w:r>
      <w:r w:rsidRPr="005524CD">
        <w:lastRenderedPageBreak/>
        <w:t xml:space="preserve">permeability </w:t>
      </w:r>
      <w:r w:rsidR="006363EC" w:rsidRPr="005524CD">
        <w:t>is</w:t>
      </w:r>
      <w:r w:rsidR="006363EC">
        <w:t xml:space="preserve"> treated as </w:t>
      </w:r>
      <w:r w:rsidRPr="005524CD">
        <w:t xml:space="preserve">a scalar quantity. For </w:t>
      </w:r>
      <w:r>
        <w:t xml:space="preserve">a </w:t>
      </w:r>
      <w:r w:rsidRPr="005524CD">
        <w:t>columnar microstructure</w:t>
      </w:r>
      <w:r>
        <w:t xml:space="preserve"> it is a tensor. </w:t>
      </w:r>
      <w:r w:rsidRPr="005524CD">
        <w:t xml:space="preserve"> </w:t>
      </w:r>
      <w:r>
        <w:t xml:space="preserve">The tensor </w:t>
      </w:r>
      <w:r w:rsidRPr="005524CD">
        <w:t xml:space="preserve">is treated as </w:t>
      </w:r>
      <w:r>
        <w:t xml:space="preserve">transversely isotropic </w:t>
      </w:r>
      <w:r w:rsidRPr="005524CD">
        <w:t>with two unique values</w:t>
      </w:r>
      <w:r>
        <w:t xml:space="preserve">: </w:t>
      </w:r>
      <w:r w:rsidRPr="00223CC4">
        <w:rPr>
          <w:position w:val="-10"/>
        </w:rPr>
        <w:object w:dxaOrig="380" w:dyaOrig="340" w14:anchorId="07686146">
          <v:shape id="_x0000_i1704" type="#_x0000_t75" style="width:18.7pt;height:16.85pt" o:ole="">
            <v:imagedata r:id="rId1302" o:title=""/>
          </v:shape>
          <o:OLEObject Type="Embed" ProgID="Equation.DSMT4" ShapeID="_x0000_i1704" DrawAspect="Content" ObjectID="_1840627270" r:id="rId1303"/>
        </w:object>
      </w:r>
      <w:r w:rsidRPr="003E0F31">
        <w:t xml:space="preserve"> </w:t>
      </w:r>
      <w:r w:rsidRPr="005524CD">
        <w:t xml:space="preserve">parallel to </w:t>
      </w:r>
      <w:r>
        <w:t>the primary dendrite trunks</w:t>
      </w:r>
      <w:r w:rsidRPr="005524CD">
        <w:t xml:space="preserve">, and </w:t>
      </w:r>
      <w:r w:rsidRPr="00223CC4">
        <w:rPr>
          <w:position w:val="-14"/>
        </w:rPr>
        <w:object w:dxaOrig="980" w:dyaOrig="380" w14:anchorId="4A685F38">
          <v:shape id="_x0000_i1705" type="#_x0000_t75" style="width:48.6pt;height:18.7pt" o:ole="">
            <v:imagedata r:id="rId1304" o:title=""/>
          </v:shape>
          <o:OLEObject Type="Embed" ProgID="Equation.DSMT4" ShapeID="_x0000_i1705" DrawAspect="Content" ObjectID="_1840627271" r:id="rId1305"/>
        </w:object>
      </w:r>
      <w:r>
        <w:t xml:space="preserve"> transverse to the dendrite trunks. </w:t>
      </w:r>
      <w:r w:rsidRPr="005524CD">
        <w:t xml:space="preserve">Variation of </w:t>
      </w:r>
      <w:r>
        <w:t xml:space="preserve">the </w:t>
      </w:r>
      <w:r w:rsidRPr="005524CD">
        <w:t xml:space="preserve">permeability as a function of liquid fraction </w:t>
      </w:r>
      <w:r>
        <w:t xml:space="preserve">is also summarized </w:t>
      </w:r>
      <w:r w:rsidR="006363EC">
        <w:t xml:space="preserve">by these authors </w:t>
      </w:r>
      <w:r w:rsidRPr="005524CD">
        <w:t xml:space="preserve">for both columnar and equiaxed microstructures using both experimental </w:t>
      </w:r>
      <w:r w:rsidR="006363EC">
        <w:t xml:space="preserve">and </w:t>
      </w:r>
      <w:r w:rsidR="006363EC" w:rsidRPr="005524CD">
        <w:t xml:space="preserve">numerical </w:t>
      </w:r>
      <w:r w:rsidRPr="005524CD">
        <w:t xml:space="preserve">results. Numerical results were </w:t>
      </w:r>
      <w:r w:rsidR="006363EC">
        <w:t>necessary</w:t>
      </w:r>
      <w:r w:rsidR="006363EC" w:rsidRPr="005524CD">
        <w:t xml:space="preserve"> </w:t>
      </w:r>
      <w:r w:rsidRPr="005524CD">
        <w:t>for large liquid fractions as it is difficult to obtain such values experimentally.</w:t>
      </w:r>
    </w:p>
    <w:p w14:paraId="4C01B73E" w14:textId="77777777" w:rsidR="00015B17" w:rsidRDefault="00015B17" w:rsidP="00015B17">
      <w:pPr>
        <w:pStyle w:val="ListParagraph"/>
        <w:tabs>
          <w:tab w:val="left" w:pos="-1432"/>
          <w:tab w:val="left" w:pos="-1021"/>
          <w:tab w:val="left" w:pos="850"/>
          <w:tab w:val="left" w:pos="10800"/>
          <w:tab w:val="left" w:pos="11339"/>
          <w:tab w:val="left" w:pos="11905"/>
          <w:tab w:val="left" w:pos="12240"/>
        </w:tabs>
        <w:suppressAutoHyphens/>
        <w:spacing w:line="360" w:lineRule="auto"/>
        <w:ind w:left="0"/>
        <w:rPr>
          <w:rFonts w:ascii="Times New Roman" w:hAnsi="Times New Roman"/>
          <w:spacing w:val="-3"/>
          <w:sz w:val="24"/>
          <w:szCs w:val="24"/>
        </w:rPr>
      </w:pPr>
      <w:r>
        <w:rPr>
          <w:rFonts w:ascii="Times New Roman" w:hAnsi="Times New Roman"/>
          <w:color w:val="FF0000"/>
          <w:spacing w:val="-3"/>
          <w:sz w:val="24"/>
          <w:szCs w:val="24"/>
        </w:rPr>
        <w:tab/>
      </w:r>
    </w:p>
    <w:p w14:paraId="78DF93AC" w14:textId="77777777" w:rsidR="00015B17" w:rsidRDefault="00015B17" w:rsidP="00015B17">
      <w:pPr>
        <w:pStyle w:val="ListParagraph"/>
        <w:tabs>
          <w:tab w:val="left" w:pos="-1432"/>
          <w:tab w:val="left" w:pos="-1021"/>
          <w:tab w:val="left" w:pos="850"/>
          <w:tab w:val="left" w:pos="10800"/>
          <w:tab w:val="left" w:pos="11339"/>
          <w:tab w:val="left" w:pos="11905"/>
          <w:tab w:val="left" w:pos="12240"/>
        </w:tabs>
        <w:suppressAutoHyphens/>
        <w:spacing w:line="360" w:lineRule="auto"/>
        <w:ind w:left="0"/>
        <w:rPr>
          <w:rFonts w:ascii="Times New Roman" w:hAnsi="Times New Roman"/>
          <w:spacing w:val="-3"/>
          <w:sz w:val="24"/>
          <w:szCs w:val="24"/>
        </w:rPr>
      </w:pPr>
      <w:r>
        <w:rPr>
          <w:rFonts w:ascii="Times New Roman" w:hAnsi="Times New Roman"/>
          <w:spacing w:val="-3"/>
          <w:sz w:val="24"/>
          <w:szCs w:val="24"/>
        </w:rPr>
        <w:tab/>
        <w:t>Another topic that has received attention is the change in macrosegregation due to deformation of the mushy zone.  Such deformation can suck or squeeze liquid in or out of the dendritic mush altering the macrosegregation profile. Using a simple theoretical approach, Lesoult and Sella (1988) employed a modified form of the LSRE in which they considered the influence of interdendritic strains and deformation of the solid network on the volume of the mushy zone element. This model allowed a simple prediction of the centerline segregation.  Other more complicated approaches to treat deformation of the mushy zone are described in the next section.</w:t>
      </w:r>
    </w:p>
    <w:p w14:paraId="343118A2" w14:textId="77777777" w:rsidR="00015B17" w:rsidRDefault="00015B17" w:rsidP="00015B17">
      <w:pPr>
        <w:pStyle w:val="ListParagraph"/>
        <w:tabs>
          <w:tab w:val="left" w:pos="-1432"/>
          <w:tab w:val="left" w:pos="-1021"/>
          <w:tab w:val="left" w:pos="850"/>
          <w:tab w:val="left" w:pos="10800"/>
          <w:tab w:val="left" w:pos="11339"/>
          <w:tab w:val="left" w:pos="11905"/>
          <w:tab w:val="left" w:pos="12240"/>
        </w:tabs>
        <w:suppressAutoHyphens/>
        <w:spacing w:line="360" w:lineRule="auto"/>
        <w:ind w:left="0"/>
        <w:rPr>
          <w:rFonts w:ascii="Times New Roman" w:hAnsi="Times New Roman"/>
          <w:spacing w:val="-3"/>
          <w:sz w:val="24"/>
          <w:szCs w:val="24"/>
        </w:rPr>
      </w:pPr>
    </w:p>
    <w:p w14:paraId="5A8ACF19" w14:textId="77777777" w:rsidR="00015B17" w:rsidRDefault="00015B17" w:rsidP="00015B17">
      <w:pPr>
        <w:pStyle w:val="ListParagraph"/>
        <w:tabs>
          <w:tab w:val="left" w:pos="-1432"/>
          <w:tab w:val="left" w:pos="-1021"/>
          <w:tab w:val="left" w:pos="850"/>
          <w:tab w:val="left" w:pos="10800"/>
          <w:tab w:val="left" w:pos="11339"/>
          <w:tab w:val="left" w:pos="11905"/>
          <w:tab w:val="left" w:pos="12240"/>
        </w:tabs>
        <w:suppressAutoHyphens/>
        <w:spacing w:line="360" w:lineRule="auto"/>
        <w:ind w:left="0"/>
        <w:rPr>
          <w:rFonts w:ascii="Times New Roman" w:hAnsi="Times New Roman"/>
          <w:b/>
          <w:spacing w:val="-3"/>
          <w:sz w:val="24"/>
          <w:szCs w:val="24"/>
        </w:rPr>
      </w:pPr>
      <w:r>
        <w:rPr>
          <w:rFonts w:ascii="Times New Roman" w:hAnsi="Times New Roman"/>
          <w:b/>
          <w:bCs/>
          <w:sz w:val="24"/>
          <w:szCs w:val="24"/>
        </w:rPr>
        <w:t xml:space="preserve">9.3.1.2 </w:t>
      </w:r>
      <w:r>
        <w:rPr>
          <w:rFonts w:ascii="Times New Roman" w:hAnsi="Times New Roman"/>
          <w:b/>
          <w:spacing w:val="-3"/>
          <w:sz w:val="24"/>
          <w:szCs w:val="24"/>
        </w:rPr>
        <w:t>S</w:t>
      </w:r>
      <w:r w:rsidRPr="000E2419">
        <w:rPr>
          <w:rFonts w:ascii="Times New Roman" w:hAnsi="Times New Roman"/>
          <w:b/>
          <w:spacing w:val="-3"/>
          <w:sz w:val="24"/>
          <w:szCs w:val="24"/>
        </w:rPr>
        <w:t xml:space="preserve">olution of the </w:t>
      </w:r>
      <w:r>
        <w:rPr>
          <w:rFonts w:ascii="Times New Roman" w:hAnsi="Times New Roman"/>
          <w:b/>
          <w:spacing w:val="-3"/>
          <w:sz w:val="24"/>
          <w:szCs w:val="24"/>
        </w:rPr>
        <w:t>transport</w:t>
      </w:r>
      <w:r w:rsidRPr="000E2419">
        <w:rPr>
          <w:rFonts w:ascii="Times New Roman" w:hAnsi="Times New Roman"/>
          <w:b/>
          <w:spacing w:val="-3"/>
          <w:sz w:val="24"/>
          <w:szCs w:val="24"/>
        </w:rPr>
        <w:t xml:space="preserve"> equations </w:t>
      </w:r>
      <w:r>
        <w:rPr>
          <w:rFonts w:ascii="Times New Roman" w:hAnsi="Times New Roman"/>
          <w:b/>
          <w:spacing w:val="-3"/>
          <w:sz w:val="24"/>
          <w:szCs w:val="24"/>
        </w:rPr>
        <w:t xml:space="preserve">for macrosegregation during columnar solidification </w:t>
      </w:r>
    </w:p>
    <w:p w14:paraId="1A37E087" w14:textId="77777777" w:rsidR="00015B17" w:rsidRDefault="00015B17" w:rsidP="00015B17">
      <w:pPr>
        <w:pStyle w:val="ListParagraph"/>
        <w:tabs>
          <w:tab w:val="left" w:pos="-1432"/>
          <w:tab w:val="left" w:pos="-1021"/>
          <w:tab w:val="left" w:pos="850"/>
          <w:tab w:val="left" w:pos="10800"/>
          <w:tab w:val="left" w:pos="11339"/>
          <w:tab w:val="left" w:pos="11905"/>
          <w:tab w:val="left" w:pos="12240"/>
        </w:tabs>
        <w:suppressAutoHyphens/>
        <w:spacing w:line="360" w:lineRule="auto"/>
        <w:ind w:left="0"/>
        <w:rPr>
          <w:rFonts w:ascii="Times New Roman" w:hAnsi="Times New Roman"/>
          <w:b/>
          <w:spacing w:val="-3"/>
          <w:sz w:val="24"/>
          <w:szCs w:val="24"/>
        </w:rPr>
      </w:pPr>
    </w:p>
    <w:p w14:paraId="6CAD6AD7" w14:textId="532B717E" w:rsidR="00015B17" w:rsidRDefault="00015B17" w:rsidP="00015B17">
      <w:pPr>
        <w:pStyle w:val="ListParagraph"/>
        <w:tabs>
          <w:tab w:val="left" w:pos="-1432"/>
          <w:tab w:val="left" w:pos="-1021"/>
          <w:tab w:val="left" w:pos="850"/>
          <w:tab w:val="left" w:pos="10800"/>
          <w:tab w:val="left" w:pos="11339"/>
          <w:tab w:val="left" w:pos="11905"/>
          <w:tab w:val="left" w:pos="12240"/>
        </w:tabs>
        <w:suppressAutoHyphens/>
        <w:spacing w:line="360" w:lineRule="auto"/>
        <w:ind w:left="0"/>
        <w:rPr>
          <w:rFonts w:ascii="Times New Roman" w:hAnsi="Times New Roman"/>
          <w:spacing w:val="-3"/>
          <w:sz w:val="24"/>
          <w:szCs w:val="24"/>
        </w:rPr>
      </w:pPr>
      <w:r>
        <w:rPr>
          <w:rFonts w:ascii="Times New Roman" w:hAnsi="Times New Roman"/>
          <w:spacing w:val="-3"/>
          <w:sz w:val="24"/>
          <w:szCs w:val="24"/>
        </w:rPr>
        <w:tab/>
        <w:t xml:space="preserve">One of the major shortcomings of using the LSRE approach discussed above to predict macrosegregation is that these models neglect flow in the fully liquid region ahead of the mushy region. In addition, some types of macrosegregation shown in Fig. 9. 8 </w:t>
      </w:r>
      <w:r w:rsidR="0041576B">
        <w:rPr>
          <w:rFonts w:ascii="Times New Roman" w:hAnsi="Times New Roman"/>
          <w:spacing w:val="-3"/>
          <w:sz w:val="24"/>
          <w:szCs w:val="24"/>
        </w:rPr>
        <w:t>cannot</w:t>
      </w:r>
      <w:r>
        <w:rPr>
          <w:rFonts w:ascii="Times New Roman" w:hAnsi="Times New Roman"/>
          <w:spacing w:val="-3"/>
          <w:sz w:val="24"/>
          <w:szCs w:val="24"/>
        </w:rPr>
        <w:t xml:space="preserve"> be predicted using the LSRE method; viz., V-segregates, negative cone segregation and channel segregates.</w:t>
      </w:r>
    </w:p>
    <w:p w14:paraId="53E8A51A" w14:textId="77777777" w:rsidR="00015B17" w:rsidRDefault="00015B17" w:rsidP="00015B17">
      <w:pPr>
        <w:pStyle w:val="ListParagraph"/>
        <w:tabs>
          <w:tab w:val="left" w:pos="-1432"/>
          <w:tab w:val="left" w:pos="-1021"/>
          <w:tab w:val="left" w:pos="850"/>
          <w:tab w:val="left" w:pos="10800"/>
          <w:tab w:val="left" w:pos="11339"/>
          <w:tab w:val="left" w:pos="11905"/>
          <w:tab w:val="left" w:pos="12240"/>
        </w:tabs>
        <w:suppressAutoHyphens/>
        <w:spacing w:line="360" w:lineRule="auto"/>
        <w:ind w:left="0"/>
        <w:rPr>
          <w:rFonts w:ascii="Times New Roman" w:hAnsi="Times New Roman"/>
          <w:spacing w:val="-3"/>
          <w:sz w:val="24"/>
          <w:szCs w:val="24"/>
        </w:rPr>
      </w:pPr>
    </w:p>
    <w:p w14:paraId="1F12BEF9" w14:textId="77777777" w:rsidR="00015B17" w:rsidRPr="00904860" w:rsidRDefault="00015B17" w:rsidP="00015B17">
      <w:pPr>
        <w:pStyle w:val="ListParagraph"/>
        <w:tabs>
          <w:tab w:val="left" w:pos="-1432"/>
          <w:tab w:val="left" w:pos="-1021"/>
          <w:tab w:val="left" w:pos="850"/>
          <w:tab w:val="left" w:pos="10800"/>
          <w:tab w:val="left" w:pos="11339"/>
          <w:tab w:val="left" w:pos="11905"/>
          <w:tab w:val="left" w:pos="12240"/>
        </w:tabs>
        <w:suppressAutoHyphens/>
        <w:spacing w:line="360" w:lineRule="auto"/>
        <w:ind w:left="0"/>
        <w:rPr>
          <w:rFonts w:ascii="Times New Roman" w:hAnsi="Times New Roman"/>
          <w:spacing w:val="-3"/>
          <w:sz w:val="24"/>
          <w:szCs w:val="24"/>
        </w:rPr>
      </w:pPr>
      <w:r>
        <w:rPr>
          <w:rFonts w:ascii="Times New Roman" w:hAnsi="Times New Roman"/>
          <w:spacing w:val="-3"/>
          <w:sz w:val="24"/>
          <w:szCs w:val="24"/>
        </w:rPr>
        <w:tab/>
      </w:r>
      <w:r w:rsidRPr="00101AE5">
        <w:rPr>
          <w:rFonts w:ascii="Times New Roman" w:hAnsi="Times New Roman"/>
          <w:spacing w:val="-3"/>
          <w:sz w:val="24"/>
          <w:szCs w:val="24"/>
        </w:rPr>
        <w:t>Ridder</w:t>
      </w:r>
      <w:r>
        <w:rPr>
          <w:rFonts w:ascii="Times New Roman" w:hAnsi="Times New Roman"/>
          <w:spacing w:val="-3"/>
          <w:sz w:val="24"/>
          <w:szCs w:val="24"/>
        </w:rPr>
        <w:t xml:space="preserve"> et al. (1981) were first to model the influence of flow in bulk liquid on the flow in the mushy zone. They investigated a case appropriate to electro-slag remelting and employed a</w:t>
      </w:r>
      <w:r w:rsidRPr="00F801B0">
        <w:rPr>
          <w:rFonts w:ascii="Times New Roman" w:hAnsi="Times New Roman"/>
          <w:spacing w:val="-3"/>
          <w:sz w:val="24"/>
          <w:szCs w:val="24"/>
        </w:rPr>
        <w:t xml:space="preserve"> three domain model </w:t>
      </w:r>
      <w:r>
        <w:rPr>
          <w:rFonts w:ascii="Times New Roman" w:hAnsi="Times New Roman"/>
          <w:spacing w:val="-3"/>
          <w:sz w:val="24"/>
          <w:szCs w:val="24"/>
        </w:rPr>
        <w:t xml:space="preserve">with sharp boundaries between </w:t>
      </w:r>
      <w:r w:rsidR="006363EC">
        <w:rPr>
          <w:rFonts w:ascii="Times New Roman" w:hAnsi="Times New Roman"/>
          <w:spacing w:val="-3"/>
          <w:sz w:val="24"/>
          <w:szCs w:val="24"/>
        </w:rPr>
        <w:t xml:space="preserve">the </w:t>
      </w:r>
      <w:r>
        <w:rPr>
          <w:rFonts w:ascii="Times New Roman" w:hAnsi="Times New Roman"/>
          <w:spacing w:val="-3"/>
          <w:sz w:val="24"/>
          <w:szCs w:val="24"/>
        </w:rPr>
        <w:t>fully liquid zone, the mush and the fully solid zone. They determined for the case examined that t</w:t>
      </w:r>
      <w:r w:rsidRPr="00904860">
        <w:rPr>
          <w:rFonts w:ascii="Times New Roman" w:hAnsi="Times New Roman"/>
          <w:spacing w:val="-3"/>
          <w:sz w:val="24"/>
          <w:szCs w:val="24"/>
        </w:rPr>
        <w:t xml:space="preserve">he fluid flow in </w:t>
      </w:r>
      <w:r w:rsidRPr="00904860">
        <w:rPr>
          <w:rFonts w:ascii="Times New Roman" w:hAnsi="Times New Roman"/>
          <w:spacing w:val="-3"/>
          <w:sz w:val="24"/>
          <w:szCs w:val="24"/>
        </w:rPr>
        <w:lastRenderedPageBreak/>
        <w:t>the liquid metal pool, due to</w:t>
      </w:r>
      <w:r>
        <w:rPr>
          <w:rFonts w:ascii="Times New Roman" w:hAnsi="Times New Roman"/>
          <w:spacing w:val="-3"/>
          <w:sz w:val="24"/>
          <w:szCs w:val="24"/>
        </w:rPr>
        <w:t xml:space="preserve"> </w:t>
      </w:r>
      <w:r w:rsidRPr="00904860">
        <w:rPr>
          <w:rFonts w:ascii="Times New Roman" w:hAnsi="Times New Roman"/>
          <w:spacing w:val="-3"/>
          <w:sz w:val="24"/>
          <w:szCs w:val="24"/>
        </w:rPr>
        <w:t>natural convection</w:t>
      </w:r>
      <w:r>
        <w:rPr>
          <w:rFonts w:ascii="Times New Roman" w:hAnsi="Times New Roman"/>
          <w:spacing w:val="-3"/>
          <w:sz w:val="24"/>
          <w:szCs w:val="24"/>
        </w:rPr>
        <w:t>,</w:t>
      </w:r>
      <w:r w:rsidRPr="00904860">
        <w:rPr>
          <w:rFonts w:ascii="Times New Roman" w:hAnsi="Times New Roman"/>
          <w:spacing w:val="-3"/>
          <w:sz w:val="24"/>
          <w:szCs w:val="24"/>
        </w:rPr>
        <w:t xml:space="preserve"> ha</w:t>
      </w:r>
      <w:r>
        <w:rPr>
          <w:rFonts w:ascii="Times New Roman" w:hAnsi="Times New Roman"/>
          <w:spacing w:val="-3"/>
          <w:sz w:val="24"/>
          <w:szCs w:val="24"/>
        </w:rPr>
        <w:t>d</w:t>
      </w:r>
      <w:r w:rsidRPr="00904860">
        <w:rPr>
          <w:rFonts w:ascii="Times New Roman" w:hAnsi="Times New Roman"/>
          <w:spacing w:val="-3"/>
          <w:sz w:val="24"/>
          <w:szCs w:val="24"/>
        </w:rPr>
        <w:t xml:space="preserve"> little effect on interdendritic</w:t>
      </w:r>
      <w:r>
        <w:rPr>
          <w:rFonts w:ascii="Times New Roman" w:hAnsi="Times New Roman"/>
          <w:spacing w:val="-3"/>
          <w:sz w:val="24"/>
          <w:szCs w:val="24"/>
        </w:rPr>
        <w:t xml:space="preserve"> </w:t>
      </w:r>
      <w:r w:rsidRPr="00904860">
        <w:rPr>
          <w:rFonts w:ascii="Times New Roman" w:hAnsi="Times New Roman"/>
          <w:spacing w:val="-3"/>
          <w:sz w:val="24"/>
          <w:szCs w:val="24"/>
        </w:rPr>
        <w:t>fluid flow and the resulting macrosegregation.</w:t>
      </w:r>
    </w:p>
    <w:p w14:paraId="2D3518D8" w14:textId="77777777" w:rsidR="00015B17" w:rsidRPr="000E2419" w:rsidRDefault="00015B17" w:rsidP="00015B17">
      <w:pPr>
        <w:pStyle w:val="ListParagraph"/>
        <w:tabs>
          <w:tab w:val="left" w:pos="-1432"/>
          <w:tab w:val="left" w:pos="-1021"/>
          <w:tab w:val="left" w:pos="850"/>
          <w:tab w:val="left" w:pos="10800"/>
          <w:tab w:val="left" w:pos="11339"/>
          <w:tab w:val="left" w:pos="11905"/>
          <w:tab w:val="left" w:pos="12240"/>
        </w:tabs>
        <w:suppressAutoHyphens/>
        <w:spacing w:line="360" w:lineRule="auto"/>
        <w:ind w:left="0"/>
        <w:rPr>
          <w:rFonts w:ascii="Times New Roman" w:hAnsi="Times New Roman"/>
          <w:b/>
          <w:spacing w:val="-3"/>
          <w:sz w:val="24"/>
          <w:szCs w:val="24"/>
        </w:rPr>
      </w:pPr>
    </w:p>
    <w:p w14:paraId="6906EDC2" w14:textId="77777777" w:rsidR="00015B17" w:rsidRDefault="00015B17" w:rsidP="00015B17">
      <w:pPr>
        <w:pStyle w:val="ListParagraph"/>
        <w:tabs>
          <w:tab w:val="left" w:pos="-1432"/>
          <w:tab w:val="left" w:pos="-1021"/>
          <w:tab w:val="left" w:pos="850"/>
          <w:tab w:val="left" w:pos="10800"/>
          <w:tab w:val="left" w:pos="11339"/>
          <w:tab w:val="left" w:pos="11905"/>
          <w:tab w:val="left" w:pos="12240"/>
        </w:tabs>
        <w:suppressAutoHyphens/>
        <w:spacing w:line="360" w:lineRule="auto"/>
        <w:ind w:left="0"/>
        <w:rPr>
          <w:rFonts w:ascii="Times New Roman" w:hAnsi="Times New Roman"/>
          <w:spacing w:val="-3"/>
          <w:sz w:val="24"/>
          <w:szCs w:val="24"/>
        </w:rPr>
      </w:pPr>
      <w:r>
        <w:rPr>
          <w:rFonts w:ascii="Times New Roman" w:hAnsi="Times New Roman"/>
          <w:spacing w:val="-3"/>
          <w:sz w:val="24"/>
          <w:szCs w:val="24"/>
        </w:rPr>
        <w:tab/>
        <w:t xml:space="preserve">With the wider use of </w:t>
      </w:r>
      <w:r w:rsidRPr="00F801B0">
        <w:rPr>
          <w:rFonts w:ascii="Times New Roman" w:hAnsi="Times New Roman"/>
          <w:spacing w:val="-3"/>
          <w:sz w:val="24"/>
          <w:szCs w:val="24"/>
        </w:rPr>
        <w:t>one domain models</w:t>
      </w:r>
      <w:r>
        <w:rPr>
          <w:rFonts w:ascii="Times New Roman" w:hAnsi="Times New Roman"/>
          <w:spacing w:val="-3"/>
          <w:sz w:val="24"/>
          <w:szCs w:val="24"/>
        </w:rPr>
        <w:t xml:space="preserve"> over the last decade due to improving computational capabilities, a comprehensive treatment of solidification phenomena by solving coupled energy, mass, momentum, and species conservation equations have allowed a more complete method to model complex macrosegregation patterns. The reader is referred to the review provided by Beckermann (2002).</w:t>
      </w:r>
      <w:r w:rsidRPr="005524CD">
        <w:rPr>
          <w:rFonts w:ascii="Times New Roman" w:hAnsi="Times New Roman"/>
          <w:spacing w:val="-3"/>
          <w:sz w:val="24"/>
          <w:szCs w:val="24"/>
        </w:rPr>
        <w:t xml:space="preserve"> </w:t>
      </w:r>
      <w:r>
        <w:rPr>
          <w:rFonts w:ascii="Times New Roman" w:hAnsi="Times New Roman"/>
          <w:spacing w:val="-3"/>
          <w:sz w:val="24"/>
          <w:szCs w:val="24"/>
        </w:rPr>
        <w:t>Some of the progress is described below.</w:t>
      </w:r>
    </w:p>
    <w:p w14:paraId="49DC1CC5" w14:textId="77777777" w:rsidR="00015B17" w:rsidRDefault="00015B17" w:rsidP="00015B17">
      <w:pPr>
        <w:pStyle w:val="ListParagraph"/>
        <w:tabs>
          <w:tab w:val="left" w:pos="-1432"/>
          <w:tab w:val="left" w:pos="-1021"/>
          <w:tab w:val="left" w:pos="850"/>
          <w:tab w:val="left" w:pos="10800"/>
          <w:tab w:val="left" w:pos="11339"/>
          <w:tab w:val="left" w:pos="11905"/>
          <w:tab w:val="left" w:pos="12240"/>
        </w:tabs>
        <w:suppressAutoHyphens/>
        <w:spacing w:line="360" w:lineRule="auto"/>
        <w:ind w:left="0"/>
        <w:rPr>
          <w:rFonts w:ascii="Times New Roman" w:hAnsi="Times New Roman"/>
          <w:spacing w:val="-3"/>
          <w:sz w:val="24"/>
          <w:szCs w:val="24"/>
        </w:rPr>
      </w:pPr>
    </w:p>
    <w:p w14:paraId="1C487D9F" w14:textId="498ED54C" w:rsidR="00015B17" w:rsidRDefault="00015B17" w:rsidP="00015B17">
      <w:pPr>
        <w:pStyle w:val="ListParagraph"/>
        <w:tabs>
          <w:tab w:val="left" w:pos="-1432"/>
          <w:tab w:val="left" w:pos="-1021"/>
          <w:tab w:val="left" w:pos="850"/>
          <w:tab w:val="left" w:pos="10800"/>
          <w:tab w:val="left" w:pos="11339"/>
          <w:tab w:val="left" w:pos="11905"/>
          <w:tab w:val="left" w:pos="12240"/>
        </w:tabs>
        <w:suppressAutoHyphens/>
        <w:spacing w:line="360" w:lineRule="auto"/>
        <w:ind w:left="0"/>
        <w:rPr>
          <w:rFonts w:ascii="Times New Roman" w:hAnsi="Times New Roman"/>
          <w:spacing w:val="-3"/>
          <w:sz w:val="24"/>
          <w:szCs w:val="24"/>
        </w:rPr>
      </w:pPr>
      <w:r>
        <w:rPr>
          <w:rFonts w:ascii="Times New Roman" w:hAnsi="Times New Roman"/>
          <w:spacing w:val="-3"/>
          <w:sz w:val="24"/>
          <w:szCs w:val="24"/>
        </w:rPr>
        <w:tab/>
        <w:t xml:space="preserve">Gu and Beckermann (1999) conducted a 2-D simulation of a steel ingot casting using single domain volume averaged model. Their model showed that strong buoyancy driven flow conditions exist throughout the solidification process. </w:t>
      </w:r>
      <w:r w:rsidR="00D73BD0">
        <w:rPr>
          <w:rFonts w:ascii="Times New Roman" w:hAnsi="Times New Roman"/>
          <w:spacing w:val="-3"/>
          <w:sz w:val="24"/>
          <w:szCs w:val="24"/>
        </w:rPr>
        <w:t xml:space="preserve">They </w:t>
      </w:r>
      <w:r>
        <w:rPr>
          <w:rFonts w:ascii="Times New Roman" w:hAnsi="Times New Roman"/>
          <w:spacing w:val="-3"/>
          <w:sz w:val="24"/>
          <w:szCs w:val="24"/>
        </w:rPr>
        <w:t>computed macrosegregation profiles of the solute elements carbon and sulfur at the ingot centerline along the vertical direction</w:t>
      </w:r>
      <w:r w:rsidR="00D73BD0">
        <w:rPr>
          <w:rFonts w:ascii="Times New Roman" w:hAnsi="Times New Roman"/>
          <w:spacing w:val="-3"/>
          <w:sz w:val="24"/>
          <w:szCs w:val="24"/>
        </w:rPr>
        <w:t>. Results agreed</w:t>
      </w:r>
      <w:r>
        <w:rPr>
          <w:rFonts w:ascii="Times New Roman" w:hAnsi="Times New Roman"/>
          <w:spacing w:val="-3"/>
          <w:sz w:val="24"/>
          <w:szCs w:val="24"/>
        </w:rPr>
        <w:t xml:space="preserve"> well with the experimentally measured values (Fig. 9.9). The model did not predict A-segregates (freckles) or V-segregates:  the former because an insufficiently refined mesh was employed to resolve the localized channel flow and the later because the model did not include movement of equiaxed crystals according to the authors (see below). </w:t>
      </w:r>
    </w:p>
    <w:p w14:paraId="2407FE40" w14:textId="77777777" w:rsidR="00015B17" w:rsidRPr="00283741" w:rsidRDefault="00015B17" w:rsidP="00015B17">
      <w:pPr>
        <w:pStyle w:val="ListParagraph"/>
        <w:tabs>
          <w:tab w:val="left" w:pos="-1432"/>
          <w:tab w:val="left" w:pos="-1021"/>
          <w:tab w:val="left" w:pos="850"/>
          <w:tab w:val="left" w:pos="10800"/>
          <w:tab w:val="left" w:pos="11339"/>
          <w:tab w:val="left" w:pos="11905"/>
          <w:tab w:val="left" w:pos="12240"/>
        </w:tabs>
        <w:suppressAutoHyphens/>
        <w:spacing w:line="360" w:lineRule="auto"/>
        <w:ind w:left="0"/>
        <w:rPr>
          <w:rFonts w:ascii="Times New Roman" w:hAnsi="Times New Roman"/>
          <w:spacing w:val="-3"/>
          <w:sz w:val="24"/>
          <w:szCs w:val="24"/>
        </w:rPr>
      </w:pPr>
      <w:r w:rsidRPr="00826A79">
        <w:rPr>
          <w:rFonts w:ascii="Times New Roman" w:hAnsi="Times New Roman"/>
        </w:rPr>
        <w:tab/>
      </w:r>
    </w:p>
    <w:p w14:paraId="61B1ADA5" w14:textId="755C1ADE"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r>
        <w:rPr>
          <w:spacing w:val="-3"/>
        </w:rPr>
        <w:tab/>
        <w:t>Channel segregation or freckles are a particularly troublesome defect in the upward, directional solidification of single crystal superalloy castings and electroslag remelted ingots. After solidification these defects consist of abrupt and large variations in composition consisting of chains of solute-rich grains. We have described the formation of solute rich plumes that can lead to dendrite fragmentation in §9.2.2.2. They result from movement of interdendritic liquid due to buoyancy from thermal and solutal density gradients that opens localized vertical channels in the liquid-solid region. Experimental work by HELLAWELL [1990] prove</w:t>
      </w:r>
      <w:r w:rsidR="00D73BD0">
        <w:rPr>
          <w:spacing w:val="-3"/>
        </w:rPr>
        <w:t>s</w:t>
      </w:r>
      <w:r>
        <w:rPr>
          <w:spacing w:val="-3"/>
        </w:rPr>
        <w:t xml:space="preserve"> that the initiation of the channels is at the dendritic growth front itself. As growth proceeds, the localized depression in the dendritic front deepens and collects even more solute rich liquid to feed the upward moving plume. Thus the defect forms when the upward velocity of the liquid in the mushy zone exceeds the </w:t>
      </w:r>
      <w:r>
        <w:rPr>
          <w:spacing w:val="-3"/>
        </w:rPr>
        <w:lastRenderedPageBreak/>
        <w:t xml:space="preserve">upward isotherm velocity producing positive macrosegregation. During upward  directional solidification of Ni-base superalloys, the solutal buoyancy forces result from the fact that light elements such as Al and Ti are rejected into the liquid in front of the </w:t>
      </w:r>
      <w:r w:rsidR="004201E7">
        <w:rPr>
          <w:spacing w:val="-3"/>
        </w:rPr>
        <w:t>L-S</w:t>
      </w:r>
      <w:r>
        <w:rPr>
          <w:spacing w:val="-3"/>
        </w:rPr>
        <w:t xml:space="preserve"> interface (</w:t>
      </w:r>
      <w:r w:rsidRPr="006E33A9">
        <w:rPr>
          <w:spacing w:val="-3"/>
          <w:position w:val="-12"/>
        </w:rPr>
        <w:object w:dxaOrig="560" w:dyaOrig="360" w14:anchorId="2119C84E">
          <v:shape id="_x0000_i1706" type="#_x0000_t75" style="width:28.05pt;height:17.75pt" o:ole="">
            <v:imagedata r:id="rId1306" o:title=""/>
          </v:shape>
          <o:OLEObject Type="Embed" ProgID="Equation.DSMT4" ShapeID="_x0000_i1706" DrawAspect="Content" ObjectID="_1840627272" r:id="rId1307"/>
        </w:object>
      </w:r>
      <w:r>
        <w:rPr>
          <w:spacing w:val="-3"/>
        </w:rPr>
        <w:t>) while, heavy elements such as W and Re (</w:t>
      </w:r>
      <w:r w:rsidRPr="006E33A9">
        <w:rPr>
          <w:spacing w:val="-3"/>
          <w:position w:val="-12"/>
        </w:rPr>
        <w:object w:dxaOrig="560" w:dyaOrig="360" w14:anchorId="75260D75">
          <v:shape id="_x0000_i1707" type="#_x0000_t75" style="width:28.05pt;height:17.75pt" o:ole="">
            <v:imagedata r:id="rId1308" o:title=""/>
          </v:shape>
          <o:OLEObject Type="Embed" ProgID="Equation.DSMT4" ShapeID="_x0000_i1707" DrawAspect="Content" ObjectID="_1840627273" r:id="rId1309"/>
        </w:object>
      </w:r>
      <w:r>
        <w:rPr>
          <w:spacing w:val="-3"/>
        </w:rPr>
        <w:t xml:space="preserve">) are depleted in the liquid in front of the </w:t>
      </w:r>
      <w:r w:rsidR="004201E7">
        <w:rPr>
          <w:spacing w:val="-3"/>
        </w:rPr>
        <w:t>L-S</w:t>
      </w:r>
      <w:r>
        <w:rPr>
          <w:spacing w:val="-3"/>
        </w:rPr>
        <w:t xml:space="preserve"> interface. During subsequent solidification, the channels </w:t>
      </w:r>
      <w:r w:rsidR="00D73BD0">
        <w:rPr>
          <w:spacing w:val="-3"/>
        </w:rPr>
        <w:t xml:space="preserve">often become </w:t>
      </w:r>
      <w:r>
        <w:rPr>
          <w:spacing w:val="-3"/>
        </w:rPr>
        <w:t xml:space="preserve">filled with dendrite fragments that </w:t>
      </w:r>
      <w:r w:rsidR="00AE3282">
        <w:rPr>
          <w:spacing w:val="-3"/>
        </w:rPr>
        <w:t xml:space="preserve">settled in the channel rather than being ejected into the </w:t>
      </w:r>
      <w:r w:rsidR="005F0E27">
        <w:rPr>
          <w:spacing w:val="-3"/>
        </w:rPr>
        <w:t xml:space="preserve">fully molten region. They </w:t>
      </w:r>
      <w:r>
        <w:rPr>
          <w:spacing w:val="-3"/>
        </w:rPr>
        <w:t>appear in the final casting as freckle-like chains of dendritic equiaxed crystals under microscopic examination (see figure 9.10).</w:t>
      </w:r>
    </w:p>
    <w:p w14:paraId="785F8F52"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p>
    <w:p w14:paraId="050A2AB6"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r>
        <w:rPr>
          <w:spacing w:val="-3"/>
        </w:rPr>
        <w:tab/>
        <w:t>In order to establish the conditions that lead to the localized channel flow and subsequently to freckles, Schneider et al. (1997) developed a 2-D micro/macrosegregation model, in which</w:t>
      </w:r>
      <w:r w:rsidR="006363EC">
        <w:rPr>
          <w:spacing w:val="-3"/>
        </w:rPr>
        <w:t xml:space="preserve"> the</w:t>
      </w:r>
      <w:r>
        <w:rPr>
          <w:spacing w:val="-3"/>
        </w:rPr>
        <w:t xml:space="preserve"> solidification path was computed at each time step by conducting a phase equilibrium calculation with a multicomponent thermodynamic database</w:t>
      </w:r>
      <w:r w:rsidR="005F0E27">
        <w:rPr>
          <w:spacing w:val="-3"/>
        </w:rPr>
        <w:t xml:space="preserve"> to obtain liquidus slopes and partition coefficients</w:t>
      </w:r>
      <w:r>
        <w:rPr>
          <w:spacing w:val="-3"/>
        </w:rPr>
        <w:t xml:space="preserve">. Several other researchers have modeled freckle formation in directional casting of superalloys. Fellicelli et al. (1998) reported 3-D calculations of macrosegregation using a similar approach as described above. The localized channel flow was computed. They found that freckles often appear on vertical side walls of castings. However, such calculations in 3-D are extremely computationally intensive for practical casting configurations. Thus a simple freckle predictor concept has been developed for vertical upward solidification. </w:t>
      </w:r>
      <w:r w:rsidR="00CF2EB8">
        <w:rPr>
          <w:spacing w:val="-3"/>
        </w:rPr>
        <w:t xml:space="preserve">The dimensionless </w:t>
      </w:r>
      <w:r>
        <w:rPr>
          <w:spacing w:val="-3"/>
        </w:rPr>
        <w:t xml:space="preserve">Rayleigh number compares the buoyancy forces to the viscous force and is used in many natural convection circumstances.  Worster (1992) and Beckermann et al. (2000) have introduced a “mushy zone” Rayleigh number </w:t>
      </w:r>
    </w:p>
    <w:p w14:paraId="72154D93"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p>
    <w:p w14:paraId="364DE8DA"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jc w:val="center"/>
        <w:rPr>
          <w:spacing w:val="-3"/>
        </w:rPr>
      </w:pPr>
      <w:r w:rsidRPr="00582336">
        <w:rPr>
          <w:position w:val="-28"/>
        </w:rPr>
        <w:object w:dxaOrig="2220" w:dyaOrig="700" w14:anchorId="4FDF3963">
          <v:shape id="_x0000_i1708" type="#_x0000_t75" style="width:112.2pt;height:35.55pt" o:ole="">
            <v:imagedata r:id="rId1310" o:title=""/>
          </v:shape>
          <o:OLEObject Type="Embed" ProgID="Equation.DSMT4" ShapeID="_x0000_i1708" DrawAspect="Content" ObjectID="_1840627274" r:id="rId1311"/>
        </w:object>
      </w:r>
      <w:r>
        <w:rPr>
          <w:spacing w:val="-3"/>
        </w:rPr>
        <w:t xml:space="preserve">   </w:t>
      </w:r>
      <w:r w:rsidR="006E6FC2">
        <w:rPr>
          <w:spacing w:val="-3"/>
        </w:rPr>
        <w:t>,</w:t>
      </w:r>
      <w:r>
        <w:rPr>
          <w:spacing w:val="-3"/>
        </w:rPr>
        <w:t xml:space="preserve">     (9.8)</w:t>
      </w:r>
    </w:p>
    <w:p w14:paraId="65EAD520"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p>
    <w:p w14:paraId="7CFF15F9" w14:textId="29EDD32F"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r>
        <w:rPr>
          <w:spacing w:val="-3"/>
        </w:rPr>
        <w:t xml:space="preserve">where, </w:t>
      </w:r>
      <w:r w:rsidRPr="00E30BC4">
        <w:rPr>
          <w:position w:val="-10"/>
        </w:rPr>
        <w:object w:dxaOrig="220" w:dyaOrig="260" w14:anchorId="41A97CC8">
          <v:shape id="_x0000_i1709" type="#_x0000_t75" style="width:10.3pt;height:13.1pt" o:ole="">
            <v:imagedata r:id="rId1312" o:title=""/>
          </v:shape>
          <o:OLEObject Type="Embed" ProgID="Equation.DSMT4" ShapeID="_x0000_i1709" DrawAspect="Content" ObjectID="_1840627275" r:id="rId1313"/>
        </w:object>
      </w:r>
      <w:r>
        <w:rPr>
          <w:spacing w:val="-3"/>
        </w:rPr>
        <w:t xml:space="preserve"> is the acceleration due to gravity,  </w:t>
      </w:r>
      <w:r w:rsidRPr="005F3AAF">
        <w:rPr>
          <w:spacing w:val="-3"/>
          <w:position w:val="-14"/>
        </w:rPr>
        <w:object w:dxaOrig="720" w:dyaOrig="400" w14:anchorId="1E24DB20">
          <v:shape id="_x0000_i1710" type="#_x0000_t75" style="width:36.45pt;height:19.65pt" o:ole="">
            <v:imagedata r:id="rId1314" o:title=""/>
          </v:shape>
          <o:OLEObject Type="Embed" ProgID="Equation.DSMT4" ShapeID="_x0000_i1710" DrawAspect="Content" ObjectID="_1840627276" r:id="rId1315"/>
        </w:object>
      </w:r>
      <w:r>
        <w:rPr>
          <w:spacing w:val="-3"/>
        </w:rPr>
        <w:t xml:space="preserve"> is the density difference between the bulk liquid density and the liquid density at  depth </w:t>
      </w:r>
      <w:r w:rsidRPr="00820025">
        <w:rPr>
          <w:i/>
          <w:spacing w:val="-3"/>
        </w:rPr>
        <w:t>h</w:t>
      </w:r>
      <w:r>
        <w:rPr>
          <w:spacing w:val="-3"/>
        </w:rPr>
        <w:t xml:space="preserve"> in the mushy zone behind the dendrite tips, </w:t>
      </w:r>
      <w:r w:rsidRPr="003F4B5A">
        <w:rPr>
          <w:spacing w:val="-3"/>
        </w:rPr>
        <w:fldChar w:fldCharType="begin"/>
      </w:r>
      <w:r w:rsidRPr="003F4B5A">
        <w:rPr>
          <w:spacing w:val="-3"/>
        </w:rPr>
        <w:instrText xml:space="preserve"> QUOTE </w:instrText>
      </w:r>
      <m:oMath>
        <m:sSub>
          <m:sSubPr>
            <m:ctrlPr>
              <w:rPr>
                <w:rFonts w:ascii="Cambria Math" w:hAnsi="Cambria Math"/>
                <w:i/>
                <w:spacing w:val="-3"/>
              </w:rPr>
            </m:ctrlPr>
          </m:sSubPr>
          <m:e>
            <m:r>
              <m:rPr>
                <m:sty m:val="p"/>
              </m:rPr>
              <w:rPr>
                <w:rFonts w:ascii="Cambria Math" w:hAnsi="Cambria Math"/>
                <w:spacing w:val="-3"/>
              </w:rPr>
              <m:t>μ</m:t>
            </m:r>
          </m:e>
          <m:sub>
            <m:r>
              <m:rPr>
                <m:sty m:val="p"/>
              </m:rPr>
              <w:rPr>
                <w:rFonts w:ascii="Cambria Math" w:hAnsi="Cambria Math"/>
                <w:spacing w:val="-3"/>
              </w:rPr>
              <m:t>l</m:t>
            </m:r>
          </m:sub>
        </m:sSub>
      </m:oMath>
      <w:r w:rsidRPr="003F4B5A">
        <w:rPr>
          <w:spacing w:val="-3"/>
        </w:rPr>
        <w:instrText xml:space="preserve"> </w:instrText>
      </w:r>
      <w:r w:rsidRPr="003F4B5A">
        <w:rPr>
          <w:spacing w:val="-3"/>
        </w:rPr>
        <w:fldChar w:fldCharType="separate"/>
      </w:r>
      <w:r w:rsidRPr="00582336">
        <w:rPr>
          <w:spacing w:val="-3"/>
          <w:position w:val="-10"/>
        </w:rPr>
        <w:object w:dxaOrig="240" w:dyaOrig="260" w14:anchorId="526B6482">
          <v:shape id="_x0000_i1711" type="#_x0000_t75" style="width:12.15pt;height:13.1pt" o:ole="">
            <v:imagedata r:id="rId1316" o:title=""/>
          </v:shape>
          <o:OLEObject Type="Embed" ProgID="Equation.DSMT4" ShapeID="_x0000_i1711" DrawAspect="Content" ObjectID="_1840627277" r:id="rId1317"/>
        </w:object>
      </w:r>
      <w:r w:rsidRPr="003F4B5A">
        <w:rPr>
          <w:spacing w:val="-3"/>
        </w:rPr>
        <w:fldChar w:fldCharType="end"/>
      </w:r>
      <w:r>
        <w:rPr>
          <w:spacing w:val="-3"/>
        </w:rPr>
        <w:t xml:space="preserve"> is the liquid viscosity, </w:t>
      </w:r>
      <w:r w:rsidRPr="005F3AAF">
        <w:rPr>
          <w:spacing w:val="-3"/>
          <w:position w:val="-14"/>
        </w:rPr>
        <w:object w:dxaOrig="600" w:dyaOrig="400" w14:anchorId="7CFBB2F4">
          <v:shape id="_x0000_i1712" type="#_x0000_t75" style="width:29.9pt;height:19.65pt" o:ole="">
            <v:imagedata r:id="rId1318" o:title=""/>
          </v:shape>
          <o:OLEObject Type="Embed" ProgID="Equation.DSMT4" ShapeID="_x0000_i1712" DrawAspect="Content" ObjectID="_1840627278" r:id="rId1319"/>
        </w:object>
      </w:r>
      <w:r w:rsidRPr="003F4B5A">
        <w:rPr>
          <w:spacing w:val="-3"/>
        </w:rPr>
        <w:fldChar w:fldCharType="begin"/>
      </w:r>
      <w:r w:rsidRPr="003F4B5A">
        <w:rPr>
          <w:spacing w:val="-3"/>
        </w:rPr>
        <w:instrText xml:space="preserve"> QUOTE </w:instrText>
      </w:r>
      <m:oMath>
        <m:acc>
          <m:accPr>
            <m:chr m:val="̅"/>
            <m:ctrlPr>
              <w:rPr>
                <w:rFonts w:ascii="Cambria Math" w:hAnsi="Cambria Math"/>
                <w:i/>
                <w:spacing w:val="-3"/>
              </w:rPr>
            </m:ctrlPr>
          </m:accPr>
          <m:e>
            <m:r>
              <m:rPr>
                <m:sty m:val="p"/>
              </m:rPr>
              <w:rPr>
                <w:rFonts w:ascii="Cambria Math" w:hAnsi="Cambria Math"/>
                <w:spacing w:val="-3"/>
              </w:rPr>
              <m:t>K</m:t>
            </m:r>
          </m:e>
        </m:acc>
        <m:d>
          <m:dPr>
            <m:ctrlPr>
              <w:rPr>
                <w:rFonts w:ascii="Cambria Math" w:hAnsi="Cambria Math"/>
                <w:i/>
                <w:spacing w:val="-3"/>
              </w:rPr>
            </m:ctrlPr>
          </m:dPr>
          <m:e>
            <m:r>
              <m:rPr>
                <m:sty m:val="p"/>
              </m:rPr>
              <w:rPr>
                <w:rFonts w:ascii="Cambria Math" w:hAnsi="Cambria Math"/>
                <w:spacing w:val="-3"/>
              </w:rPr>
              <m:t>h</m:t>
            </m:r>
          </m:e>
        </m:d>
      </m:oMath>
      <w:r w:rsidRPr="003F4B5A">
        <w:rPr>
          <w:spacing w:val="-3"/>
        </w:rPr>
        <w:instrText xml:space="preserve"> </w:instrText>
      </w:r>
      <w:r w:rsidRPr="003F4B5A">
        <w:rPr>
          <w:spacing w:val="-3"/>
        </w:rPr>
        <w:fldChar w:fldCharType="end"/>
      </w:r>
      <w:r>
        <w:rPr>
          <w:spacing w:val="-3"/>
        </w:rPr>
        <w:t xml:space="preserve"> is the permeability averaged between the tips and the </w:t>
      </w:r>
      <w:r>
        <w:rPr>
          <w:spacing w:val="-3"/>
        </w:rPr>
        <w:lastRenderedPageBreak/>
        <w:t xml:space="preserve">position </w:t>
      </w:r>
      <w:r w:rsidRPr="00820025">
        <w:rPr>
          <w:i/>
          <w:spacing w:val="-3"/>
        </w:rPr>
        <w:t>h</w:t>
      </w:r>
      <w:r>
        <w:rPr>
          <w:spacing w:val="-3"/>
        </w:rPr>
        <w:t xml:space="preserve">, and </w:t>
      </w:r>
      <w:r w:rsidRPr="008674DA">
        <w:rPr>
          <w:spacing w:val="-3"/>
          <w:position w:val="-6"/>
        </w:rPr>
        <w:object w:dxaOrig="240" w:dyaOrig="220" w14:anchorId="183B71F1">
          <v:shape id="_x0000_i1713" type="#_x0000_t75" style="width:12.15pt;height:10.3pt" o:ole="">
            <v:imagedata r:id="rId1320" o:title=""/>
          </v:shape>
          <o:OLEObject Type="Embed" ProgID="Equation.DSMT4" ShapeID="_x0000_i1713" DrawAspect="Content" ObjectID="_1840627279" r:id="rId1321"/>
        </w:object>
      </w:r>
      <w:r>
        <w:rPr>
          <w:spacing w:val="-3"/>
        </w:rPr>
        <w:t xml:space="preserve"> is the thermal diffusivity. This Rayleigh number is a function of position in the mush, yet averages over the mush above the position of interest. Use of this Rayleigh number requires finding the maximum local Rayleigh number in the mushy region and determining whether it exceeds a critical value. Freckle</w:t>
      </w:r>
      <w:r w:rsidR="006363EC">
        <w:rPr>
          <w:spacing w:val="-3"/>
        </w:rPr>
        <w:t>s</w:t>
      </w:r>
      <w:r>
        <w:rPr>
          <w:spacing w:val="-3"/>
        </w:rPr>
        <w:t xml:space="preserve"> form when it exceeds a critical value. The authors determined the value of this critical Rayleigh number to be approximately 0.25 for directionally solidified Ni-base superalloy based on analysis of experimental data.  Application of this criterion depends a great deal on an accurate knowledge of local thermal conditions, liquid densities, and solidification path. Another point to note is that Rayleigh number criterion alone is not a sufficient condition </w:t>
      </w:r>
      <w:r w:rsidR="006363EC">
        <w:rPr>
          <w:spacing w:val="-3"/>
        </w:rPr>
        <w:t xml:space="preserve">to predict whether </w:t>
      </w:r>
      <w:r>
        <w:rPr>
          <w:spacing w:val="-3"/>
        </w:rPr>
        <w:t xml:space="preserve">freckles will form in a given casting. Despite these shortcomings this </w:t>
      </w:r>
      <w:r w:rsidR="006363EC">
        <w:rPr>
          <w:spacing w:val="-3"/>
        </w:rPr>
        <w:t xml:space="preserve">method </w:t>
      </w:r>
      <w:r>
        <w:rPr>
          <w:spacing w:val="-3"/>
        </w:rPr>
        <w:t>is guiding approaches to composition selection and processing conditions to avoid freckle defects in single crystal superalloy turbine airfoil casting.</w:t>
      </w:r>
    </w:p>
    <w:p w14:paraId="60FADA21"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p>
    <w:p w14:paraId="128F1AC1" w14:textId="77777777" w:rsidR="00015B17" w:rsidRPr="00C64C04"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r w:rsidRPr="00C64C04">
        <w:rPr>
          <w:spacing w:val="-3"/>
        </w:rPr>
        <w:tab/>
        <w:t xml:space="preserve">In a typical continuous casting of steel slabs, bulging often occurs in the region between two consecutive rolls. This bulging causes relative liquid-solid velocities. Compression of the solidifying network releases solute enriched liquid that moves toward the central region causing positive macrosegregation. Kajitani et al. (2001) implemented an innovative approach in their model of macrosegregation due to mush deformation that combined uncoupled computation of the temperature field and the slab bulging profile. With this information as input, they obtained the solid velocity and </w:t>
      </w:r>
      <w:r>
        <w:rPr>
          <w:spacing w:val="-3"/>
        </w:rPr>
        <w:t>then</w:t>
      </w:r>
      <w:r w:rsidR="006363EC">
        <w:rPr>
          <w:spacing w:val="-3"/>
        </w:rPr>
        <w:t>,</w:t>
      </w:r>
      <w:r>
        <w:rPr>
          <w:spacing w:val="-3"/>
        </w:rPr>
        <w:t xml:space="preserve"> </w:t>
      </w:r>
      <w:r w:rsidRPr="00C64C04">
        <w:rPr>
          <w:spacing w:val="-3"/>
        </w:rPr>
        <w:t>using mass balance and D’Arcy’s Law</w:t>
      </w:r>
      <w:r w:rsidR="006363EC">
        <w:rPr>
          <w:spacing w:val="-3"/>
        </w:rPr>
        <w:t>,</w:t>
      </w:r>
      <w:r w:rsidRPr="00C64C04">
        <w:rPr>
          <w:spacing w:val="-3"/>
        </w:rPr>
        <w:t xml:space="preserve"> computed the fluid flow and pressure fields. The predicted carbon macrosegregation profil</w:t>
      </w:r>
      <w:r>
        <w:rPr>
          <w:spacing w:val="-3"/>
        </w:rPr>
        <w:t xml:space="preserve">e </w:t>
      </w:r>
      <w:r w:rsidRPr="00C64C04">
        <w:rPr>
          <w:spacing w:val="-3"/>
        </w:rPr>
        <w:t>i</w:t>
      </w:r>
      <w:r>
        <w:rPr>
          <w:spacing w:val="-3"/>
        </w:rPr>
        <w:t>s shown in</w:t>
      </w:r>
      <w:r w:rsidRPr="00C64C04">
        <w:rPr>
          <w:spacing w:val="-3"/>
        </w:rPr>
        <w:t xml:space="preserve"> Fig.</w:t>
      </w:r>
      <w:r w:rsidR="006E6FC2">
        <w:rPr>
          <w:spacing w:val="-3"/>
        </w:rPr>
        <w:t xml:space="preserve"> </w:t>
      </w:r>
      <w:r>
        <w:rPr>
          <w:spacing w:val="-3"/>
        </w:rPr>
        <w:t>9.11.</w:t>
      </w:r>
      <w:r w:rsidRPr="00C64C04">
        <w:rPr>
          <w:spacing w:val="-3"/>
        </w:rPr>
        <w:t xml:space="preserve"> It can be seen that bulging produced increased positive macrosegregation. Additionally, </w:t>
      </w:r>
      <w:r>
        <w:rPr>
          <w:spacing w:val="-3"/>
        </w:rPr>
        <w:t xml:space="preserve">the </w:t>
      </w:r>
      <w:r w:rsidRPr="00C64C04">
        <w:rPr>
          <w:spacing w:val="-3"/>
        </w:rPr>
        <w:t xml:space="preserve">carbon macrosegregation profile across the thickness of the slab after six rolls showed substantial positive macrosegregation in the central region, while negative macrosegregation was obtained in the peripheral regions. Computed results showed </w:t>
      </w:r>
      <w:r>
        <w:rPr>
          <w:spacing w:val="-3"/>
        </w:rPr>
        <w:t xml:space="preserve">the </w:t>
      </w:r>
      <w:r w:rsidRPr="00C64C04">
        <w:rPr>
          <w:spacing w:val="-3"/>
        </w:rPr>
        <w:t>opposite behavior for the case of shrinkage alone. Although no comparison was provided with experimental data, the modeling efforts established the role of bulging and shrinkage in producing complex macrosegregation pattern in continuous casting.</w:t>
      </w:r>
    </w:p>
    <w:p w14:paraId="17020DC5" w14:textId="77777777" w:rsidR="00015B17" w:rsidRPr="003101D1" w:rsidRDefault="00015B17" w:rsidP="00015B17">
      <w:pPr>
        <w:tabs>
          <w:tab w:val="left" w:pos="-1432"/>
          <w:tab w:val="left" w:pos="-1021"/>
          <w:tab w:val="left" w:pos="850"/>
          <w:tab w:val="left" w:pos="10800"/>
          <w:tab w:val="left" w:pos="11339"/>
          <w:tab w:val="left" w:pos="11905"/>
          <w:tab w:val="left" w:pos="12240"/>
        </w:tabs>
        <w:suppressAutoHyphens/>
        <w:spacing w:line="360" w:lineRule="auto"/>
        <w:rPr>
          <w:color w:val="3366FF"/>
          <w:spacing w:val="-3"/>
        </w:rPr>
      </w:pPr>
    </w:p>
    <w:p w14:paraId="44D7061F"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r>
        <w:rPr>
          <w:spacing w:val="-3"/>
        </w:rPr>
        <w:lastRenderedPageBreak/>
        <w:tab/>
        <w:t xml:space="preserve">A full coupling of stress and strain behavior in the solid with thermal, fluid, species transport of the mushy zone is extremely complex and computationally time consuming. This topic is beyond the scope of the present document. The topic of hot tearing however is amenable to some level of approximation as described for example by Mathier et al. (2009). </w:t>
      </w:r>
    </w:p>
    <w:p w14:paraId="0812BF03"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p>
    <w:p w14:paraId="52369135" w14:textId="77777777" w:rsidR="00015B17" w:rsidRPr="00101AE5" w:rsidRDefault="00015B17" w:rsidP="00015B17">
      <w:pPr>
        <w:tabs>
          <w:tab w:val="left" w:pos="-1432"/>
          <w:tab w:val="left" w:pos="-1021"/>
          <w:tab w:val="left" w:pos="850"/>
          <w:tab w:val="left" w:pos="10800"/>
          <w:tab w:val="left" w:pos="11339"/>
          <w:tab w:val="left" w:pos="11905"/>
          <w:tab w:val="left" w:pos="12240"/>
        </w:tabs>
        <w:suppressAutoHyphens/>
        <w:spacing w:line="360" w:lineRule="auto"/>
        <w:rPr>
          <w:b/>
          <w:spacing w:val="-3"/>
        </w:rPr>
      </w:pPr>
      <w:r>
        <w:rPr>
          <w:b/>
          <w:bCs/>
        </w:rPr>
        <w:t>9.3.2</w:t>
      </w:r>
      <w:r w:rsidRPr="00313755">
        <w:rPr>
          <w:b/>
          <w:spacing w:val="-3"/>
        </w:rPr>
        <w:t xml:space="preserve"> Macrosegregation</w:t>
      </w:r>
      <w:r>
        <w:rPr>
          <w:b/>
          <w:spacing w:val="-3"/>
        </w:rPr>
        <w:t xml:space="preserve"> models for equiaxed structures </w:t>
      </w:r>
    </w:p>
    <w:p w14:paraId="126D8429"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b/>
          <w:spacing w:val="-3"/>
        </w:rPr>
      </w:pPr>
    </w:p>
    <w:p w14:paraId="0E73CD93" w14:textId="77777777" w:rsidR="00015B17" w:rsidRPr="002C7D5C"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r>
        <w:rPr>
          <w:spacing w:val="-3"/>
        </w:rPr>
        <w:tab/>
      </w:r>
      <w:r w:rsidRPr="002C7D5C">
        <w:rPr>
          <w:spacing w:val="-3"/>
        </w:rPr>
        <w:t xml:space="preserve">Until now the research discussed has not included the advection and solidification of freely floating dendritic grains. Yet such aspects of solidification have a significant role on certain types of macrosegregation. In particular negative cone macrosegregation is generally considered to be due to the settling of grains in the bottom portion of large ingots. </w:t>
      </w:r>
    </w:p>
    <w:p w14:paraId="0BA2281E"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p>
    <w:p w14:paraId="66E9C4B6"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r>
        <w:rPr>
          <w:spacing w:val="-3"/>
        </w:rPr>
        <w:tab/>
        <w:t>Macrosegregation in castings depends on the microstructure. Finn et al. (1992) studied macrosegregation in Al-4.5</w:t>
      </w:r>
      <w:r w:rsidR="006363EC">
        <w:rPr>
          <w:spacing w:val="-3"/>
        </w:rPr>
        <w:t xml:space="preserve"> </w:t>
      </w:r>
      <w:r w:rsidRPr="00397539">
        <w:rPr>
          <w:spacing w:val="-3"/>
        </w:rPr>
        <w:t>wt</w:t>
      </w:r>
      <w:r w:rsidR="006363EC">
        <w:rPr>
          <w:spacing w:val="-3"/>
        </w:rPr>
        <w:t>%</w:t>
      </w:r>
      <w:r>
        <w:rPr>
          <w:spacing w:val="-3"/>
        </w:rPr>
        <w:t xml:space="preserve"> </w:t>
      </w:r>
      <w:r w:rsidR="006363EC">
        <w:rPr>
          <w:spacing w:val="-3"/>
        </w:rPr>
        <w:t xml:space="preserve">Cu </w:t>
      </w:r>
      <w:r>
        <w:rPr>
          <w:spacing w:val="-3"/>
        </w:rPr>
        <w:t>castings that were direct chill cast with melt</w:t>
      </w:r>
      <w:r w:rsidR="006363EC">
        <w:rPr>
          <w:spacing w:val="-3"/>
        </w:rPr>
        <w:t>s</w:t>
      </w:r>
      <w:r>
        <w:rPr>
          <w:spacing w:val="-3"/>
        </w:rPr>
        <w:t xml:space="preserve"> with and without grain refinement. They obtained positive centerline macrosegregation for the grain refined alloy ingot but negative centerline macrosegregation for the </w:t>
      </w:r>
      <w:r w:rsidR="006363EC">
        <w:rPr>
          <w:spacing w:val="-3"/>
        </w:rPr>
        <w:t>un</w:t>
      </w:r>
      <w:r>
        <w:rPr>
          <w:spacing w:val="-3"/>
        </w:rPr>
        <w:t xml:space="preserve">refined alloy. Another indication of the importance of freely floating equiaxed grains was observed by </w:t>
      </w:r>
      <w:r w:rsidR="00F02BEB">
        <w:rPr>
          <w:spacing w:val="-3"/>
        </w:rPr>
        <w:t xml:space="preserve">Choudhary and Gosh (1994), who </w:t>
      </w:r>
      <w:r>
        <w:rPr>
          <w:spacing w:val="-3"/>
        </w:rPr>
        <w:t>reported the presence of strong macrosegregation pattern near the CET region.</w:t>
      </w:r>
    </w:p>
    <w:p w14:paraId="312C74B3"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p>
    <w:p w14:paraId="1185D72A"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r>
        <w:rPr>
          <w:spacing w:val="-3"/>
        </w:rPr>
        <w:tab/>
        <w:t xml:space="preserve">Wang and Beckermann (1993) applied their multiphase model to </w:t>
      </w:r>
      <w:r w:rsidR="004F52C2">
        <w:rPr>
          <w:spacing w:val="-3"/>
        </w:rPr>
        <w:t xml:space="preserve">simulate </w:t>
      </w:r>
      <w:r>
        <w:rPr>
          <w:spacing w:val="-3"/>
        </w:rPr>
        <w:t>macrosegregation where both melt convection and equiaxed grain movement were considered. They considered the influence of different nucleation rates on the macrosegregation profile. Their model predictions for Al-4.5</w:t>
      </w:r>
      <w:r w:rsidR="00BD6531">
        <w:rPr>
          <w:spacing w:val="-3"/>
        </w:rPr>
        <w:t xml:space="preserve"> </w:t>
      </w:r>
      <w:r w:rsidR="00BD6531" w:rsidRPr="00397539">
        <w:rPr>
          <w:spacing w:val="-3"/>
        </w:rPr>
        <w:t>wt</w:t>
      </w:r>
      <w:r>
        <w:rPr>
          <w:spacing w:val="-3"/>
        </w:rPr>
        <w:t>%</w:t>
      </w:r>
      <w:r w:rsidR="00BD6531">
        <w:rPr>
          <w:spacing w:val="-3"/>
        </w:rPr>
        <w:t xml:space="preserve"> </w:t>
      </w:r>
      <w:r>
        <w:rPr>
          <w:spacing w:val="-3"/>
        </w:rPr>
        <w:t xml:space="preserve">Cu alloy system (2-D simulation of a 5 </w:t>
      </w:r>
      <w:r w:rsidR="006E6FC2">
        <w:rPr>
          <w:spacing w:val="-3"/>
        </w:rPr>
        <w:t xml:space="preserve">cm </w:t>
      </w:r>
      <w:r>
        <w:rPr>
          <w:spacing w:val="-3"/>
        </w:rPr>
        <w:t xml:space="preserve">x 10 cm rectangular cavity cooled from </w:t>
      </w:r>
      <w:r w:rsidRPr="009D67BA">
        <w:rPr>
          <w:spacing w:val="-3"/>
        </w:rPr>
        <w:t>the left</w:t>
      </w:r>
      <w:r>
        <w:rPr>
          <w:color w:val="FF0000"/>
          <w:spacing w:val="-3"/>
        </w:rPr>
        <w:t xml:space="preserve"> </w:t>
      </w:r>
      <w:r>
        <w:rPr>
          <w:spacing w:val="-3"/>
        </w:rPr>
        <w:t>sidewall</w:t>
      </w:r>
      <w:r>
        <w:rPr>
          <w:color w:val="FF0000"/>
          <w:spacing w:val="-3"/>
        </w:rPr>
        <w:t xml:space="preserve">, </w:t>
      </w:r>
      <w:r w:rsidRPr="009D67BA">
        <w:rPr>
          <w:spacing w:val="-3"/>
        </w:rPr>
        <w:t>which is aligned parallel to the gravity vector)</w:t>
      </w:r>
      <w:r>
        <w:rPr>
          <w:spacing w:val="-3"/>
        </w:rPr>
        <w:t xml:space="preserve"> predicted the following: positive macrosegregation along the bottom wall, A-segregates in the lower central region, no channel segregates, and less overall macrosegregation for higher nucleation rates. </w:t>
      </w:r>
    </w:p>
    <w:p w14:paraId="569C1B75"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p>
    <w:p w14:paraId="3DD62FFF"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r>
        <w:rPr>
          <w:spacing w:val="-3"/>
        </w:rPr>
        <w:tab/>
        <w:t xml:space="preserve">S.Y. Lee et al. (2000) solved a single domain model with coupled energy, mass, momentum, and species conservation equations. Motion of equiaxed grains was allowed to </w:t>
      </w:r>
      <w:r>
        <w:rPr>
          <w:spacing w:val="-3"/>
        </w:rPr>
        <w:lastRenderedPageBreak/>
        <w:t xml:space="preserve">occur until a critical solid fraction was reached. Their prediction of macrosegregation pattern matched experimentally measured patterns for continuous casting of steel. However, these studies did not include cases where microstructure showed a columnar to equiaxed transition (CET). </w:t>
      </w:r>
    </w:p>
    <w:p w14:paraId="5CFC10F8"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p>
    <w:p w14:paraId="4D23D0EF"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r>
        <w:rPr>
          <w:spacing w:val="-3"/>
        </w:rPr>
        <w:tab/>
        <w:t xml:space="preserve">Guillemot et al. (2006) developed a model for predicting solid and liquid flow induced macrosegregation, which was coupled </w:t>
      </w:r>
      <w:r w:rsidR="006E6FC2">
        <w:rPr>
          <w:spacing w:val="-3"/>
        </w:rPr>
        <w:t>with a cellular automaton</w:t>
      </w:r>
      <w:r>
        <w:rPr>
          <w:spacing w:val="-3"/>
        </w:rPr>
        <w:t xml:space="preserve"> (CA)-finite element (FE) model for computing microstructure during solidification. They included the effects of: a) undercooling ahead of a columnar dendrite front, b) nucleation of equiaxed grains in the undercooled melt, c) macroscopic transport and sedimentation of equiaxed grains. The CA model accounts for the transport of grains due to liquid flow and sedimentation. They applied this approach to model the solidification of a Pb-48</w:t>
      </w:r>
      <w:r w:rsidR="00BD6531">
        <w:rPr>
          <w:spacing w:val="-3"/>
        </w:rPr>
        <w:t xml:space="preserve"> </w:t>
      </w:r>
      <w:r w:rsidR="00BD6531" w:rsidRPr="00397539">
        <w:rPr>
          <w:spacing w:val="-3"/>
        </w:rPr>
        <w:t>wt</w:t>
      </w:r>
      <w:r w:rsidR="00BD6531">
        <w:rPr>
          <w:spacing w:val="-3"/>
        </w:rPr>
        <w:t xml:space="preserve"> </w:t>
      </w:r>
      <w:r>
        <w:rPr>
          <w:spacing w:val="-3"/>
        </w:rPr>
        <w:t>%</w:t>
      </w:r>
      <w:r w:rsidR="00BD6531">
        <w:rPr>
          <w:spacing w:val="-3"/>
        </w:rPr>
        <w:t xml:space="preserve"> </w:t>
      </w:r>
      <w:r>
        <w:rPr>
          <w:spacing w:val="-3"/>
        </w:rPr>
        <w:t>Sn alloy in a rectangular cavity cooled from one of the vertical boundaries. They obtained good correlation between computed macrosegregation profiles and experimental measurements available in the literature. Figure 9.12 (S) shows the final grain density for the case of transport of grains due to liquid movement and sedimentation, which was much higher at the bottom of the casting than was obtained for the case where no grain movement was considered. Their model also predicted the formation of channels (top left region of Fig. 9.12(d)), which resulted from instability at growth front. Equiaxed grains are shown to accumulate at the root of this channel as in typical freckle defects.</w:t>
      </w:r>
    </w:p>
    <w:p w14:paraId="72134EAB"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p>
    <w:p w14:paraId="69BDDAE6" w14:textId="6138162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r>
        <w:rPr>
          <w:spacing w:val="-3"/>
        </w:rPr>
        <w:tab/>
        <w:t>Wu and Ludwig (2009) developed predictive capability to model equiaxed dendrite solidification with melt convection and grain transport and sedimentation. Their modeling approach is based on a modified form of the volume averaged single domain approach proposed by Wang and Beckermann (1996). On a microscopic level, their model includes nucleation and growth of either globular-dendritic or dendrite grains. Inside each grain, the non-uniform solute distribution is modeled. The numerical model predictions for the fraction of phases were validated with experimental data reported by Nielsen et al. (2001) for Al-Cu alloys. Fig. 9.13 shows the final macrosegregation and microstructure patterns in a square casting of Al-4.7</w:t>
      </w:r>
      <w:r w:rsidR="00BD6531">
        <w:rPr>
          <w:spacing w:val="-3"/>
        </w:rPr>
        <w:t xml:space="preserve"> </w:t>
      </w:r>
      <w:r w:rsidRPr="00397539">
        <w:rPr>
          <w:spacing w:val="-3"/>
        </w:rPr>
        <w:t>wt</w:t>
      </w:r>
      <w:r>
        <w:rPr>
          <w:spacing w:val="-3"/>
        </w:rPr>
        <w:t xml:space="preserve">% Cu alloy. The model predictions show positive segregation in the upper region, while negative segregation was predicted in the middle and lower </w:t>
      </w:r>
      <w:r>
        <w:rPr>
          <w:spacing w:val="-3"/>
        </w:rPr>
        <w:lastRenderedPageBreak/>
        <w:t>regions of the casting. Their analysis showed that sedimentation of grains and melt convection play an important role in the final macrosegregation pattern during equiaxed solidification. They identified two main mechanisms for macrosegregation: a) negative macrosegregation was caused by replacement of solute-rich melt by solute-depleted grains and b) positive macrosegregation is caused by the replacement of the solute depleted grains by solute-rich melt. Additionally, their analyses indicated more macrosegregation for “globular” equiaxed solidification tha</w:t>
      </w:r>
      <w:r w:rsidR="006363EC">
        <w:rPr>
          <w:spacing w:val="-3"/>
        </w:rPr>
        <w:t xml:space="preserve">n </w:t>
      </w:r>
      <w:r>
        <w:rPr>
          <w:spacing w:val="-3"/>
        </w:rPr>
        <w:t xml:space="preserve">that for dendritic solidification for identical casting conditions.  </w:t>
      </w:r>
    </w:p>
    <w:p w14:paraId="33838F3C"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b/>
          <w:bCs/>
          <w:spacing w:val="-3"/>
        </w:rPr>
      </w:pPr>
      <w:r>
        <w:rPr>
          <w:spacing w:val="-3"/>
        </w:rPr>
        <w:tab/>
      </w:r>
    </w:p>
    <w:p w14:paraId="591AB6EE"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r>
        <w:rPr>
          <w:b/>
          <w:bCs/>
          <w:spacing w:val="-3"/>
        </w:rPr>
        <w:t xml:space="preserve">9.4. Porosity </w:t>
      </w:r>
    </w:p>
    <w:p w14:paraId="70E8A2E6"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r>
        <w:rPr>
          <w:spacing w:val="-3"/>
        </w:rPr>
        <w:tab/>
      </w:r>
    </w:p>
    <w:p w14:paraId="27BE349D"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r>
        <w:rPr>
          <w:spacing w:val="-3"/>
        </w:rPr>
        <w:tab/>
        <w:t>Porosity in castings can occur due to a number of factors. Failure to feed the mass deficit resulting from contraction due to solidification can result in porosity. Porosity related to difficulties of mass feeding on the scale of the casting dimensions is called macroporosity. On the other hand, microporosity is exhibited on the scale of the dendritic structure and is due to insufficient feeding of liquid into the interdendritic regions.  Microporosity can also result from the decrease in solubility of gaseous components (if present) from liquid to solid phases. The morphology of microporosity due to shrinkage and gas is often different, but the formation of gas porosity is also dependent on the shrinkage flow. Microporosity has a strong deleterious effect on the mechanical properties of cast alloys, especially on fatigue and ductility and its reduction is of primary concern in the production of premium grade castings.</w:t>
      </w:r>
    </w:p>
    <w:p w14:paraId="46F5239B"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r>
        <w:rPr>
          <w:spacing w:val="-3"/>
        </w:rPr>
        <w:tab/>
      </w:r>
    </w:p>
    <w:p w14:paraId="4563D078"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b/>
          <w:spacing w:val="-3"/>
        </w:rPr>
      </w:pPr>
      <w:r w:rsidRPr="000176F4">
        <w:rPr>
          <w:b/>
          <w:spacing w:val="-3"/>
        </w:rPr>
        <w:t>9.4.1 Macro</w:t>
      </w:r>
      <w:r>
        <w:rPr>
          <w:b/>
          <w:spacing w:val="-3"/>
        </w:rPr>
        <w:t>porosity</w:t>
      </w:r>
    </w:p>
    <w:p w14:paraId="2141594C" w14:textId="77777777" w:rsidR="00015B17" w:rsidRPr="005E26DC" w:rsidRDefault="00015B17" w:rsidP="00015B17">
      <w:pPr>
        <w:tabs>
          <w:tab w:val="left" w:pos="-1432"/>
          <w:tab w:val="left" w:pos="-1021"/>
          <w:tab w:val="left" w:pos="850"/>
          <w:tab w:val="left" w:pos="10800"/>
          <w:tab w:val="left" w:pos="11339"/>
          <w:tab w:val="left" w:pos="11905"/>
          <w:tab w:val="left" w:pos="12240"/>
        </w:tabs>
        <w:suppressAutoHyphens/>
        <w:spacing w:line="360" w:lineRule="auto"/>
        <w:rPr>
          <w:b/>
          <w:spacing w:val="-3"/>
        </w:rPr>
      </w:pPr>
    </w:p>
    <w:p w14:paraId="630B79F2"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r>
        <w:rPr>
          <w:spacing w:val="-3"/>
        </w:rPr>
        <w:tab/>
        <w:t xml:space="preserve">Much of foundry practice is involved with the placement of chills and risers that maintain proper temperature gradients to retain an open path of liquid metal from the riser to the solidification front. Indeed the major use of macroscopic heat flow modeling of castings is to identify potential locations in the casting where the solidifying regions are cut off from the risers. Macroporosity results from the thermal contraction of the liquid during cooling as well as the density change on solidification. Macroporosity typically forms in the region of </w:t>
      </w:r>
      <w:r>
        <w:rPr>
          <w:spacing w:val="-3"/>
        </w:rPr>
        <w:lastRenderedPageBreak/>
        <w:t xml:space="preserve">the casting that solidifies last if liquid feeding is insufficient. The external heat transfer conditions at the casting surface </w:t>
      </w:r>
      <w:r w:rsidR="006363EC">
        <w:rPr>
          <w:spacing w:val="-3"/>
        </w:rPr>
        <w:t xml:space="preserve">on </w:t>
      </w:r>
      <w:r>
        <w:rPr>
          <w:spacing w:val="-3"/>
        </w:rPr>
        <w:t>the macroscale govern the directionality of solidification internally.</w:t>
      </w:r>
    </w:p>
    <w:p w14:paraId="4A5221BD"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p>
    <w:p w14:paraId="4BE52DEB" w14:textId="3FB6C91C" w:rsidR="00015B17" w:rsidRPr="00E60486"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r>
        <w:rPr>
          <w:spacing w:val="-3"/>
        </w:rPr>
        <w:tab/>
        <w:t xml:space="preserve">Macroporosity can be avoided by proper casting design using the right combinations of risers, in-gates, vents, and chill placements. Pelini (1953) and </w:t>
      </w:r>
      <w:smartTag w:uri="urn:schemas-microsoft-com:office:smarttags" w:element="place">
        <w:smartTag w:uri="urn:schemas-microsoft-com:office:smarttags" w:element="City">
          <w:r>
            <w:rPr>
              <w:spacing w:val="-3"/>
            </w:rPr>
            <w:t>Campbell</w:t>
          </w:r>
        </w:smartTag>
      </w:smartTag>
      <w:r>
        <w:rPr>
          <w:spacing w:val="-3"/>
        </w:rPr>
        <w:t xml:space="preserve"> (1991a) provide detailed descriptions of this topic. The primary role of even the simplest commercial casting software is to help the casting engineer properly rig the casting. For example most casting software has the capability to predict macroporosity once an accurate assessment of external heat transfer conditions is established. For example plots of the time evolution of a particular isotherm or fraction of solid can identify the locations of closed </w:t>
      </w:r>
      <w:r w:rsidR="005F0E27">
        <w:rPr>
          <w:spacing w:val="-3"/>
        </w:rPr>
        <w:t xml:space="preserve">volumes </w:t>
      </w:r>
      <w:r>
        <w:rPr>
          <w:spacing w:val="-3"/>
        </w:rPr>
        <w:t xml:space="preserve">where mass feeding is difficult. The void fraction can be computed at these locations using the density vs. temperature curve of the alloy in the mushy region and knowing the fraction solid at which feeding is effectively shut off. This fraction solid is called “critical” fraction solid and it depends on the alloy and in particular, the metallurgical quality of the melt. A typical number that is often used for ductile iron castings is 0.8. However, a </w:t>
      </w:r>
      <w:r w:rsidRPr="009638E0">
        <w:rPr>
          <w:spacing w:val="-3"/>
        </w:rPr>
        <w:t>value as low as 0.41 has been used for Al-alloys</w:t>
      </w:r>
      <w:r>
        <w:rPr>
          <w:color w:val="FF0000"/>
          <w:spacing w:val="-3"/>
        </w:rPr>
        <w:t xml:space="preserve">. </w:t>
      </w:r>
      <w:r w:rsidRPr="00E60486">
        <w:rPr>
          <w:spacing w:val="-3"/>
        </w:rPr>
        <w:t>Often, a value of 0.7 provide</w:t>
      </w:r>
      <w:r w:rsidR="006363EC">
        <w:rPr>
          <w:spacing w:val="-3"/>
        </w:rPr>
        <w:t>s</w:t>
      </w:r>
      <w:r w:rsidRPr="00E60486">
        <w:rPr>
          <w:spacing w:val="-3"/>
        </w:rPr>
        <w:t xml:space="preserve"> reasonable results.</w:t>
      </w:r>
    </w:p>
    <w:p w14:paraId="321F7D8B"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p>
    <w:p w14:paraId="7D2009EB" w14:textId="44ADDCEB"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r>
        <w:rPr>
          <w:spacing w:val="-3"/>
        </w:rPr>
        <w:tab/>
        <w:t>Fig. 9.14(a) shows plots of macroporosity predicted by ProCAST</w:t>
      </w:r>
      <w:r w:rsidRPr="00883A53">
        <w:rPr>
          <w:rStyle w:val="FootnoteReference"/>
          <w:spacing w:val="-3"/>
          <w:sz w:val="26"/>
        </w:rPr>
        <w:footnoteReference w:id="3"/>
      </w:r>
      <w:r>
        <w:rPr>
          <w:spacing w:val="-3"/>
        </w:rPr>
        <w:t xml:space="preserve"> software for the high pressure die casting of an aluminum alloy. The predicted locations compare reasonably with those obtained in the actual casting. Fig. 9.14(b) shows a similar comparison for a steel casting in which measured porosity in the casting was determined by X-ray analysis.</w:t>
      </w:r>
    </w:p>
    <w:p w14:paraId="51298710"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p>
    <w:p w14:paraId="412F530B"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r>
        <w:rPr>
          <w:spacing w:val="-3"/>
        </w:rPr>
        <w:tab/>
        <w:t>In conclusion</w:t>
      </w:r>
      <w:r w:rsidR="006363EC">
        <w:rPr>
          <w:spacing w:val="-3"/>
        </w:rPr>
        <w:t>,</w:t>
      </w:r>
      <w:r>
        <w:rPr>
          <w:spacing w:val="-3"/>
        </w:rPr>
        <w:t xml:space="preserve"> the modeling of macroporosity can greatly reduce the trial and error involved in developing proper casting rigging. However, the casting engineer must determine proper heat transfer coefficients on the external surfaces of the casting and obtain accurate materials data for this type of modeling to be of use. </w:t>
      </w:r>
    </w:p>
    <w:p w14:paraId="4F91ABDB"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r>
        <w:rPr>
          <w:spacing w:val="-3"/>
        </w:rPr>
        <w:t xml:space="preserve"> </w:t>
      </w:r>
    </w:p>
    <w:p w14:paraId="227AC8C0" w14:textId="77777777" w:rsidR="00015B17" w:rsidRPr="00072338" w:rsidRDefault="00015B17" w:rsidP="00015B17">
      <w:pPr>
        <w:tabs>
          <w:tab w:val="left" w:pos="-1432"/>
          <w:tab w:val="left" w:pos="-1021"/>
          <w:tab w:val="left" w:pos="850"/>
          <w:tab w:val="left" w:pos="10800"/>
          <w:tab w:val="left" w:pos="11339"/>
          <w:tab w:val="left" w:pos="11905"/>
          <w:tab w:val="left" w:pos="12240"/>
        </w:tabs>
        <w:suppressAutoHyphens/>
        <w:spacing w:line="360" w:lineRule="auto"/>
        <w:rPr>
          <w:b/>
          <w:spacing w:val="-3"/>
        </w:rPr>
      </w:pPr>
      <w:r w:rsidRPr="000176F4">
        <w:rPr>
          <w:b/>
          <w:spacing w:val="-3"/>
        </w:rPr>
        <w:lastRenderedPageBreak/>
        <w:t>9.4.</w:t>
      </w:r>
      <w:r>
        <w:rPr>
          <w:b/>
          <w:spacing w:val="-3"/>
        </w:rPr>
        <w:t>2</w:t>
      </w:r>
      <w:r w:rsidRPr="000176F4">
        <w:rPr>
          <w:b/>
          <w:spacing w:val="-3"/>
        </w:rPr>
        <w:t>. Microporosity</w:t>
      </w:r>
    </w:p>
    <w:p w14:paraId="5B743F92"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p>
    <w:p w14:paraId="15B7AB5E"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r>
        <w:rPr>
          <w:spacing w:val="-3"/>
        </w:rPr>
        <w:tab/>
        <w:t xml:space="preserve">Even if a path of liquid metal remains substantially open to the riser, porosity on the scale of the dendritic structure can still form. When liquid metal flows through the mushy zone to feed solidification shrinkage, the liquid metal pressure in the mushy zone drops below the external atmospheric pressure. Microporosity forms when the local pressure in the mushy zone drops below a critical value. Thus detailed prediction of microporosity requires a rather complete description of fluid flow in the mushy </w:t>
      </w:r>
      <w:r w:rsidR="009B1952">
        <w:rPr>
          <w:spacing w:val="-3"/>
        </w:rPr>
        <w:t xml:space="preserve">zone </w:t>
      </w:r>
      <w:r>
        <w:rPr>
          <w:spacing w:val="-3"/>
        </w:rPr>
        <w:t xml:space="preserve">as does the prediction of macrosegregation developed in §9.3. Clearly the larger the freezing range of an alloy and the smaller the temperature gradient, the </w:t>
      </w:r>
      <w:r w:rsidR="005F0E27">
        <w:rPr>
          <w:spacing w:val="-3"/>
        </w:rPr>
        <w:t xml:space="preserve">longer and </w:t>
      </w:r>
      <w:r>
        <w:rPr>
          <w:spacing w:val="-3"/>
        </w:rPr>
        <w:t xml:space="preserve">more tortuous the liquid channels </w:t>
      </w:r>
      <w:r w:rsidRPr="00AB6035">
        <w:rPr>
          <w:spacing w:val="-3"/>
        </w:rPr>
        <w:t xml:space="preserve">are </w:t>
      </w:r>
      <w:r>
        <w:rPr>
          <w:spacing w:val="-3"/>
        </w:rPr>
        <w:t>in the mushy zone. This leads to greatly increased difficulty of feeding the shrinkage and a greater reduction of the liquid metal pressure deep in the mushy zone (far behind the dendrite tips). Indeed one of the major reasons that alloys near eutectic compositions are so common</w:t>
      </w:r>
      <w:r w:rsidR="006E6FC2">
        <w:rPr>
          <w:spacing w:val="-3"/>
        </w:rPr>
        <w:t>ly used</w:t>
      </w:r>
      <w:r>
        <w:rPr>
          <w:spacing w:val="-3"/>
        </w:rPr>
        <w:t xml:space="preserve"> as cast</w:t>
      </w:r>
      <w:r w:rsidR="006E6FC2">
        <w:rPr>
          <w:spacing w:val="-3"/>
        </w:rPr>
        <w:t>ing</w:t>
      </w:r>
      <w:r>
        <w:rPr>
          <w:spacing w:val="-3"/>
        </w:rPr>
        <w:t xml:space="preserve"> alloys is their small freezing ranges and thus the avoidance of microporosity. </w:t>
      </w:r>
    </w:p>
    <w:p w14:paraId="4235FB22"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p>
    <w:p w14:paraId="2BF013DB"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r>
        <w:rPr>
          <w:spacing w:val="-3"/>
        </w:rPr>
        <w:tab/>
        <w:t>The critical reduction of the liquid pressure required for the formation of micropores depends on many factors. Indeed the initial formation of a pore is a heterogeneous nucleation problem (</w:t>
      </w:r>
      <w:smartTag w:uri="urn:schemas-microsoft-com:office:smarttags" w:element="place">
        <w:smartTag w:uri="urn:schemas-microsoft-com:office:smarttags" w:element="City">
          <w:r>
            <w:rPr>
              <w:spacing w:val="-3"/>
            </w:rPr>
            <w:t>CAMPBELL</w:t>
          </w:r>
        </w:smartTag>
      </w:smartTag>
      <w:r>
        <w:rPr>
          <w:spacing w:val="-3"/>
        </w:rPr>
        <w:t xml:space="preserve"> [1991a]) that requires the same consideration as described in § 4, but with pressure substituted for temperature. It involves some of the same considerations as the prediction of cavitation during complex fluid flows.  In principle one needs to know the contact angle of the pore on the solid-liquid interface. It is common to postulate that the critical pore radius (in the sense of nucleation) above which the pore can grow is related to the scale of the dendrite structure. KUBO and PELKE [1985] let the critical radius be equal to the primary dendrite spacing, </w:t>
      </w:r>
      <w:r w:rsidRPr="00670DC5">
        <w:rPr>
          <w:spacing w:val="-3"/>
          <w:position w:val="-10"/>
        </w:rPr>
        <w:object w:dxaOrig="240" w:dyaOrig="340" w14:anchorId="3B8EEB70">
          <v:shape id="_x0000_i1714" type="#_x0000_t75" style="width:12.15pt;height:16.85pt" o:ole="">
            <v:imagedata r:id="rId1322" o:title=""/>
          </v:shape>
          <o:OLEObject Type="Embed" ProgID="Equation.DSMT4" ShapeID="_x0000_i1714" DrawAspect="Content" ObjectID="_1840627280" r:id="rId1323"/>
        </w:object>
      </w:r>
      <w:r>
        <w:rPr>
          <w:spacing w:val="-3"/>
        </w:rPr>
        <w:t xml:space="preserve">, whereas POIRIER </w:t>
      </w:r>
      <w:r>
        <w:rPr>
          <w:i/>
          <w:iCs/>
          <w:spacing w:val="-3"/>
        </w:rPr>
        <w:t>et al.</w:t>
      </w:r>
      <w:r>
        <w:rPr>
          <w:spacing w:val="-3"/>
        </w:rPr>
        <w:t xml:space="preserve"> [1987] relate the critical radius to the space remaining between dendrites. </w:t>
      </w:r>
      <w:r w:rsidRPr="00AB6035">
        <w:rPr>
          <w:spacing w:val="-3"/>
        </w:rPr>
        <w:t xml:space="preserve"> </w:t>
      </w:r>
      <w:r>
        <w:rPr>
          <w:spacing w:val="-3"/>
        </w:rPr>
        <w:t>They obtain an expression for the liquid metal pressure where a void can form as</w:t>
      </w:r>
    </w:p>
    <w:p w14:paraId="34367D7E"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p>
    <w:p w14:paraId="297928CF"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jc w:val="center"/>
        <w:rPr>
          <w:spacing w:val="-3"/>
        </w:rPr>
      </w:pPr>
      <w:r w:rsidRPr="00BC2782">
        <w:rPr>
          <w:position w:val="-30"/>
        </w:rPr>
        <w:object w:dxaOrig="1620" w:dyaOrig="680" w14:anchorId="74EB0D10">
          <v:shape id="_x0000_i1715" type="#_x0000_t75" style="width:81.35pt;height:33.65pt" o:ole="">
            <v:imagedata r:id="rId1324" o:title=""/>
          </v:shape>
          <o:OLEObject Type="Embed" ProgID="Equation.DSMT4" ShapeID="_x0000_i1715" DrawAspect="Content" ObjectID="_1840627281" r:id="rId1325"/>
        </w:object>
      </w:r>
      <w:r>
        <w:t xml:space="preserve">   </w:t>
      </w:r>
      <w:r w:rsidR="006E6FC2">
        <w:t xml:space="preserve">,     </w:t>
      </w:r>
      <w:r>
        <w:rPr>
          <w:spacing w:val="-3"/>
        </w:rPr>
        <w:t>(9.9)</w:t>
      </w:r>
    </w:p>
    <w:p w14:paraId="281F6577"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p>
    <w:p w14:paraId="57845F05" w14:textId="77777777" w:rsidR="00015B17" w:rsidRDefault="006363EC"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r>
        <w:rPr>
          <w:spacing w:val="-3"/>
        </w:rPr>
        <w:lastRenderedPageBreak/>
        <w:t>w</w:t>
      </w:r>
      <w:r w:rsidR="00015B17">
        <w:rPr>
          <w:spacing w:val="-3"/>
        </w:rPr>
        <w:t>here</w:t>
      </w:r>
      <w:r w:rsidR="00015B17">
        <w:rPr>
          <w:i/>
          <w:iCs/>
          <w:spacing w:val="-3"/>
        </w:rPr>
        <w:t xml:space="preserve"> P</w:t>
      </w:r>
      <w:r w:rsidR="00015B17" w:rsidRPr="00911EC5">
        <w:rPr>
          <w:spacing w:val="-3"/>
          <w:sz w:val="26"/>
          <w:vertAlign w:val="subscript"/>
        </w:rPr>
        <w:t>G</w:t>
      </w:r>
      <w:r w:rsidR="00015B17">
        <w:rPr>
          <w:spacing w:val="-3"/>
        </w:rPr>
        <w:t xml:space="preserve"> is the pressure of gas in the pore if any, and </w:t>
      </w:r>
      <w:r w:rsidR="00015B17" w:rsidRPr="00670DC5">
        <w:rPr>
          <w:spacing w:val="-3"/>
          <w:position w:val="-12"/>
        </w:rPr>
        <w:object w:dxaOrig="380" w:dyaOrig="360" w14:anchorId="786115CC">
          <v:shape id="_x0000_i1716" type="#_x0000_t75" style="width:18.7pt;height:17.75pt" o:ole="">
            <v:imagedata r:id="rId1326" o:title=""/>
          </v:shape>
          <o:OLEObject Type="Embed" ProgID="Equation.DSMT4" ShapeID="_x0000_i1716" DrawAspect="Content" ObjectID="_1840627282" r:id="rId1327"/>
        </w:object>
      </w:r>
      <w:r w:rsidR="00015B17">
        <w:rPr>
          <w:spacing w:val="-3"/>
        </w:rPr>
        <w:t xml:space="preserve"> is the surface energy of the liquid – gas (vacuum) interface. If no dissolved gas is present and if the surface energy were zero, porosity would form at locations in the casting where the liquid metal pressure drops to zero (technically the partial pressure of the metallic vapor in equilibrium with liquid and solid).  Dissolved gas increases the likelihood of porosity formation whereas the inclusion of the surface energy effect makes it more difficult to nucleate a pore, necessitating a negative liquid pressure to form a void. It is evident that microporosity due to solidification shrinkage and dissolved gas if present are coupled.</w:t>
      </w:r>
    </w:p>
    <w:p w14:paraId="0C3E2606"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p>
    <w:p w14:paraId="47457A8A" w14:textId="5D00FDA9"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r>
        <w:rPr>
          <w:spacing w:val="-3"/>
        </w:rPr>
        <w:tab/>
        <w:t xml:space="preserve">The value used for </w:t>
      </w:r>
      <w:r w:rsidRPr="005819C8">
        <w:rPr>
          <w:spacing w:val="-3"/>
          <w:position w:val="-12"/>
        </w:rPr>
        <w:object w:dxaOrig="300" w:dyaOrig="360" w14:anchorId="3F8E1E08">
          <v:shape id="_x0000_i1717" type="#_x0000_t75" style="width:14.95pt;height:17.75pt" o:ole="">
            <v:imagedata r:id="rId1328" o:title=""/>
          </v:shape>
          <o:OLEObject Type="Embed" ProgID="Equation.DSMT4" ShapeID="_x0000_i1717" DrawAspect="Content" ObjectID="_1840627283" r:id="rId1329"/>
        </w:object>
      </w:r>
      <w:r>
        <w:rPr>
          <w:spacing w:val="-3"/>
        </w:rPr>
        <w:t xml:space="preserve"> in Eqn. 9.9 also depends on the fraction of liquid, </w:t>
      </w:r>
      <w:r w:rsidRPr="00567891">
        <w:rPr>
          <w:spacing w:val="-3"/>
          <w:position w:val="-10"/>
        </w:rPr>
        <w:object w:dxaOrig="300" w:dyaOrig="340" w14:anchorId="4A22FA8A">
          <v:shape id="_x0000_i1718" type="#_x0000_t75" style="width:14.95pt;height:16.85pt" o:ole="">
            <v:imagedata r:id="rId1330" o:title=""/>
          </v:shape>
          <o:OLEObject Type="Embed" ProgID="Equation.DSMT4" ShapeID="_x0000_i1718" DrawAspect="Content" ObjectID="_1840627284" r:id="rId1331"/>
        </w:object>
      </w:r>
      <w:r>
        <w:rPr>
          <w:spacing w:val="-3"/>
        </w:rPr>
        <w:t xml:space="preserve">. Dissolved gas in a liquid alloy causes porosity because the solubility of the gas species in liquid metal usually exceeds the solubility in the solid. </w:t>
      </w:r>
      <w:r w:rsidR="00397539">
        <w:rPr>
          <w:spacing w:val="-3"/>
        </w:rPr>
        <w:t>Indeed,</w:t>
      </w:r>
      <w:r>
        <w:rPr>
          <w:spacing w:val="-3"/>
        </w:rPr>
        <w:t xml:space="preserve"> one defines a partition coefficient for the gas, </w:t>
      </w:r>
      <w:r w:rsidRPr="00BC2782">
        <w:rPr>
          <w:i/>
          <w:iCs/>
          <w:spacing w:val="-3"/>
          <w:position w:val="-14"/>
        </w:rPr>
        <w:object w:dxaOrig="400" w:dyaOrig="400" w14:anchorId="3AF24D9C">
          <v:shape id="_x0000_i1719" type="#_x0000_t75" style="width:19.65pt;height:19.65pt" o:ole="">
            <v:imagedata r:id="rId1332" o:title=""/>
          </v:shape>
          <o:OLEObject Type="Embed" ProgID="Equation.DSMT4" ShapeID="_x0000_i1719" DrawAspect="Content" ObjectID="_1840627285" r:id="rId1333"/>
        </w:object>
      </w:r>
      <w:r>
        <w:rPr>
          <w:spacing w:val="-3"/>
        </w:rPr>
        <w:t xml:space="preserve"> as the ratio of the equilibrium solubilities of the gaseous species in the solid and the liquid. This definition is identical to that used for non-gaseous solutes in an alloy. Considering again a small region of the dendritic array as depicted in Fig. 7.13, as an alloy solidifies, the dissolved gas is rejected into the remaining liquid where its level increases. The exact amount of increase depends on the details of diffusion of the gaseous species in the liquid and solid phase in a manner identical to that for a metallic solute. However</w:t>
      </w:r>
      <w:r w:rsidR="006363EC">
        <w:rPr>
          <w:spacing w:val="-3"/>
        </w:rPr>
        <w:t>,</w:t>
      </w:r>
      <w:r>
        <w:rPr>
          <w:spacing w:val="-3"/>
        </w:rPr>
        <w:t xml:space="preserve"> because the diffusion rate of the gaseous species in solid metal is usually quite high, the gas content of the solid phase is usually assumed to be uniform within the volume element being considered. Thus the lever rule can be applied to compute the concentration of gaseous species in the liquid as a function of fraction solid. This increase in the concentration of gaseous species in the liquid leads to an expression for the equilibrium pressure that would exist in a pore given by</w:t>
      </w:r>
    </w:p>
    <w:p w14:paraId="4F7AC91D"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p>
    <w:p w14:paraId="3482343A"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jc w:val="center"/>
        <w:rPr>
          <w:spacing w:val="-3"/>
        </w:rPr>
      </w:pPr>
      <w:r w:rsidRPr="00BC2782">
        <w:rPr>
          <w:position w:val="-46"/>
        </w:rPr>
        <w:object w:dxaOrig="2540" w:dyaOrig="840" w14:anchorId="7C982C77">
          <v:shape id="_x0000_i1720" type="#_x0000_t75" style="width:127.15pt;height:42.1pt" o:ole="">
            <v:imagedata r:id="rId1334" o:title=""/>
          </v:shape>
          <o:OLEObject Type="Embed" ProgID="Equation.DSMT4" ShapeID="_x0000_i1720" DrawAspect="Content" ObjectID="_1840627286" r:id="rId1335"/>
        </w:object>
      </w:r>
      <w:r>
        <w:t xml:space="preserve">   </w:t>
      </w:r>
      <w:r w:rsidR="00F726FE">
        <w:t xml:space="preserve">,     </w:t>
      </w:r>
      <w:r>
        <w:rPr>
          <w:spacing w:val="-3"/>
        </w:rPr>
        <w:t>(9.10)</w:t>
      </w:r>
    </w:p>
    <w:p w14:paraId="021A74FC"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p>
    <w:p w14:paraId="4C0687D7"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r>
        <w:rPr>
          <w:spacing w:val="-3"/>
        </w:rPr>
        <w:t>where</w:t>
      </w:r>
      <w:r>
        <w:rPr>
          <w:i/>
          <w:iCs/>
          <w:spacing w:val="-3"/>
        </w:rPr>
        <w:t xml:space="preserve"> P</w:t>
      </w:r>
      <w:r w:rsidRPr="00883A53">
        <w:rPr>
          <w:spacing w:val="-3"/>
          <w:sz w:val="26"/>
          <w:vertAlign w:val="superscript"/>
        </w:rPr>
        <w:sym w:font="Symbol" w:char="F0A2"/>
      </w:r>
      <w:r w:rsidRPr="00911EC5">
        <w:rPr>
          <w:spacing w:val="-3"/>
          <w:sz w:val="26"/>
          <w:vertAlign w:val="subscript"/>
        </w:rPr>
        <w:t>G</w:t>
      </w:r>
      <w:r>
        <w:rPr>
          <w:spacing w:val="-3"/>
        </w:rPr>
        <w:t xml:space="preserve"> is the partial pressure of the gas </w:t>
      </w:r>
      <w:r w:rsidR="006363EC">
        <w:rPr>
          <w:spacing w:val="-3"/>
        </w:rPr>
        <w:t xml:space="preserve">in equilibrium at the free surface of </w:t>
      </w:r>
      <w:r>
        <w:rPr>
          <w:spacing w:val="-3"/>
        </w:rPr>
        <w:t xml:space="preserve">the melt (given by the initial concentration of gas in the melt (BRODY [1974]). Here Sievert’s Law </w:t>
      </w:r>
      <w:r>
        <w:rPr>
          <w:spacing w:val="-3"/>
        </w:rPr>
        <w:lastRenderedPageBreak/>
        <w:t xml:space="preserve">has been used in which the partial pressure of a diatomic gas in equilibrium with a saturated condensed phase is proportional to the square of the partial pressure. Thus it can be seen how the initial content of dissolved gas in the melt (through its effect on </w:t>
      </w:r>
      <w:r w:rsidRPr="00567891">
        <w:rPr>
          <w:i/>
          <w:iCs/>
          <w:spacing w:val="-3"/>
          <w:position w:val="-12"/>
        </w:rPr>
        <w:object w:dxaOrig="380" w:dyaOrig="360" w14:anchorId="74EEC66A">
          <v:shape id="_x0000_i1721" type="#_x0000_t75" style="width:18.7pt;height:17.75pt" o:ole="">
            <v:imagedata r:id="rId1336" o:title=""/>
          </v:shape>
          <o:OLEObject Type="Embed" ProgID="Equation.DSMT4" ShapeID="_x0000_i1721" DrawAspect="Content" ObjectID="_1840627287" r:id="rId1337"/>
        </w:object>
      </w:r>
      <w:r>
        <w:rPr>
          <w:iCs/>
          <w:spacing w:val="-3"/>
        </w:rPr>
        <w:t xml:space="preserve">), </w:t>
      </w:r>
      <w:r>
        <w:rPr>
          <w:spacing w:val="-3"/>
        </w:rPr>
        <w:t xml:space="preserve"> its lack of solubility in the solid (through </w:t>
      </w:r>
      <w:r w:rsidRPr="00567891">
        <w:rPr>
          <w:spacing w:val="-3"/>
          <w:position w:val="-14"/>
        </w:rPr>
        <w:object w:dxaOrig="400" w:dyaOrig="400" w14:anchorId="073ED403">
          <v:shape id="_x0000_i1722" type="#_x0000_t75" style="width:19.65pt;height:19.65pt" o:ole="">
            <v:imagedata r:id="rId1338" o:title=""/>
          </v:shape>
          <o:OLEObject Type="Embed" ProgID="Equation.DSMT4" ShapeID="_x0000_i1722" DrawAspect="Content" ObjectID="_1840627288" r:id="rId1339"/>
        </w:object>
      </w:r>
      <w:r>
        <w:rPr>
          <w:spacing w:val="-3"/>
        </w:rPr>
        <w:t>)  and the pressure drop in the liquid metal require</w:t>
      </w:r>
      <w:r w:rsidR="006363EC">
        <w:rPr>
          <w:spacing w:val="-3"/>
        </w:rPr>
        <w:t>d</w:t>
      </w:r>
      <w:r>
        <w:rPr>
          <w:spacing w:val="-3"/>
        </w:rPr>
        <w:t xml:space="preserve"> to feed solidification shrinkage all contribute to the formation of dendritic microporosity deep in the dendritic array. This combined effect is particularly important for aluminum castings where the solubility of hydrogen in the solid is only </w:t>
      </w:r>
      <w:r w:rsidR="006363EC">
        <w:rPr>
          <w:spacing w:val="-3"/>
        </w:rPr>
        <w:t xml:space="preserve">one </w:t>
      </w:r>
      <w:r>
        <w:rPr>
          <w:spacing w:val="-3"/>
        </w:rPr>
        <w:t>tenth of that in the liquid. The assumption that the concentration of the gaseous species in the solid is uniform within the volume element in the dendritic array is relaxed in work described below.</w:t>
      </w:r>
    </w:p>
    <w:p w14:paraId="319627F6"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p>
    <w:p w14:paraId="6887E593"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r>
        <w:rPr>
          <w:spacing w:val="-3"/>
        </w:rPr>
        <w:tab/>
        <w:t>Stefanescu (2005) and Lee and Wang (2010) provide summaries of the various approaches that have been used to predict the propensity for porosity formation in castings. While success has occurred in predicting the location and even the volume fraction of porosity, predicting the size distribution and shape of the pores is a much more difficult problem</w:t>
      </w:r>
      <w:r w:rsidR="006363EC">
        <w:rPr>
          <w:spacing w:val="-3"/>
        </w:rPr>
        <w:t>,</w:t>
      </w:r>
      <w:r>
        <w:rPr>
          <w:spacing w:val="-3"/>
        </w:rPr>
        <w:t xml:space="preserve"> yet it is vital to the prediction of critical flaws for mechanical property degradation prediction.</w:t>
      </w:r>
      <w:r w:rsidRPr="000413C8">
        <w:rPr>
          <w:spacing w:val="-3"/>
        </w:rPr>
        <w:t xml:space="preserve"> </w:t>
      </w:r>
      <w:r>
        <w:rPr>
          <w:spacing w:val="-3"/>
        </w:rPr>
        <w:t>As with our discussion of macrosegregation, the modeling of microporosity is easiest for columnar structures and more difficult for equiaxed structures.</w:t>
      </w:r>
    </w:p>
    <w:p w14:paraId="407F371B"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p>
    <w:p w14:paraId="6B71E691"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b/>
          <w:spacing w:val="-3"/>
        </w:rPr>
      </w:pPr>
      <w:r w:rsidRPr="00F33F01">
        <w:rPr>
          <w:b/>
          <w:spacing w:val="-3"/>
        </w:rPr>
        <w:t>9.4.</w:t>
      </w:r>
      <w:r>
        <w:rPr>
          <w:b/>
          <w:spacing w:val="-3"/>
        </w:rPr>
        <w:t>2.1</w:t>
      </w:r>
      <w:r w:rsidRPr="00F33F01">
        <w:rPr>
          <w:b/>
          <w:spacing w:val="-3"/>
        </w:rPr>
        <w:t xml:space="preserve"> </w:t>
      </w:r>
      <w:r>
        <w:rPr>
          <w:b/>
          <w:spacing w:val="-3"/>
        </w:rPr>
        <w:t>Criteria</w:t>
      </w:r>
      <w:r w:rsidRPr="00F33F01">
        <w:rPr>
          <w:b/>
          <w:spacing w:val="-3"/>
        </w:rPr>
        <w:t xml:space="preserve"> Functions</w:t>
      </w:r>
      <w:r>
        <w:rPr>
          <w:b/>
          <w:spacing w:val="-3"/>
        </w:rPr>
        <w:t xml:space="preserve"> </w:t>
      </w:r>
    </w:p>
    <w:p w14:paraId="0BA727C3" w14:textId="77777777" w:rsidR="00015B17" w:rsidRPr="00F33F01" w:rsidRDefault="00015B17" w:rsidP="00015B17">
      <w:pPr>
        <w:tabs>
          <w:tab w:val="left" w:pos="-1432"/>
          <w:tab w:val="left" w:pos="-1021"/>
          <w:tab w:val="left" w:pos="850"/>
          <w:tab w:val="left" w:pos="10800"/>
          <w:tab w:val="left" w:pos="11339"/>
          <w:tab w:val="left" w:pos="11905"/>
          <w:tab w:val="left" w:pos="12240"/>
        </w:tabs>
        <w:suppressAutoHyphens/>
        <w:spacing w:line="360" w:lineRule="auto"/>
        <w:rPr>
          <w:b/>
          <w:spacing w:val="-3"/>
        </w:rPr>
      </w:pPr>
    </w:p>
    <w:p w14:paraId="26AD2AA6" w14:textId="65D8C9D0"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r>
        <w:rPr>
          <w:spacing w:val="-3"/>
        </w:rPr>
        <w:tab/>
        <w:t xml:space="preserve">To provide a simple non-computationally intensive tool for incorporation into casting modeling software, </w:t>
      </w:r>
      <w:r w:rsidR="00EE2D0C">
        <w:rPr>
          <w:spacing w:val="-3"/>
        </w:rPr>
        <w:t xml:space="preserve">the </w:t>
      </w:r>
      <w:r>
        <w:rPr>
          <w:spacing w:val="-3"/>
        </w:rPr>
        <w:t>so called criteria function</w:t>
      </w:r>
      <w:r w:rsidR="006363EC">
        <w:rPr>
          <w:spacing w:val="-3"/>
        </w:rPr>
        <w:t>s</w:t>
      </w:r>
      <w:r>
        <w:rPr>
          <w:spacing w:val="-3"/>
        </w:rPr>
        <w:t xml:space="preserve"> have been developed. Using the computed local values of liquid isotherm velocity, temperature gradient at the liquidus temperature, local freezing time etc., a function is evaluated </w:t>
      </w:r>
      <w:r w:rsidR="00401A0F">
        <w:rPr>
          <w:spacing w:val="-3"/>
        </w:rPr>
        <w:t xml:space="preserve">at each position within a </w:t>
      </w:r>
      <w:r>
        <w:rPr>
          <w:spacing w:val="-3"/>
        </w:rPr>
        <w:t xml:space="preserve">casting to predict areas where microporosity is most likely.  Such criteria functions are most useful for columnar structures.  </w:t>
      </w:r>
    </w:p>
    <w:p w14:paraId="5C49EEBB"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p>
    <w:p w14:paraId="1B586044"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r>
        <w:rPr>
          <w:spacing w:val="-3"/>
        </w:rPr>
        <w:tab/>
        <w:t xml:space="preserve">The most popular criteria function that is widely used in casting software as a predictive tool for microporosity due to shrinkage was developed by Niyama (1982). The critical value for the criteria function where microporosity develops was determined experimentally for low-carbon steel, but the general approach makes sense for columnar </w:t>
      </w:r>
      <w:r>
        <w:rPr>
          <w:spacing w:val="-3"/>
        </w:rPr>
        <w:lastRenderedPageBreak/>
        <w:t>structures in general. The criteria function is closely related to the calculation of the pressure drop in the mushy region as follows.</w:t>
      </w:r>
    </w:p>
    <w:p w14:paraId="2871CC7F"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p>
    <w:p w14:paraId="30BEFC07"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r>
        <w:rPr>
          <w:spacing w:val="-3"/>
        </w:rPr>
        <w:tab/>
        <w:t xml:space="preserve">One assumes dendrite trunks growing in the positive </w:t>
      </w:r>
      <w:r w:rsidRPr="007D3F1E">
        <w:rPr>
          <w:i/>
          <w:spacing w:val="-3"/>
        </w:rPr>
        <w:t>x</w:t>
      </w:r>
      <w:r>
        <w:rPr>
          <w:spacing w:val="-3"/>
        </w:rPr>
        <w:t>-direction, and a liquid flow that is one dimensional in the mushy zone and governed by Darcy’s law ignoring the gravity term (Eqn. 2.2</w:t>
      </w:r>
      <w:r w:rsidR="002006B3">
        <w:rPr>
          <w:spacing w:val="-3"/>
        </w:rPr>
        <w:t>5</w:t>
      </w:r>
      <w:r>
        <w:rPr>
          <w:spacing w:val="-3"/>
        </w:rPr>
        <w:t>). The liquid flow velocity in the mushy zone is given by</w:t>
      </w:r>
    </w:p>
    <w:p w14:paraId="29D774DB"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p>
    <w:p w14:paraId="49AAC701"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jc w:val="center"/>
      </w:pPr>
      <w:r w:rsidRPr="001F14D0">
        <w:rPr>
          <w:position w:val="-30"/>
        </w:rPr>
        <w:object w:dxaOrig="1660" w:dyaOrig="720" w14:anchorId="1058222D">
          <v:shape id="_x0000_i1723" type="#_x0000_t75" style="width:82.3pt;height:36.45pt" o:ole="">
            <v:imagedata r:id="rId1340" o:title=""/>
          </v:shape>
          <o:OLEObject Type="Embed" ProgID="Equation.DSMT4" ShapeID="_x0000_i1723" DrawAspect="Content" ObjectID="_1840627289" r:id="rId1341"/>
        </w:object>
      </w:r>
      <w:r>
        <w:t xml:space="preserve">        </w:t>
      </w:r>
      <w:r w:rsidR="00F726FE">
        <w:t>.</w:t>
      </w:r>
      <w:r>
        <w:t xml:space="preserve">                  (9.11</w:t>
      </w:r>
      <w:r w:rsidRPr="00E60D17">
        <w:t>)</w:t>
      </w:r>
    </w:p>
    <w:p w14:paraId="37A15C36"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jc w:val="center"/>
        <w:rPr>
          <w:spacing w:val="-3"/>
        </w:rPr>
      </w:pPr>
    </w:p>
    <w:p w14:paraId="445B5E35"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pPr>
      <w:r>
        <w:rPr>
          <w:spacing w:val="-3"/>
        </w:rPr>
        <w:t>Recall from Eqn 2.2</w:t>
      </w:r>
      <w:r w:rsidR="002006B3">
        <w:rPr>
          <w:spacing w:val="-3"/>
        </w:rPr>
        <w:t>1</w:t>
      </w:r>
      <w:r>
        <w:rPr>
          <w:spacing w:val="-3"/>
        </w:rPr>
        <w:t xml:space="preserve"> that the </w:t>
      </w:r>
      <w:r>
        <w:t>fluid flow required to feed the change in density at the liquid solid interface is given by</w:t>
      </w:r>
    </w:p>
    <w:p w14:paraId="0039E1E3"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pPr>
    </w:p>
    <w:p w14:paraId="479B71A5"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ind w:firstLine="720"/>
        <w:jc w:val="center"/>
        <w:rPr>
          <w:spacing w:val="-3"/>
        </w:rPr>
      </w:pPr>
      <w:r w:rsidRPr="00670E76">
        <w:rPr>
          <w:position w:val="-12"/>
        </w:rPr>
        <w:object w:dxaOrig="980" w:dyaOrig="360" w14:anchorId="2023DCD6">
          <v:shape id="_x0000_i1724" type="#_x0000_t75" style="width:48.6pt;height:17.75pt" o:ole="">
            <v:imagedata r:id="rId1342" o:title=""/>
          </v:shape>
          <o:OLEObject Type="Embed" ProgID="Equation.DSMT4" ShapeID="_x0000_i1724" DrawAspect="Content" ObjectID="_1840627290" r:id="rId1343"/>
        </w:object>
      </w:r>
      <w:r>
        <w:t xml:space="preserve">       </w:t>
      </w:r>
      <w:r w:rsidR="00F726FE">
        <w:t>,</w:t>
      </w:r>
      <w:r>
        <w:t xml:space="preserve">                                 (9.12</w:t>
      </w:r>
      <w:r w:rsidRPr="00E60D17">
        <w:t>)</w:t>
      </w:r>
    </w:p>
    <w:p w14:paraId="316398EA"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p>
    <w:p w14:paraId="54EE264B" w14:textId="77777777" w:rsidR="00015B17" w:rsidRDefault="006363EC"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r>
        <w:rPr>
          <w:spacing w:val="-3"/>
        </w:rPr>
        <w:t>w</w:t>
      </w:r>
      <w:r w:rsidR="00015B17">
        <w:rPr>
          <w:spacing w:val="-3"/>
        </w:rPr>
        <w:t xml:space="preserve">here the interface velocity has been assumed to be the isotherm velocity </w:t>
      </w:r>
      <w:r w:rsidR="00015B17" w:rsidRPr="007D3F1E">
        <w:rPr>
          <w:spacing w:val="-3"/>
          <w:position w:val="-10"/>
        </w:rPr>
        <w:object w:dxaOrig="279" w:dyaOrig="340" w14:anchorId="1ADBB1F8">
          <v:shape id="_x0000_i1725" type="#_x0000_t75" style="width:14.05pt;height:16.85pt" o:ole="">
            <v:imagedata r:id="rId1344" o:title=""/>
          </v:shape>
          <o:OLEObject Type="Embed" ProgID="Equation.DSMT4" ShapeID="_x0000_i1725" DrawAspect="Content" ObjectID="_1840627291" r:id="rId1345"/>
        </w:object>
      </w:r>
      <w:r w:rsidR="00015B17">
        <w:rPr>
          <w:spacing w:val="-3"/>
        </w:rPr>
        <w:t>. Combining the above two equations one obtains</w:t>
      </w:r>
    </w:p>
    <w:p w14:paraId="4F3FEA8E"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p>
    <w:p w14:paraId="62162539" w14:textId="77777777" w:rsidR="00015B17" w:rsidRDefault="00953E90" w:rsidP="00015B17">
      <w:pPr>
        <w:tabs>
          <w:tab w:val="left" w:pos="-1432"/>
          <w:tab w:val="left" w:pos="-1021"/>
          <w:tab w:val="left" w:pos="850"/>
          <w:tab w:val="left" w:pos="10800"/>
          <w:tab w:val="left" w:pos="11339"/>
          <w:tab w:val="left" w:pos="11905"/>
          <w:tab w:val="left" w:pos="12240"/>
        </w:tabs>
        <w:suppressAutoHyphens/>
        <w:spacing w:line="360" w:lineRule="auto"/>
        <w:jc w:val="center"/>
      </w:pPr>
      <w:r w:rsidRPr="00416EF7">
        <w:rPr>
          <w:position w:val="-32"/>
        </w:rPr>
        <w:object w:dxaOrig="1460" w:dyaOrig="700" w14:anchorId="794741B8">
          <v:shape id="_x0000_i1726" type="#_x0000_t75" style="width:72.95pt;height:35.55pt" o:ole="">
            <v:imagedata r:id="rId1346" o:title=""/>
          </v:shape>
          <o:OLEObject Type="Embed" ProgID="Equation.DSMT4" ShapeID="_x0000_i1726" DrawAspect="Content" ObjectID="_1840627292" r:id="rId1347"/>
        </w:object>
      </w:r>
      <w:r w:rsidR="00015B17">
        <w:t xml:space="preserve">      </w:t>
      </w:r>
      <w:r w:rsidR="00F726FE">
        <w:t>.</w:t>
      </w:r>
      <w:r w:rsidR="00015B17">
        <w:t xml:space="preserve">              (9.13</w:t>
      </w:r>
      <w:r w:rsidR="00015B17" w:rsidRPr="00E60D17">
        <w:t>)</w:t>
      </w:r>
    </w:p>
    <w:p w14:paraId="069EDB2B"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p>
    <w:p w14:paraId="174AC3D6" w14:textId="0A101184"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r>
        <w:rPr>
          <w:spacing w:val="-3"/>
        </w:rPr>
        <w:t xml:space="preserve">This equation shows the value </w:t>
      </w:r>
      <w:r w:rsidR="00953E90">
        <w:rPr>
          <w:spacing w:val="-3"/>
        </w:rPr>
        <w:t xml:space="preserve">of </w:t>
      </w:r>
      <w:r>
        <w:rPr>
          <w:spacing w:val="-3"/>
        </w:rPr>
        <w:t>the pressure gradient that will exist for adequate flow to feed the shrinkage. Note that the pressure gradient is positive; i.e., the pressure drops as one proceeds more deeply into the mushy zone away from the dendrite tips (</w:t>
      </w:r>
      <w:r w:rsidRPr="00BC3B15">
        <w:rPr>
          <w:spacing w:val="-3"/>
          <w:position w:val="-6"/>
        </w:rPr>
        <w:object w:dxaOrig="340" w:dyaOrig="220" w14:anchorId="3DB12CC0">
          <v:shape id="_x0000_i1727" type="#_x0000_t75" style="width:16.85pt;height:10.3pt" o:ole="">
            <v:imagedata r:id="rId1348" o:title=""/>
          </v:shape>
          <o:OLEObject Type="Embed" ProgID="Equation.DSMT4" ShapeID="_x0000_i1727" DrawAspect="Content" ObjectID="_1840627293" r:id="rId1349"/>
        </w:object>
      </w:r>
      <w:r>
        <w:rPr>
          <w:spacing w:val="-3"/>
        </w:rPr>
        <w:t xml:space="preserve"> direction).  The above expression can be integrated between the liquidus temperature and the final eutectic temperature, taking </w:t>
      </w:r>
      <w:r w:rsidRPr="00CA5AB6">
        <w:rPr>
          <w:i/>
          <w:spacing w:val="-3"/>
        </w:rPr>
        <w:t>G</w:t>
      </w:r>
      <w:r>
        <w:rPr>
          <w:spacing w:val="-3"/>
        </w:rPr>
        <w:t xml:space="preserve"> as the temperature gradient (</w:t>
      </w:r>
      <w:r w:rsidRPr="00CA5AB6">
        <w:rPr>
          <w:i/>
          <w:spacing w:val="-3"/>
        </w:rPr>
        <w:t>G</w:t>
      </w:r>
      <w:r>
        <w:rPr>
          <w:spacing w:val="-3"/>
        </w:rPr>
        <w:t>=</w:t>
      </w:r>
      <w:r w:rsidRPr="00CA5AB6">
        <w:rPr>
          <w:i/>
          <w:spacing w:val="-3"/>
        </w:rPr>
        <w:t>dT/dx</w:t>
      </w:r>
      <w:r>
        <w:rPr>
          <w:spacing w:val="-3"/>
        </w:rPr>
        <w:t xml:space="preserve">) to get the pressure difference between the dendrite tips </w:t>
      </w:r>
      <w:r w:rsidR="006363EC">
        <w:rPr>
          <w:spacing w:val="-3"/>
        </w:rPr>
        <w:t xml:space="preserve">and the </w:t>
      </w:r>
      <w:r>
        <w:rPr>
          <w:spacing w:val="-3"/>
        </w:rPr>
        <w:t xml:space="preserve">location of </w:t>
      </w:r>
      <w:r w:rsidR="006363EC">
        <w:rPr>
          <w:spacing w:val="-3"/>
        </w:rPr>
        <w:t xml:space="preserve">complete </w:t>
      </w:r>
      <w:r>
        <w:rPr>
          <w:spacing w:val="-3"/>
        </w:rPr>
        <w:t>solidification</w:t>
      </w:r>
    </w:p>
    <w:p w14:paraId="2A479999"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p>
    <w:p w14:paraId="17DC468B"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jc w:val="center"/>
      </w:pPr>
      <w:r w:rsidRPr="00416EF7">
        <w:rPr>
          <w:position w:val="-32"/>
        </w:rPr>
        <w:object w:dxaOrig="2500" w:dyaOrig="700" w14:anchorId="510E93CC">
          <v:shape id="_x0000_i1728" type="#_x0000_t75" style="width:125.3pt;height:35.55pt" o:ole="">
            <v:imagedata r:id="rId1350" o:title=""/>
          </v:shape>
          <o:OLEObject Type="Embed" ProgID="Equation.DSMT4" ShapeID="_x0000_i1728" DrawAspect="Content" ObjectID="_1840627294" r:id="rId1351"/>
        </w:object>
      </w:r>
      <w:r>
        <w:t xml:space="preserve">   </w:t>
      </w:r>
      <w:r w:rsidR="00F726FE">
        <w:t>.</w:t>
      </w:r>
      <w:r>
        <w:t xml:space="preserve">                  (9.14</w:t>
      </w:r>
      <w:r w:rsidRPr="00E60D17">
        <w:t>)</w:t>
      </w:r>
    </w:p>
    <w:p w14:paraId="788B12AB"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r>
        <w:lastRenderedPageBreak/>
        <w:tab/>
      </w:r>
      <w:r>
        <w:tab/>
      </w:r>
    </w:p>
    <w:p w14:paraId="0A58119A"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r>
        <w:rPr>
          <w:spacing w:val="-3"/>
        </w:rPr>
        <w:t xml:space="preserve">The volume fraction </w:t>
      </w:r>
      <w:r w:rsidR="00F726FE">
        <w:rPr>
          <w:spacing w:val="-3"/>
        </w:rPr>
        <w:t xml:space="preserve">of </w:t>
      </w:r>
      <w:r>
        <w:rPr>
          <w:spacing w:val="-3"/>
        </w:rPr>
        <w:t xml:space="preserve">liquid, </w:t>
      </w:r>
      <w:r w:rsidRPr="001E6CD9">
        <w:rPr>
          <w:spacing w:val="-3"/>
          <w:position w:val="-10"/>
        </w:rPr>
        <w:object w:dxaOrig="300" w:dyaOrig="340" w14:anchorId="3748CEFA">
          <v:shape id="_x0000_i1729" type="#_x0000_t75" style="width:14.95pt;height:16.85pt" o:ole="">
            <v:imagedata r:id="rId1352" o:title=""/>
          </v:shape>
          <o:OLEObject Type="Embed" ProgID="Equation.DSMT4" ShapeID="_x0000_i1729" DrawAspect="Content" ObjectID="_1840627295" r:id="rId1353"/>
        </w:object>
      </w:r>
      <w:r>
        <w:rPr>
          <w:spacing w:val="-3"/>
        </w:rPr>
        <w:t xml:space="preserve"> can be written as a function of temperature, for example using the Scheil assumption.  Thus</w:t>
      </w:r>
      <w:r w:rsidR="006363EC">
        <w:rPr>
          <w:spacing w:val="-3"/>
        </w:rPr>
        <w:t>,</w:t>
      </w:r>
      <w:r>
        <w:rPr>
          <w:spacing w:val="-3"/>
        </w:rPr>
        <w:t xml:space="preserve"> the integrand is a function of temperature and the integral is a constant for a given alloy </w:t>
      </w:r>
      <w:r w:rsidRPr="00DD25F8">
        <w:rPr>
          <w:spacing w:val="-3"/>
        </w:rPr>
        <w:t>and dendrite spacing.</w:t>
      </w:r>
      <w:r>
        <w:rPr>
          <w:spacing w:val="-3"/>
        </w:rPr>
        <w:t xml:space="preserve"> Letting the integral be </w:t>
      </w:r>
      <w:r w:rsidRPr="00BC3B15">
        <w:rPr>
          <w:i/>
          <w:spacing w:val="-3"/>
        </w:rPr>
        <w:t>C</w:t>
      </w:r>
      <w:r>
        <w:rPr>
          <w:spacing w:val="-3"/>
        </w:rPr>
        <w:t xml:space="preserve"> and noting that the cooling rate and velocity of the liquidus isotherm are related by</w:t>
      </w:r>
      <w:r w:rsidRPr="00B41938">
        <w:rPr>
          <w:spacing w:val="-3"/>
          <w:position w:val="-12"/>
        </w:rPr>
        <w:object w:dxaOrig="900" w:dyaOrig="380" w14:anchorId="7F392CCD">
          <v:shape id="_x0000_i1730" type="#_x0000_t75" style="width:44.9pt;height:18.7pt" o:ole="">
            <v:imagedata r:id="rId1354" o:title=""/>
          </v:shape>
          <o:OLEObject Type="Embed" ProgID="Equation.DSMT4" ShapeID="_x0000_i1730" DrawAspect="Content" ObjectID="_1840627296" r:id="rId1355"/>
        </w:object>
      </w:r>
      <w:r>
        <w:rPr>
          <w:spacing w:val="-3"/>
        </w:rPr>
        <w:t xml:space="preserve">, the pressure drop can be expressed as  </w:t>
      </w:r>
    </w:p>
    <w:p w14:paraId="6FA7EE93"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jc w:val="center"/>
      </w:pPr>
      <w:r w:rsidRPr="005A65A6">
        <w:rPr>
          <w:position w:val="-24"/>
        </w:rPr>
        <w:object w:dxaOrig="1420" w:dyaOrig="660" w14:anchorId="4F78A876">
          <v:shape id="_x0000_i1731" type="#_x0000_t75" style="width:71.05pt;height:31.8pt" o:ole="">
            <v:imagedata r:id="rId1356" o:title=""/>
          </v:shape>
          <o:OLEObject Type="Embed" ProgID="Equation.DSMT4" ShapeID="_x0000_i1731" DrawAspect="Content" ObjectID="_1840627297" r:id="rId1357"/>
        </w:object>
      </w:r>
      <w:r>
        <w:t xml:space="preserve">       </w:t>
      </w:r>
      <w:r w:rsidR="00F726FE">
        <w:t>.</w:t>
      </w:r>
      <w:r>
        <w:t xml:space="preserve">                       (9.15</w:t>
      </w:r>
      <w:r w:rsidRPr="00E60D17">
        <w:t>)</w:t>
      </w:r>
    </w:p>
    <w:p w14:paraId="18786EFF"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p>
    <w:p w14:paraId="5F46EE33" w14:textId="48C32F91" w:rsidR="00015B17" w:rsidRPr="00C262F0"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r>
        <w:t>It can be see</w:t>
      </w:r>
      <w:r w:rsidR="006363EC">
        <w:t>n</w:t>
      </w:r>
      <w:r>
        <w:t xml:space="preserve"> that the pressure drop is higher with lower temperature gradient and higher cooling rate. Therefore, the propensity for porosity formation increases with lower temperature gradient and higher cooling rate. While simple, this approach contains the essential factors that govern microporosity formation. After a choice of the constant </w:t>
      </w:r>
      <w:r w:rsidRPr="009E2059">
        <w:rPr>
          <w:i/>
        </w:rPr>
        <w:t>C</w:t>
      </w:r>
      <w:r>
        <w:rPr>
          <w:i/>
        </w:rPr>
        <w:t xml:space="preserve"> </w:t>
      </w:r>
      <w:r w:rsidRPr="009E2059">
        <w:t>either by selection of a</w:t>
      </w:r>
      <w:r w:rsidRPr="009E2059">
        <w:rPr>
          <w:position w:val="-10"/>
        </w:rPr>
        <w:object w:dxaOrig="300" w:dyaOrig="340" w14:anchorId="62E39799">
          <v:shape id="_x0000_i1732" type="#_x0000_t75" style="width:14.95pt;height:16.85pt" o:ole="">
            <v:imagedata r:id="rId1358" o:title=""/>
          </v:shape>
          <o:OLEObject Type="Embed" ProgID="Equation.DSMT4" ShapeID="_x0000_i1732" DrawAspect="Content" ObjectID="_1840627298" r:id="rId1359"/>
        </w:object>
      </w:r>
      <w:r>
        <w:t xml:space="preserve">and </w:t>
      </w:r>
      <w:r w:rsidRPr="001F381C">
        <w:rPr>
          <w:position w:val="-4"/>
        </w:rPr>
        <w:object w:dxaOrig="260" w:dyaOrig="260" w14:anchorId="503BB587">
          <v:shape id="_x0000_i1733" type="#_x0000_t75" style="width:13.1pt;height:13.1pt" o:ole="">
            <v:imagedata r:id="rId1360" o:title=""/>
          </v:shape>
          <o:OLEObject Type="Embed" ProgID="Equation.DSMT4" ShapeID="_x0000_i1733" DrawAspect="Content" ObjectID="_1840627299" r:id="rId1361"/>
        </w:object>
      </w:r>
      <w:r>
        <w:t xml:space="preserve"> models or from experiment, maps of the criteria function </w:t>
      </w:r>
      <w:r w:rsidR="00401A0F">
        <w:t xml:space="preserve">at each position </w:t>
      </w:r>
      <w:r>
        <w:t xml:space="preserve">over the entire casting can be exhibited by commercial software packages to assist the casting engineer </w:t>
      </w:r>
      <w:r w:rsidR="00401A0F">
        <w:t xml:space="preserve">in </w:t>
      </w:r>
      <w:r>
        <w:t xml:space="preserve">refining the rigging system. </w:t>
      </w:r>
    </w:p>
    <w:p w14:paraId="3F2CF1E5"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p>
    <w:p w14:paraId="3A48B017"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r>
        <w:rPr>
          <w:spacing w:val="-3"/>
        </w:rPr>
        <w:tab/>
        <w:t xml:space="preserve"> Various other criteria functions have been developed with varying degrees of success. </w:t>
      </w:r>
      <w:r w:rsidR="009402FF">
        <w:rPr>
          <w:spacing w:val="-3"/>
        </w:rPr>
        <w:t xml:space="preserve">Y.W. </w:t>
      </w:r>
      <w:r w:rsidRPr="00C70397">
        <w:rPr>
          <w:spacing w:val="-3"/>
        </w:rPr>
        <w:t xml:space="preserve">Lee et al. (1990) proposed a </w:t>
      </w:r>
      <w:r>
        <w:rPr>
          <w:spacing w:val="-3"/>
        </w:rPr>
        <w:t>criteria</w:t>
      </w:r>
      <w:r w:rsidRPr="00C70397">
        <w:rPr>
          <w:spacing w:val="-3"/>
        </w:rPr>
        <w:t xml:space="preserve"> function that was applicable for wide freezing range alloys. This function included temperature gradient, local solidification time, and solidification velocity separately.</w:t>
      </w:r>
      <w:r>
        <w:rPr>
          <w:spacing w:val="-3"/>
        </w:rPr>
        <w:t xml:space="preserve"> Suri et al (1994) proposed a criteria function called the Feeding Resistance Number (FRN). This is based on the concept that interdendritic feeding is dependent on the specific surface area of the solid structure and thermal parameters. A high value of this number at a location indicates that feeding is difficult and hence microporosity is expected to occur. Beech et al. (1998) proposed feeding criteria function based on a drag force coefficient, which is a function of the local solid fraction.</w:t>
      </w:r>
    </w:p>
    <w:p w14:paraId="11982A4A"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p>
    <w:p w14:paraId="159B1ABF"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r w:rsidRPr="00F33F01">
        <w:rPr>
          <w:b/>
          <w:spacing w:val="-3"/>
        </w:rPr>
        <w:t>9.4.</w:t>
      </w:r>
      <w:r>
        <w:rPr>
          <w:b/>
          <w:spacing w:val="-3"/>
        </w:rPr>
        <w:t>2.2</w:t>
      </w:r>
      <w:r w:rsidRPr="00F33F01">
        <w:rPr>
          <w:b/>
          <w:spacing w:val="-3"/>
        </w:rPr>
        <w:t xml:space="preserve"> </w:t>
      </w:r>
      <w:r>
        <w:rPr>
          <w:b/>
          <w:spacing w:val="-3"/>
        </w:rPr>
        <w:t xml:space="preserve">Fluid flow calculations of microporosity in columnar structures </w:t>
      </w:r>
    </w:p>
    <w:p w14:paraId="7A5DDE43"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p>
    <w:p w14:paraId="7E24981D" w14:textId="63EBEC83" w:rsidR="00015B17" w:rsidRPr="005451C5" w:rsidRDefault="00015B17" w:rsidP="00015B17">
      <w:pPr>
        <w:spacing w:line="360" w:lineRule="auto"/>
        <w:rPr>
          <w:color w:val="FF0000"/>
          <w:spacing w:val="-3"/>
        </w:rPr>
      </w:pPr>
      <w:r>
        <w:rPr>
          <w:spacing w:val="-3"/>
        </w:rPr>
        <w:lastRenderedPageBreak/>
        <w:tab/>
        <w:t>To actually calculate the size and fraction of porosity after solidification is complete, a more complex analysis is required</w:t>
      </w:r>
      <w:r w:rsidR="00401A0F">
        <w:rPr>
          <w:spacing w:val="-3"/>
        </w:rPr>
        <w:t xml:space="preserve"> that solve the energy and momentum conservation equations. </w:t>
      </w:r>
      <w:r>
        <w:rPr>
          <w:spacing w:val="-3"/>
        </w:rPr>
        <w:t>Focusing on hydrogen in Al-Cu alloys</w:t>
      </w:r>
      <w:r w:rsidR="006363EC">
        <w:rPr>
          <w:spacing w:val="-3"/>
        </w:rPr>
        <w:t>,</w:t>
      </w:r>
      <w:r>
        <w:rPr>
          <w:spacing w:val="-3"/>
        </w:rPr>
        <w:t xml:space="preserve"> three papers performed this type of analysis: KUBO and PEHLKE [1985], POIRIER </w:t>
      </w:r>
      <w:r>
        <w:rPr>
          <w:i/>
          <w:iCs/>
          <w:spacing w:val="-3"/>
        </w:rPr>
        <w:t>et al.</w:t>
      </w:r>
      <w:r>
        <w:rPr>
          <w:spacing w:val="-3"/>
        </w:rPr>
        <w:t xml:space="preserve"> [1987] and ZHU and OHNAKA [1991]. They assumed respectively that the </w:t>
      </w:r>
      <w:r w:rsidRPr="00EA7CC0">
        <w:rPr>
          <w:spacing w:val="-3"/>
        </w:rPr>
        <w:t>maximum</w:t>
      </w:r>
      <w:r>
        <w:rPr>
          <w:spacing w:val="-3"/>
        </w:rPr>
        <w:t xml:space="preserve"> pore size was equal to the secondary dendrite arm spacing, </w:t>
      </w:r>
      <w:r w:rsidRPr="000E0407">
        <w:rPr>
          <w:spacing w:val="-3"/>
        </w:rPr>
        <w:t xml:space="preserve">½ of residual liquid space between primary arms and ½ of residual liquid space between </w:t>
      </w:r>
      <w:r>
        <w:rPr>
          <w:spacing w:val="-3"/>
        </w:rPr>
        <w:t>secondary a</w:t>
      </w:r>
      <w:r w:rsidRPr="000E0407">
        <w:rPr>
          <w:spacing w:val="-3"/>
        </w:rPr>
        <w:t>rms</w:t>
      </w:r>
      <w:r>
        <w:rPr>
          <w:spacing w:val="-3"/>
        </w:rPr>
        <w:t xml:space="preserve">. Permeability was calculated using the Blake-Kozeny model in all of them. Kubo and Pehlke further simplified the permeability calculation by forcing the minimum and maximum values of </w:t>
      </w:r>
      <w:r w:rsidR="00F726FE">
        <w:rPr>
          <w:spacing w:val="-3"/>
        </w:rPr>
        <w:t xml:space="preserve">the </w:t>
      </w:r>
      <w:r>
        <w:rPr>
          <w:spacing w:val="-3"/>
        </w:rPr>
        <w:t xml:space="preserve">liquid fraction to 0.01 </w:t>
      </w:r>
      <w:r w:rsidR="00F726FE">
        <w:rPr>
          <w:spacing w:val="-3"/>
        </w:rPr>
        <w:t xml:space="preserve">and 0.7 arbitrarily. Poirier et </w:t>
      </w:r>
      <w:r>
        <w:rPr>
          <w:spacing w:val="-3"/>
        </w:rPr>
        <w:t>al</w:t>
      </w:r>
      <w:r w:rsidR="006363EC">
        <w:rPr>
          <w:spacing w:val="-3"/>
        </w:rPr>
        <w:t>.</w:t>
      </w:r>
      <w:r>
        <w:rPr>
          <w:spacing w:val="-3"/>
        </w:rPr>
        <w:t xml:space="preserve"> included the anisotropic character of the permeability in their model. In all of these papers, the effect of the initial H content, solidification velocity, temperature gradient (and cooling rate), and ambient pressure were simulated. The methods all employ the assumption that the gaseous species diffuses rapidly and only treat the pore size in terms of an equivalent spherical pore</w:t>
      </w:r>
      <w:r w:rsidRPr="00E60486">
        <w:rPr>
          <w:spacing w:val="-3"/>
        </w:rPr>
        <w:t>.</w:t>
      </w:r>
      <w:r w:rsidRPr="00247AEB">
        <w:rPr>
          <w:spacing w:val="-3"/>
        </w:rPr>
        <w:t xml:space="preserve"> In essence, none of these models can predict </w:t>
      </w:r>
      <w:r>
        <w:rPr>
          <w:spacing w:val="-3"/>
        </w:rPr>
        <w:t xml:space="preserve">the time-dependent pore growth and pore </w:t>
      </w:r>
      <w:r w:rsidRPr="00247AEB">
        <w:rPr>
          <w:spacing w:val="-3"/>
        </w:rPr>
        <w:t>size distribution in castings.</w:t>
      </w:r>
    </w:p>
    <w:p w14:paraId="5CEC8067" w14:textId="77777777" w:rsidR="00015B17" w:rsidRDefault="00015B17" w:rsidP="00015B17">
      <w:pPr>
        <w:spacing w:line="360" w:lineRule="auto"/>
        <w:rPr>
          <w:spacing w:val="-3"/>
        </w:rPr>
      </w:pPr>
    </w:p>
    <w:p w14:paraId="7806D099"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r>
        <w:rPr>
          <w:spacing w:val="-3"/>
        </w:rPr>
        <w:tab/>
      </w:r>
      <w:r w:rsidRPr="00F57A96">
        <w:rPr>
          <w:spacing w:val="-3"/>
        </w:rPr>
        <w:t xml:space="preserve">The details regarding size </w:t>
      </w:r>
      <w:r>
        <w:rPr>
          <w:spacing w:val="-3"/>
        </w:rPr>
        <w:t xml:space="preserve">and shape </w:t>
      </w:r>
      <w:r w:rsidRPr="00F57A96">
        <w:rPr>
          <w:spacing w:val="-3"/>
        </w:rPr>
        <w:t>constraints on gas filled pores in the interdendritic regions require consideration. In a columnar-dendritic mushy zone of an alloy, the interdendritic spaces between primary dendritic arms are greater than those between secondary arms. Hence, less excess pressure (</w:t>
      </w:r>
      <w:r w:rsidRPr="00F57A96">
        <w:rPr>
          <w:i/>
          <w:spacing w:val="-3"/>
        </w:rPr>
        <w:t>P</w:t>
      </w:r>
      <w:r w:rsidRPr="00911EC5">
        <w:rPr>
          <w:i/>
          <w:spacing w:val="-3"/>
          <w:sz w:val="26"/>
          <w:vertAlign w:val="subscript"/>
        </w:rPr>
        <w:t>g</w:t>
      </w:r>
      <w:r w:rsidRPr="00F57A96">
        <w:rPr>
          <w:i/>
          <w:spacing w:val="-3"/>
        </w:rPr>
        <w:t>-P</w:t>
      </w:r>
      <w:r w:rsidRPr="00F57A96">
        <w:rPr>
          <w:spacing w:val="-3"/>
        </w:rPr>
        <w:t>) will be needed for the gas phase existing in the primary interdendritic space than that in the spaces between secondary arms. Hence, primary dendrite arm spacing and the arrangement of the primary arms are quite important for understanding pore formation.</w:t>
      </w:r>
      <w:r>
        <w:rPr>
          <w:spacing w:val="-3"/>
        </w:rPr>
        <w:t xml:space="preserve"> </w:t>
      </w:r>
      <w:r w:rsidRPr="00F57A96">
        <w:rPr>
          <w:spacing w:val="-3"/>
        </w:rPr>
        <w:t>P</w:t>
      </w:r>
      <w:r>
        <w:rPr>
          <w:spacing w:val="-3"/>
        </w:rPr>
        <w:t xml:space="preserve">oirier </w:t>
      </w:r>
      <w:r w:rsidRPr="00F57A96">
        <w:rPr>
          <w:i/>
          <w:iCs/>
          <w:spacing w:val="-3"/>
        </w:rPr>
        <w:t>et al.</w:t>
      </w:r>
      <w:r w:rsidRPr="00F57A96">
        <w:rPr>
          <w:spacing w:val="-3"/>
        </w:rPr>
        <w:t xml:space="preserve"> [1987] postulated simple models for estimating the largest diameters of pores</w:t>
      </w:r>
      <w:r>
        <w:rPr>
          <w:spacing w:val="-3"/>
        </w:rPr>
        <w:t xml:space="preserve"> that can form in equiaxed alloys and discussed simple mechanisms of pore formation in intergranular and interdendritic spaces. If the pores form intergranularly, the main parameter which controls the pore size and the excess pressure is the grain size. A finer grain size will require greater pressure drop and dissolved gas content to generate pores. For interdendritic pore formation, the secondary dendrite arm spacing is the key parameter, which in turn depends on the cooling rate. Therefore, cooling rate governs the pore size and the excess pressure in this case.  </w:t>
      </w:r>
    </w:p>
    <w:p w14:paraId="387D6DFA"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p>
    <w:p w14:paraId="3EF0D4FB" w14:textId="00C09BD1" w:rsidR="00015B17" w:rsidRPr="00A60860" w:rsidRDefault="00015B17" w:rsidP="00015B17">
      <w:pPr>
        <w:spacing w:line="360" w:lineRule="auto"/>
        <w:rPr>
          <w:spacing w:val="-3"/>
        </w:rPr>
      </w:pPr>
      <w:r>
        <w:rPr>
          <w:spacing w:val="-3"/>
        </w:rPr>
        <w:lastRenderedPageBreak/>
        <w:tab/>
      </w:r>
      <w:r>
        <w:rPr>
          <w:spacing w:val="-3"/>
        </w:rPr>
        <w:tab/>
        <w:t xml:space="preserve">Lee and Hunt (1995) were first to include an analysis of diffusion of the gaseous species in the solid and thus relaxed the lever assumption for the gaseous species. Thus it incorporates ideas similar to those employed in the “back-diffusion calculations in §7.  In the 2-D calculations a pore size distribution was computed using experimental input of nucleation data from x-ray microradiography measurements. Further work treating the diffusion of the gaseous species was combined with a </w:t>
      </w:r>
      <w:r w:rsidRPr="00F57A96">
        <w:rPr>
          <w:spacing w:val="-3"/>
        </w:rPr>
        <w:t>cellular automaton method</w:t>
      </w:r>
      <w:r>
        <w:rPr>
          <w:spacing w:val="-3"/>
        </w:rPr>
        <w:t xml:space="preserve"> by </w:t>
      </w:r>
      <w:r w:rsidRPr="00F57A96">
        <w:rPr>
          <w:spacing w:val="-3"/>
        </w:rPr>
        <w:t>Atwood and Lee (2003)</w:t>
      </w:r>
      <w:r>
        <w:rPr>
          <w:spacing w:val="-3"/>
        </w:rPr>
        <w:t>. This approach deals directly with the tortuous shape of hydrogen porosity</w:t>
      </w:r>
      <w:r w:rsidRPr="00F57A96">
        <w:rPr>
          <w:spacing w:val="-3"/>
        </w:rPr>
        <w:t xml:space="preserve"> in Al-Si alloys. The</w:t>
      </w:r>
      <w:r>
        <w:rPr>
          <w:spacing w:val="-3"/>
        </w:rPr>
        <w:t xml:space="preserve"> </w:t>
      </w:r>
      <w:r w:rsidRPr="00F57A96">
        <w:rPr>
          <w:spacing w:val="-3"/>
        </w:rPr>
        <w:t>model predict</w:t>
      </w:r>
      <w:r>
        <w:rPr>
          <w:spacing w:val="-3"/>
        </w:rPr>
        <w:t>s</w:t>
      </w:r>
      <w:r w:rsidRPr="00F57A96">
        <w:rPr>
          <w:spacing w:val="-3"/>
        </w:rPr>
        <w:t xml:space="preserve"> </w:t>
      </w:r>
      <w:r>
        <w:rPr>
          <w:spacing w:val="-3"/>
        </w:rPr>
        <w:t xml:space="preserve">the </w:t>
      </w:r>
      <w:r w:rsidRPr="00F57A96">
        <w:rPr>
          <w:spacing w:val="-3"/>
        </w:rPr>
        <w:t>percentage of porosity</w:t>
      </w:r>
      <w:r w:rsidR="005728A4">
        <w:rPr>
          <w:spacing w:val="-3"/>
        </w:rPr>
        <w:t>,</w:t>
      </w:r>
      <w:r>
        <w:rPr>
          <w:spacing w:val="-3"/>
        </w:rPr>
        <w:t xml:space="preserve"> the </w:t>
      </w:r>
      <w:r w:rsidRPr="00F57A96">
        <w:rPr>
          <w:spacing w:val="-3"/>
        </w:rPr>
        <w:t>average pore size</w:t>
      </w:r>
      <w:r w:rsidR="00401A0F">
        <w:rPr>
          <w:spacing w:val="-3"/>
        </w:rPr>
        <w:t>,</w:t>
      </w:r>
      <w:r w:rsidRPr="00F57A96">
        <w:rPr>
          <w:spacing w:val="-3"/>
        </w:rPr>
        <w:t xml:space="preserve"> pore size distribution</w:t>
      </w:r>
      <w:r w:rsidR="006363EC">
        <w:rPr>
          <w:spacing w:val="-3"/>
        </w:rPr>
        <w:t>,</w:t>
      </w:r>
      <w:r>
        <w:rPr>
          <w:spacing w:val="-3"/>
        </w:rPr>
        <w:t xml:space="preserve"> and maximum chord </w:t>
      </w:r>
      <w:r w:rsidR="00401A0F">
        <w:rPr>
          <w:spacing w:val="-3"/>
        </w:rPr>
        <w:t xml:space="preserve">length </w:t>
      </w:r>
      <w:r>
        <w:rPr>
          <w:spacing w:val="-3"/>
        </w:rPr>
        <w:t>of porosity</w:t>
      </w:r>
      <w:r w:rsidRPr="00F57A96">
        <w:rPr>
          <w:spacing w:val="-3"/>
        </w:rPr>
        <w:t>. Their results showed good qualitative agreement with experimental data obtained for a</w:t>
      </w:r>
      <w:r w:rsidR="005728A4">
        <w:rPr>
          <w:spacing w:val="-3"/>
        </w:rPr>
        <w:t>n</w:t>
      </w:r>
      <w:r w:rsidRPr="00F57A96">
        <w:rPr>
          <w:spacing w:val="-3"/>
        </w:rPr>
        <w:t xml:space="preserve"> Al-7</w:t>
      </w:r>
      <w:r w:rsidR="00BD6531">
        <w:rPr>
          <w:spacing w:val="-3"/>
        </w:rPr>
        <w:t xml:space="preserve"> </w:t>
      </w:r>
      <w:r w:rsidRPr="00397539">
        <w:rPr>
          <w:spacing w:val="-3"/>
        </w:rPr>
        <w:t>wt</w:t>
      </w:r>
      <w:r w:rsidRPr="00F57A96">
        <w:rPr>
          <w:spacing w:val="-3"/>
        </w:rPr>
        <w:t xml:space="preserve">% Si alloy. </w:t>
      </w:r>
    </w:p>
    <w:p w14:paraId="38276DC3"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p>
    <w:p w14:paraId="5BAA9DBE"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r w:rsidRPr="00F33F01">
        <w:rPr>
          <w:b/>
          <w:spacing w:val="-3"/>
        </w:rPr>
        <w:t>9.4.</w:t>
      </w:r>
      <w:r>
        <w:rPr>
          <w:b/>
          <w:spacing w:val="-3"/>
        </w:rPr>
        <w:t>2.3</w:t>
      </w:r>
      <w:r w:rsidRPr="00F33F01">
        <w:rPr>
          <w:b/>
          <w:spacing w:val="-3"/>
        </w:rPr>
        <w:t xml:space="preserve"> </w:t>
      </w:r>
      <w:r>
        <w:rPr>
          <w:b/>
          <w:spacing w:val="-3"/>
        </w:rPr>
        <w:t>Calculations of microporosity in equiaxed structures</w:t>
      </w:r>
    </w:p>
    <w:p w14:paraId="3B725BF0"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p>
    <w:p w14:paraId="2D3DDED4"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r>
        <w:rPr>
          <w:spacing w:val="-3"/>
        </w:rPr>
        <w:tab/>
        <w:t xml:space="preserve">In 2004 Lee et al. proposed a multi-scale approach for prediction of microporosity in Al-Si-Cu alloy castings that includes the motion of freely floating grains. Despite being computationally prohibitive for an industrial scale casting, this approach is the most comprehensive for modeling microporosity in castings. This approach computes porosity by addressing both solidification shrinkage and gas porosity. The thermal and flow field are obtained by solving the energy, momentum, and continuity equations on the macroscopic scale. The solid phase nucleation and growth were computed on a meso-scale using a stochastic nucleation model in conjunction with a CA-FD (cellular automata-finite difference) model that is linked with the macroscopic model through the temperature field. The growth of pores is computed by solving the diffusion of hydrogen on microscopic scale while nucleation is considered using a stochastic approach. Nucleation of pores is dependent on the hydrogen supersaturation </w:t>
      </w:r>
      <w:r w:rsidR="006363EC">
        <w:rPr>
          <w:spacing w:val="-3"/>
        </w:rPr>
        <w:t xml:space="preserve">in </w:t>
      </w:r>
      <w:r>
        <w:rPr>
          <w:spacing w:val="-3"/>
        </w:rPr>
        <w:t xml:space="preserve">the </w:t>
      </w:r>
      <w:r w:rsidR="006363EC">
        <w:rPr>
          <w:spacing w:val="-3"/>
        </w:rPr>
        <w:t xml:space="preserve">liquid </w:t>
      </w:r>
      <w:r>
        <w:rPr>
          <w:spacing w:val="-3"/>
        </w:rPr>
        <w:t>phase. The pore growth model is coupled with the macroscopic model through the pressure field. This model included growth restriction of pores that impinge on the solid phase resulting in the possibility of non-spherical pore growth. They predicted maximum pore size and distribution in an engine block made of commercial W319 alloy and obtained a good match with experiment (see Fig. 9.15).</w:t>
      </w:r>
    </w:p>
    <w:p w14:paraId="399A4049"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p>
    <w:p w14:paraId="6DA0FF1E" w14:textId="257CB59E"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r>
        <w:rPr>
          <w:spacing w:val="-3"/>
        </w:rPr>
        <w:lastRenderedPageBreak/>
        <w:t xml:space="preserve">               These multiscale models are complex and the microscopic model used for pore nucleation and growth needs to be validated by using experimental tools. Fortunately, advances in the use of in-situ visualization tools such as X-ray radiography and X-ray tomography have allowed comprehensive studies of pore formation and growth. A resolution below 1 </w:t>
      </w:r>
      <w:r w:rsidRPr="00A60860">
        <w:rPr>
          <w:spacing w:val="-3"/>
          <w:position w:val="-10"/>
        </w:rPr>
        <w:object w:dxaOrig="400" w:dyaOrig="260" w14:anchorId="1DAFD9EE">
          <v:shape id="_x0000_i1734" type="#_x0000_t75" style="width:19.65pt;height:13.1pt" o:ole="">
            <v:imagedata r:id="rId1362" o:title=""/>
          </v:shape>
          <o:OLEObject Type="Embed" ProgID="Equation.DSMT4" ShapeID="_x0000_i1734" DrawAspect="Content" ObjectID="_1840627300" r:id="rId1363"/>
        </w:object>
      </w:r>
      <w:r>
        <w:rPr>
          <w:spacing w:val="-3"/>
        </w:rPr>
        <w:t xml:space="preserve"> allows use of X-ray tomography to study pore formation and growth as shown in Fig. 9.16 (Mathiesen and Arnberg, L., 2007). </w:t>
      </w:r>
    </w:p>
    <w:p w14:paraId="5468107E"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p>
    <w:p w14:paraId="374D8F82"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r>
        <w:rPr>
          <w:b/>
          <w:bCs/>
          <w:spacing w:val="-3"/>
        </w:rPr>
        <w:t>9.5. Inclusions</w:t>
      </w:r>
    </w:p>
    <w:p w14:paraId="358750FC"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r>
        <w:rPr>
          <w:spacing w:val="-3"/>
        </w:rPr>
        <w:tab/>
      </w:r>
    </w:p>
    <w:p w14:paraId="233A9676" w14:textId="7180C51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r>
        <w:rPr>
          <w:spacing w:val="-3"/>
        </w:rPr>
        <w:tab/>
      </w:r>
      <w:r w:rsidR="005F0E27">
        <w:rPr>
          <w:spacing w:val="-3"/>
        </w:rPr>
        <w:t>I</w:t>
      </w:r>
      <w:r>
        <w:rPr>
          <w:spacing w:val="-3"/>
        </w:rPr>
        <w:t>t is very clear that inclusions exert an important influence on fracture behavior of commercial materials. As a result, this portion of the field of solidification is receiving much greater attention. Inclusions are typically non-metallic. Those that are solid in the melt above the liquidus temperature of the first metallic phase to form are called primary and those that form later and often interdendritically are called secondary.</w:t>
      </w:r>
    </w:p>
    <w:p w14:paraId="19AAE837"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p>
    <w:p w14:paraId="4C9B3410" w14:textId="077D05C6"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r>
        <w:rPr>
          <w:spacing w:val="-3"/>
        </w:rPr>
        <w:tab/>
        <w:t xml:space="preserve">Control of inclusions is necessary to prevent degradation of mechanical properties. Some of the controls that are practiced in the metal casting industry are: chemistry control, mold/metal interface and refractory control, separation techniques, and inclusion shape control. </w:t>
      </w:r>
      <w:r w:rsidRPr="00561833">
        <w:rPr>
          <w:spacing w:val="-3"/>
        </w:rPr>
        <w:t>Trojan and Fruehan (2008)</w:t>
      </w:r>
      <w:r w:rsidRPr="00DB0852">
        <w:rPr>
          <w:color w:val="FF0000"/>
          <w:spacing w:val="-3"/>
        </w:rPr>
        <w:t xml:space="preserve"> </w:t>
      </w:r>
      <w:r>
        <w:rPr>
          <w:spacing w:val="-3"/>
        </w:rPr>
        <w:t>provide a review of these control mechanisms. They highlight that inclusion shape control is a key control mechanism needed to prevent degradation of the casting in strain rate sensitive applications. This shape control can be achieved by controlling the surface energy between inclusions and metal through proper modification of the chemistry of the metal. An example is the use of magnesium to alter graphite shape from flake to nodular in stable cast iron. CAMPBELL [1991a] and TRAJAN [1988] treat extensively both primary and secondary inclusions and their effect on mechanical properties in ferrous and nonferrous alloys.</w:t>
      </w:r>
    </w:p>
    <w:p w14:paraId="7929187C"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p>
    <w:p w14:paraId="389D429C"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r>
        <w:rPr>
          <w:spacing w:val="-3"/>
        </w:rPr>
        <w:tab/>
        <w:t xml:space="preserve">With the increasing availability of multicomponent thermodynamic databases for various alloy systems, thermodynamic modeling of inclusion formation is becoming more common. Thermodynamic calculations on the multicomponent alloy systems can be conducted to study the formation of different types of inclusions during melt and ladle </w:t>
      </w:r>
      <w:r>
        <w:rPr>
          <w:spacing w:val="-3"/>
        </w:rPr>
        <w:lastRenderedPageBreak/>
        <w:t>processing (e.g., inoculation, deoxidation practice etc.).  When a full thermodynamic database is available that includes the metallic and nonmetallic phases</w:t>
      </w:r>
      <w:r w:rsidR="005F0E27">
        <w:rPr>
          <w:spacing w:val="-3"/>
        </w:rPr>
        <w:t>,</w:t>
      </w:r>
      <w:r>
        <w:rPr>
          <w:spacing w:val="-3"/>
        </w:rPr>
        <w:t xml:space="preserve"> the approach can treat the formation of the inclusion as it would a metallic phase. Appropriate solidification models (e.g., Lever, Scheil, or Back-diffusion) can be used to compute the solidification path, solute distribution, and amount of each phase (including inclusions) that forms from the liquid at each temperature as the melt cools.</w:t>
      </w:r>
    </w:p>
    <w:p w14:paraId="0411345D"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p>
    <w:p w14:paraId="23129786"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b/>
          <w:iCs/>
          <w:spacing w:val="-3"/>
        </w:rPr>
      </w:pPr>
      <w:r>
        <w:rPr>
          <w:b/>
          <w:iCs/>
          <w:spacing w:val="-3"/>
        </w:rPr>
        <w:t>9.5.1 Primary Inclusions</w:t>
      </w:r>
    </w:p>
    <w:p w14:paraId="1B4BAAF3"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p>
    <w:p w14:paraId="40E9F9C1"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r>
        <w:rPr>
          <w:iCs/>
          <w:spacing w:val="-3"/>
        </w:rPr>
        <w:tab/>
        <w:t>P</w:t>
      </w:r>
      <w:r w:rsidRPr="00C34F11">
        <w:rPr>
          <w:iCs/>
          <w:spacing w:val="-3"/>
        </w:rPr>
        <w:t>rimary inclusions</w:t>
      </w:r>
      <w:r w:rsidRPr="00C34F11">
        <w:rPr>
          <w:spacing w:val="-3"/>
        </w:rPr>
        <w:t xml:space="preserve"> co</w:t>
      </w:r>
      <w:r>
        <w:rPr>
          <w:spacing w:val="-3"/>
        </w:rPr>
        <w:t xml:space="preserve">rresponds to: i) exogenous inclusions (slag, dross, entrapped mold material, refractories); ii) fluxes and salts suspended in the melt as a result of a prior melt-treatment process; and  iii) oxides of the melt which are suspended on top of the melt and are entrapped within by turbulence. In the steel industry a significant reduction of inclusions is obtained by their floating upward and adhering to or dissolving in the slag at the melt surface. In the aluminum industry filtering has become a common practice and the development of better filters is an important area of research (ROSS and MONDOLFO [1980], APELIAN [1982]). Examples of approaches to prevent inclusions during the continuous casting of steel are shown in Fig. 9.17 (Esaka, 1999). </w:t>
      </w:r>
    </w:p>
    <w:p w14:paraId="6B1F33E8"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p>
    <w:p w14:paraId="27174079" w14:textId="3C503EDF"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r>
        <w:rPr>
          <w:spacing w:val="-3"/>
        </w:rPr>
        <w:tab/>
        <w:t>An example of the use of a thermodynamic data base to guide ladle processing is found in the work of Vayrynen et al</w:t>
      </w:r>
      <w:r w:rsidR="006363EC">
        <w:rPr>
          <w:spacing w:val="-3"/>
        </w:rPr>
        <w:t>.</w:t>
      </w:r>
      <w:r>
        <w:rPr>
          <w:spacing w:val="-3"/>
        </w:rPr>
        <w:t xml:space="preserve"> (2009), who studied the control and removal of inclusions in continuous casting of steel. In one case study, they investigated the possibility of inclusion formation during ladle treatment and casting of high carbon and silicon spring steels. Their goal was to have effective silicon deoxidation (without aluminum deoxidation) by bringing the melt in contact with a </w:t>
      </w:r>
      <w:r w:rsidR="00397539">
        <w:rPr>
          <w:spacing w:val="-3"/>
        </w:rPr>
        <w:t>well-controlled</w:t>
      </w:r>
      <w:r>
        <w:rPr>
          <w:spacing w:val="-3"/>
        </w:rPr>
        <w:t xml:space="preserve"> slag. Their thermodynamic calculations showed that it was feasible to obtain steel with desired chemistry e.g., low O</w:t>
      </w:r>
      <w:r w:rsidRPr="00911EC5">
        <w:rPr>
          <w:spacing w:val="-3"/>
          <w:sz w:val="26"/>
          <w:vertAlign w:val="subscript"/>
        </w:rPr>
        <w:t>2</w:t>
      </w:r>
      <w:r>
        <w:rPr>
          <w:spacing w:val="-3"/>
        </w:rPr>
        <w:t xml:space="preserve">, Al content without hard alumina and soft Ca-Al-silicate inclusions. Their thermodynamic calculations were in good agreement with experimental data.  Zhang et al. (2004) used the thermodynamic approach to control inclusions during the steelmaking process. Chemical wear in low carbon free cutting steel at moderate and high cutting speeds is a common problem that can be suppressed by engineering certain indigenous glassy inclusions. These </w:t>
      </w:r>
      <w:r>
        <w:rPr>
          <w:spacing w:val="-3"/>
        </w:rPr>
        <w:lastRenderedPageBreak/>
        <w:t>researchers used a thermodynamic model for deoxidation control of steel during melt/slag and melt/oxide inclusion equilibration. Their study found that these inclusions improved machinability by providing the needed lubrication at the tool-chip interface during high-speed machining operations. The validity of the thermodynamic model is shown in Fig. 9.18. The thermodynamic model computed the inclusion composition for particular melt chemistr</w:t>
      </w:r>
      <w:r w:rsidR="00F726FE">
        <w:rPr>
          <w:spacing w:val="-3"/>
        </w:rPr>
        <w:t>ies</w:t>
      </w:r>
      <w:r>
        <w:rPr>
          <w:spacing w:val="-3"/>
        </w:rPr>
        <w:t xml:space="preserve">. It can be seen </w:t>
      </w:r>
      <w:r w:rsidR="006363EC">
        <w:rPr>
          <w:spacing w:val="-3"/>
        </w:rPr>
        <w:t xml:space="preserve">that </w:t>
      </w:r>
      <w:r>
        <w:rPr>
          <w:spacing w:val="-3"/>
        </w:rPr>
        <w:t>the composition of the measured inclusions in the ternary diagram showed a good match with the predicted composition of the inclusions. Note that the results are shown for the final step in the three step inclusion engineering process. Inclusions are shown in Fig. 9.18(b) in the dark regions of the target inclusion areas. Thus thermodynamic modeling was successfully used to design a controlled deoxidation process and melt/slag and melt-oxide inclusion equilibration during the steelmaking process to obtain the desired glassy oxide inclusions.</w:t>
      </w:r>
    </w:p>
    <w:p w14:paraId="421118BB" w14:textId="77777777" w:rsidR="00015B17" w:rsidRPr="000639B4"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r w:rsidRPr="000639B4">
        <w:rPr>
          <w:spacing w:val="-3"/>
        </w:rPr>
        <w:t xml:space="preserve"> </w:t>
      </w:r>
    </w:p>
    <w:p w14:paraId="24EE8F4F"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b/>
          <w:iCs/>
          <w:spacing w:val="-3"/>
        </w:rPr>
      </w:pPr>
      <w:r>
        <w:rPr>
          <w:b/>
          <w:iCs/>
          <w:spacing w:val="-3"/>
        </w:rPr>
        <w:t>9.5.2 Secondary Inclusions</w:t>
      </w:r>
    </w:p>
    <w:p w14:paraId="6EFC8736" w14:textId="77777777" w:rsidR="00015B17" w:rsidRPr="000464C4" w:rsidRDefault="00015B17" w:rsidP="00015B17">
      <w:pPr>
        <w:tabs>
          <w:tab w:val="left" w:pos="-1432"/>
          <w:tab w:val="left" w:pos="-1021"/>
          <w:tab w:val="left" w:pos="850"/>
          <w:tab w:val="left" w:pos="10800"/>
          <w:tab w:val="left" w:pos="11339"/>
          <w:tab w:val="left" w:pos="11905"/>
          <w:tab w:val="left" w:pos="12240"/>
        </w:tabs>
        <w:suppressAutoHyphens/>
        <w:spacing w:line="360" w:lineRule="auto"/>
        <w:rPr>
          <w:b/>
          <w:iCs/>
          <w:spacing w:val="-3"/>
        </w:rPr>
      </w:pPr>
    </w:p>
    <w:p w14:paraId="68DC27B0"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r>
        <w:rPr>
          <w:i/>
          <w:iCs/>
          <w:spacing w:val="-3"/>
        </w:rPr>
        <w:tab/>
        <w:t>Secondary inclusions</w:t>
      </w:r>
      <w:r>
        <w:rPr>
          <w:spacing w:val="-3"/>
        </w:rPr>
        <w:t xml:space="preserve"> are those which form concurrently with the solidification of the major metallic phase. Although in industrial practice commercial alloys involve multicomponent systems, a first approach to the understanding of the formation of secondary inclusions has been achieved through the considerations of ternary diagrams involving the most important impurity elements under consideration (FLEMINGS [1974]). Then, the solidification reactions occurring during the process, together with the values of the various partition coefficients of the impurity elements in the metallic phase</w:t>
      </w:r>
      <w:r w:rsidR="005F0E27">
        <w:rPr>
          <w:spacing w:val="-3"/>
        </w:rPr>
        <w:t>,</w:t>
      </w:r>
      <w:r>
        <w:rPr>
          <w:spacing w:val="-3"/>
        </w:rPr>
        <w:t xml:space="preserve"> play an important role in the type, size and distribution of inclusions in the final structure. Important ternary systems to be considered are Fe-O-Si, Fe-O-S, and Fe-Mn-S from which the formation of silicates, oxides and sulfides results. FREDRICKSSON and HILLERT [1972], through carefully controlled solidification, were able to determine the formation of four types of MnS inclusions formed by different reactions. </w:t>
      </w:r>
    </w:p>
    <w:p w14:paraId="60EB7B8E"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p>
    <w:p w14:paraId="44EFD0A6"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r>
        <w:rPr>
          <w:spacing w:val="-3"/>
        </w:rPr>
        <w:tab/>
      </w:r>
      <w:r w:rsidRPr="00305338">
        <w:rPr>
          <w:spacing w:val="-3"/>
        </w:rPr>
        <w:t>NAKAMA</w:t>
      </w:r>
      <w:r>
        <w:rPr>
          <w:spacing w:val="-3"/>
        </w:rPr>
        <w:t xml:space="preserve"> et al. 2009 studied the formation of sulfides as a normal part of the s</w:t>
      </w:r>
      <w:r w:rsidRPr="00305338">
        <w:rPr>
          <w:spacing w:val="-3"/>
        </w:rPr>
        <w:t>olidification</w:t>
      </w:r>
      <w:r>
        <w:rPr>
          <w:spacing w:val="-3"/>
        </w:rPr>
        <w:t xml:space="preserve"> path of the </w:t>
      </w:r>
      <w:r w:rsidRPr="00305338">
        <w:rPr>
          <w:spacing w:val="-3"/>
        </w:rPr>
        <w:t>Fe–Cr–Ni</w:t>
      </w:r>
      <w:r>
        <w:rPr>
          <w:spacing w:val="-3"/>
        </w:rPr>
        <w:t xml:space="preserve">-Mn-S alloy system. Predictions of the path using a multicomponent phase diagram provided by a thermodynamic calculation of the type </w:t>
      </w:r>
      <w:r>
        <w:rPr>
          <w:spacing w:val="-3"/>
        </w:rPr>
        <w:lastRenderedPageBreak/>
        <w:t xml:space="preserve">described in §3.4.1 was compared to the observed formation of the </w:t>
      </w:r>
      <w:r w:rsidRPr="00305338">
        <w:rPr>
          <w:spacing w:val="-3"/>
        </w:rPr>
        <w:t xml:space="preserve">sulfide </w:t>
      </w:r>
      <w:r>
        <w:rPr>
          <w:spacing w:val="-3"/>
        </w:rPr>
        <w:t>inclusions.  Depending on the phase sequence encountered on the path of the different alloys studied, the sulfides were located in different positions within the dendritic microstructure.</w:t>
      </w:r>
      <w:r>
        <w:rPr>
          <w:spacing w:val="-3"/>
        </w:rPr>
        <w:tab/>
        <w:t>.</w:t>
      </w:r>
    </w:p>
    <w:p w14:paraId="3F2456E2"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p>
    <w:p w14:paraId="7025E920"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b/>
          <w:spacing w:val="-3"/>
        </w:rPr>
      </w:pPr>
      <w:r w:rsidRPr="00305338">
        <w:rPr>
          <w:b/>
          <w:spacing w:val="-3"/>
        </w:rPr>
        <w:t>9.</w:t>
      </w:r>
      <w:r>
        <w:rPr>
          <w:b/>
          <w:spacing w:val="-3"/>
        </w:rPr>
        <w:t>5</w:t>
      </w:r>
      <w:r w:rsidRPr="00305338">
        <w:rPr>
          <w:b/>
          <w:spacing w:val="-3"/>
        </w:rPr>
        <w:t>.3 Inclusion pushing/entrapment</w:t>
      </w:r>
    </w:p>
    <w:p w14:paraId="796D6656"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b/>
          <w:spacing w:val="-3"/>
        </w:rPr>
      </w:pPr>
    </w:p>
    <w:p w14:paraId="74FBD8DD" w14:textId="53124A05"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r>
        <w:rPr>
          <w:spacing w:val="-3"/>
        </w:rPr>
        <w:tab/>
        <w:t xml:space="preserve">An important effect to consider when a moving solidification front intercepts an insoluble particle is whether the inclusion is pushed or engulfed. If the solidification front breaks down into cells, dendrites or equiaxed grains, two or more solidification fronts can converge on the particle. In this case, if the particle is not engulfed by one of the fronts, it will be pushed in between two or more solidification fronts and will be entrapped in the solid at the end of local solidification. STEFANESCU and DHINDAW [1988] reviewed the variables of the process as well the available theoretical and experimental work for both directional and multidirectional solidification. </w:t>
      </w:r>
      <w:r w:rsidR="00B10D64">
        <w:rPr>
          <w:spacing w:val="-3"/>
        </w:rPr>
        <w:t>Subsequently</w:t>
      </w:r>
      <w:r>
        <w:rPr>
          <w:spacing w:val="-3"/>
        </w:rPr>
        <w:t xml:space="preserve">, SHANGGUAN </w:t>
      </w:r>
      <w:r>
        <w:rPr>
          <w:i/>
          <w:iCs/>
          <w:spacing w:val="-3"/>
        </w:rPr>
        <w:t>et al.</w:t>
      </w:r>
      <w:r w:rsidR="0075087C">
        <w:rPr>
          <w:i/>
          <w:iCs/>
          <w:spacing w:val="-3"/>
        </w:rPr>
        <w:t xml:space="preserve"> </w:t>
      </w:r>
      <w:r>
        <w:rPr>
          <w:spacing w:val="-3"/>
        </w:rPr>
        <w:t xml:space="preserve">[1992] present an analytical model for the interaction between an insoluble particle and an advancing </w:t>
      </w:r>
      <w:r w:rsidR="004201E7">
        <w:rPr>
          <w:spacing w:val="-3"/>
        </w:rPr>
        <w:t>L-S</w:t>
      </w:r>
      <w:r>
        <w:rPr>
          <w:spacing w:val="-3"/>
        </w:rPr>
        <w:t xml:space="preserve"> interface. There exists a critical velocity for the pushing-engulfment transition of particles by the interface. The critical velocity is a function of a number of materials parameters and processing variables, including the melt viscosity, the </w:t>
      </w:r>
      <w:r w:rsidR="0075087C">
        <w:rPr>
          <w:spacing w:val="-3"/>
        </w:rPr>
        <w:t xml:space="preserve">wetting behavior of </w:t>
      </w:r>
      <w:r>
        <w:rPr>
          <w:spacing w:val="-3"/>
        </w:rPr>
        <w:t xml:space="preserve">the particle and the matrix, the density difference as well as the thermal conductivity difference between the particle and the matrix, and the particle size. Qualitatively the theoretical predictions compare favorably with experimental observations. </w:t>
      </w:r>
    </w:p>
    <w:p w14:paraId="7CBB9E94"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p>
    <w:p w14:paraId="44BF7D31" w14:textId="6288BC30"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r>
        <w:rPr>
          <w:spacing w:val="-3"/>
        </w:rPr>
        <w:tab/>
        <w:t>Shibata et al</w:t>
      </w:r>
      <w:r w:rsidR="006363EC">
        <w:rPr>
          <w:spacing w:val="-3"/>
        </w:rPr>
        <w:t>.</w:t>
      </w:r>
      <w:r>
        <w:rPr>
          <w:spacing w:val="-3"/>
        </w:rPr>
        <w:t xml:space="preserve"> (1998) studied the interaction of the solid-liquid interface with inclusions during </w:t>
      </w:r>
      <w:r w:rsidR="0075087C">
        <w:rPr>
          <w:spacing w:val="-3"/>
        </w:rPr>
        <w:t xml:space="preserve">the </w:t>
      </w:r>
      <w:r>
        <w:rPr>
          <w:spacing w:val="-3"/>
        </w:rPr>
        <w:t>casting of steel. They studied Al</w:t>
      </w:r>
      <w:r w:rsidRPr="00911EC5">
        <w:rPr>
          <w:spacing w:val="-3"/>
          <w:sz w:val="26"/>
          <w:vertAlign w:val="subscript"/>
        </w:rPr>
        <w:t>2</w:t>
      </w:r>
      <w:r>
        <w:rPr>
          <w:spacing w:val="-3"/>
        </w:rPr>
        <w:t>O</w:t>
      </w:r>
      <w:r w:rsidRPr="00911EC5">
        <w:rPr>
          <w:spacing w:val="-3"/>
          <w:sz w:val="26"/>
          <w:vertAlign w:val="subscript"/>
        </w:rPr>
        <w:t>3</w:t>
      </w:r>
      <w:r>
        <w:rPr>
          <w:spacing w:val="-3"/>
        </w:rPr>
        <w:t xml:space="preserve"> clusters floating in a low-carbon Al-killed steel melt ahead of the liquid-solid interface. Fig. 9.19 shows that fine inclusions were pushed while large inclusions were engulfed. They noticed that pushing was enhanced when </w:t>
      </w:r>
      <w:r w:rsidR="0075087C">
        <w:rPr>
          <w:spacing w:val="-3"/>
        </w:rPr>
        <w:t xml:space="preserve">the </w:t>
      </w:r>
      <w:r>
        <w:rPr>
          <w:spacing w:val="-3"/>
        </w:rPr>
        <w:t xml:space="preserve">solidification velocity was reduced. They obtained </w:t>
      </w:r>
      <w:r w:rsidR="0075087C">
        <w:rPr>
          <w:spacing w:val="-3"/>
        </w:rPr>
        <w:t xml:space="preserve">experimentally </w:t>
      </w:r>
      <w:r w:rsidR="006363EC">
        <w:rPr>
          <w:spacing w:val="-3"/>
        </w:rPr>
        <w:t xml:space="preserve">a relationship where the maximum </w:t>
      </w:r>
      <w:r w:rsidR="005F0E27">
        <w:rPr>
          <w:spacing w:val="-3"/>
        </w:rPr>
        <w:t xml:space="preserve">engulfment </w:t>
      </w:r>
      <w:r w:rsidR="006363EC">
        <w:rPr>
          <w:spacing w:val="-3"/>
        </w:rPr>
        <w:t>velocity was inversely proportional to the inclusion radius</w:t>
      </w:r>
      <w:r>
        <w:rPr>
          <w:spacing w:val="-3"/>
        </w:rPr>
        <w:t xml:space="preserve">. They noticed that inclusions in the melt ahead of the liquid-solid interface are almost always engulfed at solidification velocities typically encountered during continuous casting of </w:t>
      </w:r>
      <w:r>
        <w:rPr>
          <w:spacing w:val="-3"/>
        </w:rPr>
        <w:lastRenderedPageBreak/>
        <w:t xml:space="preserve">steels. In order to avoid this engulfment, the inclusions need to be prevented from coming into close proximity of the L-S interface. This can be achieved by sweeping or washing the melt/shell boundary by clean melt flow controlled by </w:t>
      </w:r>
      <w:r w:rsidR="005F0E27">
        <w:rPr>
          <w:spacing w:val="-3"/>
        </w:rPr>
        <w:t xml:space="preserve">an </w:t>
      </w:r>
      <w:r>
        <w:rPr>
          <w:spacing w:val="-3"/>
        </w:rPr>
        <w:t>electromagnetic field.</w:t>
      </w:r>
    </w:p>
    <w:p w14:paraId="01328A29"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r>
        <w:rPr>
          <w:spacing w:val="-3"/>
        </w:rPr>
        <w:tab/>
      </w:r>
    </w:p>
    <w:p w14:paraId="0AEAF3B5"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r>
        <w:rPr>
          <w:b/>
          <w:bCs/>
          <w:spacing w:val="-3"/>
        </w:rPr>
        <w:t>9.6 Fluidity</w:t>
      </w:r>
    </w:p>
    <w:p w14:paraId="72940BB1"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r>
        <w:rPr>
          <w:spacing w:val="-3"/>
        </w:rPr>
        <w:tab/>
      </w:r>
    </w:p>
    <w:p w14:paraId="34917FB2"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r>
        <w:rPr>
          <w:spacing w:val="-3"/>
        </w:rPr>
        <w:tab/>
        <w:t xml:space="preserve">Over the years the foundryman has found it useful to employ a quantity called </w:t>
      </w:r>
      <w:r>
        <w:rPr>
          <w:i/>
          <w:iCs/>
          <w:spacing w:val="-3"/>
        </w:rPr>
        <w:t>fluidity</w:t>
      </w:r>
      <w:r>
        <w:rPr>
          <w:spacing w:val="-3"/>
        </w:rPr>
        <w:t xml:space="preserve">. The concept arises from practical concerns regarding the degree to which small section sizes can be filled with metal during castings with various alloys. This property is measured through one of several types of fluidity tests. Hot metal is caused to flow into a long channel of small cross section and the </w:t>
      </w:r>
      <w:r>
        <w:rPr>
          <w:i/>
          <w:iCs/>
          <w:spacing w:val="-3"/>
        </w:rPr>
        <w:t>maximum</w:t>
      </w:r>
      <w:r>
        <w:rPr>
          <w:spacing w:val="-3"/>
        </w:rPr>
        <w:t xml:space="preserve"> </w:t>
      </w:r>
      <w:r>
        <w:rPr>
          <w:i/>
          <w:iCs/>
          <w:spacing w:val="-3"/>
        </w:rPr>
        <w:t>length</w:t>
      </w:r>
      <w:r>
        <w:rPr>
          <w:spacing w:val="-3"/>
        </w:rPr>
        <w:t xml:space="preserve"> that the metal flows before it is stopped by solidification is a measure of fluidity. Fluidity depends on many factors. They fall in the following three categories:</w:t>
      </w:r>
    </w:p>
    <w:p w14:paraId="4CDCB198"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p>
    <w:p w14:paraId="4995FD91"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ind w:left="720"/>
        <w:rPr>
          <w:spacing w:val="-3"/>
        </w:rPr>
      </w:pPr>
      <w:r>
        <w:rPr>
          <w:spacing w:val="-3"/>
        </w:rPr>
        <w:t>Alloy variables: alloy composition, viscosity of melt, pouring temperatures, and thermophysical properties as functions of temperatures</w:t>
      </w:r>
    </w:p>
    <w:p w14:paraId="1A2D8C5A"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ind w:left="720"/>
        <w:rPr>
          <w:spacing w:val="-3"/>
        </w:rPr>
      </w:pPr>
    </w:p>
    <w:p w14:paraId="606E2904"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ind w:left="720"/>
        <w:rPr>
          <w:spacing w:val="-3"/>
        </w:rPr>
      </w:pPr>
      <w:r>
        <w:rPr>
          <w:spacing w:val="-3"/>
        </w:rPr>
        <w:t>Mold variables: Mold temperature, thermophysical properties, metal/mold heat transfer coefficient and surface tension</w:t>
      </w:r>
    </w:p>
    <w:p w14:paraId="7D2873DD"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ind w:left="720"/>
        <w:rPr>
          <w:spacing w:val="-3"/>
        </w:rPr>
      </w:pPr>
    </w:p>
    <w:p w14:paraId="13F1D754"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ind w:left="720"/>
        <w:rPr>
          <w:spacing w:val="-3"/>
        </w:rPr>
      </w:pPr>
      <w:r>
        <w:rPr>
          <w:spacing w:val="-3"/>
        </w:rPr>
        <w:t>Casting variables: metallostatic head, channel dimensions, types and amount of inclusions.</w:t>
      </w:r>
    </w:p>
    <w:p w14:paraId="3FDE76AD"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p>
    <w:p w14:paraId="547B976C"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r>
        <w:rPr>
          <w:spacing w:val="-3"/>
        </w:rPr>
        <w:t>In addition, fluidity also depends on whether the alloy freezes with plane front or with columnar or equiaxed dendrites. There are several techniques available for measuring fluidity (Sabatino, 2005). However, one major shortcoming is that data from various fluidity tests cannot be directly compared. Most popular tests are: vacuum fluidity test, fluidity spiral in sand mold, and multichannel fluidity test in metal mold.</w:t>
      </w:r>
    </w:p>
    <w:p w14:paraId="246CFC81"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r>
        <w:rPr>
          <w:spacing w:val="-3"/>
        </w:rPr>
        <w:tab/>
      </w:r>
    </w:p>
    <w:p w14:paraId="041F946B"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r>
        <w:rPr>
          <w:spacing w:val="-3"/>
        </w:rPr>
        <w:tab/>
        <w:t xml:space="preserve">FLEMINGS [1974] reviewed the field and his contributions to the study of fluidity. </w:t>
      </w:r>
      <w:r w:rsidR="00B10D64">
        <w:rPr>
          <w:spacing w:val="-3"/>
        </w:rPr>
        <w:t>Later,</w:t>
      </w:r>
      <w:r>
        <w:rPr>
          <w:spacing w:val="-3"/>
        </w:rPr>
        <w:t xml:space="preserve"> CAMPBELL [1991a],[1991b] gives a general view of this property and stresses the </w:t>
      </w:r>
      <w:r>
        <w:rPr>
          <w:spacing w:val="-3"/>
        </w:rPr>
        <w:lastRenderedPageBreak/>
        <w:t xml:space="preserve">importance of the factors that influence the fluidity test as they relate to present limitations and future difficulties of numerical modeling of casting. It is  worthwhile to follow the approach of CAMPBELL [1991a] who considers three cases: i) </w:t>
      </w:r>
      <w:r>
        <w:rPr>
          <w:i/>
          <w:iCs/>
          <w:spacing w:val="-3"/>
        </w:rPr>
        <w:t>Maximum Fluidity Length</w:t>
      </w:r>
      <w:r>
        <w:rPr>
          <w:spacing w:val="-3"/>
        </w:rPr>
        <w:t>,</w:t>
      </w:r>
      <w:r>
        <w:rPr>
          <w:i/>
          <w:iCs/>
          <w:spacing w:val="-3"/>
        </w:rPr>
        <w:t xml:space="preserve"> L</w:t>
      </w:r>
      <w:r w:rsidRPr="00911EC5">
        <w:rPr>
          <w:spacing w:val="-3"/>
          <w:sz w:val="26"/>
          <w:vertAlign w:val="subscript"/>
        </w:rPr>
        <w:t>f</w:t>
      </w:r>
      <w:r>
        <w:rPr>
          <w:spacing w:val="-3"/>
        </w:rPr>
        <w:t>, determined by an experiment where the cross sectional area of the channel is large enough that the effect of surface tension is negligible; ii)</w:t>
      </w:r>
      <w:r>
        <w:rPr>
          <w:i/>
          <w:iCs/>
          <w:spacing w:val="-3"/>
        </w:rPr>
        <w:t xml:space="preserve"> L</w:t>
      </w:r>
      <w:r w:rsidRPr="00911EC5">
        <w:rPr>
          <w:spacing w:val="-3"/>
          <w:sz w:val="26"/>
          <w:vertAlign w:val="subscript"/>
        </w:rPr>
        <w:t>f</w:t>
      </w:r>
      <w:r>
        <w:rPr>
          <w:spacing w:val="-3"/>
        </w:rPr>
        <w:t xml:space="preserve"> ,when surface tension is important, and, iii) </w:t>
      </w:r>
      <w:r>
        <w:rPr>
          <w:i/>
          <w:iCs/>
          <w:spacing w:val="-3"/>
        </w:rPr>
        <w:t>Continuous Fluidity Length</w:t>
      </w:r>
      <w:r>
        <w:rPr>
          <w:spacing w:val="-3"/>
        </w:rPr>
        <w:t>,</w:t>
      </w:r>
      <w:r>
        <w:rPr>
          <w:i/>
          <w:iCs/>
          <w:spacing w:val="-3"/>
        </w:rPr>
        <w:t xml:space="preserve"> L</w:t>
      </w:r>
      <w:r w:rsidRPr="00911EC5">
        <w:rPr>
          <w:spacing w:val="-3"/>
          <w:sz w:val="26"/>
          <w:vertAlign w:val="subscript"/>
        </w:rPr>
        <w:t>c</w:t>
      </w:r>
      <w:r>
        <w:rPr>
          <w:spacing w:val="-3"/>
        </w:rPr>
        <w:t xml:space="preserve">. </w:t>
      </w:r>
    </w:p>
    <w:p w14:paraId="4A8D7F26"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r>
        <w:rPr>
          <w:spacing w:val="-3"/>
        </w:rPr>
        <w:tab/>
      </w:r>
    </w:p>
    <w:p w14:paraId="3153AA13" w14:textId="32A8582D"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r>
        <w:rPr>
          <w:spacing w:val="-3"/>
        </w:rPr>
        <w:tab/>
        <w:t xml:space="preserve">Fluidity can be predicted using commercial casting software that </w:t>
      </w:r>
      <w:r w:rsidR="0075087C">
        <w:rPr>
          <w:spacing w:val="-3"/>
        </w:rPr>
        <w:t>solves</w:t>
      </w:r>
      <w:r>
        <w:rPr>
          <w:spacing w:val="-3"/>
        </w:rPr>
        <w:t xml:space="preserve"> fluid dynamics, heat transfer, and solidification kinetics in castings. Using accurate data for thermophysical properties and boundary conditions, the fluidity length can be computed assuming that flow is significantly reduced or stopped when dendrite coherency is reached. </w:t>
      </w:r>
    </w:p>
    <w:p w14:paraId="71B06980" w14:textId="77777777"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r>
        <w:rPr>
          <w:b/>
          <w:bCs/>
          <w:spacing w:val="-3"/>
        </w:rPr>
        <w:tab/>
      </w:r>
    </w:p>
    <w:p w14:paraId="17CC4219" w14:textId="6D88CDFF" w:rsidR="00015B17"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r>
        <w:tab/>
      </w:r>
      <w:r w:rsidRPr="00E211EB">
        <w:rPr>
          <w:spacing w:val="-3"/>
        </w:rPr>
        <w:t>When the channel section becomes thinner than a critical value</w:t>
      </w:r>
      <w:r w:rsidR="0075087C">
        <w:rPr>
          <w:spacing w:val="-3"/>
        </w:rPr>
        <w:t xml:space="preserve"> (</w:t>
      </w:r>
      <w:r w:rsidR="00223F76">
        <w:rPr>
          <w:spacing w:val="-3"/>
        </w:rPr>
        <w:t>≈</w:t>
      </w:r>
      <w:r w:rsidRPr="00E211EB">
        <w:rPr>
          <w:spacing w:val="-3"/>
        </w:rPr>
        <w:t>0.30 cm for most alloys</w:t>
      </w:r>
      <w:r w:rsidR="0075087C">
        <w:rPr>
          <w:spacing w:val="-3"/>
        </w:rPr>
        <w:t>)</w:t>
      </w:r>
      <w:r w:rsidRPr="00E211EB">
        <w:rPr>
          <w:spacing w:val="-3"/>
        </w:rPr>
        <w:t>, the resistance to liquid flow increase</w:t>
      </w:r>
      <w:r w:rsidR="0075087C">
        <w:rPr>
          <w:spacing w:val="-3"/>
        </w:rPr>
        <w:t>s</w:t>
      </w:r>
      <w:r w:rsidRPr="00E211EB">
        <w:rPr>
          <w:spacing w:val="-3"/>
        </w:rPr>
        <w:t xml:space="preserve"> because of surface tension</w:t>
      </w:r>
      <w:r w:rsidR="0075087C" w:rsidRPr="0075087C">
        <w:rPr>
          <w:spacing w:val="-3"/>
        </w:rPr>
        <w:t xml:space="preserve"> </w:t>
      </w:r>
      <w:r w:rsidR="0075087C">
        <w:rPr>
          <w:spacing w:val="-3"/>
        </w:rPr>
        <w:t>(</w:t>
      </w:r>
      <w:r w:rsidR="0075087C" w:rsidRPr="00E211EB">
        <w:rPr>
          <w:spacing w:val="-3"/>
        </w:rPr>
        <w:t>FLEMINGS [1974]</w:t>
      </w:r>
      <w:r w:rsidR="0075087C">
        <w:rPr>
          <w:spacing w:val="-3"/>
        </w:rPr>
        <w:t>)</w:t>
      </w:r>
      <w:r w:rsidRPr="00E211EB">
        <w:rPr>
          <w:spacing w:val="-3"/>
        </w:rPr>
        <w:t xml:space="preserve">. This is particularly critical in technologies such as </w:t>
      </w:r>
      <w:r w:rsidR="0075087C">
        <w:rPr>
          <w:spacing w:val="-3"/>
        </w:rPr>
        <w:t xml:space="preserve">the casting of </w:t>
      </w:r>
      <w:r w:rsidRPr="00E211EB">
        <w:rPr>
          <w:spacing w:val="-3"/>
        </w:rPr>
        <w:t>aerofoils, propellers, and turbine blades (</w:t>
      </w:r>
      <w:smartTag w:uri="urn:schemas-microsoft-com:office:smarttags" w:element="place">
        <w:smartTag w:uri="urn:schemas-microsoft-com:office:smarttags" w:element="City">
          <w:r w:rsidRPr="00E211EB">
            <w:rPr>
              <w:spacing w:val="-3"/>
            </w:rPr>
            <w:t>CAMPBELL</w:t>
          </w:r>
        </w:smartTag>
      </w:smartTag>
      <w:r w:rsidRPr="00E211EB">
        <w:rPr>
          <w:spacing w:val="-3"/>
        </w:rPr>
        <w:t xml:space="preserve"> [1991a]). </w:t>
      </w:r>
      <w:r w:rsidR="0075087C">
        <w:rPr>
          <w:spacing w:val="-3"/>
        </w:rPr>
        <w:t xml:space="preserve"> </w:t>
      </w:r>
      <w:r w:rsidRPr="00E211EB">
        <w:rPr>
          <w:spacing w:val="-3"/>
        </w:rPr>
        <w:t xml:space="preserve">CAMPBELL and OLLIF [1971] distinguish two aspects of filling thin sections: flowability, essentially, following the rules discussed above and fillability limited by surface tension. </w:t>
      </w:r>
    </w:p>
    <w:p w14:paraId="12107075" w14:textId="77777777" w:rsidR="00015B17" w:rsidRPr="00E211EB" w:rsidRDefault="00015B17" w:rsidP="00015B17">
      <w:pPr>
        <w:tabs>
          <w:tab w:val="left" w:pos="-1432"/>
          <w:tab w:val="left" w:pos="-1021"/>
          <w:tab w:val="left" w:pos="850"/>
          <w:tab w:val="left" w:pos="10800"/>
          <w:tab w:val="left" w:pos="11339"/>
          <w:tab w:val="left" w:pos="11905"/>
          <w:tab w:val="left" w:pos="12240"/>
        </w:tabs>
        <w:suppressAutoHyphens/>
        <w:spacing w:line="360" w:lineRule="auto"/>
        <w:rPr>
          <w:spacing w:val="-3"/>
        </w:rPr>
      </w:pPr>
    </w:p>
    <w:p w14:paraId="24C61894" w14:textId="77176F9D" w:rsidR="0051706E" w:rsidRDefault="0051706E" w:rsidP="00F7556C">
      <w:pPr>
        <w:tabs>
          <w:tab w:val="left" w:pos="-720"/>
          <w:tab w:val="left" w:pos="0"/>
        </w:tabs>
        <w:suppressAutoHyphens/>
        <w:ind w:left="720" w:hanging="720"/>
      </w:pPr>
    </w:p>
    <w:p w14:paraId="5921CE19" w14:textId="77777777" w:rsidR="0051706E" w:rsidRDefault="0051706E">
      <w:r>
        <w:br w:type="page"/>
      </w:r>
    </w:p>
    <w:p w14:paraId="423777F3" w14:textId="164CB142" w:rsidR="0051706E" w:rsidRDefault="0051706E" w:rsidP="0051706E">
      <w:pPr>
        <w:suppressAutoHyphens/>
        <w:spacing w:line="360" w:lineRule="auto"/>
        <w:jc w:val="center"/>
        <w:rPr>
          <w:b/>
          <w:bCs/>
          <w:i/>
          <w:iCs/>
          <w:sz w:val="28"/>
          <w:szCs w:val="28"/>
        </w:rPr>
      </w:pPr>
      <w:r>
        <w:rPr>
          <w:b/>
          <w:bCs/>
          <w:i/>
          <w:iCs/>
          <w:sz w:val="28"/>
          <w:szCs w:val="28"/>
        </w:rPr>
        <w:lastRenderedPageBreak/>
        <w:t>10. Additive Manufacturing of Metals</w:t>
      </w:r>
    </w:p>
    <w:p w14:paraId="4EFC82D2" w14:textId="77777777" w:rsidR="00957A60" w:rsidRDefault="00957A60" w:rsidP="0051706E">
      <w:pPr>
        <w:suppressAutoHyphens/>
        <w:spacing w:line="360" w:lineRule="auto"/>
        <w:jc w:val="center"/>
        <w:rPr>
          <w:b/>
          <w:bCs/>
          <w:i/>
          <w:iCs/>
          <w:sz w:val="28"/>
          <w:szCs w:val="28"/>
        </w:rPr>
      </w:pPr>
    </w:p>
    <w:p w14:paraId="2824C865" w14:textId="039DC257" w:rsidR="00957A60" w:rsidRDefault="00957A60" w:rsidP="00957A60">
      <w:pPr>
        <w:tabs>
          <w:tab w:val="left" w:pos="-1432"/>
          <w:tab w:val="left" w:pos="-1021"/>
          <w:tab w:val="left" w:pos="850"/>
          <w:tab w:val="left" w:pos="10800"/>
          <w:tab w:val="left" w:pos="11339"/>
          <w:tab w:val="left" w:pos="11905"/>
          <w:tab w:val="left" w:pos="12240"/>
        </w:tabs>
        <w:suppressAutoHyphens/>
        <w:spacing w:line="360" w:lineRule="auto"/>
        <w:rPr>
          <w:b/>
          <w:bCs/>
          <w:spacing w:val="-3"/>
        </w:rPr>
      </w:pPr>
      <w:r>
        <w:rPr>
          <w:b/>
          <w:bCs/>
          <w:spacing w:val="-3"/>
        </w:rPr>
        <w:t>10.1 Introduction</w:t>
      </w:r>
    </w:p>
    <w:p w14:paraId="45307511" w14:textId="77777777" w:rsidR="00957A60" w:rsidRDefault="00957A60" w:rsidP="00957A60">
      <w:pPr>
        <w:tabs>
          <w:tab w:val="left" w:pos="-1432"/>
          <w:tab w:val="left" w:pos="-1021"/>
          <w:tab w:val="left" w:pos="850"/>
          <w:tab w:val="left" w:pos="10800"/>
          <w:tab w:val="left" w:pos="11339"/>
          <w:tab w:val="left" w:pos="11905"/>
          <w:tab w:val="left" w:pos="12240"/>
        </w:tabs>
        <w:suppressAutoHyphens/>
        <w:spacing w:line="360" w:lineRule="auto"/>
        <w:rPr>
          <w:b/>
          <w:bCs/>
          <w:spacing w:val="-3"/>
        </w:rPr>
      </w:pPr>
    </w:p>
    <w:p w14:paraId="22EB675E" w14:textId="34539970" w:rsidR="00957A60" w:rsidRDefault="00957A60" w:rsidP="00957A60">
      <w:pPr>
        <w:spacing w:line="360" w:lineRule="auto"/>
      </w:pPr>
      <w:r>
        <w:rPr>
          <w:spacing w:val="-3"/>
        </w:rPr>
        <w:tab/>
      </w:r>
      <w:r w:rsidRPr="00957A60">
        <w:t xml:space="preserve">In recent years, additive manufacturing (AM) is becoming more prevalent in manufacturing and/or repairing various types of industrial components. A variety of material systems can be processed via the additive manufacturing route. AM industrial outputs are expected to grow in the next several years already reaching US $15.8 billion worldwide in 2018 </w:t>
      </w:r>
      <w:r w:rsidRPr="00957A60">
        <w:fldChar w:fldCharType="begin"/>
      </w:r>
      <w:r w:rsidRPr="00957A60">
        <w:instrText xml:space="preserve"> ADDIN ZOTERO_ITEM CSL_CITATION {"citationID":"jyyKsXCt","properties":{"formattedCitation":"(Campbell et al. 2017)","plainCitation":"(Campbell et al. 2017)","noteIndex":0},"citationItems":[{"id":150,"uris":["http://zotero.org/users/9870952/items/LZK6AMP7"],"itemData":{"id":150,"type":"paper-conference","abstract":"Semantic Scholar extracted view of \"Wohlers Report 2018: 3D printing and additive manufacturing state of the industry: Annual Worldwide Progress Report\" by I. Campbell et al.","source":"Semantic Scholar","title":"Wohlers Report 2018: 3D printing and additive manufacturing state of the industry: Annual Worldwide Progress Report","title-short":"Wohlers Report 2018","URL":"https://www.semanticscholar.org/paper/Wohlers-Report-2018%3A-3D-printing-and-additive-state-Campbell-Diegel/73a503275f46ec1ebaaba2a0e007db081bf6852f","author":[{"family":"Campbell","given":"I."},{"family":"Diegel","given":"O."},{"family":"Kowen","given":"J."},{"family":"Wohlers","given":"T."}],"accessed":{"date-parts":[["2024",1,4]]},"issued":{"date-parts":[["2017"]]}}}],"schema":"https://github.com/citation-style-language/schema/raw/master/csl-citation.json"} </w:instrText>
      </w:r>
      <w:r w:rsidRPr="00957A60">
        <w:fldChar w:fldCharType="separate"/>
      </w:r>
      <w:r w:rsidRPr="003E0F31">
        <w:t>(Campbell et al. 2017)</w:t>
      </w:r>
      <w:r w:rsidRPr="00957A60">
        <w:fldChar w:fldCharType="end"/>
      </w:r>
      <w:r w:rsidRPr="00957A60">
        <w:t xml:space="preserve">. Fig. 10.1 shows the distribution of AM adoption by 2018, which depicts AM </w:t>
      </w:r>
      <w:r w:rsidR="00FF4AAF">
        <w:t>use</w:t>
      </w:r>
      <w:r w:rsidR="00FF4AAF" w:rsidRPr="00957A60">
        <w:t xml:space="preserve"> </w:t>
      </w:r>
      <w:r w:rsidRPr="00957A60">
        <w:t>in diverse fields. Various materials including polymers, ceramics, and metals are used for producing components by AM. This chapter will focus only on metal AM.</w:t>
      </w:r>
    </w:p>
    <w:p w14:paraId="614A3073" w14:textId="77777777" w:rsidR="00957A60" w:rsidRDefault="00957A60" w:rsidP="00957A60">
      <w:pPr>
        <w:spacing w:line="360" w:lineRule="auto"/>
      </w:pPr>
    </w:p>
    <w:p w14:paraId="66E0CAEA" w14:textId="77777777" w:rsidR="00957A60" w:rsidRDefault="00957A60" w:rsidP="00957A60">
      <w:pPr>
        <w:spacing w:line="360" w:lineRule="auto"/>
        <w:ind w:firstLine="720"/>
      </w:pPr>
      <w:r>
        <w:t xml:space="preserve">Metal AM, however, is mostly limited to a few industry sectors such as dental </w:t>
      </w:r>
      <w:r>
        <w:fldChar w:fldCharType="begin"/>
      </w:r>
      <w:r>
        <w:instrText xml:space="preserve"> ADDIN ZOTERO_ITEM CSL_CITATION {"citationID":"Hu475bn5","properties":{"formattedCitation":"(Galante, Figueiredo-Pina, and Serro 2019)","plainCitation":"(Galante, Figueiredo-Pina, and Serro 2019)","noteIndex":0},"citationItems":[{"id":149,"uris":["http://zotero.org/users/9870952/items/2S8SMFGF"],"itemData":{"id":149,"type":"article-journal","container-title":"Dental materials","issue":"6","note":"publisher: Elsevier","page":"825–846","source":"Google Scholar","title":"Additive manufacturing of ceramics for dental applications: A review","title-short":"Additive manufacturing of ceramics for dental applications","volume":"35","author":[{"family":"Galante","given":"Raquel"},{"family":"Figueiredo-Pina","given":"Celio G."},{"family":"Serro","given":"Ana Paula"}],"issued":{"date-parts":[["2019"]]}}}],"schema":"https://github.com/citation-style-language/schema/raw/master/csl-citation.json"} </w:instrText>
      </w:r>
      <w:r>
        <w:fldChar w:fldCharType="separate"/>
      </w:r>
      <w:r w:rsidRPr="00826A79">
        <w:rPr>
          <w:rFonts w:cs="Calibri"/>
        </w:rPr>
        <w:t>(Galante, Figueiredo-Pina, and Serro 2019)</w:t>
      </w:r>
      <w:r>
        <w:fldChar w:fldCharType="end"/>
      </w:r>
      <w:r>
        <w:t xml:space="preserve">, construction </w:t>
      </w:r>
      <w:r>
        <w:fldChar w:fldCharType="begin"/>
      </w:r>
      <w:r>
        <w:instrText xml:space="preserve"> ADDIN ZOTERO_ITEM CSL_CITATION {"citationID":"GyQyfDh1","properties":{"formattedCitation":"(Buchanan and Gardner 2019)","plainCitation":"(Buchanan and Gardner 2019)","noteIndex":0},"citationItems":[{"id":148,"uris":["http://zotero.org/users/9870952/items/SY6SRDES"],"itemData":{"id":148,"type":"article-journal","container-title":"Engineering Structures","note":"publisher: Elsevier","page":"332–348","source":"Google Scholar","title":"Metal 3D printing in construction: A review of methods, research, applications, opportunities and challenges","title-short":"Metal 3D printing in construction","volume":"180","author":[{"family":"Buchanan","given":"Craig"},{"family":"Gardner","given":"Leroy"}],"issued":{"date-parts":[["2019"]]}}}],"schema":"https://github.com/citation-style-language/schema/raw/master/csl-citation.json"} </w:instrText>
      </w:r>
      <w:r>
        <w:fldChar w:fldCharType="separate"/>
      </w:r>
      <w:r w:rsidRPr="00826A79">
        <w:rPr>
          <w:rFonts w:cs="Calibri"/>
        </w:rPr>
        <w:t>(Buchanan and Gardner 2019)</w:t>
      </w:r>
      <w:r>
        <w:fldChar w:fldCharType="end"/>
      </w:r>
      <w:r>
        <w:t xml:space="preserve">, and aerospace </w:t>
      </w:r>
      <w:r>
        <w:fldChar w:fldCharType="begin"/>
      </w:r>
      <w:r>
        <w:instrText xml:space="preserve"> ADDIN ZOTERO_ITEM CSL_CITATION {"citationID":"UwLtlM12","properties":{"formattedCitation":"(Najmon, Raeisi, and Tovar 2019)","plainCitation":"(Najmon, Raeisi, and Tovar 2019)","noteIndex":0},"citationItems":[{"id":147,"uris":["http://zotero.org/users/9870952/items/VQF44SQV"],"itemData":{"id":147,"type":"article-journal","container-title":"Additive manufacturing for the aerospace industry","note":"publisher: Elsevier","page":"7–31","source":"Google Scholar","title":"Review of additive manufacturing technologies and applications in the aerospace industry","author":[{"family":"Najmon","given":"Joel C."},{"family":"Raeisi","given":"Sajjad"},{"family":"Tovar","given":"Andres"}],"issued":{"date-parts":[["2019"]]}}}],"schema":"https://github.com/citation-style-language/schema/raw/master/csl-citation.json"} </w:instrText>
      </w:r>
      <w:r>
        <w:fldChar w:fldCharType="separate"/>
      </w:r>
      <w:r w:rsidRPr="00826A79">
        <w:rPr>
          <w:rFonts w:cs="Calibri"/>
        </w:rPr>
        <w:t>(Najmon, Raeisi, and Tovar 2019)</w:t>
      </w:r>
      <w:r>
        <w:fldChar w:fldCharType="end"/>
      </w:r>
      <w:r>
        <w:t xml:space="preserve">. American Society for Testing and Materials (ASTM) International Committee F42 </w:t>
      </w:r>
      <w:r>
        <w:fldChar w:fldCharType="begin"/>
      </w:r>
      <w:r>
        <w:instrText xml:space="preserve"> ADDIN ZOTERO_ITEM CSL_CITATION {"citationID":"a4NlAwv0","properties":{"formattedCitation":"(ISO/ASTM 52910: 2018 (E) 2018)","plainCitation":"(ISO/ASTM 52910: 2018 (E) 2018)","noteIndex":0},"citationItems":[{"id":145,"uris":["http://zotero.org/users/9870952/items/N8PN7SPN"],"itemData":{"id":145,"type":"document","publisher":"International Organization for Standardization ISO Geneva, Switzerland","source":"Google Scholar","title":"Additive manufacturing—Design—Requirements, guidelines and recommendations","author":[{"family":"ISO/ASTM 52910: 2018 (E)","given":""}],"issued":{"date-parts":[["2018"]]}}}],"schema":"https://github.com/citation-style-language/schema/raw/master/csl-citation.json"} </w:instrText>
      </w:r>
      <w:r>
        <w:fldChar w:fldCharType="separate"/>
      </w:r>
      <w:r w:rsidRPr="00826A79">
        <w:rPr>
          <w:rFonts w:cs="Calibri"/>
        </w:rPr>
        <w:t>(ISO/ASTM 52910: 2018 (E) 2018)</w:t>
      </w:r>
      <w:r>
        <w:fldChar w:fldCharType="end"/>
      </w:r>
      <w:r>
        <w:t xml:space="preserve"> subdivides AM in seven categories (see Table 1 of ref </w:t>
      </w:r>
      <w:r>
        <w:fldChar w:fldCharType="begin"/>
      </w:r>
      <w:r>
        <w:instrText xml:space="preserve"> ADDIN ZOTERO_ITEM CSL_CITATION {"citationID":"De3I7Ah3","properties":{"formattedCitation":"(Vafadar et al. 2021)","plainCitation":"(Vafadar et al. 2021)","noteIndex":0},"citationItems":[{"id":151,"uris":["http://zotero.org/users/9870952/items/BBYH9T3L"],"itemData":{"id":151,"type":"article-journal","container-title":"Applied Sciences","issue":"3","note":"publisher: MDPI","page":"1213","source":"Google Scholar","title":"Advances in metal additive manufacturing: a review of common processes, industrial applications, and current challenges","title-short":"Advances in metal additive manufacturing","volume":"11","author":[{"family":"Vafadar","given":"Ana"},{"family":"Guzzomi","given":"Ferdinando"},{"family":"Rassau","given":"Alexander"},{"family":"Hayward","given":"Kevin"}],"issued":{"date-parts":[["2021"]]}}}],"schema":"https://github.com/citation-style-language/schema/raw/master/csl-citation.json"} </w:instrText>
      </w:r>
      <w:r>
        <w:fldChar w:fldCharType="separate"/>
      </w:r>
      <w:r w:rsidRPr="00826A79">
        <w:rPr>
          <w:rFonts w:cs="Calibri"/>
        </w:rPr>
        <w:t>(Vafadar et al. 2021)</w:t>
      </w:r>
      <w:r>
        <w:fldChar w:fldCharType="end"/>
      </w:r>
      <w:r>
        <w:t xml:space="preserve">), which summarizes common AM technologies (e.g., manufacturers, common materials used, and pros and cons of each process). Fig. 10.2 shows the distribution of industrial adoption of AM processes as of 2020 </w:t>
      </w:r>
      <w:r>
        <w:fldChar w:fldCharType="begin"/>
      </w:r>
      <w:r>
        <w:instrText xml:space="preserve"> ADDIN ZOTERO_ITEM CSL_CITATION {"citationID":"pAPnyJyh","properties":{"formattedCitation":"(\\uc0\\u8220{}Metal 3D Printers in 2023: A Comprehensive Guide,\\uc0\\u8221{} n.d.)","plainCitation":"(“Metal 3D Printers in 2023: A Comprehensive Guide,” n.d.)","noteIndex":0},"citationItems":[{"id":146,"uris":["http://zotero.org/users/9870952/items/4ISZHNQ5"],"itemData":{"id":146,"type":"webpage","abstract":"What' the best metal 3D printer in 2023? See our comprehensive guide of all metal 3D printing systems (powder, filament, jetting, ...).","container-title":"Aniwaa","language":"en-US","title":"Metal 3D printers in 2023: a comprehensive guide","title-short":"Metal 3D printers in 2023","URL":"https://www.aniwaa.com/buyers-guide/3d-printers/best-metal-3d-printer/","accessed":{"date-parts":[["2024",1,4]]}}}],"schema":"https://github.com/citation-style-language/schema/raw/master/csl-citation.json"} </w:instrText>
      </w:r>
      <w:r>
        <w:fldChar w:fldCharType="separate"/>
      </w:r>
      <w:r w:rsidRPr="00826A79">
        <w:rPr>
          <w:rFonts w:cs="Calibri"/>
        </w:rPr>
        <w:t>(“Metal 3D Printers in 2023: A Comprehensive Guide,” n.d.)</w:t>
      </w:r>
      <w:r>
        <w:fldChar w:fldCharType="end"/>
      </w:r>
      <w:r>
        <w:t>. As this figure shows, there are five major processes that are commonly used. Metal AM processes are classified depending on the type of feedstock (e.g., powder, wire etc.) and thermal energy (e.g., laser, electron beam etc.).</w:t>
      </w:r>
    </w:p>
    <w:p w14:paraId="286CA499" w14:textId="77777777" w:rsidR="00EB28D3" w:rsidRDefault="00EB28D3" w:rsidP="00957A60">
      <w:pPr>
        <w:spacing w:line="360" w:lineRule="auto"/>
        <w:ind w:firstLine="720"/>
      </w:pPr>
    </w:p>
    <w:p w14:paraId="06A1A7E2" w14:textId="54EAD2E5" w:rsidR="00EB28D3" w:rsidRDefault="00094468" w:rsidP="00EB28D3">
      <w:pPr>
        <w:spacing w:line="360" w:lineRule="auto"/>
        <w:ind w:firstLine="720"/>
      </w:pPr>
      <w:r>
        <w:t>While widespread adoption of metal AM is still limited, there is a strong interest in the use of AM technology in</w:t>
      </w:r>
      <w:r w:rsidR="00EB28D3">
        <w:t xml:space="preserve"> many industries such as automotive, aerospace, healthcare, building and construction, electronics and communication, oil and natural gas, mining, tools and molds, and railroad industries. The extent of the adoption across the different industry segments varies. While the adoption in certain industries such as automotive and healthcare has been </w:t>
      </w:r>
      <w:r>
        <w:t xml:space="preserve">somewhat </w:t>
      </w:r>
      <w:r w:rsidR="00EB28D3">
        <w:t>substantial, AM penetration in industr</w:t>
      </w:r>
      <w:r w:rsidR="001506D5">
        <w:t>ies</w:t>
      </w:r>
      <w:r w:rsidR="00EB28D3">
        <w:t xml:space="preserve"> </w:t>
      </w:r>
      <w:r w:rsidR="00EB28D3">
        <w:lastRenderedPageBreak/>
        <w:t xml:space="preserve">such as mining has been modest thus far. A good review of AM adoption across these industry segments can be found in ref </w:t>
      </w:r>
      <w:r w:rsidR="00EB28D3">
        <w:fldChar w:fldCharType="begin"/>
      </w:r>
      <w:r w:rsidR="00EB28D3">
        <w:instrText xml:space="preserve"> ADDIN ZOTERO_ITEM CSL_CITATION {"citationID":"gRHmTsDv","properties":{"formattedCitation":"(Vafadar et al. 2021)","plainCitation":"(Vafadar et al. 2021)","noteIndex":0},"citationItems":[{"id":151,"uris":["http://zotero.org/users/9870952/items/BBYH9T3L"],"itemData":{"id":151,"type":"article-journal","container-title":"Applied Sciences","issue":"3","note":"publisher: MDPI","page":"1213","source":"Google Scholar","title":"Advances in metal additive manufacturing: a review of common processes, industrial applications, and current challenges","title-short":"Advances in metal additive manufacturing","volume":"11","author":[{"family":"Vafadar","given":"Ana"},{"family":"Guzzomi","given":"Ferdinando"},{"family":"Rassau","given":"Alexander"},{"family":"Hayward","given":"Kevin"}],"issued":{"date-parts":[["2021"]]}}}],"schema":"https://github.com/citation-style-language/schema/raw/master/csl-citation.json"} </w:instrText>
      </w:r>
      <w:r w:rsidR="00EB28D3">
        <w:fldChar w:fldCharType="separate"/>
      </w:r>
      <w:r w:rsidR="00EB28D3" w:rsidRPr="00826A79">
        <w:rPr>
          <w:rFonts w:cs="Calibri"/>
        </w:rPr>
        <w:t>(Vafadar et al. 2021)</w:t>
      </w:r>
      <w:r w:rsidR="00EB28D3">
        <w:fldChar w:fldCharType="end"/>
      </w:r>
      <w:r w:rsidR="00EB28D3">
        <w:t>.</w:t>
      </w:r>
    </w:p>
    <w:p w14:paraId="074A9333" w14:textId="77777777" w:rsidR="00EB28D3" w:rsidRDefault="00EB28D3" w:rsidP="003E0F31">
      <w:pPr>
        <w:spacing w:line="360" w:lineRule="auto"/>
        <w:ind w:firstLine="720"/>
      </w:pPr>
    </w:p>
    <w:p w14:paraId="02B234CA" w14:textId="4FA97E05" w:rsidR="00EB28D3" w:rsidRDefault="00EB28D3" w:rsidP="003E0F31">
      <w:pPr>
        <w:spacing w:line="360" w:lineRule="auto"/>
        <w:ind w:firstLine="720"/>
      </w:pPr>
      <w:r>
        <w:t xml:space="preserve">The focus of the chapter </w:t>
      </w:r>
      <w:r w:rsidR="0032016C">
        <w:t xml:space="preserve">is </w:t>
      </w:r>
      <w:r>
        <w:t xml:space="preserve">on the science behind metal AM and will largely be on laser powder-based fusion (LPBF) and </w:t>
      </w:r>
      <w:r w:rsidR="001E445C">
        <w:t xml:space="preserve">laser </w:t>
      </w:r>
      <w:r>
        <w:t xml:space="preserve">directed energy deposition (DED), since these are most used AM processes across different industry segments. First, we describe several types of metal AM processes that are commonly used. Next, we discuss briefly the equipment used for powder bed, powder feed, and wire feed systems. This is followed by a section that describes the physics behind metal AM processes from a computational standpoint. A practical numerical approach is described next. </w:t>
      </w:r>
      <w:r w:rsidR="0062335E">
        <w:t xml:space="preserve">Uncertainty quantification is then briefly described. </w:t>
      </w:r>
      <w:r>
        <w:t>Then we discuss different types of metal AM alloys that are being used commercially. The last section</w:t>
      </w:r>
      <w:r w:rsidR="0032016C">
        <w:t xml:space="preserve"> briefly</w:t>
      </w:r>
      <w:r>
        <w:t xml:space="preserve"> discusses the mechanical properties of parts of these commercial AM alloys.</w:t>
      </w:r>
    </w:p>
    <w:p w14:paraId="08BB02B3" w14:textId="77777777" w:rsidR="00EB28D3" w:rsidRDefault="00EB28D3" w:rsidP="003E0F31">
      <w:pPr>
        <w:spacing w:line="360" w:lineRule="auto"/>
        <w:ind w:firstLine="720"/>
      </w:pPr>
    </w:p>
    <w:p w14:paraId="3C6AE77D" w14:textId="39654081" w:rsidR="00EB28D3" w:rsidRDefault="00EB28D3" w:rsidP="00EB28D3">
      <w:pPr>
        <w:tabs>
          <w:tab w:val="left" w:pos="-1432"/>
          <w:tab w:val="left" w:pos="-761"/>
          <w:tab w:val="left" w:pos="850"/>
          <w:tab w:val="left" w:pos="3600"/>
        </w:tabs>
        <w:suppressAutoHyphens/>
        <w:spacing w:line="360" w:lineRule="auto"/>
        <w:rPr>
          <w:b/>
          <w:bCs/>
          <w:spacing w:val="-3"/>
        </w:rPr>
      </w:pPr>
      <w:r>
        <w:rPr>
          <w:b/>
          <w:bCs/>
          <w:spacing w:val="-3"/>
        </w:rPr>
        <w:t xml:space="preserve">10.2. </w:t>
      </w:r>
      <w:r w:rsidRPr="00EB28D3">
        <w:rPr>
          <w:b/>
          <w:bCs/>
          <w:spacing w:val="-3"/>
        </w:rPr>
        <w:t>Common Types of Metal AM Processes</w:t>
      </w:r>
    </w:p>
    <w:p w14:paraId="1704E092" w14:textId="77777777" w:rsidR="00957A60" w:rsidRDefault="00957A60" w:rsidP="00957A60">
      <w:pPr>
        <w:spacing w:line="360" w:lineRule="auto"/>
      </w:pPr>
    </w:p>
    <w:p w14:paraId="70C8B9C0" w14:textId="3454760F" w:rsidR="00EB28D3" w:rsidRDefault="00EB28D3" w:rsidP="00EB28D3">
      <w:pPr>
        <w:spacing w:line="360" w:lineRule="auto"/>
      </w:pPr>
      <w:r>
        <w:tab/>
        <w:t xml:space="preserve">A typical flowchart of steps involved in common AM processes is shown in Fig. 10.3 </w:t>
      </w:r>
      <w:r>
        <w:fldChar w:fldCharType="begin"/>
      </w:r>
      <w:r>
        <w:instrText xml:space="preserve"> ADDIN ZOTERO_ITEM CSL_CITATION {"citationID":"0QqxQunl","properties":{"formattedCitation":"(Kyogoku and Ikeshoji 2020)","plainCitation":"(Kyogoku and Ikeshoji 2020)","noteIndex":0},"citationItems":[{"id":132,"uris":["http://zotero.org/users/9870952/items/W6XB5S52"],"itemData":{"id":132,"type":"article-journal","container-title":"Mechanical Engineering Reviews","issue":"1","note":"publisher: The Japan Society of Mechanical Engineers","page":"19–00182","source":"Google Scholar","title":"A review of metal additive manufacturing technologies: Mechanism of defects formation and simulation of melting and solidification phenomena in laser powder bed fusion process","title-short":"A review of metal additive manufacturing technologies","volume":"7","author":[{"family":"Kyogoku","given":"Hideki"},{"family":"Ikeshoji","given":"Toshi-Taka"}],"issued":{"date-parts":[["2020"]]}}}],"schema":"https://github.com/citation-style-language/schema/raw/master/csl-citation.json"} </w:instrText>
      </w:r>
      <w:r>
        <w:fldChar w:fldCharType="separate"/>
      </w:r>
      <w:r w:rsidRPr="00826A79">
        <w:rPr>
          <w:rFonts w:cs="Calibri"/>
        </w:rPr>
        <w:t>(Kyogoku and Ikeshoji 2020)</w:t>
      </w:r>
      <w:r>
        <w:fldChar w:fldCharType="end"/>
      </w:r>
      <w:r>
        <w:t xml:space="preserve">. Although the flowchart is for powder bed fusion process (see below), the steps are broadly similar in other processes. A computer aided design (CAD) file of a 3D solid model of the part is converted to a stereolithography (STL) file format. The STL files of both the part and the support structure are used by the AM machine. Typically, the parts are produced under </w:t>
      </w:r>
      <w:r w:rsidR="000E0165">
        <w:t xml:space="preserve">a given set of </w:t>
      </w:r>
      <w:r>
        <w:t>process conditions. A major focus is to minimize defects arising out of poorly controlled melting, solidification, and solid-state phase transformation conditions. Common types of the metal AM processes are discussed in this section.</w:t>
      </w:r>
    </w:p>
    <w:p w14:paraId="330CB717" w14:textId="77777777" w:rsidR="00EB28D3" w:rsidRDefault="00EB28D3" w:rsidP="00EB28D3">
      <w:pPr>
        <w:spacing w:line="360" w:lineRule="auto"/>
      </w:pPr>
    </w:p>
    <w:p w14:paraId="31400802" w14:textId="77777777" w:rsidR="00EB28D3" w:rsidRDefault="00EB28D3" w:rsidP="00EB28D3">
      <w:pPr>
        <w:spacing w:line="360" w:lineRule="auto"/>
      </w:pPr>
    </w:p>
    <w:p w14:paraId="638A1194" w14:textId="280BCE02" w:rsidR="00EB28D3" w:rsidRDefault="00EB28D3" w:rsidP="00EB28D3">
      <w:pPr>
        <w:tabs>
          <w:tab w:val="left" w:pos="-1432"/>
          <w:tab w:val="left" w:pos="-761"/>
          <w:tab w:val="left" w:pos="850"/>
          <w:tab w:val="left" w:pos="3600"/>
        </w:tabs>
        <w:suppressAutoHyphens/>
        <w:spacing w:line="360" w:lineRule="auto"/>
        <w:rPr>
          <w:b/>
          <w:bCs/>
          <w:spacing w:val="-3"/>
        </w:rPr>
      </w:pPr>
      <w:r>
        <w:rPr>
          <w:b/>
          <w:bCs/>
          <w:spacing w:val="-3"/>
        </w:rPr>
        <w:t xml:space="preserve">10.2.1 </w:t>
      </w:r>
      <w:r w:rsidRPr="00EB28D3">
        <w:rPr>
          <w:b/>
          <w:bCs/>
          <w:spacing w:val="-3"/>
        </w:rPr>
        <w:t>Material Extrusion</w:t>
      </w:r>
    </w:p>
    <w:p w14:paraId="43D718B8" w14:textId="77777777" w:rsidR="00EB28D3" w:rsidRDefault="00EB28D3" w:rsidP="00EB28D3">
      <w:pPr>
        <w:spacing w:line="360" w:lineRule="auto"/>
      </w:pPr>
    </w:p>
    <w:p w14:paraId="01FDF32E" w14:textId="2741FB09" w:rsidR="00EB28D3" w:rsidRDefault="00EB28D3" w:rsidP="003E0F31">
      <w:pPr>
        <w:spacing w:line="360" w:lineRule="auto"/>
      </w:pPr>
      <w:r>
        <w:tab/>
        <w:t xml:space="preserve">As of 2020, this category accounts for 10 % of AM market (Fig. 10.2). Another name for this process is Fused Filament Fabrication (FFF). Metal filled filaments can be </w:t>
      </w:r>
      <w:r>
        <w:lastRenderedPageBreak/>
        <w:t xml:space="preserve">produced by this process in FFF machines. Metal powders are infused in a filament, where filaments often consist of metal powders in a polymer matrix. Some of the </w:t>
      </w:r>
      <w:r w:rsidR="000E0165">
        <w:t xml:space="preserve">objects </w:t>
      </w:r>
      <w:r>
        <w:t>that are commonly made using this process are circuits and electromagnetic components. Bound Powder Extrusion (BPE) is a similar method, where the filament comprises a plastic binding agent along with metal powders. This filament is then extruded through a nozzle. Layer by layer deposition is conducted, which is often followed by washing and sintering to produce final parts of desired properties and dimensions.</w:t>
      </w:r>
    </w:p>
    <w:p w14:paraId="4CF2F6FC" w14:textId="0666EDE0" w:rsidR="00EB28D3" w:rsidRDefault="00EB28D3" w:rsidP="00EB28D3">
      <w:pPr>
        <w:spacing w:line="360" w:lineRule="auto"/>
      </w:pPr>
    </w:p>
    <w:p w14:paraId="7229DDD8" w14:textId="77777777" w:rsidR="00EB28D3" w:rsidRDefault="00EB28D3" w:rsidP="003E0F31">
      <w:pPr>
        <w:spacing w:line="360" w:lineRule="auto"/>
      </w:pPr>
    </w:p>
    <w:p w14:paraId="05C62F76" w14:textId="0A2DCA52" w:rsidR="00EB28D3" w:rsidRDefault="00EB28D3" w:rsidP="00EB28D3">
      <w:pPr>
        <w:tabs>
          <w:tab w:val="left" w:pos="-1432"/>
          <w:tab w:val="left" w:pos="-761"/>
          <w:tab w:val="left" w:pos="850"/>
          <w:tab w:val="left" w:pos="3600"/>
        </w:tabs>
        <w:suppressAutoHyphens/>
        <w:spacing w:line="360" w:lineRule="auto"/>
        <w:rPr>
          <w:b/>
          <w:bCs/>
          <w:spacing w:val="-3"/>
        </w:rPr>
      </w:pPr>
      <w:r>
        <w:rPr>
          <w:b/>
          <w:bCs/>
          <w:spacing w:val="-3"/>
        </w:rPr>
        <w:t xml:space="preserve">10.2.2 </w:t>
      </w:r>
      <w:r w:rsidRPr="00EB28D3">
        <w:rPr>
          <w:b/>
          <w:bCs/>
          <w:spacing w:val="-3"/>
        </w:rPr>
        <w:t>Laser Powder Bed Fusion (LPBF)</w:t>
      </w:r>
    </w:p>
    <w:p w14:paraId="06390063" w14:textId="77777777" w:rsidR="00EB28D3" w:rsidRDefault="00EB28D3" w:rsidP="00EB28D3">
      <w:pPr>
        <w:tabs>
          <w:tab w:val="left" w:pos="-1432"/>
          <w:tab w:val="left" w:pos="-761"/>
          <w:tab w:val="left" w:pos="850"/>
          <w:tab w:val="left" w:pos="3600"/>
        </w:tabs>
        <w:suppressAutoHyphens/>
        <w:spacing w:line="360" w:lineRule="auto"/>
        <w:rPr>
          <w:b/>
          <w:bCs/>
          <w:spacing w:val="-3"/>
        </w:rPr>
      </w:pPr>
    </w:p>
    <w:p w14:paraId="7ED7A7F0" w14:textId="65013921" w:rsidR="00EB28D3" w:rsidRDefault="00EB28D3" w:rsidP="00EB28D3">
      <w:pPr>
        <w:spacing w:line="360" w:lineRule="auto"/>
      </w:pPr>
      <w:r>
        <w:rPr>
          <w:b/>
          <w:bCs/>
          <w:spacing w:val="-3"/>
        </w:rPr>
        <w:tab/>
      </w:r>
      <w:r>
        <w:t xml:space="preserve">LPBF is the most popular method among the metal AM processes (Fig. 10.2). There are several methods that fall in this category, e.g., Direct Metal Laser Sintering (DMLS), Selective Laser Melting (SLM), Electron Beam Melting (EBM), and Direct Metal Laser Melting (DMLM). DMLS and SLM are often the preferred method for producing metallic components and they are fundamentally similar. SLM is also called Laser Metal Fusion (LMF), and is often used for depositing pure metal such as aluminum, while DMLS is used for alloy deposition such as Al and Ti alloys </w:t>
      </w:r>
      <w:r>
        <w:fldChar w:fldCharType="begin"/>
      </w:r>
      <w:r>
        <w:instrText xml:space="preserve"> ADDIN ZOTERO_ITEM CSL_CITATION {"citationID":"LFrhiu4b","properties":{"formattedCitation":"(Delgado, Ciurana, and Rodr\\uc0\\u237{}guez 2012)","plainCitation":"(Delgado, Ciurana, and Rodríguez 2012)","noteIndex":0},"citationItems":[{"id":144,"uris":["http://zotero.org/users/9870952/items/9BD2ZXA6"],"itemData":{"id":144,"type":"article-journal","container-title":"The International Journal of Advanced Manufacturing Technology","DOI":"10.1007/s00170-011-3643-5","ISSN":"0268-3768, 1433-3015","issue":"5-8","journalAbbreviation":"Int J Adv Manuf Technol","language":"en","page":"601-610","source":"DOI.org (Crossref)","title":"Influence of process parameters on part quality and mechanical properties for DMLS and SLM with iron-based materials","volume":"60","author":[{"family":"Delgado","given":"Jordi"},{"family":"Ciurana","given":"Joaquim"},{"family":"Rodríguez","given":"Ciro A."}],"issued":{"date-parts":[["2012",5]]}}}],"schema":"https://github.com/citation-style-language/schema/raw/master/csl-citation.json"} </w:instrText>
      </w:r>
      <w:r>
        <w:fldChar w:fldCharType="separate"/>
      </w:r>
      <w:r w:rsidRPr="00826A79">
        <w:rPr>
          <w:rFonts w:cs="Calibri"/>
        </w:rPr>
        <w:t>(Delgado, Ciurana, and Rodríguez 2012)</w:t>
      </w:r>
      <w:r>
        <w:fldChar w:fldCharType="end"/>
      </w:r>
      <w:r>
        <w:t xml:space="preserve">. DMLS is also known as Selective Laser Sintering (SLS), in which powders are fused or sintered with the application of a carbon dioxide laser. This process can be used to deposit plastics, metals, a combination of metals, a combination of metals and polymers, and a combination of metals and ceramics </w:t>
      </w:r>
      <w:r>
        <w:fldChar w:fldCharType="begin"/>
      </w:r>
      <w:r>
        <w:instrText xml:space="preserve"> ADDIN ZOTERO_ITEM CSL_CITATION {"citationID":"wGlMt9RM","properties":{"formattedCitation":"(Halloran et al. 2011)","plainCitation":"(Halloran et al. 2011)","noteIndex":0},"citationItems":[{"id":126,"uris":["http://zotero.org/users/9870952/items/F2G6BUDS"],"itemData":{"id":126,"type":"article-journal","container-title":"Journal of the European Ceramic Society","issue":"14","note":"publisher: Elsevier","page":"2613–2619","source":"Google Scholar","title":"Photopolymerization of powder suspensions for shaping ceramics","volume":"31","author":[{"family":"Halloran","given":"John W."},{"family":"Tomeckova","given":"Vladislava"},{"family":"Gentry","given":"Susan"},{"family":"Das","given":"Suman"},{"family":"Cilino","given":"Paul"},{"family":"Yuan","given":"Dajun"},{"family":"Guo","given":"Rui"},{"family":"Rudraraju","given":"Andirudh"},{"family":"Shao","given":"Peng"},{"family":"Wu","given":"Tao"}],"issued":{"date-parts":[["2011"]]}}}],"schema":"https://github.com/citation-style-language/schema/raw/master/csl-citation.json"} </w:instrText>
      </w:r>
      <w:r>
        <w:fldChar w:fldCharType="separate"/>
      </w:r>
      <w:r w:rsidRPr="00826A79">
        <w:rPr>
          <w:rFonts w:cs="Calibri"/>
        </w:rPr>
        <w:t>(Halloran et al. 2011)</w:t>
      </w:r>
      <w:r>
        <w:fldChar w:fldCharType="end"/>
      </w:r>
      <w:r>
        <w:t xml:space="preserve"> </w:t>
      </w:r>
      <w:r>
        <w:fldChar w:fldCharType="begin"/>
      </w:r>
      <w:r>
        <w:instrText xml:space="preserve"> ADDIN ZOTERO_ITEM CSL_CITATION {"citationID":"Lo9x6gYr","properties":{"formattedCitation":"(Salmoria et al. 2011)","plainCitation":"(Salmoria et al. 2011)","noteIndex":0},"citationItems":[{"id":125,"uris":["http://zotero.org/users/9870952/items/NCMJ3MZP"],"itemData":{"id":125,"type":"article-journal","container-title":"Polymer Testing","issue":"6","note":"publisher: Elsevier","page":"611–615","source":"Google Scholar","title":"Microstructural and mechanical characterization of PA12/MWCNTs nanocomposite manufactured by selective laser sintering","volume":"30","author":[{"family":"Salmoria","given":"Gean V."},{"family":"Paggi","given":"Rodrigo A."},{"family":"Lago","given":"Alexandre"},{"family":"Beal","given":"Valter E."}],"issued":{"date-parts":[["2011"]]}}}],"schema":"https://github.com/citation-style-language/schema/raw/master/csl-citation.json"} </w:instrText>
      </w:r>
      <w:r>
        <w:fldChar w:fldCharType="separate"/>
      </w:r>
      <w:r w:rsidRPr="00826A79">
        <w:rPr>
          <w:rFonts w:cs="Calibri"/>
        </w:rPr>
        <w:t>(Salmoria et al. 2011)</w:t>
      </w:r>
      <w:r>
        <w:fldChar w:fldCharType="end"/>
      </w:r>
      <w:r>
        <w:t xml:space="preserve">. DMLM is similar to DMLS, except that ultra-thin metal layers and a </w:t>
      </w:r>
      <w:r w:rsidR="00530F74">
        <w:t xml:space="preserve">compositionally </w:t>
      </w:r>
      <w:r>
        <w:t xml:space="preserve">homogeneous melt pool are produced in this process </w:t>
      </w:r>
      <w:r>
        <w:fldChar w:fldCharType="begin"/>
      </w:r>
      <w:r>
        <w:instrText xml:space="preserve"> ADDIN ZOTERO_ITEM CSL_CITATION {"citationID":"ibFzafY9","properties":{"formattedCitation":"(Berlier et al. 2020)","plainCitation":"(Berlier et al. 2020)","noteIndex":0},"citationItems":[{"id":143,"uris":["http://zotero.org/users/9870952/items/Q5D9Q9LV"],"itemData":{"id":143,"type":"patent","note":"publisher: Google Patents","title":"Systems and methods for receiving sensor data for an operating additive manufacturing machine and adaptively compressing the sensor data based on process data which controls the operation of the machine","URL":"https://patents.google.com/patent/US10635085B2/en","author":[{"family":"Berlier","given":"Jacob"},{"family":"McCann","given":"Adam"},{"family":"Zhang","given":"Li"},{"family":"Good","given":"Brandon"}],"accessed":{"date-parts":[["2024",1,4]]},"issued":{"date-parts":[["2020",4,28]]}}}],"schema":"https://github.com/citation-style-language/schema/raw/master/csl-citation.json"} </w:instrText>
      </w:r>
      <w:r>
        <w:fldChar w:fldCharType="separate"/>
      </w:r>
      <w:r w:rsidRPr="00826A79">
        <w:rPr>
          <w:rFonts w:cs="Calibri"/>
        </w:rPr>
        <w:t>(Berlier et al. 2020)</w:t>
      </w:r>
      <w:r>
        <w:fldChar w:fldCharType="end"/>
      </w:r>
      <w:r>
        <w:t xml:space="preserve">. This approach allows the DMLM produced part to have improved surface quality and relatively lower levels of porosity. EBM is a process where an electron beam is used to melt the powders. </w:t>
      </w:r>
      <w:r w:rsidR="00530F74">
        <w:t xml:space="preserve">It is usually done in high vacuum and often requires pre-sintering thereby making it much different than </w:t>
      </w:r>
      <w:r w:rsidR="0062335E">
        <w:t xml:space="preserve">the </w:t>
      </w:r>
      <w:r w:rsidR="00530F74">
        <w:t xml:space="preserve">other </w:t>
      </w:r>
      <w:r w:rsidR="0062335E">
        <w:t>laser-based</w:t>
      </w:r>
      <w:r w:rsidR="00530F74">
        <w:t xml:space="preserve"> AM processes. </w:t>
      </w:r>
      <w:r>
        <w:t xml:space="preserve">This process is also known as Selective Electron Beam Melting (SEBM) or Electron Beam Additive Manufacturing (EBAM) </w:t>
      </w:r>
      <w:r>
        <w:fldChar w:fldCharType="begin"/>
      </w:r>
      <w:r>
        <w:instrText xml:space="preserve"> ADDIN ZOTERO_ITEM CSL_CITATION {"citationID":"bYmkHtDP","properties":{"formattedCitation":"(Calignano et al. 2017)","plainCitation":"(Calignano et al. 2017)","noteIndex":0},"citationItems":[{"id":142,"uris":["http://zotero.org/users/9870952/items/GK59NRET"],"itemData":{"id":142,"type":"article-journal","container-title":"Proceedings of the IEEE","issue":"4","note":"publisher: IEEE","page":"593–612","source":"Google Scholar","title":"Overview on additive manufacturing technologies","volume":"105","author":[{"family":"Calignano","given":"Flaviana"},{"family":"Manfredi","given":"Diego"},{"family":"Ambrosio","given":"Elisa Paola"},{"family":"Biamino","given":"Sara"},{"family":"Lombardi","given":"Mariangela"},{"family":"Atzeni","given":"Eleonora"},{"family":"Salmi","given":"Alessandro"},{"family":"Minetola","given":"Paolo"},{"family":"Iuliano","given":"Luca"},{"family":"Fino","given":"Paolo"}],"issued":{"date-parts":[["2017"]]}}}],"schema":"https://github.com/citation-style-language/schema/raw/master/csl-citation.json"} </w:instrText>
      </w:r>
      <w:r>
        <w:fldChar w:fldCharType="separate"/>
      </w:r>
      <w:r w:rsidRPr="00826A79">
        <w:rPr>
          <w:rFonts w:cs="Calibri"/>
        </w:rPr>
        <w:t>(Calignano et al. 2017)</w:t>
      </w:r>
      <w:r>
        <w:fldChar w:fldCharType="end"/>
      </w:r>
      <w:r>
        <w:t xml:space="preserve">. Higher productivity can result from using EBM technology since parts can be stacked within the </w:t>
      </w:r>
      <w:r>
        <w:lastRenderedPageBreak/>
        <w:t xml:space="preserve">build volume. But higher energy density and rapid thermal cycles may lead to large distortions and residual stresses </w:t>
      </w:r>
      <w:r>
        <w:fldChar w:fldCharType="begin"/>
      </w:r>
      <w:r>
        <w:instrText xml:space="preserve"> ADDIN ZOTERO_ITEM CSL_CITATION {"citationID":"qgLFILM4","properties":{"formattedCitation":"(Choi and Lee 2019)","plainCitation":"(Choi and Lee 2019)","noteIndex":0},"citationItems":[{"id":141,"uris":["http://zotero.org/users/9870952/items/U8TV3HZ9"],"itemData":{"id":141,"type":"article-journal","container-title":"Applied Surface Science","note":"publisher: Elsevier","page":"741–746","source":"Google Scholar","title":"Correlation between surface tension and fatigue properties of Ti-6Al-4V alloy fabricated by EBM additive manufacturing","volume":"481","author":[{"family":"Choi","given":"Youngsin"},{"family":"Lee","given":"Dong-Geun"}],"issued":{"date-parts":[["2019"]]}}}],"schema":"https://github.com/citation-style-language/schema/raw/master/csl-citation.json"} </w:instrText>
      </w:r>
      <w:r>
        <w:fldChar w:fldCharType="separate"/>
      </w:r>
      <w:r w:rsidRPr="00826A79">
        <w:rPr>
          <w:rFonts w:cs="Calibri"/>
        </w:rPr>
        <w:t>(Choi and Lee 2019)</w:t>
      </w:r>
      <w:r>
        <w:fldChar w:fldCharType="end"/>
      </w:r>
      <w:r>
        <w:t xml:space="preserve">. </w:t>
      </w:r>
    </w:p>
    <w:p w14:paraId="6359E6E0" w14:textId="77777777" w:rsidR="00EB28D3" w:rsidRDefault="00EB28D3" w:rsidP="00EB28D3">
      <w:pPr>
        <w:spacing w:line="360" w:lineRule="auto"/>
      </w:pPr>
    </w:p>
    <w:p w14:paraId="628C27AA" w14:textId="77777777" w:rsidR="00EB28D3" w:rsidRDefault="00EB28D3" w:rsidP="003E0F31">
      <w:pPr>
        <w:spacing w:line="360" w:lineRule="auto"/>
      </w:pPr>
    </w:p>
    <w:p w14:paraId="1E11F085" w14:textId="6F436CAC" w:rsidR="00EB28D3" w:rsidRDefault="00EB28D3" w:rsidP="00EB28D3">
      <w:pPr>
        <w:tabs>
          <w:tab w:val="left" w:pos="-1432"/>
          <w:tab w:val="left" w:pos="-761"/>
          <w:tab w:val="left" w:pos="850"/>
          <w:tab w:val="left" w:pos="3600"/>
        </w:tabs>
        <w:suppressAutoHyphens/>
        <w:spacing w:line="360" w:lineRule="auto"/>
        <w:rPr>
          <w:b/>
          <w:bCs/>
          <w:spacing w:val="-3"/>
        </w:rPr>
      </w:pPr>
      <w:r>
        <w:rPr>
          <w:b/>
          <w:bCs/>
          <w:spacing w:val="-3"/>
        </w:rPr>
        <w:t xml:space="preserve">10.2.3 </w:t>
      </w:r>
      <w:r w:rsidRPr="00EB28D3">
        <w:rPr>
          <w:b/>
          <w:bCs/>
          <w:spacing w:val="-3"/>
        </w:rPr>
        <w:t>Direct Energy Deposition (DED)</w:t>
      </w:r>
    </w:p>
    <w:p w14:paraId="2E7C9400" w14:textId="32529979" w:rsidR="00EB28D3" w:rsidRDefault="00EB28D3" w:rsidP="00EB28D3">
      <w:pPr>
        <w:tabs>
          <w:tab w:val="left" w:pos="-1432"/>
          <w:tab w:val="left" w:pos="-761"/>
          <w:tab w:val="left" w:pos="850"/>
          <w:tab w:val="left" w:pos="3600"/>
        </w:tabs>
        <w:suppressAutoHyphens/>
        <w:spacing w:line="360" w:lineRule="auto"/>
        <w:rPr>
          <w:b/>
          <w:bCs/>
          <w:spacing w:val="-3"/>
        </w:rPr>
      </w:pPr>
    </w:p>
    <w:p w14:paraId="288A102A" w14:textId="128E8A30" w:rsidR="00EB28D3" w:rsidRDefault="00EB28D3" w:rsidP="00EB28D3">
      <w:pPr>
        <w:spacing w:line="360" w:lineRule="auto"/>
      </w:pPr>
      <w:r>
        <w:tab/>
        <w:t>Common DED processes are</w:t>
      </w:r>
      <w:r w:rsidR="00530F74">
        <w:t xml:space="preserve"> (see Table 1 of ref </w:t>
      </w:r>
      <w:r w:rsidR="00530F74">
        <w:fldChar w:fldCharType="begin"/>
      </w:r>
      <w:r w:rsidR="00530F74">
        <w:instrText xml:space="preserve"> ADDIN ZOTERO_ITEM CSL_CITATION {"citationID":"IoVtdJoE","properties":{"formattedCitation":"(Vafadar et al. 2021)","plainCitation":"(Vafadar et al. 2021)","noteIndex":0},"citationItems":[{"id":151,"uris":["http://zotero.org/users/9870952/items/BBYH9T3L"],"itemData":{"id":151,"type":"article-journal","container-title":"Applied Sciences","issue":"3","note":"publisher: MDPI","page":"1213","source":"Google Scholar","title":"Advances in metal additive manufacturing: a review of common processes, industrial applications, and current challenges","title-short":"Advances in metal additive manufacturing","volume":"11","author":[{"family":"Vafadar","given":"Ana"},{"family":"Guzzomi","given":"Ferdinando"},{"family":"Rassau","given":"Alexander"},{"family":"Hayward","given":"Kevin"}],"issued":{"date-parts":[["2021"]]}}}],"schema":"https://github.com/citation-style-language/schema/raw/master/csl-citation.json"} </w:instrText>
      </w:r>
      <w:r w:rsidR="00530F74">
        <w:fldChar w:fldCharType="separate"/>
      </w:r>
      <w:r w:rsidR="00530F74" w:rsidRPr="00826A79">
        <w:rPr>
          <w:rFonts w:cs="Calibri"/>
        </w:rPr>
        <w:t>(Vafadar et al. 2021)</w:t>
      </w:r>
      <w:r w:rsidR="00530F74">
        <w:fldChar w:fldCharType="end"/>
      </w:r>
      <w:r w:rsidR="00530F74">
        <w:t>)</w:t>
      </w:r>
      <w:r>
        <w:t xml:space="preserve">: Electron Beam Additive Manufacturing (EBEAM), Wire and Arc Additive Manufacturing (WAAM), Wire-based Joule printing, Laser-Engineered Net Shaping (LENS), Laser Cladding (LC), and Hybrid Systems (HS). As of 2020, DED’s market share is 16 % (Fig. 10.2). DED processes can be divided among two major categories from a thermal energy perspective: cold spray and thermal energy </w:t>
      </w:r>
      <w:r>
        <w:fldChar w:fldCharType="begin"/>
      </w:r>
      <w:r>
        <w:instrText xml:space="preserve"> ADDIN ZOTERO_ITEM CSL_CITATION {"citationID":"ErdhOICG","properties":{"formattedCitation":"(Dass and Moridi 2019)","plainCitation":"(Dass and Moridi 2019)","noteIndex":0},"citationItems":[{"id":140,"uris":["http://zotero.org/users/9870952/items/XJFTZN7L"],"itemData":{"id":140,"type":"article-journal","abstract":"Additive manufacturing (AM) is a new paradigm for the design and production of high-performance components for aerospace, medical, energy, and automotive applications. This review will exclusively cover directed energy deposition (DED)-AM, with a focus on the deposition of powder-feed based metal and alloy systems. This paper provides a comprehensive review on the classification of DED systems, process variables, process physics, modelling efforts, common defects, mechanical properties of DED parts, and quality control methods. To provide a practical framework to print different materials using DED, a process map using the linear heat input and powder feed rate as variables is constructed. Based on the process map, three different areas that are not optimized for DED are identified. These areas correspond to the formation of a lack of fusion, keyholing, and mixed mode porosity in the printed parts. In the final part of the paper, emerging applications of DED from repairing damaged parts to bulk combinatorial alloys design are discussed. This paper concludes with recommendations for future research in order to transform the technology from “form” to “function,” which can provide significant potential benefits to different industries.","container-title":"Coatings","DOI":"10.3390/coatings9070418","ISSN":"2079-6412","issue":"7","language":"en","license":"http://creativecommons.org/licenses/by/3.0/","note":"number: 7\npublisher: Multidisciplinary Digital Publishing Institute","page":"418","source":"www.mdpi.com","title":"State of the Art in Directed Energy Deposition: From Additive Manufacturing to Materials Design","title-short":"State of the Art in Directed Energy Deposition","volume":"9","author":[{"family":"Dass","given":"Adrita"},{"family":"Moridi","given":"Atieh"}],"issued":{"date-parts":[["2019",7]]}}}],"schema":"https://github.com/citation-style-language/schema/raw/master/csl-citation.json"} </w:instrText>
      </w:r>
      <w:r>
        <w:fldChar w:fldCharType="separate"/>
      </w:r>
      <w:r w:rsidRPr="00826A79">
        <w:rPr>
          <w:rFonts w:cs="Calibri"/>
        </w:rPr>
        <w:t>(Dass and Moridi 2019)</w:t>
      </w:r>
      <w:r>
        <w:fldChar w:fldCharType="end"/>
      </w:r>
      <w:r>
        <w:t xml:space="preserve">. In the cold spray process, fine particles of materials are added to a substrate that has sufficient energy to create a dense coating </w:t>
      </w:r>
      <w:r>
        <w:fldChar w:fldCharType="begin"/>
      </w:r>
      <w:r>
        <w:instrText xml:space="preserve"> ADDIN ZOTERO_ITEM CSL_CITATION {"citationID":"7Dtc6UrS","properties":{"formattedCitation":"(Villafuerte 2014)","plainCitation":"(Villafuerte 2014)","noteIndex":0},"citationItems":[{"id":139,"uris":["http://zotero.org/users/9870952/items/5JIZAMYR"],"itemData":{"id":139,"type":"article-journal","container-title":"Advanced Materials &amp; Processes","note":"publisher: ASM International","page":"50–52","source":"Google Scholar","title":"Considering cold spray for additive manufacturing","volume":"50","author":[{"family":"Villafuerte","given":"Julio"}],"issued":{"date-parts":[["2014"]]}}}],"schema":"https://github.com/citation-style-language/schema/raw/master/csl-citation.json"} </w:instrText>
      </w:r>
      <w:r>
        <w:fldChar w:fldCharType="separate"/>
      </w:r>
      <w:r w:rsidRPr="00826A79">
        <w:rPr>
          <w:rFonts w:cs="Calibri"/>
        </w:rPr>
        <w:t>(Villafuerte 2014)</w:t>
      </w:r>
      <w:r>
        <w:fldChar w:fldCharType="end"/>
      </w:r>
      <w:r>
        <w:t xml:space="preserve">. Thermal energy based systems employ sources such as a laser beam, an electron beam, a plasma, and an arc to melt powder or wire feedstock material to deposit materials in layers </w:t>
      </w:r>
      <w:r>
        <w:fldChar w:fldCharType="begin"/>
      </w:r>
      <w:r>
        <w:instrText xml:space="preserve"> ADDIN ZOTERO_ITEM CSL_CITATION {"citationID":"257fV5C0","properties":{"formattedCitation":"(Dass and Moridi 2019)","plainCitation":"(Dass and Moridi 2019)","noteIndex":0},"citationItems":[{"id":140,"uris":["http://zotero.org/users/9870952/items/XJFTZN7L"],"itemData":{"id":140,"type":"article-journal","abstract":"Additive manufacturing (AM) is a new paradigm for the design and production of high-performance components for aerospace, medical, energy, and automotive applications. This review will exclusively cover directed energy deposition (DED)-AM, with a focus on the deposition of powder-feed based metal and alloy systems. This paper provides a comprehensive review on the classification of DED systems, process variables, process physics, modelling efforts, common defects, mechanical properties of DED parts, and quality control methods. To provide a practical framework to print different materials using DED, a process map using the linear heat input and powder feed rate as variables is constructed. Based on the process map, three different areas that are not optimized for DED are identified. These areas correspond to the formation of a lack of fusion, keyholing, and mixed mode porosity in the printed parts. In the final part of the paper, emerging applications of DED from repairing damaged parts to bulk combinatorial alloys design are discussed. This paper concludes with recommendations for future research in order to transform the technology from “form” to “function,” which can provide significant potential benefits to different industries.","container-title":"Coatings","DOI":"10.3390/coatings9070418","ISSN":"2079-6412","issue":"7","language":"en","license":"http://creativecommons.org/licenses/by/3.0/","note":"number: 7\npublisher: Multidisciplinary Digital Publishing Institute","page":"418","source":"www.mdpi.com","title":"State of the Art in Directed Energy Deposition: From Additive Manufacturing to Materials Design","title-short":"State of the Art in Directed Energy Deposition","volume":"9","author":[{"family":"Dass","given":"Adrita"},{"family":"Moridi","given":"Atieh"}],"issued":{"date-parts":[["2019",7]]}}}],"schema":"https://github.com/citation-style-language/schema/raw/master/csl-citation.json"} </w:instrText>
      </w:r>
      <w:r>
        <w:fldChar w:fldCharType="separate"/>
      </w:r>
      <w:r w:rsidRPr="00826A79">
        <w:rPr>
          <w:rFonts w:cs="Calibri"/>
        </w:rPr>
        <w:t>(Dass and Moridi 2019)</w:t>
      </w:r>
      <w:r>
        <w:fldChar w:fldCharType="end"/>
      </w:r>
      <w:r>
        <w:t xml:space="preserve">. In the EBEAM process, the material is supplied in wire form </w:t>
      </w:r>
      <w:r>
        <w:fldChar w:fldCharType="begin"/>
      </w:r>
      <w:r>
        <w:instrText xml:space="preserve"> ADDIN ZOTERO_ITEM CSL_CITATION {"citationID":"PoXusuyi","properties":{"formattedCitation":"(Urhal et al. 2019)","plainCitation":"(Urhal et al. 2019)","noteIndex":0},"citationItems":[{"id":138,"uris":["http://zotero.org/users/9870952/items/EDCC2MJT"],"itemData":{"id":138,"type":"article-journal","container-title":"Robotics and Computer-Integrated Manufacturing","note":"publisher: Elsevier","page":"335–345","source":"Google Scholar","title":"Robot assisted additive manufacturing: A review","title-short":"Robot assisted additive manufacturing","volume":"59","author":[{"family":"Urhal","given":"Pinar"},{"family":"Weightman","given":"Andrew"},{"family":"Diver","given":"Carl"},{"family":"Bartolo","given":"Paulo"}],"issued":{"date-parts":[["2019"]]}}}],"schema":"https://github.com/citation-style-language/schema/raw/master/csl-citation.json"} </w:instrText>
      </w:r>
      <w:r>
        <w:fldChar w:fldCharType="separate"/>
      </w:r>
      <w:r w:rsidRPr="00826A79">
        <w:rPr>
          <w:rFonts w:cs="Calibri"/>
        </w:rPr>
        <w:t>(Urhal et al. 2019)</w:t>
      </w:r>
      <w:r>
        <w:fldChar w:fldCharType="end"/>
      </w:r>
      <w:r>
        <w:t xml:space="preserve">. In the WAAM process, electric arcs are used to melt a wire feedstock and deposit metals in layers </w:t>
      </w:r>
      <w:r>
        <w:fldChar w:fldCharType="begin"/>
      </w:r>
      <w:r>
        <w:instrText xml:space="preserve"> ADDIN ZOTERO_ITEM CSL_CITATION {"citationID":"boZemsEp","properties":{"formattedCitation":"(B. Wu et al. 2018)","plainCitation":"(B. Wu et al. 2018)","noteIndex":0},"citationItems":[{"id":137,"uris":["http://zotero.org/users/9870952/items/U5PENE8N"],"itemData":{"id":137,"type":"article-journal","abstract":"Due to the feasibility of economically producing large-scale metal components with relatively high deposition rates, significant progress has been made in the understanding of the Wire Arc Additive Manufacturing (WAAM) process, as well as the microstructure and mechanical properties of the fabricated components. As WAAM has evolved, a wide range of materials have become associated with the process and its applications. This article reviews the emerging research on WAAM techniques and the commonly used metallic feedstock materials, and also provides a comprehensive over view of the metallurgical and material properties of the deposited parts. Common defects produced in WAAM components using different alloys are described, including deformation, porosity, and cracking. Methods for improving the fabrication quality of the additively manufactured components are discussed, taking into account the requirements of the various alloys. This paper concludes that the wide application of WAAM still presents many challenges, and these may need to be addressed in specific ways for different materials in order to achieve an operational system in an acceptable time frame. The integration of materials and manufacturing process to produce defect-free and structurally-sound deposited parts remains a crucial effort into the future.","container-title":"Journal of Manufacturing Processes","DOI":"10.1016/j.jmapro.2018.08.001","ISSN":"1526-6125","journalAbbreviation":"Journal of Manufacturing Processes","page":"127-139","source":"ScienceDirect","title":"A review of the wire arc additive manufacturing of metals: properties, defects and quality improvement","title-short":"A review of the wire arc additive manufacturing of metals","volume":"35","author":[{"family":"Wu","given":"Bintao"},{"family":"Pan","given":"Zengxi"},{"family":"Ding","given":"Donghong"},{"family":"Cuiuri","given":"Dominic"},{"family":"Li","given":"Huijun"},{"family":"Xu","given":"Jing"},{"family":"Norrish","given":"John"}],"issued":{"date-parts":[["2018",10,1]]}}}],"schema":"https://github.com/citation-style-language/schema/raw/master/csl-citation.json"} </w:instrText>
      </w:r>
      <w:r>
        <w:fldChar w:fldCharType="separate"/>
      </w:r>
      <w:r w:rsidRPr="00826A79">
        <w:rPr>
          <w:rFonts w:cs="Calibri"/>
        </w:rPr>
        <w:t>(B. Wu et al. 2018)</w:t>
      </w:r>
      <w:r>
        <w:fldChar w:fldCharType="end"/>
      </w:r>
      <w:r>
        <w:t xml:space="preserve">. Gas Metal Arc Welding (GMAW), Gas Tungsten Arc Welding (GTAW) and Plasma Arc Welding (PAW) are often used in the WAAM process </w:t>
      </w:r>
      <w:r>
        <w:fldChar w:fldCharType="begin"/>
      </w:r>
      <w:r>
        <w:instrText xml:space="preserve"> ADDIN ZOTERO_ITEM CSL_CITATION {"citationID":"BrY0Ccg5","properties":{"formattedCitation":"(B. Wu et al. 2018)","plainCitation":"(B. Wu et al. 2018)","noteIndex":0},"citationItems":[{"id":137,"uris":["http://zotero.org/users/9870952/items/U5PENE8N"],"itemData":{"id":137,"type":"article-journal","abstract":"Due to the feasibility of economically producing large-scale metal components with relatively high deposition rates, significant progress has been made in the understanding of the Wire Arc Additive Manufacturing (WAAM) process, as well as the microstructure and mechanical properties of the fabricated components. As WAAM has evolved, a wide range of materials have become associated with the process and its applications. This article reviews the emerging research on WAAM techniques and the commonly used metallic feedstock materials, and also provides a comprehensive over view of the metallurgical and material properties of the deposited parts. Common defects produced in WAAM components using different alloys are described, including deformation, porosity, and cracking. Methods for improving the fabrication quality of the additively manufactured components are discussed, taking into account the requirements of the various alloys. This paper concludes that the wide application of WAAM still presents many challenges, and these may need to be addressed in specific ways for different materials in order to achieve an operational system in an acceptable time frame. The integration of materials and manufacturing process to produce defect-free and structurally-sound deposited parts remains a crucial effort into the future.","container-title":"Journal of Manufacturing Processes","DOI":"10.1016/j.jmapro.2018.08.001","ISSN":"1526-6125","journalAbbreviation":"Journal of Manufacturing Processes","page":"127-139","source":"ScienceDirect","title":"A review of the wire arc additive manufacturing of metals: properties, defects and quality improvement","title-short":"A review of the wire arc additive manufacturing of metals","volume":"35","author":[{"family":"Wu","given":"Bintao"},{"family":"Pan","given":"Zengxi"},{"family":"Ding","given":"Donghong"},{"family":"Cuiuri","given":"Dominic"},{"family":"Li","given":"Huijun"},{"family":"Xu","given":"Jing"},{"family":"Norrish","given":"John"}],"issued":{"date-parts":[["2018",10,1]]}}}],"schema":"https://github.com/citation-style-language/schema/raw/master/csl-citation.json"} </w:instrText>
      </w:r>
      <w:r>
        <w:fldChar w:fldCharType="separate"/>
      </w:r>
      <w:r w:rsidRPr="00826A79">
        <w:rPr>
          <w:rFonts w:cs="Calibri"/>
        </w:rPr>
        <w:t>(B. Wu et al. 2018)</w:t>
      </w:r>
      <w:r>
        <w:fldChar w:fldCharType="end"/>
      </w:r>
      <w:r>
        <w:t xml:space="preserve">. Joule Printing System is another new DED method where fully bonded layers are created by melting wire feedstock with electric current, which are fused to the previously deposited layers </w:t>
      </w:r>
      <w:r>
        <w:fldChar w:fldCharType="begin"/>
      </w:r>
      <w:r>
        <w:instrText xml:space="preserve"> ADDIN ZOTERO_ITEM CSL_CITATION {"citationID":"undZNojx","properties":{"formattedCitation":"(\\uc0\\u8220{}Joule Printing\\uc0\\u8221{} 2018)","plainCitation":"(“Joule Printing” 2018)","noteIndex":0},"citationItems":[{"id":136,"uris":["http://zotero.org/users/9870952/items/MTUQZWKL"],"itemData":{"id":136,"type":"webpage","container-title":"Digital Alloys","language":"en-US","note":"section: Blog","title":"Joule Printing","URL":"https://www.digitalalloys.com/blog/joule-printing/","accessed":{"date-parts":[["2024",1,5]]},"issued":{"date-parts":[["2018",8,7]]}}}],"schema":"https://github.com/citation-style-language/schema/raw/master/csl-citation.json"} </w:instrText>
      </w:r>
      <w:r>
        <w:fldChar w:fldCharType="separate"/>
      </w:r>
      <w:r w:rsidRPr="00826A79">
        <w:rPr>
          <w:rFonts w:cs="Calibri"/>
        </w:rPr>
        <w:t>(“Joule Printing” 2018)</w:t>
      </w:r>
      <w:r>
        <w:fldChar w:fldCharType="end"/>
      </w:r>
      <w:r>
        <w:t xml:space="preserve">. There is another new technology called Blown Powder Technology (BPT), which is widely used to apply coatings on surfaces for repair purposes </w:t>
      </w:r>
      <w:r>
        <w:fldChar w:fldCharType="begin"/>
      </w:r>
      <w:r>
        <w:instrText xml:space="preserve"> ADDIN ZOTERO_ITEM CSL_CITATION {"citationID":"WY4tpCZE","properties":{"formattedCitation":"(Chiumenti et al. 2017)","plainCitation":"(Chiumenti et al. 2017)","noteIndex":0},"citationItems":[{"id":135,"uris":["http://zotero.org/users/9870952/items/SGVP77YG"],"itemData":{"id":135,"type":"article-journal","container-title":"Rapid Prototyping Journal","issue":"2","note":"publisher: Emerald Publishing Limited","page":"448–463","source":"Google Scholar","title":"Numerical simulation and experimental calibration of additive manufacturing by blown powder technology. Part I: thermal analysis","title-short":"Numerical simulation and experimental calibration of additive manufacturing by blown powder technology. Part I","volume":"23","author":[{"family":"Chiumenti","given":"Michele"},{"family":"Lin","given":"Xin"},{"family":"Cervera","given":"Miguel"},{"family":"Lei","given":"Wei"},{"family":"Zheng","given":"Yuxiang"},{"family":"Huang","given":"Weidong"}],"issued":{"date-parts":[["2017"]]}}}],"schema":"https://github.com/citation-style-language/schema/raw/master/csl-citation.json"} </w:instrText>
      </w:r>
      <w:r>
        <w:fldChar w:fldCharType="separate"/>
      </w:r>
      <w:r w:rsidRPr="00826A79">
        <w:rPr>
          <w:rFonts w:cs="Calibri"/>
        </w:rPr>
        <w:t>(Chiumenti et al. 2017)</w:t>
      </w:r>
      <w:r>
        <w:fldChar w:fldCharType="end"/>
      </w:r>
      <w:r>
        <w:t xml:space="preserve">. In this process, the substrate is melted by a laser and powders are applied on top of the molten surface of the substrate, often under inert gas atmosphere. LENS (Laser Engineered Net Shaping) is a widely popular method that is based on the BPT technology in which a high powered laser is used to melt powders </w:t>
      </w:r>
      <w:r>
        <w:fldChar w:fldCharType="begin"/>
      </w:r>
      <w:r>
        <w:instrText xml:space="preserve"> ADDIN ZOTERO_ITEM CSL_CITATION {"citationID":"tE6Z1ql8","properties":{"formattedCitation":"(Onuike, Heer, and Bandyopadhyay 2018)","plainCitation":"(Onuike, Heer, and Bandyopadhyay 2018)","noteIndex":0},"citationItems":[{"id":134,"uris":["http://zotero.org/users/9870952/items/N35XVGJH"],"itemData":{"id":134,"type":"article-journal","abstract":"To understand processing ability and measure resultant interfacial and thermal properties of Inconel 718 and copper alloy GRCop-84, bimetallic structures were fabricated using laser engineering net shaping (LENS™), a commercially available additive manufacturing technique. It was hypothesized that additively combining the two aerospace alloys would form a unique bimetallic structure with improved thermophysical properties compared to the Inconel 718 alloy. Two approaches were used: the direct deposition of GRCop-84 on Inconel 718 and the compositional gradation of the two alloys. Scanning electron microscopy (SEM), energy dispersive spectroscopy (EDS), X-ray Diffraction (XRD), Vickers microhardness and flash thermal diffusivity were used to characterize these bimetallic structures to validate our hypothesis. The compositional gradation approach showed a gradual transition of Inconel 718 and GRCop-84 elements at the interface, which was also reflected in the cross-sectional hardness profile across the bimetallic interface. SEM images showed columnar grain structures at the interfaces with Cr2Nb precipitate accumulation along grain boundaries and the substrate-deposit interface. The average thermal diffusivity of the bimetallic structure was measured at 11.33 mm2/s for the temperature range of 50 °C–300 °C; a 250% increase in diffusivity when compared to the pure Inconel 718 alloy at 3.20 mm2/s. Conductivity of the bimetallic structures increased by almost 300% compared to Inconel 718 as well. Such structures with designed compositional gradation and tailored thermal properties opens up the possibilities of multi-material metal additive manufacturing for next generation of aerospace structures.","container-title":"Additive Manufacturing","DOI":"10.1016/j.addma.2018.02.007","ISSN":"2214-8604","journalAbbreviation":"Additive Manufacturing","page":"133-140","source":"ScienceDirect","title":"Additive manufacturing of Inconel 718—Copper alloy bimetallic structure using laser engineered net shaping (LENS™)","volume":"21","author":[{"family":"Onuike","given":"Bonny"},{"family":"Heer","given":"Bryan"},{"family":"Bandyopadhyay","given":"Amit"}],"issued":{"date-parts":[["2018",5,1]]}}}],"schema":"https://github.com/citation-style-language/schema/raw/master/csl-citation.json"} </w:instrText>
      </w:r>
      <w:r>
        <w:fldChar w:fldCharType="separate"/>
      </w:r>
      <w:r w:rsidRPr="00826A79">
        <w:rPr>
          <w:rFonts w:cs="Calibri"/>
        </w:rPr>
        <w:t>(Onuike, Heer, and Bandyopadhyay 2018)</w:t>
      </w:r>
      <w:r>
        <w:fldChar w:fldCharType="end"/>
      </w:r>
      <w:r>
        <w:t>. Here powders are only added where the laser head is positioned to melt the powders.</w:t>
      </w:r>
    </w:p>
    <w:p w14:paraId="32186F86" w14:textId="77777777" w:rsidR="00EB28D3" w:rsidRDefault="00EB28D3" w:rsidP="00EB28D3">
      <w:pPr>
        <w:spacing w:line="360" w:lineRule="auto"/>
      </w:pPr>
    </w:p>
    <w:p w14:paraId="11B04813" w14:textId="77777777" w:rsidR="00EB28D3" w:rsidRDefault="00EB28D3" w:rsidP="003E0F31">
      <w:pPr>
        <w:spacing w:line="360" w:lineRule="auto"/>
      </w:pPr>
    </w:p>
    <w:p w14:paraId="4249E453" w14:textId="170BF995" w:rsidR="00EB28D3" w:rsidRDefault="00EB28D3" w:rsidP="00EB28D3">
      <w:pPr>
        <w:tabs>
          <w:tab w:val="left" w:pos="-1432"/>
          <w:tab w:val="left" w:pos="-761"/>
          <w:tab w:val="left" w:pos="850"/>
          <w:tab w:val="left" w:pos="3600"/>
        </w:tabs>
        <w:suppressAutoHyphens/>
        <w:spacing w:line="360" w:lineRule="auto"/>
        <w:rPr>
          <w:b/>
          <w:bCs/>
          <w:spacing w:val="-3"/>
        </w:rPr>
      </w:pPr>
      <w:r>
        <w:rPr>
          <w:b/>
          <w:bCs/>
          <w:spacing w:val="-3"/>
        </w:rPr>
        <w:t xml:space="preserve">10.2.4 </w:t>
      </w:r>
      <w:r w:rsidRPr="00EB28D3">
        <w:rPr>
          <w:b/>
          <w:bCs/>
          <w:spacing w:val="-3"/>
        </w:rPr>
        <w:t>Material Jetting (MJ) and Binder Jetting (BJ)</w:t>
      </w:r>
    </w:p>
    <w:p w14:paraId="1F1770C6" w14:textId="539AD627" w:rsidR="00EB28D3" w:rsidRDefault="00EB28D3" w:rsidP="00EB28D3">
      <w:pPr>
        <w:spacing w:line="360" w:lineRule="auto"/>
      </w:pPr>
    </w:p>
    <w:p w14:paraId="67EFABAC" w14:textId="15AFD633" w:rsidR="00FE2F69" w:rsidRDefault="00FE2F69" w:rsidP="003E0F31">
      <w:pPr>
        <w:spacing w:line="360" w:lineRule="auto"/>
      </w:pPr>
      <w:r>
        <w:tab/>
        <w:t xml:space="preserve">In this process, photopolymers are used as materials and ultraviolet (UV) light is used to cure the deposited layers. A composite resin is prepared for this purpose that is often infused with metallic nanoparticles. The liquid resin droplets are sprayed to the target area and then UV light is used to solidify the material. A new layer is then printed upon the previous printed layer. A very good surface finish and a high level of dimensional accuracy are achieved in this process. Also, complex shaped, high-density metal parts can be produced in this process. The process allows for ease of removal of support structures. However, </w:t>
      </w:r>
      <w:r w:rsidR="0062335E">
        <w:t>a major concern</w:t>
      </w:r>
      <w:r>
        <w:t xml:space="preserve"> </w:t>
      </w:r>
      <w:r w:rsidR="0062335E">
        <w:t>is</w:t>
      </w:r>
      <w:r>
        <w:t xml:space="preserve"> that only a few materials in limited size configurations can be produced in this process.</w:t>
      </w:r>
    </w:p>
    <w:p w14:paraId="6DFFA5A1" w14:textId="77777777" w:rsidR="00FE2F69" w:rsidRDefault="00FE2F69" w:rsidP="00FE2F69"/>
    <w:p w14:paraId="4E50924A" w14:textId="5F752E3C" w:rsidR="00FE2F69" w:rsidRDefault="00FE2F69" w:rsidP="001B068D">
      <w:pPr>
        <w:spacing w:line="360" w:lineRule="auto"/>
        <w:ind w:firstLine="720"/>
      </w:pPr>
      <w:r>
        <w:t>Binder Jetting (BJ) is a similar process, which along with MJ account</w:t>
      </w:r>
      <w:r w:rsidR="0062335E">
        <w:t>s</w:t>
      </w:r>
      <w:r>
        <w:t xml:space="preserve"> for 16</w:t>
      </w:r>
      <w:r w:rsidR="008A017C">
        <w:t xml:space="preserve"> </w:t>
      </w:r>
      <w:r>
        <w:t xml:space="preserve">% of the AM market as of 2020 (Fig. 10.2). Here metal powders with a liquid binder are used to deposit layers. The binder material allows for consolidation of metal powders in the printed layer and also in regions between </w:t>
      </w:r>
      <w:r w:rsidR="003F7C43">
        <w:t>t</w:t>
      </w:r>
      <w:r>
        <w:t xml:space="preserve">he layers </w:t>
      </w:r>
      <w:r>
        <w:fldChar w:fldCharType="begin"/>
      </w:r>
      <w:r>
        <w:instrText xml:space="preserve"> ADDIN ZOTERO_ITEM CSL_CITATION {"citationID":"D30GiJbD","properties":{"formattedCitation":"(Wheat et al. 2018)","plainCitation":"(Wheat et al. 2018)","noteIndex":0},"citationItems":[{"id":133,"uris":["http://zotero.org/users/9870952/items/P6W7W5T5"],"itemData":{"id":133,"type":"article-journal","container-title":"Materials &amp; Design","note":"publisher: Elsevier","page":"167–183","source":"Google Scholar","title":"Sinter structure analysis of titanium structures fabricated via binder jetting additive manufacturing","volume":"156","author":[{"family":"Wheat","given":"Evan"},{"family":"Vlasea","given":"Mihaela"},{"family":"Hinebaugh","given":"James"},{"family":"Metcalfe","given":"Craig"}],"issued":{"date-parts":[["2018"]]}}}],"schema":"https://github.com/citation-style-language/schema/raw/master/csl-citation.json"} </w:instrText>
      </w:r>
      <w:r>
        <w:fldChar w:fldCharType="separate"/>
      </w:r>
      <w:r w:rsidRPr="00826A79">
        <w:rPr>
          <w:rFonts w:cs="Calibri"/>
        </w:rPr>
        <w:t>(Wheat et al. 2018)</w:t>
      </w:r>
      <w:r>
        <w:fldChar w:fldCharType="end"/>
      </w:r>
      <w:r>
        <w:t>. The advantage in this process is that it requires no support structures and can print materials with a high dimensional accuracy compared to the traditional LPBF processes. The part can be used as is or it can be cured or sintered before use, if needed. However, one weakness is that it can result in inferior materials properties compared with those produced from traditional LPBF processes.</w:t>
      </w:r>
    </w:p>
    <w:p w14:paraId="572B63ED" w14:textId="3C3196F1" w:rsidR="00957A60" w:rsidRDefault="00957A60" w:rsidP="00957A60">
      <w:pPr>
        <w:spacing w:line="360" w:lineRule="auto"/>
      </w:pPr>
    </w:p>
    <w:p w14:paraId="245DAECD" w14:textId="77777777" w:rsidR="00D2374F" w:rsidRDefault="00D2374F" w:rsidP="00957A60">
      <w:pPr>
        <w:spacing w:line="360" w:lineRule="auto"/>
      </w:pPr>
    </w:p>
    <w:p w14:paraId="3B3BE7C7" w14:textId="567250F1" w:rsidR="00D2374F" w:rsidRDefault="00D2374F" w:rsidP="00D2374F">
      <w:pPr>
        <w:tabs>
          <w:tab w:val="left" w:pos="-1432"/>
          <w:tab w:val="left" w:pos="-761"/>
          <w:tab w:val="left" w:pos="850"/>
          <w:tab w:val="left" w:pos="3600"/>
        </w:tabs>
        <w:suppressAutoHyphens/>
        <w:spacing w:line="360" w:lineRule="auto"/>
        <w:rPr>
          <w:b/>
          <w:bCs/>
          <w:spacing w:val="-3"/>
        </w:rPr>
      </w:pPr>
      <w:r>
        <w:rPr>
          <w:b/>
          <w:bCs/>
          <w:spacing w:val="-3"/>
        </w:rPr>
        <w:t xml:space="preserve">10.2.5 </w:t>
      </w:r>
      <w:r w:rsidRPr="00D2374F">
        <w:rPr>
          <w:b/>
          <w:bCs/>
          <w:spacing w:val="-3"/>
        </w:rPr>
        <w:t>Solid State AM</w:t>
      </w:r>
    </w:p>
    <w:p w14:paraId="5D7F870A" w14:textId="77777777" w:rsidR="00D2374F" w:rsidRPr="00957A60" w:rsidRDefault="00D2374F" w:rsidP="003E0F31">
      <w:pPr>
        <w:spacing w:line="360" w:lineRule="auto"/>
      </w:pPr>
    </w:p>
    <w:p w14:paraId="6F22E59E" w14:textId="77777777" w:rsidR="00D2374F" w:rsidRDefault="00D2374F" w:rsidP="003E0F31">
      <w:pPr>
        <w:spacing w:line="360" w:lineRule="auto"/>
      </w:pPr>
      <w:r>
        <w:rPr>
          <w:spacing w:val="-3"/>
        </w:rPr>
        <w:tab/>
      </w:r>
      <w:r>
        <w:t xml:space="preserve">In this process, the material remains as solid, although liquid phase can form during the consolidation step in some techniques </w:t>
      </w:r>
      <w:r>
        <w:fldChar w:fldCharType="begin"/>
      </w:r>
      <w:r>
        <w:instrText xml:space="preserve"> ADDIN ZOTERO_ITEM CSL_CITATION {"citationID":"xw1ohRYO","properties":{"formattedCitation":"(Tuncer and Bose 2020)","plainCitation":"(Tuncer and Bose 2020)","noteIndex":0},"citationItems":[{"id":124,"uris":["http://zotero.org/users/9870952/items/XSM2HBLV"],"itemData":{"id":124,"type":"article-journal","container-title":"JOM","DOI":"10.1007/s11837-020-04260-y","ISSN":"1047-4838, 1543-1851","issue":"9","journalAbbreviation":"JOM","language":"en","page":"3090-3111","source":"DOI.org (Crossref)","title":"Solid-State Metal Additive Manufacturing: A Review","title-short":"Solid-State Metal Additive Manufacturing","volume":"72","author":[{"family":"Tuncer","given":"Nihan"},{"family":"Bose","given":"Animesh"}],"issued":{"date-parts":[["2020",9]]}}}],"schema":"https://github.com/citation-style-language/schema/raw/master/csl-citation.json"} </w:instrText>
      </w:r>
      <w:r>
        <w:fldChar w:fldCharType="separate"/>
      </w:r>
      <w:r w:rsidRPr="00826A79">
        <w:rPr>
          <w:rFonts w:cs="Calibri"/>
        </w:rPr>
        <w:t>(Tuncer and Bose 2020)</w:t>
      </w:r>
      <w:r>
        <w:fldChar w:fldCharType="end"/>
      </w:r>
      <w:r>
        <w:t xml:space="preserve">. There are two major categories in solid state AM based on the method of material bonding used. They are sintering based solid-state AM and mechanical deformation (MD) based techniques. In sintering-based solid-state AM, 3-D printed powder compact is consolidated by </w:t>
      </w:r>
      <w:r>
        <w:lastRenderedPageBreak/>
        <w:t>sintering. This technique has roots in powder metallurgy concepts. Binder jetting (BJAM), metal extrusion AM (MEAM), and screen or stencil 3D printing (SPAM) belong in this category. M</w:t>
      </w:r>
      <w:r w:rsidRPr="002206A0">
        <w:t>echanical deformation (MD) based techniques</w:t>
      </w:r>
      <w:r>
        <w:t xml:space="preserve"> use mechanical energy for metallic bonding to occur. Here, severe plastic deformation is used to facilitate material bonding. Often ultrasonic scrubbing, friction, or supersonic impact of powder particles onto a substrate or a previous deposited layer of the material are used for facilitating severe plastic deformation mechanism. Additional details are in ref. </w:t>
      </w:r>
      <w:r>
        <w:fldChar w:fldCharType="begin"/>
      </w:r>
      <w:r>
        <w:instrText xml:space="preserve"> ADDIN ZOTERO_ITEM CSL_CITATION {"citationID":"wpYjVQ2Z","properties":{"formattedCitation":"(Tuncer and Bose 2020)","plainCitation":"(Tuncer and Bose 2020)","noteIndex":0},"citationItems":[{"id":124,"uris":["http://zotero.org/users/9870952/items/XSM2HBLV"],"itemData":{"id":124,"type":"article-journal","container-title":"JOM","DOI":"10.1007/s11837-020-04260-y","ISSN":"1047-4838, 1543-1851","issue":"9","journalAbbreviation":"JOM","language":"en","page":"3090-3111","source":"DOI.org (Crossref)","title":"Solid-State Metal Additive Manufacturing: A Review","title-short":"Solid-State Metal Additive Manufacturing","volume":"72","author":[{"family":"Tuncer","given":"Nihan"},{"family":"Bose","given":"Animesh"}],"issued":{"date-parts":[["2020",9]]}}}],"schema":"https://github.com/citation-style-language/schema/raw/master/csl-citation.json"} </w:instrText>
      </w:r>
      <w:r>
        <w:fldChar w:fldCharType="separate"/>
      </w:r>
      <w:r w:rsidRPr="00826A79">
        <w:rPr>
          <w:rFonts w:cs="Calibri"/>
        </w:rPr>
        <w:t>(Tuncer and Bose 2020)</w:t>
      </w:r>
      <w:r>
        <w:fldChar w:fldCharType="end"/>
      </w:r>
      <w:r>
        <w:t>.</w:t>
      </w:r>
    </w:p>
    <w:p w14:paraId="2347B607" w14:textId="28CFCD5E" w:rsidR="00957A60" w:rsidRPr="00957A60" w:rsidRDefault="00957A60" w:rsidP="00957A60">
      <w:pPr>
        <w:tabs>
          <w:tab w:val="left" w:pos="-1432"/>
          <w:tab w:val="left" w:pos="-1021"/>
          <w:tab w:val="left" w:pos="850"/>
          <w:tab w:val="left" w:pos="10800"/>
          <w:tab w:val="left" w:pos="11339"/>
          <w:tab w:val="left" w:pos="11905"/>
          <w:tab w:val="left" w:pos="12240"/>
        </w:tabs>
        <w:suppressAutoHyphens/>
        <w:spacing w:line="360" w:lineRule="auto"/>
        <w:rPr>
          <w:spacing w:val="-3"/>
        </w:rPr>
      </w:pPr>
    </w:p>
    <w:p w14:paraId="436F008E" w14:textId="77777777" w:rsidR="00957A60" w:rsidRPr="003E0F31" w:rsidRDefault="00957A60" w:rsidP="003E0F31">
      <w:pPr>
        <w:suppressAutoHyphens/>
        <w:spacing w:line="360" w:lineRule="auto"/>
        <w:rPr>
          <w:sz w:val="28"/>
          <w:szCs w:val="28"/>
        </w:rPr>
      </w:pPr>
    </w:p>
    <w:p w14:paraId="7E0B4172" w14:textId="1B66F5E4" w:rsidR="00860A37" w:rsidRDefault="00860A37" w:rsidP="00860A37">
      <w:pPr>
        <w:tabs>
          <w:tab w:val="left" w:pos="-1432"/>
          <w:tab w:val="left" w:pos="-761"/>
          <w:tab w:val="left" w:pos="850"/>
          <w:tab w:val="left" w:pos="3600"/>
        </w:tabs>
        <w:suppressAutoHyphens/>
        <w:spacing w:line="360" w:lineRule="auto"/>
        <w:rPr>
          <w:b/>
          <w:bCs/>
          <w:spacing w:val="-3"/>
        </w:rPr>
      </w:pPr>
      <w:r>
        <w:rPr>
          <w:b/>
          <w:bCs/>
          <w:spacing w:val="-3"/>
        </w:rPr>
        <w:t xml:space="preserve">10.3. </w:t>
      </w:r>
      <w:r w:rsidRPr="00860A37">
        <w:rPr>
          <w:b/>
          <w:bCs/>
          <w:spacing w:val="-3"/>
        </w:rPr>
        <w:t>Typical Machines/Tools Used for Metal AM Processes</w:t>
      </w:r>
    </w:p>
    <w:p w14:paraId="35E2C0E9" w14:textId="77777777" w:rsidR="00957A60" w:rsidRDefault="00957A60" w:rsidP="00860A37">
      <w:pPr>
        <w:suppressAutoHyphens/>
        <w:spacing w:line="360" w:lineRule="auto"/>
      </w:pPr>
    </w:p>
    <w:p w14:paraId="22D87FB8" w14:textId="396A0F42" w:rsidR="00860A37" w:rsidRDefault="00860A37" w:rsidP="003E0F31">
      <w:pPr>
        <w:spacing w:line="360" w:lineRule="auto"/>
      </w:pPr>
      <w:r>
        <w:tab/>
        <w:t xml:space="preserve">Frazier lists types of equipment </w:t>
      </w:r>
      <w:r w:rsidR="00F8323D">
        <w:t xml:space="preserve"> </w:t>
      </w:r>
      <w:r>
        <w:t xml:space="preserve">based on the mechanism of deposition </w:t>
      </w:r>
      <w:r>
        <w:fldChar w:fldCharType="begin"/>
      </w:r>
      <w:r>
        <w:instrText xml:space="preserve"> ADDIN ZOTERO_ITEM CSL_CITATION {"citationID":"DEXsWvj4","properties":{"formattedCitation":"(Frazier 2014)","plainCitation":"(Frazier 2014)","noteIndex":0},"citationItems":[{"id":211,"uris":["http://zotero.org/users/9870952/items/DXMF3B3W"],"itemData":{"id":211,"type":"article-journal","abstract":"This paper reviews the state-of-the-art of an important, rapidly emerging, manufacturing technology that is alternatively called additive manufacturing (AM), direct digital manufacturing, free form fabrication, or 3D printing, etc. A broad contextual overview of metallic AM is provided. AM has the potential to revolutionize the global parts manufacturing and logistics landscape. It enables distributed manufacturing and the productions of parts-on-demand while offering the potential to reduce cost, energy consumption, and carbon footprint. This paper explores the material science, processes, and business consideration associated with achieving these performance gains. It is concluded that a paradigm shift is required in order to fully exploit AM potential.","container-title":"Journal of Materials Engineering and Performance","DOI":"10.1007/s11665-014-0958-z","ISSN":"1544-1024","issue":"6","journalAbbreviation":"J. of Materi Eng and Perform","language":"en","page":"1917-1928","source":"Springer Link","title":"Metal Additive Manufacturing: A Review","title-short":"Metal Additive Manufacturing","volume":"23","author":[{"family":"Frazier","given":"William E."}],"issued":{"date-parts":[["2014",6,1]]}}}],"schema":"https://github.com/citation-style-language/schema/raw/master/csl-citation.json"} </w:instrText>
      </w:r>
      <w:r>
        <w:fldChar w:fldCharType="separate"/>
      </w:r>
      <w:r w:rsidRPr="00826A79">
        <w:rPr>
          <w:rFonts w:cs="Calibri"/>
        </w:rPr>
        <w:t>(Frazier 2014)</w:t>
      </w:r>
      <w:r>
        <w:fldChar w:fldCharType="end"/>
      </w:r>
      <w:r>
        <w:t xml:space="preserve">. </w:t>
      </w:r>
      <w:r w:rsidR="00F8323D">
        <w:t>Please note that only</w:t>
      </w:r>
      <w:r w:rsidR="00F8323D" w:rsidRPr="00F8323D">
        <w:t xml:space="preserve"> melt-based methods</w:t>
      </w:r>
      <w:r w:rsidR="00F8323D">
        <w:t xml:space="preserve"> are discussed here since the focus in this chapter is on solidification. Hence, solid state methods are outside the scope of this section. </w:t>
      </w:r>
      <w:r>
        <w:t xml:space="preserve">Fig. 10.4 classifies different AM techniques depending on the feedstock form and the process of fabrication: (a) </w:t>
      </w:r>
      <w:r w:rsidR="00516863">
        <w:t>Powder-based fusion (</w:t>
      </w:r>
      <w:r>
        <w:t>PBF</w:t>
      </w:r>
      <w:r w:rsidR="00516863">
        <w:t>)</w:t>
      </w:r>
      <w:r>
        <w:t xml:space="preserve">; (b) DED; (c) Wire-arc AM; (d) ultrasonic AM; (e) friction based AM </w:t>
      </w:r>
      <w:r>
        <w:fldChar w:fldCharType="begin"/>
      </w:r>
      <w:r>
        <w:instrText xml:space="preserve"> ADDIN ZOTERO_ITEM CSL_CITATION {"citationID":"EcXnaw9c","properties":{"formattedCitation":"(Bandyopadhyay, Zhang, and Bose 2020)","plainCitation":"(Bandyopadhyay, Zhang, and Bose 2020)","noteIndex":0},"citationItems":[{"id":131,"uris":["http://zotero.org/users/9870952/items/SUNKFF6B"],"itemData":{"id":131,"type":"article-journal","container-title":"Current opinion in chemical engineering","note":"publisher: Elsevier","page":"96–104","source":"Google Scholar","title":"Recent developments in metal additive manufacturing","volume":"28","author":[{"family":"Bandyopadhyay","given":"Amit"},{"family":"Zhang","given":"Yanning"},{"family":"Bose","given":"Susmita"}],"issued":{"date-parts":[["2020"]]}}}],"schema":"https://github.com/citation-style-language/schema/raw/master/csl-citation.json"} </w:instrText>
      </w:r>
      <w:r>
        <w:fldChar w:fldCharType="separate"/>
      </w:r>
      <w:r w:rsidRPr="00826A79">
        <w:rPr>
          <w:rFonts w:cs="Calibri"/>
        </w:rPr>
        <w:t>(Bandyopadhyay, Zhang, and Bose 2020)</w:t>
      </w:r>
      <w:r>
        <w:fldChar w:fldCharType="end"/>
      </w:r>
      <w:r>
        <w:t>. For metal AM, the three common type of AM methods are a) powder-based systems, b) powder feed systems, c) wire feed systems. These are discussed below. Table 1 lists some of the systems along with the energy systems, process, and build dimensions.</w:t>
      </w:r>
    </w:p>
    <w:p w14:paraId="53AC50B3" w14:textId="77777777" w:rsidR="00860A37" w:rsidRDefault="00860A37" w:rsidP="00860A37"/>
    <w:p w14:paraId="376E1D99" w14:textId="77777777" w:rsidR="00860A37" w:rsidRDefault="00860A37" w:rsidP="00860A37"/>
    <w:p w14:paraId="5511D7B6" w14:textId="77777777" w:rsidR="00860A37" w:rsidRDefault="00860A37" w:rsidP="00860A37"/>
    <w:p w14:paraId="3E429F76" w14:textId="77777777" w:rsidR="00860A37" w:rsidRDefault="00860A37" w:rsidP="00860A37"/>
    <w:p w14:paraId="11C24BAF" w14:textId="77777777" w:rsidR="00860A37" w:rsidRDefault="00860A37" w:rsidP="00860A37"/>
    <w:p w14:paraId="6F7302C5" w14:textId="77777777" w:rsidR="00860A37" w:rsidRDefault="00860A37" w:rsidP="00860A37"/>
    <w:p w14:paraId="580A289A" w14:textId="77777777" w:rsidR="00860A37" w:rsidRDefault="00860A37" w:rsidP="00860A37"/>
    <w:p w14:paraId="27C2BA8E" w14:textId="77777777" w:rsidR="00860A37" w:rsidRDefault="00860A37" w:rsidP="00860A37"/>
    <w:p w14:paraId="66A87F1F" w14:textId="6429843B" w:rsidR="00860A37" w:rsidRDefault="00860A37" w:rsidP="00860A37">
      <w:r>
        <w:t xml:space="preserve">Table 1. AM equipment sources based on types of deposition </w:t>
      </w:r>
      <w:r>
        <w:fldChar w:fldCharType="begin"/>
      </w:r>
      <w:r>
        <w:instrText xml:space="preserve"> ADDIN ZOTERO_ITEM CSL_CITATION {"citationID":"4XSeFbnr","properties":{"formattedCitation":"(Frazier 2014)","plainCitation":"(Frazier 2014)","noteIndex":0},"citationItems":[{"id":211,"uris":["http://zotero.org/users/9870952/items/DXMF3B3W"],"itemData":{"id":211,"type":"article-journal","abstract":"This paper reviews the state-of-the-art of an important, rapidly emerging, manufacturing technology that is alternatively called additive manufacturing (AM), direct digital manufacturing, free form fabrication, or 3D printing, etc. A broad contextual overview of metallic AM is provided. AM has the potential to revolutionize the global parts manufacturing and logistics landscape. It enables distributed manufacturing and the productions of parts-on-demand while offering the potential to reduce cost, energy consumption, and carbon footprint. This paper explores the material science, processes, and business consideration associated with achieving these performance gains. It is concluded that a paradigm shift is required in order to fully exploit AM potential.","container-title":"Journal of Materials Engineering and Performance","DOI":"10.1007/s11665-014-0958-z","ISSN":"1544-1024","issue":"6","journalAbbreviation":"J. of Materi Eng and Perform","language":"en","page":"1917-1928","source":"Springer Link","title":"Metal Additive Manufacturing: A Review","title-short":"Metal Additive Manufacturing","volume":"23","author":[{"family":"Frazier","given":"William E."}],"issued":{"date-parts":[["2014",6,1]]}}}],"schema":"https://github.com/citation-style-language/schema/raw/master/csl-citation.json"} </w:instrText>
      </w:r>
      <w:r>
        <w:fldChar w:fldCharType="separate"/>
      </w:r>
      <w:r w:rsidRPr="00826A79">
        <w:rPr>
          <w:rFonts w:cs="Calibri"/>
        </w:rPr>
        <w:t>(Frazier 2014)</w:t>
      </w:r>
      <w:r>
        <w:fldChar w:fldCharType="end"/>
      </w:r>
      <w:r>
        <w:t>.</w:t>
      </w:r>
    </w:p>
    <w:p w14:paraId="6921BAD3" w14:textId="77777777" w:rsidR="00860A37" w:rsidRDefault="00860A37" w:rsidP="00860A37">
      <w:r>
        <w:rPr>
          <w:noProof/>
        </w:rPr>
        <w:lastRenderedPageBreak/>
        <w:drawing>
          <wp:inline distT="0" distB="0" distL="0" distR="0" wp14:anchorId="50148535" wp14:editId="3E471905">
            <wp:extent cx="6016525" cy="3174365"/>
            <wp:effectExtent l="0" t="0" r="3810" b="6985"/>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64"/>
                    <a:srcRect l="20256" t="30038" r="27949" b="21367"/>
                    <a:stretch/>
                  </pic:blipFill>
                  <pic:spPr bwMode="auto">
                    <a:xfrm>
                      <a:off x="0" y="0"/>
                      <a:ext cx="6016752" cy="3174485"/>
                    </a:xfrm>
                    <a:prstGeom prst="rect">
                      <a:avLst/>
                    </a:prstGeom>
                    <a:ln>
                      <a:noFill/>
                    </a:ln>
                    <a:extLst>
                      <a:ext uri="{53640926-AAD7-44D8-BBD7-CCE9431645EC}">
                        <a14:shadowObscured xmlns:a14="http://schemas.microsoft.com/office/drawing/2010/main"/>
                      </a:ext>
                    </a:extLst>
                  </pic:spPr>
                </pic:pic>
              </a:graphicData>
            </a:graphic>
          </wp:inline>
        </w:drawing>
      </w:r>
      <w:r>
        <w:t xml:space="preserve"> </w:t>
      </w:r>
    </w:p>
    <w:p w14:paraId="5CC0BBA9" w14:textId="4E092670" w:rsidR="00860A37" w:rsidRDefault="00860A37" w:rsidP="00860A37">
      <w:pPr>
        <w:suppressAutoHyphens/>
        <w:spacing w:line="360" w:lineRule="auto"/>
      </w:pPr>
    </w:p>
    <w:p w14:paraId="6B932E42" w14:textId="77777777" w:rsidR="00860A37" w:rsidRDefault="00860A37" w:rsidP="00860A37">
      <w:pPr>
        <w:suppressAutoHyphens/>
        <w:spacing w:line="360" w:lineRule="auto"/>
      </w:pPr>
    </w:p>
    <w:p w14:paraId="4A176F9A" w14:textId="19AD1877" w:rsidR="00860A37" w:rsidRDefault="00860A37" w:rsidP="00860A37">
      <w:pPr>
        <w:tabs>
          <w:tab w:val="left" w:pos="-1432"/>
          <w:tab w:val="left" w:pos="-761"/>
          <w:tab w:val="left" w:pos="850"/>
          <w:tab w:val="left" w:pos="3600"/>
        </w:tabs>
        <w:suppressAutoHyphens/>
        <w:spacing w:line="360" w:lineRule="auto"/>
        <w:rPr>
          <w:b/>
          <w:bCs/>
          <w:spacing w:val="-3"/>
        </w:rPr>
      </w:pPr>
      <w:r>
        <w:rPr>
          <w:b/>
          <w:bCs/>
          <w:spacing w:val="-3"/>
        </w:rPr>
        <w:t xml:space="preserve">10.3.1 </w:t>
      </w:r>
      <w:r w:rsidRPr="00860A37">
        <w:rPr>
          <w:b/>
          <w:bCs/>
          <w:spacing w:val="-3"/>
        </w:rPr>
        <w:t>Powder based systems</w:t>
      </w:r>
    </w:p>
    <w:p w14:paraId="4C74479D" w14:textId="77777777" w:rsidR="00860A37" w:rsidRDefault="00860A37" w:rsidP="00860A37">
      <w:pPr>
        <w:suppressAutoHyphens/>
        <w:spacing w:line="360" w:lineRule="auto"/>
      </w:pPr>
    </w:p>
    <w:p w14:paraId="2C36634A" w14:textId="77777777" w:rsidR="00860A37" w:rsidRDefault="00860A37" w:rsidP="003E0F31">
      <w:pPr>
        <w:spacing w:line="360" w:lineRule="auto"/>
      </w:pPr>
      <w:r>
        <w:tab/>
        <w:t xml:space="preserve">Fig. 10.5 is a schematic representation of a powder bed system </w:t>
      </w:r>
      <w:r>
        <w:fldChar w:fldCharType="begin"/>
      </w:r>
      <w:r>
        <w:instrText xml:space="preserve"> ADDIN ZOTERO_ITEM CSL_CITATION {"citationID":"sQPp5a39","properties":{"formattedCitation":"(Frazier 2014)","plainCitation":"(Frazier 2014)","noteIndex":0},"citationItems":[{"id":211,"uris":["http://zotero.org/users/9870952/items/DXMF3B3W"],"itemData":{"id":211,"type":"article-journal","abstract":"This paper reviews the state-of-the-art of an important, rapidly emerging, manufacturing technology that is alternatively called additive manufacturing (AM), direct digital manufacturing, free form fabrication, or 3D printing, etc. A broad contextual overview of metallic AM is provided. AM has the potential to revolutionize the global parts manufacturing and logistics landscape. It enables distributed manufacturing and the productions of parts-on-demand while offering the potential to reduce cost, energy consumption, and carbon footprint. This paper explores the material science, processes, and business consideration associated with achieving these performance gains. It is concluded that a paradigm shift is required in order to fully exploit AM potential.","container-title":"Journal of Materials Engineering and Performance","DOI":"10.1007/s11665-014-0958-z","ISSN":"1544-1024","issue":"6","journalAbbreviation":"J. of Materi Eng and Perform","language":"en","page":"1917-1928","source":"Springer Link","title":"Metal Additive Manufacturing: A Review","title-short":"Metal Additive Manufacturing","volume":"23","author":[{"family":"Frazier","given":"William E."}],"issued":{"date-parts":[["2014",6,1]]}}}],"schema":"https://github.com/citation-style-language/schema/raw/master/csl-citation.json"} </w:instrText>
      </w:r>
      <w:r>
        <w:fldChar w:fldCharType="separate"/>
      </w:r>
      <w:r w:rsidRPr="00826A79">
        <w:rPr>
          <w:rFonts w:cs="Calibri"/>
        </w:rPr>
        <w:t>(Frazier 2014)</w:t>
      </w:r>
      <w:r>
        <w:fldChar w:fldCharType="end"/>
      </w:r>
      <w:r>
        <w:t>. First a powder bed is created on the workpiece by raking powders. Either a laser beam or an electron beam provides the required energy to melt the powders. Powders can also be sintered into desired shape. A 3-D component can be fabricated layer by layer by raking additional layers of powders on previously solidified powder layers. Some of the advantages of this method are ability to produce parts with a) high resolution features, b) internal geometric intricacies, and c) greater dimensional control.</w:t>
      </w:r>
    </w:p>
    <w:p w14:paraId="32F801DB" w14:textId="3D8BD1D8" w:rsidR="00860A37" w:rsidRDefault="00860A37" w:rsidP="00860A37">
      <w:pPr>
        <w:suppressAutoHyphens/>
        <w:spacing w:line="360" w:lineRule="auto"/>
      </w:pPr>
    </w:p>
    <w:p w14:paraId="3076FD81" w14:textId="77777777" w:rsidR="00860A37" w:rsidRDefault="00860A37" w:rsidP="00860A37">
      <w:pPr>
        <w:suppressAutoHyphens/>
        <w:spacing w:line="360" w:lineRule="auto"/>
      </w:pPr>
    </w:p>
    <w:p w14:paraId="12A739D8" w14:textId="3AC16D14" w:rsidR="00860A37" w:rsidRDefault="00860A37" w:rsidP="00860A37">
      <w:pPr>
        <w:tabs>
          <w:tab w:val="left" w:pos="-1432"/>
          <w:tab w:val="left" w:pos="-761"/>
          <w:tab w:val="left" w:pos="850"/>
          <w:tab w:val="left" w:pos="3600"/>
        </w:tabs>
        <w:suppressAutoHyphens/>
        <w:spacing w:line="360" w:lineRule="auto"/>
      </w:pPr>
      <w:r>
        <w:rPr>
          <w:b/>
          <w:bCs/>
          <w:spacing w:val="-3"/>
        </w:rPr>
        <w:t xml:space="preserve">10.3.2 </w:t>
      </w:r>
      <w:r w:rsidRPr="00860A37">
        <w:rPr>
          <w:b/>
          <w:bCs/>
          <w:spacing w:val="-3"/>
        </w:rPr>
        <w:t>Powder feed systems</w:t>
      </w:r>
    </w:p>
    <w:p w14:paraId="48C0AEF4" w14:textId="77777777" w:rsidR="00860A37" w:rsidRPr="00957A60" w:rsidRDefault="00860A37" w:rsidP="003E0F31">
      <w:pPr>
        <w:suppressAutoHyphens/>
        <w:spacing w:line="360" w:lineRule="auto"/>
      </w:pPr>
    </w:p>
    <w:p w14:paraId="220DF838" w14:textId="639C41B1" w:rsidR="00860A37" w:rsidRDefault="00860A37" w:rsidP="00860A37">
      <w:pPr>
        <w:spacing w:line="360" w:lineRule="auto"/>
      </w:pPr>
      <w:r>
        <w:tab/>
        <w:t xml:space="preserve">Optomec’s LENS system is an example of a powder feed system. Generally, builds of larger dimensions can be produced using this method. Powers are fed through a nozzle from the powder supply mechanism to the build surface where a laser is positioned to melt the powders (see Fig. 10.6). The laser deposition head can move along </w:t>
      </w:r>
      <w:r>
        <w:lastRenderedPageBreak/>
        <w:t>a programmed path on the build surface while the work piece remains stationary. Alternatively, the deposition head can remain stationary while the work piece moves along a desired and programmed path. The laser head is versatile and often is a 5-axis head in many systems. This method is more suited to build volume scale up than the powder-based systems. Additionally, this method is preferred for repairing/refurbishing damaged components.</w:t>
      </w:r>
    </w:p>
    <w:p w14:paraId="654D0EE8" w14:textId="77777777" w:rsidR="00860A37" w:rsidRDefault="00860A37" w:rsidP="00860A37">
      <w:pPr>
        <w:spacing w:line="360" w:lineRule="auto"/>
      </w:pPr>
    </w:p>
    <w:p w14:paraId="57F3A394" w14:textId="77777777" w:rsidR="00860A37" w:rsidRDefault="00860A37" w:rsidP="00860A37">
      <w:pPr>
        <w:spacing w:line="360" w:lineRule="auto"/>
      </w:pPr>
    </w:p>
    <w:p w14:paraId="41BBD942" w14:textId="39E19412" w:rsidR="00860A37" w:rsidRDefault="00860A37" w:rsidP="00860A37">
      <w:pPr>
        <w:tabs>
          <w:tab w:val="left" w:pos="-1432"/>
          <w:tab w:val="left" w:pos="-761"/>
          <w:tab w:val="left" w:pos="850"/>
          <w:tab w:val="left" w:pos="3600"/>
        </w:tabs>
        <w:suppressAutoHyphens/>
        <w:spacing w:line="360" w:lineRule="auto"/>
      </w:pPr>
      <w:r>
        <w:rPr>
          <w:b/>
          <w:bCs/>
          <w:spacing w:val="-3"/>
        </w:rPr>
        <w:t>10.3.3 Wire</w:t>
      </w:r>
      <w:r w:rsidRPr="00860A37">
        <w:rPr>
          <w:b/>
          <w:bCs/>
          <w:spacing w:val="-3"/>
        </w:rPr>
        <w:t xml:space="preserve"> feed systems</w:t>
      </w:r>
    </w:p>
    <w:p w14:paraId="05201783" w14:textId="77777777" w:rsidR="00860A37" w:rsidRDefault="00860A37" w:rsidP="003E0F31">
      <w:pPr>
        <w:spacing w:line="360" w:lineRule="auto"/>
      </w:pPr>
    </w:p>
    <w:p w14:paraId="160DE4B7" w14:textId="77777777" w:rsidR="00860A37" w:rsidRDefault="00860A37" w:rsidP="00860A37">
      <w:pPr>
        <w:spacing w:line="360" w:lineRule="auto"/>
      </w:pPr>
      <w:r>
        <w:tab/>
        <w:t>In this method, the feedstock is a wire that is deposited on the work piece with energy input from a laser beam or an electron beam or a plasma arc source (Fig. 10.7). Larger builds with high deposition rate can be obtained with this method. However, sometimes machining operation may be needed after the component is deposited, which can be a disadvantage when compared to the two powder-based systems discussed above.</w:t>
      </w:r>
    </w:p>
    <w:p w14:paraId="1F7381F8" w14:textId="77777777" w:rsidR="00860A37" w:rsidRDefault="00860A37" w:rsidP="00860A37">
      <w:pPr>
        <w:spacing w:line="360" w:lineRule="auto"/>
      </w:pPr>
    </w:p>
    <w:p w14:paraId="68DDE2F4" w14:textId="77777777" w:rsidR="00860A37" w:rsidRDefault="00860A37" w:rsidP="00860A37">
      <w:pPr>
        <w:spacing w:line="360" w:lineRule="auto"/>
      </w:pPr>
    </w:p>
    <w:p w14:paraId="2FE215E9" w14:textId="02D7DF25" w:rsidR="00860A37" w:rsidRDefault="00860A37" w:rsidP="00860A37">
      <w:pPr>
        <w:tabs>
          <w:tab w:val="left" w:pos="-1432"/>
          <w:tab w:val="left" w:pos="-761"/>
          <w:tab w:val="left" w:pos="850"/>
          <w:tab w:val="left" w:pos="3600"/>
        </w:tabs>
        <w:suppressAutoHyphens/>
        <w:spacing w:line="360" w:lineRule="auto"/>
        <w:rPr>
          <w:b/>
          <w:bCs/>
          <w:spacing w:val="-3"/>
        </w:rPr>
      </w:pPr>
      <w:r>
        <w:rPr>
          <w:b/>
          <w:bCs/>
          <w:spacing w:val="-3"/>
        </w:rPr>
        <w:t xml:space="preserve">10.4 </w:t>
      </w:r>
      <w:r w:rsidRPr="00860A37">
        <w:rPr>
          <w:b/>
          <w:bCs/>
          <w:spacing w:val="-3"/>
        </w:rPr>
        <w:t>Physics of Metal AM Processes</w:t>
      </w:r>
    </w:p>
    <w:p w14:paraId="5CD97E98" w14:textId="77777777" w:rsidR="00860A37" w:rsidRDefault="00860A37" w:rsidP="003E0F31">
      <w:pPr>
        <w:spacing w:line="360" w:lineRule="auto"/>
      </w:pPr>
    </w:p>
    <w:p w14:paraId="4B1CF6BD" w14:textId="654E5194" w:rsidR="00860A37" w:rsidRDefault="00860A37" w:rsidP="003E0F31">
      <w:pPr>
        <w:spacing w:line="360" w:lineRule="auto"/>
      </w:pPr>
      <w:r>
        <w:tab/>
        <w:t xml:space="preserve">In this section, the fundamentals of a typical LPBF process are described. A combination of models including models for describing fluid flow (computational fluid dynamics, CFD), heat transfer, liquid-solid and solid-solid phase transformations (microstructure models), </w:t>
      </w:r>
      <w:r w:rsidR="00516863">
        <w:t xml:space="preserve">thermomechanical </w:t>
      </w:r>
      <w:r>
        <w:t xml:space="preserve">analysis are needed to adequately describe the LPBF process. A schematic of the multiscale physical phenomena that are associated with a typical LPBF process is shown in Fig. 10.8 </w:t>
      </w:r>
      <w:r>
        <w:fldChar w:fldCharType="begin"/>
      </w:r>
      <w:r>
        <w:instrText xml:space="preserve"> ADDIN ZOTERO_ITEM CSL_CITATION {"citationID":"7TUA4QQD","properties":{"formattedCitation":"(Turner et al. 2022)","plainCitation":"(Turner et al. 2022)","noteIndex":0},"citationItems":[{"id":122,"uris":["http://zotero.org/users/9870952/items/KWE2TKTB"],"itemData":{"id":122,"type":"article-journal","container-title":"The International Journal of High Performance Computing Applications","issue":"1","note":"publisher: SAGE Publications Sage UK: London, England","page":"13–39","source":"Google Scholar","title":"ExaAM: Metal additive manufacturing simulation at the fidelity of the microstructure","title-short":"ExaAM","volume":"36","author":[{"family":"Turner","given":"John A."},{"family":"Belak","given":"James"},{"family":"Barton","given":"Nathan"},{"family":"Bement","given":"Matthew"},{"family":"Carlson","given":"Neil"},{"family":"Carson","given":"Robert"},{"family":"DeWitt","given":"Stephen"},{"family":"Fattebert","given":"Jean-Luc"},{"family":"Hodge","given":"Neil"},{"family":"Jibben","given":"Zechariah"}],"issued":{"date-parts":[["2022"]]}}}],"schema":"https://github.com/citation-style-language/schema/raw/master/csl-citation.json"} </w:instrText>
      </w:r>
      <w:r>
        <w:fldChar w:fldCharType="separate"/>
      </w:r>
      <w:r w:rsidRPr="00826A79">
        <w:rPr>
          <w:rFonts w:cs="Calibri"/>
        </w:rPr>
        <w:t>(Turner et al. 2022)</w:t>
      </w:r>
      <w:r>
        <w:fldChar w:fldCharType="end"/>
      </w:r>
      <w:r>
        <w:t>. In the following sections, we attempt to describe the governing equations for each aspect of these multiscale processes. Appropriate</w:t>
      </w:r>
      <w:r w:rsidRPr="00605E56">
        <w:t xml:space="preserve"> integration of macroscale melt-pool, </w:t>
      </w:r>
      <w:r>
        <w:t xml:space="preserve">heat transfer, </w:t>
      </w:r>
      <w:r w:rsidR="00516863">
        <w:t xml:space="preserve">thermomechanical </w:t>
      </w:r>
      <w:r>
        <w:t xml:space="preserve">analysis, </w:t>
      </w:r>
      <w:r w:rsidRPr="00605E56">
        <w:t>microstructure</w:t>
      </w:r>
      <w:r>
        <w:t xml:space="preserve"> formation mechanisms is needed for simulating quantitatively the formation of </w:t>
      </w:r>
      <w:r w:rsidRPr="00605E56">
        <w:t xml:space="preserve">hierarchical AM solidification </w:t>
      </w:r>
      <w:r>
        <w:t>microstructure involving</w:t>
      </w:r>
      <w:r w:rsidRPr="00605E56">
        <w:t xml:space="preserve"> multiple length scales and associated chemical heterogeneities</w:t>
      </w:r>
      <w:r>
        <w:t xml:space="preserve"> </w:t>
      </w:r>
      <w:r>
        <w:fldChar w:fldCharType="begin"/>
      </w:r>
      <w:r>
        <w:instrText xml:space="preserve"> ADDIN ZOTERO_ITEM CSL_CITATION {"citationID":"foLaqrAO","properties":{"formattedCitation":"(Ghosh et al. 2023)","plainCitation":"(Ghosh et al. 2023)","noteIndex":0},"citationItems":[{"id":246,"uris":["http://zotero.org/users/9870952/items/3EC6793A"],"itemData":{"id":246,"type":"article-journal","abstract":"Metal-based additive manufacturing (AM) processes often produce parts with improved properties compared to conventional manufacturing and metal working routes. However, currently, only a few alloys can be reliably additively manufactured as the vast majority of the alloys in use today are not explicitly designed for this manufacturing route. This is because the highly non-equilibrium nature of melting and rapid solidification phenomena during AM leads to undesirable microstructures with complex growth morphologies and unpredictable microstructural inhomogeneities including solidification defects, leading to unwanted variability in final material properties. In this context, the review article discusses the underlying physical mechanisms of microstructure and associated defects formation during ultrarapid cooling rates typical of AM in order to suggest approaches to minimize and control microstructural heterogeneities for improved printability and microstructure robustness (and hence properties). In particular, the physical effects of cooling rates and alloy parameters on rapidly moving complex solid–liquid interface shapes and the nucleation behavior during non-steady thermal conditions in heterogeneous liquid during AM must be well-understood to control the solidification microstructure and grain morphology. Suitable integration of physics-rich macroscale melt-pool, microstructure, and atomic-scale nucleation models (but benchmarked by experimental measurements) could quantitatively simulate the above hierarchical AM solidification problems that extend across multiple length scales and associated chemical heterogeneities. To address the tremendous computational expense of the above solidification problems toward large part-scale or full-melt-pool simulation, exascale computing hardware and software has been leveraged as a part of the exascale computing project. Further, the AM solidification simulations would guide parameter-microstructure optimization via data-driven modeling and, ultimately, alloy and processing development to suit various envisaged applications in the AM community.","container-title":"Additive Manufacturing","DOI":"10.1016/j.addma.2023.103845","ISSN":"2214-8604","journalAbbreviation":"Additive Manufacturing","page":"103845","source":"ScienceDirect","title":"Modeling of hierarchical solidification microstructures in metal additive manufacturing: Challenges and opportunities","title-short":"Modeling of hierarchical solidification microstructures in metal additive manufacturing","volume":"78","author":[{"family":"Ghosh","given":"Supriyo"},{"family":"Zollinger","given":"Julien"},{"family":"Zaloznik","given":"Miha"},{"family":"Banerjee","given":"Dilip"},{"family":"Newman","given":"Christopher K."},{"family":"Arroyave","given":"Raymundo"}],"issued":{"date-parts":[["2023",9,25]]}}}],"schema":"https://github.com/citation-style-language/schema/raw/master/csl-citation.json"} </w:instrText>
      </w:r>
      <w:r>
        <w:fldChar w:fldCharType="separate"/>
      </w:r>
      <w:r w:rsidRPr="00826A79">
        <w:rPr>
          <w:rFonts w:cs="Calibri"/>
        </w:rPr>
        <w:t>(Ghosh et al. 2023)</w:t>
      </w:r>
      <w:r>
        <w:fldChar w:fldCharType="end"/>
      </w:r>
      <w:r w:rsidRPr="00605E56">
        <w:t>.</w:t>
      </w:r>
    </w:p>
    <w:p w14:paraId="277E4535" w14:textId="77777777" w:rsidR="00860A37" w:rsidRDefault="00860A37" w:rsidP="00860A37"/>
    <w:p w14:paraId="31329BE2" w14:textId="4044B91C" w:rsidR="00860A37" w:rsidRDefault="00860A37" w:rsidP="003E0F31">
      <w:pPr>
        <w:spacing w:line="360" w:lineRule="auto"/>
        <w:ind w:firstLine="720"/>
      </w:pPr>
      <w:r>
        <w:t>We focus on continuum methods here for solving macroscopic governing equations for fluid flow, heat transfer, and stress distribution analyses. For the microstructural aspects, mesoscale methods such the phase field method and the cellular automata method are briefly described.</w:t>
      </w:r>
    </w:p>
    <w:p w14:paraId="3ACEE0A2" w14:textId="77777777" w:rsidR="00860A37" w:rsidRDefault="00860A37" w:rsidP="00860A37"/>
    <w:p w14:paraId="7D93042A" w14:textId="5E884823" w:rsidR="00860A37" w:rsidRDefault="00860A37" w:rsidP="00860A37">
      <w:pPr>
        <w:spacing w:line="360" w:lineRule="auto"/>
        <w:ind w:firstLine="720"/>
      </w:pPr>
      <w:r w:rsidRPr="00694A51">
        <w:t>The continuum methods assume that materials are perfectly continuous. Generally, the computational domain is subdivided into discrete elements (or grid points). Different sets of material properties can be assigned to different regions of the domain</w:t>
      </w:r>
      <w:r>
        <w:t xml:space="preserve"> (e.g., powder bed, base material etc</w:t>
      </w:r>
      <w:r w:rsidR="00516863">
        <w:t xml:space="preserve">.) </w:t>
      </w:r>
      <w:r w:rsidR="009745E2">
        <w:t>Partial</w:t>
      </w:r>
      <w:r w:rsidRPr="00694A51">
        <w:t xml:space="preserve"> differential equations for a given problem subject to initial and boundary conditions are solved in </w:t>
      </w:r>
      <w:r w:rsidR="009745E2">
        <w:t>the</w:t>
      </w:r>
      <w:r w:rsidR="009745E2" w:rsidRPr="00694A51">
        <w:t xml:space="preserve"> </w:t>
      </w:r>
      <w:r w:rsidRPr="00694A51">
        <w:t xml:space="preserve">computational domain through a series of time steps/increments. Computational methods can follow </w:t>
      </w:r>
      <w:r>
        <w:t xml:space="preserve">either </w:t>
      </w:r>
      <w:r w:rsidRPr="00694A51">
        <w:t xml:space="preserve">implicit or explicit time integration methods. Each method eventually results in a matrix form of equations that are solved at each time step. </w:t>
      </w:r>
      <w:r>
        <w:t xml:space="preserve">Iterative methods are needed for solving equations in implicit form. </w:t>
      </w:r>
      <w:r w:rsidRPr="00694A51">
        <w:t>Many practical assumptions and the relatively small number of variables make continuum methods least computationally costly. This makes them to be easily applied to various macroscopic systems. Complex geometrical shapes can be incorporated in these models.</w:t>
      </w:r>
      <w:r>
        <w:t xml:space="preserve"> </w:t>
      </w:r>
      <w:r w:rsidRPr="00694A51">
        <w:t xml:space="preserve">However, </w:t>
      </w:r>
      <w:r>
        <w:t>solution accuracies</w:t>
      </w:r>
      <w:r w:rsidRPr="00694A51">
        <w:t xml:space="preserve"> are dependent on previously collected test data</w:t>
      </w:r>
      <w:r>
        <w:t xml:space="preserve"> </w:t>
      </w:r>
      <w:r>
        <w:fldChar w:fldCharType="begin"/>
      </w:r>
      <w:r>
        <w:instrText xml:space="preserve"> ADDIN ZOTERO_ITEM CSL_CITATION {"citationID":"MdryIJnm","properties":{"formattedCitation":"(M. Wu, Ludwig, and Kharicha 2019)","plainCitation":"(M. Wu, Ludwig, and Kharicha 2019)","noteIndex":0},"citationItems":[{"id":254,"uris":["http://zotero.org/users/9870952/items/CLNCW277"],"itemData":{"id":254,"type":"article-journal","container-title":"Metals","issue":"2","note":"publisher: MDPI","page":"229","source":"Google Scholar","title":"Volume-averaged modeling of multiphase flow phenomena during alloy solidification","volume":"9","author":[{"family":"Wu","given":"Menghuai"},{"family":"Ludwig","given":"Andreas"},{"family":"Kharicha","given":"Abdellah"}],"issued":{"date-parts":[["2019"]]}}}],"schema":"https://github.com/citation-style-language/schema/raw/master/csl-citation.json"} </w:instrText>
      </w:r>
      <w:r>
        <w:fldChar w:fldCharType="separate"/>
      </w:r>
      <w:r w:rsidRPr="00826A79">
        <w:rPr>
          <w:rFonts w:cs="Calibri"/>
        </w:rPr>
        <w:t>(M. Wu, Ludwig, and Kharicha 2019)</w:t>
      </w:r>
      <w:r>
        <w:fldChar w:fldCharType="end"/>
      </w:r>
      <w:r w:rsidRPr="00694A51">
        <w:t>.</w:t>
      </w:r>
    </w:p>
    <w:p w14:paraId="704BC38E" w14:textId="77777777" w:rsidR="00860A37" w:rsidRDefault="00860A37" w:rsidP="00860A37">
      <w:pPr>
        <w:spacing w:line="360" w:lineRule="auto"/>
        <w:ind w:firstLine="720"/>
      </w:pPr>
    </w:p>
    <w:p w14:paraId="2C27FBEC" w14:textId="77777777" w:rsidR="00860A37" w:rsidRDefault="00860A37" w:rsidP="00860A37">
      <w:pPr>
        <w:spacing w:line="360" w:lineRule="auto"/>
        <w:ind w:firstLine="720"/>
      </w:pPr>
    </w:p>
    <w:p w14:paraId="7E6D716A" w14:textId="2D446077" w:rsidR="00860A37" w:rsidRDefault="00860A37" w:rsidP="00860A37">
      <w:pPr>
        <w:tabs>
          <w:tab w:val="left" w:pos="-1432"/>
          <w:tab w:val="left" w:pos="-761"/>
          <w:tab w:val="left" w:pos="850"/>
          <w:tab w:val="left" w:pos="3600"/>
        </w:tabs>
        <w:suppressAutoHyphens/>
        <w:spacing w:line="360" w:lineRule="auto"/>
        <w:rPr>
          <w:b/>
          <w:bCs/>
          <w:spacing w:val="-3"/>
        </w:rPr>
      </w:pPr>
      <w:r>
        <w:rPr>
          <w:b/>
          <w:bCs/>
          <w:spacing w:val="-3"/>
        </w:rPr>
        <w:t>10.4</w:t>
      </w:r>
      <w:r w:rsidR="006D3C56">
        <w:rPr>
          <w:b/>
          <w:bCs/>
          <w:spacing w:val="-3"/>
        </w:rPr>
        <w:t>.1</w:t>
      </w:r>
      <w:r>
        <w:rPr>
          <w:b/>
          <w:bCs/>
          <w:spacing w:val="-3"/>
        </w:rPr>
        <w:t xml:space="preserve"> </w:t>
      </w:r>
      <w:r w:rsidR="006D3C56" w:rsidRPr="006D3C56">
        <w:rPr>
          <w:b/>
          <w:bCs/>
          <w:spacing w:val="-3"/>
        </w:rPr>
        <w:t xml:space="preserve">Continuum level models for fluid flow, heat transfer, and </w:t>
      </w:r>
      <w:r w:rsidR="00C15F82">
        <w:rPr>
          <w:b/>
          <w:bCs/>
          <w:spacing w:val="-3"/>
        </w:rPr>
        <w:t>thermomechanical analysis</w:t>
      </w:r>
    </w:p>
    <w:p w14:paraId="5306BFE0" w14:textId="77777777" w:rsidR="00860A37" w:rsidRDefault="00860A37" w:rsidP="003E0F31">
      <w:pPr>
        <w:spacing w:line="360" w:lineRule="auto"/>
        <w:jc w:val="both"/>
      </w:pPr>
    </w:p>
    <w:p w14:paraId="0C4A4671" w14:textId="6F527F81" w:rsidR="006D3C56" w:rsidRDefault="006D3C56" w:rsidP="006D3C56">
      <w:pPr>
        <w:spacing w:line="360" w:lineRule="auto"/>
      </w:pPr>
      <w:r>
        <w:tab/>
        <w:t xml:space="preserve">The melting process is schematically shown in Fig. 10.9. The understanding of the melting and solidification phenomena is important since the desired properties of AM parts (including the occurrence of defects) are dependent on the control of the melting and solidification processes. The laser melts the powders to create a melt pool and a plasma plume results from some evaporation from the surface of the melt pool </w:t>
      </w:r>
      <w:r>
        <w:fldChar w:fldCharType="begin"/>
      </w:r>
      <w:r>
        <w:instrText xml:space="preserve"> ADDIN ZOTERO_ITEM CSL_CITATION {"citationID":"mRpqHtSr","properties":{"formattedCitation":"(B\\uc0\\u228{}uerle 2013)","plainCitation":"(Bäuerle 2013)","noteIndex":0},"citationItems":[{"id":194,"uris":["http://zotero.org/users/9870952/items/NM2FDU9V"],"itemData":{"id":194,"type":"book","abstract":"Laser Processing and Chemistry gives an overview of the fundamentals and applications of laser-matter interactions, in particular with regard to laser material processing. Special attention is given to laser-induced physical and chemical processes at gas-solid, liquid-solid, and solid-solid interfaces. Starting with the background physics, the book proceeds to examine applications of laser techniques in micro-machining, and the patterning, coating, and modification of material surfaces. This third edition has been revised and enlarged to cover new topics such as the synthesis of nanoclusters and nanocrystalline films, ultrashort-pulse laser processing, laser polishing, cleaning, and lithography. Graduate students, physicists, chemists, engineers, and manufacturers alike will find this book an invaluable reference work on laser processing.","ISBN":"978-3-662-04074-4","language":"en","note":"Google-Books-ID: x8ryCAAAQBAJ","number-of-pages":"781","publisher":"Springer Science &amp; Business Media","source":"Google Books","title":"Laser Processing and Chemistry","author":[{"family":"Bäuerle","given":"Dieter"}],"issued":{"date-parts":[["2013",6,29]]}}}],"schema":"https://github.com/citation-style-language/schema/raw/master/csl-citation.json"} </w:instrText>
      </w:r>
      <w:r>
        <w:fldChar w:fldCharType="separate"/>
      </w:r>
      <w:r w:rsidRPr="00826A79">
        <w:rPr>
          <w:rFonts w:cs="Calibri"/>
        </w:rPr>
        <w:t>(Bäuerle 2013)</w:t>
      </w:r>
      <w:r>
        <w:fldChar w:fldCharType="end"/>
      </w:r>
      <w:r>
        <w:t xml:space="preserve">. Subsequent recoil momentum induced by this evaporation process subjects </w:t>
      </w:r>
      <w:r w:rsidR="00604367">
        <w:t xml:space="preserve">the </w:t>
      </w:r>
      <w:r>
        <w:t xml:space="preserve">melt pool to a pressure that results in the formation of a cavity, which is often called keyhole. The high velocity of the plume can result in spatters. The powder underneath is </w:t>
      </w:r>
      <w:r>
        <w:lastRenderedPageBreak/>
        <w:t>exposed to the laser near its track due to the plume flow. The spattering behavior is influenced by the direction of the plume flow.</w:t>
      </w:r>
    </w:p>
    <w:p w14:paraId="129F600D" w14:textId="77777777" w:rsidR="006D3C56" w:rsidRDefault="006D3C56" w:rsidP="003E0F31">
      <w:pPr>
        <w:spacing w:line="360" w:lineRule="auto"/>
      </w:pPr>
    </w:p>
    <w:p w14:paraId="187D1FBD" w14:textId="695BCED2" w:rsidR="006D3C56" w:rsidRDefault="006D3C56" w:rsidP="003E0F31">
      <w:pPr>
        <w:spacing w:line="360" w:lineRule="auto"/>
        <w:ind w:firstLine="720"/>
      </w:pPr>
      <w:r>
        <w:t xml:space="preserve">Marangoni convection occurs in the melt pool due to non-uniform distribution of surface tension along the melt pool surface. The Marangoni convection direction depends on the temperature coefficient of surface tension. A negative value of this coefficient induces an outward flow from the center to the edge of the melt pool, while an inward flow results from the positive value of this coefficient. A wider melt pool results in the former case, while a narrower pool results from the positive values of this coefficient. The interaction of the laser and the powder bed was studied by </w:t>
      </w:r>
      <w:r>
        <w:fldChar w:fldCharType="begin"/>
      </w:r>
      <w:r>
        <w:instrText xml:space="preserve"> ADDIN ZOTERO_ITEM CSL_CITATION {"citationID":"COyhOA7F","properties":{"formattedCitation":"(Matthews et al. 2016)","plainCitation":"(Matthews et al. 2016)","noteIndex":0},"citationItems":[{"id":198,"uris":["http://zotero.org/users/9870952/items/TKFNPC8I"],"itemData":{"id":198,"type":"article-journal","abstract":"Understanding laser interaction with metal powder beds is critical in predicting optimum processing regimes in laser powder bed fusion additive manufacturing of metals. In this work, we study the denudation of metal powders that is observed near the laser scan path as a function of laser parameters and ambient gas pressure. We show that the observed depletion of metal powder particles in the zone immediately surrounding the solidified track is due to a competition between outward metal vapor flux directed away from the laser spot and entrainment of powder particles in a shear flow of gas driven by a metal vapor jet at the melt track. Between atmospheric pressure and </w:instrText>
      </w:r>
      <w:r>
        <w:rPr>
          <w:rFonts w:ascii="Cambria Math" w:hAnsi="Cambria Math" w:cs="Cambria Math"/>
        </w:rPr>
        <w:instrText>∼</w:instrText>
      </w:r>
      <w:r>
        <w:instrText>10</w:instrText>
      </w:r>
      <w:r>
        <w:rPr>
          <w:rFonts w:ascii="Calibri" w:hAnsi="Calibri" w:cs="Calibri"/>
        </w:rPr>
        <w:instrText> </w:instrText>
      </w:r>
      <w:r>
        <w:instrText>Torr of Ar gas, the denuded zone width increases with decreasing ambient gas pressure and is dominated by entrainment from inward gas flow. The denuded zone then decreases from 10 to 2.2</w:instrText>
      </w:r>
      <w:r>
        <w:rPr>
          <w:rFonts w:ascii="Calibri" w:hAnsi="Calibri" w:cs="Calibri"/>
        </w:rPr>
        <w:instrText> </w:instrText>
      </w:r>
      <w:r>
        <w:instrText xml:space="preserve">Torr reaching a minimum before increasing again from 2.2 to 0.5 Torr where metal vapor flux and expansion from the melt pool dominates. The dynamics of the denudation process were captured using high-speed imaging, revealing that the particle movement is a complex interplay among melt pool geometry, metal vapor flow, and ambient gas pressure. The experimental results are rationalized through finite element simulations of the melt track formation and resulting vapor flow patterns. The results presented here represent new insights to denudation and melt track formation that can be important for the prediction and minimization of void defects and surface roughness in additively manufactured metal components.","container-title":"Acta Materialia","DOI":"10.1016/j.actamat.2016.05.017","ISSN":"1359-6454","journalAbbreviation":"Acta Materialia","page":"33-42","source":"ScienceDirect","title":"Denudation of metal powder layers in laser powder bed fusion processes","volume":"114","author":[{"family":"Matthews","given":"Manyalibo J."},{"family":"Guss","given":"Gabe"},{"family":"Khairallah","given":"Saad A."},{"family":"Rubenchik","given":"Alexander M."},{"family":"Depond","given":"Philip J."},{"family":"King","given":"Wayne E."}],"issued":{"date-parts":[["2016",8,1]]}}}],"schema":"https://github.com/citation-style-language/schema/raw/master/csl-citation.json"} </w:instrText>
      </w:r>
      <w:r>
        <w:fldChar w:fldCharType="separate"/>
      </w:r>
      <w:r w:rsidRPr="00826A79">
        <w:rPr>
          <w:rFonts w:cs="Calibri"/>
        </w:rPr>
        <w:t>(Matthews et al. 2016)</w:t>
      </w:r>
      <w:r>
        <w:fldChar w:fldCharType="end"/>
      </w:r>
      <w:r>
        <w:t xml:space="preserve"> and is schematically shown in Fig. 10.10. They studied how gas flow influences the track height and the amount of denudation since these factors ultimately determine the quality of LPBF build parts. They determined that when the Knudsen number (K</w:t>
      </w:r>
      <w:r w:rsidRPr="00C24857">
        <w:rPr>
          <w:vertAlign w:val="subscript"/>
        </w:rPr>
        <w:t>n</w:t>
      </w:r>
      <w:r>
        <w:t xml:space="preserve">) is less than 1 (i.e., at high pressure), powder particles are encapsulated into the melt pool leading to consolidation. </w:t>
      </w:r>
      <w:r w:rsidR="006275C2">
        <w:t xml:space="preserve">Note that the </w:t>
      </w:r>
      <w:r w:rsidR="006275C2" w:rsidRPr="006275C2">
        <w:t>Knudsen number (Kn) is a dimensionless number defined as the ratio of the molecular mean free path length to a</w:t>
      </w:r>
      <w:r w:rsidR="00EC7F46">
        <w:t>n</w:t>
      </w:r>
      <w:r w:rsidR="006275C2" w:rsidRPr="006275C2">
        <w:t xml:space="preserve"> </w:t>
      </w:r>
      <w:r w:rsidR="00EC7F46">
        <w:t>appropriate</w:t>
      </w:r>
      <w:r w:rsidR="006275C2" w:rsidRPr="006275C2">
        <w:t xml:space="preserve"> physical length scale. </w:t>
      </w:r>
      <w:r w:rsidR="00C15F82">
        <w:t>On the other hand, l</w:t>
      </w:r>
      <w:r>
        <w:t>ow pressure</w:t>
      </w:r>
      <w:r w:rsidR="00C15F82">
        <w:t xml:space="preserve"> (</w:t>
      </w:r>
      <w:r>
        <w:t>K</w:t>
      </w:r>
      <w:r w:rsidRPr="00C24857">
        <w:rPr>
          <w:vertAlign w:val="subscript"/>
        </w:rPr>
        <w:t>n</w:t>
      </w:r>
      <w:r>
        <w:t xml:space="preserve"> &gt; 1</w:t>
      </w:r>
      <w:r w:rsidR="00C15F82">
        <w:t>)</w:t>
      </w:r>
      <w:r>
        <w:t xml:space="preserve"> results in metal vapor flux moving the powder particles outward leading to little consolidation of the melt pool.</w:t>
      </w:r>
    </w:p>
    <w:p w14:paraId="082BF788" w14:textId="77777777" w:rsidR="006D3C56" w:rsidRDefault="006D3C56" w:rsidP="003E0F31">
      <w:pPr>
        <w:spacing w:line="360" w:lineRule="auto"/>
      </w:pPr>
    </w:p>
    <w:p w14:paraId="13376277" w14:textId="77777777" w:rsidR="006D3C56" w:rsidRDefault="006D3C56" w:rsidP="003E0F31">
      <w:pPr>
        <w:spacing w:line="360" w:lineRule="auto"/>
        <w:ind w:firstLine="720"/>
      </w:pPr>
      <w:r>
        <w:t>The governing equations for the fluid flow are described below.</w:t>
      </w:r>
    </w:p>
    <w:p w14:paraId="51F13071" w14:textId="77777777" w:rsidR="006D3C56" w:rsidRDefault="006D3C56" w:rsidP="006D3C56"/>
    <w:p w14:paraId="4EC929AD" w14:textId="77777777" w:rsidR="006D3C56" w:rsidRDefault="006D3C56" w:rsidP="003E0F31">
      <w:pPr>
        <w:spacing w:line="360" w:lineRule="auto"/>
        <w:ind w:firstLine="720"/>
      </w:pPr>
      <w:r w:rsidRPr="007F738F">
        <w:rPr>
          <w:b/>
          <w:bCs/>
        </w:rPr>
        <w:t>Continuity equation</w:t>
      </w:r>
      <w:r>
        <w:t>: it describes fluid flow in and out of a system. The differential form of the continuity equation is given as:</w:t>
      </w:r>
    </w:p>
    <w:p w14:paraId="529CAB52" w14:textId="77777777" w:rsidR="006D3C56" w:rsidRDefault="006D3C56" w:rsidP="003E0F31">
      <w:pPr>
        <w:spacing w:line="360" w:lineRule="auto"/>
      </w:pPr>
    </w:p>
    <w:p w14:paraId="16509F67" w14:textId="77777777" w:rsidR="006D3C56" w:rsidRPr="008535A7" w:rsidRDefault="00000000" w:rsidP="006D3C56">
      <m:oMathPara>
        <m:oMath>
          <m:f>
            <m:fPr>
              <m:ctrlPr>
                <w:rPr>
                  <w:rFonts w:ascii="Cambria Math" w:hAnsi="Cambria Math"/>
                  <w:i/>
                </w:rPr>
              </m:ctrlPr>
            </m:fPr>
            <m:num>
              <m:r>
                <w:rPr>
                  <w:rFonts w:ascii="Cambria Math" w:hAnsi="Cambria Math"/>
                </w:rPr>
                <m:t>∂ρ</m:t>
              </m:r>
            </m:num>
            <m:den>
              <m:r>
                <w:rPr>
                  <w:rFonts w:ascii="Cambria Math" w:hAnsi="Cambria Math"/>
                </w:rPr>
                <m:t>∂t</m:t>
              </m:r>
            </m:den>
          </m:f>
          <m:r>
            <w:rPr>
              <w:rFonts w:ascii="Cambria Math" w:hAnsi="Cambria Math"/>
            </w:rPr>
            <m:t>+</m:t>
          </m:r>
          <m:r>
            <m:rPr>
              <m:sty m:val="p"/>
            </m:rPr>
            <w:rPr>
              <w:rFonts w:ascii="Cambria Math" w:hAnsi="Cambria Math"/>
            </w:rPr>
            <m:t>∇</m:t>
          </m:r>
          <m:r>
            <w:rPr>
              <w:rFonts w:ascii="Cambria Math" w:hAnsi="Cambria Math"/>
            </w:rPr>
            <m:t xml:space="preserve"> . </m:t>
          </m:r>
          <m:d>
            <m:dPr>
              <m:ctrlPr>
                <w:rPr>
                  <w:rFonts w:ascii="Cambria Math" w:hAnsi="Cambria Math"/>
                  <w:i/>
                </w:rPr>
              </m:ctrlPr>
            </m:dPr>
            <m:e>
              <m:r>
                <w:rPr>
                  <w:rFonts w:ascii="Cambria Math" w:hAnsi="Cambria Math"/>
                </w:rPr>
                <m:t xml:space="preserve">ρ </m:t>
              </m:r>
              <m:r>
                <m:rPr>
                  <m:sty m:val="bi"/>
                </m:rPr>
                <w:rPr>
                  <w:rFonts w:ascii="Cambria Math" w:hAnsi="Cambria Math"/>
                </w:rPr>
                <m:t>u</m:t>
              </m:r>
            </m:e>
          </m:d>
          <m:r>
            <w:rPr>
              <w:rFonts w:ascii="Cambria Math" w:hAnsi="Cambria Math"/>
            </w:rPr>
            <m:t xml:space="preserve">=0                                                (10.1) </m:t>
          </m:r>
        </m:oMath>
      </m:oMathPara>
    </w:p>
    <w:p w14:paraId="32AE104F" w14:textId="77777777" w:rsidR="006D3C56" w:rsidRDefault="006D3C56" w:rsidP="006D3C56"/>
    <w:p w14:paraId="4FB76E13" w14:textId="77777777" w:rsidR="006D3C56" w:rsidRDefault="006D3C56" w:rsidP="006D3C56"/>
    <w:p w14:paraId="2DFFE5D2" w14:textId="070AEE95" w:rsidR="006D3C56" w:rsidRDefault="006D3C56" w:rsidP="006D3C56">
      <w:pPr>
        <w:spacing w:line="360" w:lineRule="auto"/>
        <w:ind w:firstLine="720"/>
      </w:pPr>
      <w:r>
        <w:t xml:space="preserve">Where, </w:t>
      </w:r>
      <w:r w:rsidRPr="00C255A6">
        <w:rPr>
          <w:i/>
          <w:iCs/>
        </w:rPr>
        <w:sym w:font="Symbol" w:char="F072"/>
      </w:r>
      <w:r>
        <w:t xml:space="preserve"> is the fluid density, </w:t>
      </w:r>
      <w:r w:rsidRPr="00C255A6">
        <w:rPr>
          <w:i/>
          <w:iCs/>
        </w:rPr>
        <w:t>t</w:t>
      </w:r>
      <w:r>
        <w:t xml:space="preserve"> is the time, and </w:t>
      </w:r>
      <w:r w:rsidRPr="00C255A6">
        <w:rPr>
          <w:b/>
          <w:bCs/>
          <w:i/>
          <w:iCs/>
        </w:rPr>
        <w:t>u</w:t>
      </w:r>
      <w:r>
        <w:t xml:space="preserve"> describe fluid velocity vector. The first term </w:t>
      </w:r>
      <w:r w:rsidR="00C90E11">
        <w:t xml:space="preserve">(time derivative of density) </w:t>
      </w:r>
      <w:r>
        <w:t>describes mass loss or accumulation, while the second term</w:t>
      </w:r>
      <w:r w:rsidR="00C90E11">
        <w:t xml:space="preserve"> (divergence term)</w:t>
      </w:r>
      <w:r>
        <w:t xml:space="preserve"> describes flow in and flow out differences in the system. For an incompressible fluid, the first term becomes zero. So, the above equation can be written as:</w:t>
      </w:r>
    </w:p>
    <w:p w14:paraId="52CB668F" w14:textId="77777777" w:rsidR="006D3C56" w:rsidRDefault="006D3C56" w:rsidP="003E0F31">
      <w:pPr>
        <w:spacing w:line="360" w:lineRule="auto"/>
        <w:ind w:firstLine="720"/>
      </w:pPr>
    </w:p>
    <w:p w14:paraId="4D2073FE" w14:textId="77777777" w:rsidR="006D3C56" w:rsidRDefault="006D3C56" w:rsidP="006D3C56">
      <m:oMathPara>
        <m:oMath>
          <m:r>
            <m:rPr>
              <m:sty m:val="p"/>
            </m:rPr>
            <w:rPr>
              <w:rFonts w:ascii="Cambria Math" w:hAnsi="Cambria Math"/>
            </w:rPr>
            <m:t>∇</m:t>
          </m:r>
          <m:r>
            <w:rPr>
              <w:rFonts w:ascii="Cambria Math" w:hAnsi="Cambria Math"/>
            </w:rPr>
            <m:t xml:space="preserve"> . </m:t>
          </m:r>
          <m:r>
            <m:rPr>
              <m:sty m:val="bi"/>
            </m:rPr>
            <w:rPr>
              <w:rFonts w:ascii="Cambria Math" w:hAnsi="Cambria Math"/>
            </w:rPr>
            <m:t>u</m:t>
          </m:r>
          <m:r>
            <w:rPr>
              <w:rFonts w:ascii="Cambria Math" w:hAnsi="Cambria Math"/>
            </w:rPr>
            <m:t>=0                                                                (10.2)</m:t>
          </m:r>
        </m:oMath>
      </m:oMathPara>
    </w:p>
    <w:p w14:paraId="1B1D0668" w14:textId="77777777" w:rsidR="006D3C56" w:rsidRDefault="006D3C56" w:rsidP="006D3C56"/>
    <w:p w14:paraId="710EB4C8" w14:textId="021A3D90" w:rsidR="006D3C56" w:rsidRDefault="006D3C56" w:rsidP="006D3C56">
      <w:pPr>
        <w:spacing w:line="360" w:lineRule="auto"/>
        <w:ind w:firstLine="720"/>
      </w:pPr>
      <w:r>
        <w:t>This means that the</w:t>
      </w:r>
      <w:r w:rsidRPr="004F258A">
        <w:t xml:space="preserve"> mass continuity equation </w:t>
      </w:r>
      <w:r>
        <w:t>can be represented by</w:t>
      </w:r>
      <w:r w:rsidRPr="004F258A">
        <w:t xml:space="preserve"> </w:t>
      </w:r>
      <w:r>
        <w:t>the</w:t>
      </w:r>
      <w:r w:rsidRPr="004F258A">
        <w:t xml:space="preserve"> volume continuity equation</w:t>
      </w:r>
      <w:r>
        <w:t xml:space="preserve"> and </w:t>
      </w:r>
      <w:r w:rsidRPr="00354837">
        <w:t>the divergence of the velocity field is zero everywhere</w:t>
      </w:r>
      <w:r>
        <w:t xml:space="preserve"> in the system. </w:t>
      </w:r>
    </w:p>
    <w:p w14:paraId="0A46BC0E" w14:textId="77777777" w:rsidR="006D3C56" w:rsidRDefault="006D3C56" w:rsidP="003E0F31">
      <w:pPr>
        <w:spacing w:line="360" w:lineRule="auto"/>
        <w:ind w:firstLine="720"/>
      </w:pPr>
    </w:p>
    <w:p w14:paraId="5C3A50DE" w14:textId="0C148DAD" w:rsidR="006D3C56" w:rsidRDefault="006D3C56" w:rsidP="006D3C56">
      <w:pPr>
        <w:spacing w:line="360" w:lineRule="auto"/>
        <w:ind w:firstLine="720"/>
        <w:rPr>
          <w:rFonts w:eastAsiaTheme="minorEastAsia"/>
        </w:rPr>
      </w:pPr>
      <w:r>
        <w:rPr>
          <w:rFonts w:eastAsiaTheme="minorEastAsia"/>
        </w:rPr>
        <w:t xml:space="preserve">However, in a multiphase approach both the metallic liquid phase and the gaseous phase are considered. The interface between these two phases is tracked using a volume of fluid (VOF) approach. The time dependent evolution of </w:t>
      </w:r>
      <w:r w:rsidR="00C15F82">
        <w:rPr>
          <w:rFonts w:eastAsiaTheme="minorEastAsia"/>
        </w:rPr>
        <w:t xml:space="preserve">the </w:t>
      </w:r>
      <w:r>
        <w:rPr>
          <w:rFonts w:eastAsiaTheme="minorEastAsia"/>
        </w:rPr>
        <w:t>solidification of the liquid metal is incorporated using a solid volume fraction. Therefore, volume averaged values of thermophysical properties are considered. The continuity equation (10.1) can then be written as:</w:t>
      </w:r>
    </w:p>
    <w:p w14:paraId="6D54FA82" w14:textId="77777777" w:rsidR="006D3C56" w:rsidRDefault="006D3C56" w:rsidP="003E0F31">
      <w:pPr>
        <w:spacing w:line="360" w:lineRule="auto"/>
        <w:ind w:firstLine="720"/>
        <w:rPr>
          <w:rFonts w:eastAsiaTheme="minorEastAsia"/>
        </w:rPr>
      </w:pPr>
    </w:p>
    <w:p w14:paraId="443D4A5C" w14:textId="77777777" w:rsidR="006D3C56" w:rsidRPr="006D3C56" w:rsidRDefault="00000000" w:rsidP="006D3C56">
      <w:pPr>
        <w:rPr>
          <w:rFonts w:eastAsiaTheme="minorEastAsia"/>
        </w:rPr>
      </w:pPr>
      <m:oMathPara>
        <m:oMath>
          <m:f>
            <m:fPr>
              <m:ctrlPr>
                <w:rPr>
                  <w:rFonts w:ascii="Cambria Math" w:hAnsi="Cambria Math"/>
                  <w:i/>
                </w:rPr>
              </m:ctrlPr>
            </m:fPr>
            <m:num>
              <m:r>
                <w:rPr>
                  <w:rFonts w:ascii="Cambria Math" w:hAnsi="Cambria Math"/>
                </w:rPr>
                <m:t>∂</m:t>
              </m:r>
              <m:sSub>
                <m:sSubPr>
                  <m:ctrlPr>
                    <w:rPr>
                      <w:rFonts w:ascii="Cambria Math" w:hAnsi="Cambria Math"/>
                      <w:i/>
                    </w:rPr>
                  </m:ctrlPr>
                </m:sSubPr>
                <m:e>
                  <m:r>
                    <w:rPr>
                      <w:rFonts w:ascii="Cambria Math" w:hAnsi="Cambria Math"/>
                    </w:rPr>
                    <m:t>α</m:t>
                  </m:r>
                </m:e>
                <m:sub>
                  <m:r>
                    <w:rPr>
                      <w:rFonts w:ascii="Cambria Math" w:hAnsi="Cambria Math"/>
                    </w:rPr>
                    <m:t>m</m:t>
                  </m:r>
                </m:sub>
              </m:sSub>
            </m:num>
            <m:den>
              <m:r>
                <w:rPr>
                  <w:rFonts w:ascii="Cambria Math" w:hAnsi="Cambria Math"/>
                </w:rPr>
                <m:t>∂t</m:t>
              </m:r>
            </m:den>
          </m:f>
          <m:r>
            <w:rPr>
              <w:rFonts w:ascii="Cambria Math" w:hAnsi="Cambria Math"/>
            </w:rPr>
            <m:t>+</m:t>
          </m:r>
          <m:r>
            <m:rPr>
              <m:sty m:val="p"/>
            </m:rPr>
            <w:rPr>
              <w:rFonts w:ascii="Cambria Math" w:hAnsi="Cambria Math"/>
            </w:rPr>
            <m:t>∇</m:t>
          </m:r>
          <m:r>
            <w:rPr>
              <w:rFonts w:ascii="Cambria Math" w:hAnsi="Cambria Math"/>
            </w:rPr>
            <m:t xml:space="preserve"> . </m:t>
          </m:r>
          <m:d>
            <m:dPr>
              <m:ctrlPr>
                <w:rPr>
                  <w:rFonts w:ascii="Cambria Math" w:hAnsi="Cambria Math"/>
                  <w:i/>
                </w:rPr>
              </m:ctrlPr>
            </m:dPr>
            <m:e>
              <m:sSub>
                <m:sSubPr>
                  <m:ctrlPr>
                    <w:rPr>
                      <w:rFonts w:ascii="Cambria Math" w:hAnsi="Cambria Math"/>
                      <w:i/>
                    </w:rPr>
                  </m:ctrlPr>
                </m:sSubPr>
                <m:e>
                  <m:r>
                    <w:rPr>
                      <w:rFonts w:ascii="Cambria Math" w:hAnsi="Cambria Math"/>
                    </w:rPr>
                    <m:t>α</m:t>
                  </m:r>
                </m:e>
                <m:sub>
                  <m:r>
                    <w:rPr>
                      <w:rFonts w:ascii="Cambria Math" w:hAnsi="Cambria Math"/>
                    </w:rPr>
                    <m:t>m</m:t>
                  </m:r>
                </m:sub>
              </m:sSub>
              <m:r>
                <w:rPr>
                  <w:rFonts w:ascii="Cambria Math" w:hAnsi="Cambria Math"/>
                </w:rPr>
                <m:t xml:space="preserve"> </m:t>
              </m:r>
              <m:r>
                <m:rPr>
                  <m:sty m:val="bi"/>
                </m:rPr>
                <w:rPr>
                  <w:rFonts w:ascii="Cambria Math" w:hAnsi="Cambria Math"/>
                </w:rPr>
                <m:t>u</m:t>
              </m:r>
            </m:e>
          </m:d>
          <m:r>
            <w:rPr>
              <w:rFonts w:ascii="Cambria Math" w:hAnsi="Cambria Math"/>
            </w:rPr>
            <m:t>=0                                          (10.3)</m:t>
          </m:r>
        </m:oMath>
      </m:oMathPara>
    </w:p>
    <w:p w14:paraId="66876F81" w14:textId="77777777" w:rsidR="006D3C56" w:rsidRPr="00062AF6" w:rsidRDefault="006D3C56" w:rsidP="006D3C56">
      <w:pPr>
        <w:rPr>
          <w:rFonts w:eastAsiaTheme="minorEastAsia"/>
        </w:rPr>
      </w:pPr>
    </w:p>
    <w:p w14:paraId="7E5A92F8" w14:textId="77777777" w:rsidR="006D3C56" w:rsidRPr="006D3C56" w:rsidRDefault="006D3C56" w:rsidP="006D3C56">
      <w:pPr>
        <w:rPr>
          <w:rFonts w:eastAsiaTheme="minorEastAsia"/>
        </w:rPr>
      </w:pPr>
      <m:oMathPara>
        <m:oMath>
          <m:r>
            <w:rPr>
              <w:rFonts w:ascii="Cambria Math" w:eastAsiaTheme="minorEastAsia" w:hAnsi="Cambria Math"/>
              <w:i/>
              <w:iCs/>
            </w:rPr>
            <w:sym w:font="Symbol" w:char="F066"/>
          </m:r>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α</m:t>
              </m:r>
            </m:e>
            <m:sub>
              <m:r>
                <w:rPr>
                  <w:rFonts w:ascii="Cambria Math" w:eastAsiaTheme="minorEastAsia" w:hAnsi="Cambria Math"/>
                </w:rPr>
                <m:t>m</m:t>
              </m:r>
            </m:sub>
          </m:sSub>
          <m:sSub>
            <m:sSubPr>
              <m:ctrlPr>
                <w:rPr>
                  <w:rFonts w:ascii="Cambria Math" w:eastAsiaTheme="minorEastAsia" w:hAnsi="Cambria Math"/>
                  <w:iCs/>
                </w:rPr>
              </m:ctrlPr>
            </m:sSubPr>
            <m:e>
              <m:r>
                <w:rPr>
                  <w:rFonts w:ascii="Cambria Math" w:eastAsiaTheme="minorEastAsia" w:hAnsi="Cambria Math"/>
                  <w:i/>
                </w:rPr>
                <w:sym w:font="Symbol" w:char="F066"/>
              </m:r>
            </m:e>
            <m:sub>
              <m:r>
                <m:rPr>
                  <m:sty m:val="p"/>
                </m:rPr>
                <w:rPr>
                  <w:rFonts w:ascii="Cambria Math" w:eastAsiaTheme="minorEastAsia" w:hAnsi="Cambria Math"/>
                </w:rPr>
                <m:t>m</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α</m:t>
              </m:r>
            </m:e>
            <m:sub>
              <m:r>
                <w:rPr>
                  <w:rFonts w:ascii="Cambria Math" w:eastAsiaTheme="minorEastAsia" w:hAnsi="Cambria Math"/>
                </w:rPr>
                <m:t>gas</m:t>
              </m:r>
            </m:sub>
          </m:sSub>
          <m:sSub>
            <m:sSubPr>
              <m:ctrlPr>
                <w:rPr>
                  <w:rFonts w:ascii="Cambria Math" w:eastAsiaTheme="minorEastAsia" w:hAnsi="Cambria Math"/>
                  <w:i/>
                </w:rPr>
              </m:ctrlPr>
            </m:sSubPr>
            <m:e>
              <m:r>
                <w:rPr>
                  <w:rFonts w:ascii="Cambria Math" w:eastAsiaTheme="minorEastAsia" w:hAnsi="Cambria Math"/>
                  <w:i/>
                  <w:iCs/>
                </w:rPr>
                <w:sym w:font="Symbol" w:char="F066"/>
              </m:r>
            </m:e>
            <m:sub>
              <m:r>
                <w:rPr>
                  <w:rFonts w:ascii="Cambria Math" w:eastAsiaTheme="minorEastAsia" w:hAnsi="Cambria Math"/>
                </w:rPr>
                <m:t>gas</m:t>
              </m:r>
            </m:sub>
          </m:sSub>
          <m:r>
            <w:rPr>
              <w:rFonts w:ascii="Cambria Math" w:eastAsiaTheme="minorEastAsia" w:hAnsi="Cambria Math"/>
            </w:rPr>
            <m:t xml:space="preserve">                                         (10.4)</m:t>
          </m:r>
        </m:oMath>
      </m:oMathPara>
    </w:p>
    <w:p w14:paraId="55D448D1" w14:textId="77777777" w:rsidR="006D3C56" w:rsidRDefault="006D3C56" w:rsidP="006D3C56">
      <w:pPr>
        <w:rPr>
          <w:rFonts w:eastAsiaTheme="minorEastAsia"/>
        </w:rPr>
      </w:pPr>
    </w:p>
    <w:p w14:paraId="4D76C5E1" w14:textId="77777777" w:rsidR="006D3C56" w:rsidRDefault="006D3C56" w:rsidP="006D3C56">
      <w:pPr>
        <w:rPr>
          <w:rFonts w:eastAsiaTheme="minorEastAsia"/>
        </w:rPr>
      </w:pPr>
    </w:p>
    <w:p w14:paraId="58C71026" w14:textId="77777777" w:rsidR="006D3C56" w:rsidRDefault="006D3C56" w:rsidP="003E0F31">
      <w:pPr>
        <w:spacing w:line="360" w:lineRule="auto"/>
        <w:ind w:firstLine="720"/>
        <w:rPr>
          <w:rFonts w:eastAsiaTheme="minorEastAsia"/>
        </w:rPr>
      </w:pPr>
      <w:r>
        <w:rPr>
          <w:rFonts w:eastAsiaTheme="minorEastAsia"/>
        </w:rPr>
        <w:t xml:space="preserve">Here, </w:t>
      </w:r>
      <w:r w:rsidRPr="001B068D">
        <w:rPr>
          <w:rFonts w:eastAsiaTheme="minorEastAsia"/>
          <w:i/>
          <w:iCs/>
        </w:rPr>
        <w:sym w:font="Symbol" w:char="F061"/>
      </w:r>
      <w:r>
        <w:rPr>
          <w:rFonts w:eastAsiaTheme="minorEastAsia"/>
        </w:rPr>
        <w:t xml:space="preserve"> is the liquid metal volume fraction and </w:t>
      </w:r>
      <w:r w:rsidRPr="001B068D">
        <w:rPr>
          <w:rFonts w:eastAsiaTheme="minorEastAsia"/>
          <w:i/>
          <w:iCs/>
        </w:rPr>
        <w:sym w:font="Symbol" w:char="F066"/>
      </w:r>
      <w:r>
        <w:rPr>
          <w:rFonts w:eastAsiaTheme="minorEastAsia"/>
        </w:rPr>
        <w:t xml:space="preserve"> represents a thermophysical property. The subscripts m and gas represent the metal and gas phases respectively. The gas phase that gets trapped within the liquid melt becomes porosity or void. However, most models do not take into account the formation of gas bubbles from within the liquid melt pool in terms of gas porosity.</w:t>
      </w:r>
    </w:p>
    <w:p w14:paraId="73C53558" w14:textId="1435388C" w:rsidR="006D3C56" w:rsidRDefault="006D3C56" w:rsidP="003E0F31">
      <w:pPr>
        <w:ind w:firstLine="720"/>
        <w:rPr>
          <w:rFonts w:eastAsiaTheme="minorEastAsia"/>
        </w:rPr>
      </w:pPr>
      <w:r>
        <w:rPr>
          <w:rFonts w:eastAsiaTheme="minorEastAsia"/>
        </w:rPr>
        <w:t xml:space="preserve"> </w:t>
      </w:r>
    </w:p>
    <w:p w14:paraId="6F9C578B" w14:textId="77777777" w:rsidR="006D3C56" w:rsidRDefault="006D3C56" w:rsidP="003E0F31">
      <w:pPr>
        <w:spacing w:line="360" w:lineRule="auto"/>
        <w:ind w:firstLine="720"/>
      </w:pPr>
      <w:r w:rsidRPr="007F738F">
        <w:rPr>
          <w:b/>
          <w:bCs/>
        </w:rPr>
        <w:t>Momentum conservation</w:t>
      </w:r>
      <w:r>
        <w:t>: The general convective form of the Cauchy momentum conservation equation can be written as:</w:t>
      </w:r>
    </w:p>
    <w:p w14:paraId="149FC238" w14:textId="77777777" w:rsidR="006D3C56" w:rsidRDefault="006D3C56" w:rsidP="003E0F31">
      <w:pPr>
        <w:spacing w:line="360" w:lineRule="auto"/>
      </w:pPr>
    </w:p>
    <w:p w14:paraId="5BD762F6" w14:textId="77777777" w:rsidR="006D3C56" w:rsidRDefault="006D3C56" w:rsidP="006D3C56">
      <w:pPr>
        <w:ind w:firstLine="720"/>
      </w:pPr>
      <m:oMathPara>
        <m:oMath>
          <m:r>
            <w:rPr>
              <w:rFonts w:ascii="Cambria Math" w:hAnsi="Cambria Math"/>
            </w:rPr>
            <m:t>ρ</m:t>
          </m:r>
          <m:f>
            <m:fPr>
              <m:ctrlPr>
                <w:rPr>
                  <w:rFonts w:ascii="Cambria Math" w:hAnsi="Cambria Math"/>
                  <w:i/>
                </w:rPr>
              </m:ctrlPr>
            </m:fPr>
            <m:num>
              <m:r>
                <w:rPr>
                  <w:rFonts w:ascii="Cambria Math" w:hAnsi="Cambria Math"/>
                </w:rPr>
                <m:t>D</m:t>
              </m:r>
              <m:r>
                <m:rPr>
                  <m:sty m:val="bi"/>
                </m:rPr>
                <w:rPr>
                  <w:rFonts w:ascii="Cambria Math" w:hAnsi="Cambria Math"/>
                </w:rPr>
                <m:t>u</m:t>
              </m:r>
            </m:num>
            <m:den>
              <m:r>
                <w:rPr>
                  <w:rFonts w:ascii="Cambria Math" w:hAnsi="Cambria Math"/>
                </w:rPr>
                <m:t>Dt</m:t>
              </m:r>
            </m:den>
          </m:f>
          <m:r>
            <w:rPr>
              <w:rFonts w:ascii="Cambria Math" w:hAnsi="Cambria Math"/>
            </w:rPr>
            <m:t>= -</m:t>
          </m:r>
          <m:r>
            <m:rPr>
              <m:sty m:val="p"/>
            </m:rPr>
            <w:rPr>
              <w:rFonts w:ascii="Cambria Math" w:hAnsi="Cambria Math"/>
            </w:rPr>
            <m:t>∇</m:t>
          </m:r>
          <m:r>
            <w:rPr>
              <w:rFonts w:ascii="Cambria Math" w:hAnsi="Cambria Math"/>
            </w:rPr>
            <m:t xml:space="preserve">p+ </m:t>
          </m:r>
          <m:r>
            <m:rPr>
              <m:sty m:val="p"/>
            </m:rPr>
            <w:rPr>
              <w:rFonts w:ascii="Cambria Math" w:hAnsi="Cambria Math"/>
            </w:rPr>
            <m:t>∇</m:t>
          </m:r>
          <m:r>
            <w:rPr>
              <w:rFonts w:ascii="Cambria Math" w:hAnsi="Cambria Math"/>
            </w:rPr>
            <m:t xml:space="preserve"> . τ+ ρ</m:t>
          </m:r>
          <m:r>
            <m:rPr>
              <m:sty m:val="bi"/>
            </m:rPr>
            <w:rPr>
              <w:rFonts w:ascii="Cambria Math" w:hAnsi="Cambria Math"/>
            </w:rPr>
            <m:t xml:space="preserve"> g                              </m:t>
          </m:r>
          <m:r>
            <w:rPr>
              <w:rFonts w:ascii="Cambria Math" w:hAnsi="Cambria Math"/>
            </w:rPr>
            <m:t>(10.5)</m:t>
          </m:r>
        </m:oMath>
      </m:oMathPara>
    </w:p>
    <w:p w14:paraId="01F6BA3C" w14:textId="77777777" w:rsidR="006D3C56" w:rsidRDefault="006D3C56" w:rsidP="006D3C56"/>
    <w:p w14:paraId="70FC4DC2" w14:textId="0856B8A8" w:rsidR="006D3C56" w:rsidRDefault="006D3C56" w:rsidP="003E0F31">
      <w:pPr>
        <w:spacing w:line="360" w:lineRule="auto"/>
        <w:ind w:firstLine="720"/>
        <w:rPr>
          <w:rFonts w:eastAsiaTheme="minorEastAsia"/>
        </w:rPr>
      </w:pPr>
      <w:r>
        <w:t xml:space="preserve">Where, </w:t>
      </w:r>
      <m:oMath>
        <m:f>
          <m:fPr>
            <m:ctrlPr>
              <w:rPr>
                <w:rFonts w:ascii="Cambria Math" w:hAnsi="Cambria Math"/>
                <w:i/>
              </w:rPr>
            </m:ctrlPr>
          </m:fPr>
          <m:num>
            <m:r>
              <w:rPr>
                <w:rFonts w:ascii="Cambria Math" w:hAnsi="Cambria Math"/>
              </w:rPr>
              <m:t>D</m:t>
            </m:r>
          </m:num>
          <m:den>
            <m:r>
              <w:rPr>
                <w:rFonts w:ascii="Cambria Math" w:hAnsi="Cambria Math"/>
              </w:rPr>
              <m:t>Dt</m:t>
            </m:r>
          </m:den>
        </m:f>
      </m:oMath>
      <w:r>
        <w:rPr>
          <w:rFonts w:eastAsiaTheme="minorEastAsia"/>
        </w:rPr>
        <w:t xml:space="preserve"> is the material derivative, </w:t>
      </w:r>
      <w:r w:rsidRPr="00022286">
        <w:rPr>
          <w:rFonts w:eastAsiaTheme="minorEastAsia"/>
          <w:i/>
          <w:iCs/>
        </w:rPr>
        <w:sym w:font="Symbol" w:char="F072"/>
      </w:r>
      <w:r>
        <w:rPr>
          <w:rFonts w:eastAsiaTheme="minorEastAsia"/>
        </w:rPr>
        <w:t xml:space="preserve"> is the density, </w:t>
      </w:r>
      <w:r w:rsidRPr="00B22A2B">
        <w:rPr>
          <w:rFonts w:eastAsiaTheme="minorEastAsia"/>
          <w:b/>
          <w:bCs/>
          <w:i/>
          <w:iCs/>
        </w:rPr>
        <w:t>u</w:t>
      </w:r>
      <w:r>
        <w:rPr>
          <w:rFonts w:eastAsiaTheme="minorEastAsia"/>
        </w:rPr>
        <w:t xml:space="preserve"> is the velocity vector, </w:t>
      </w:r>
      <w:r w:rsidRPr="004C5513">
        <w:rPr>
          <w:rFonts w:eastAsiaTheme="minorEastAsia"/>
          <w:i/>
          <w:iCs/>
        </w:rPr>
        <w:sym w:font="Symbol" w:char="F0D1"/>
      </w:r>
      <w:r w:rsidRPr="004C5513">
        <w:rPr>
          <w:rFonts w:eastAsiaTheme="minorEastAsia"/>
          <w:i/>
          <w:iCs/>
        </w:rPr>
        <w:t xml:space="preserve"> .</w:t>
      </w:r>
      <w:r>
        <w:rPr>
          <w:rFonts w:eastAsiaTheme="minorEastAsia"/>
        </w:rPr>
        <w:t xml:space="preserve"> is the divergence, </w:t>
      </w:r>
      <w:r w:rsidRPr="00D366EB">
        <w:rPr>
          <w:rFonts w:eastAsiaTheme="minorEastAsia"/>
          <w:i/>
          <w:iCs/>
        </w:rPr>
        <w:t xml:space="preserve">p </w:t>
      </w:r>
      <w:r>
        <w:rPr>
          <w:rFonts w:eastAsiaTheme="minorEastAsia"/>
        </w:rPr>
        <w:t xml:space="preserve">is the pressure, </w:t>
      </w:r>
      <w:r w:rsidRPr="004C5513">
        <w:rPr>
          <w:rFonts w:eastAsiaTheme="minorEastAsia"/>
          <w:i/>
          <w:iCs/>
        </w:rPr>
        <w:sym w:font="Symbol" w:char="F074"/>
      </w:r>
      <w:r w:rsidRPr="004C5513">
        <w:rPr>
          <w:rFonts w:eastAsiaTheme="minorEastAsia"/>
          <w:i/>
          <w:iCs/>
        </w:rPr>
        <w:t xml:space="preserve"> </w:t>
      </w:r>
      <w:r>
        <w:rPr>
          <w:rFonts w:eastAsiaTheme="minorEastAsia"/>
        </w:rPr>
        <w:t xml:space="preserve">is the deviatoric stress tensor, </w:t>
      </w:r>
      <w:r w:rsidRPr="004C5513">
        <w:rPr>
          <w:rFonts w:eastAsiaTheme="minorEastAsia"/>
          <w:i/>
          <w:iCs/>
        </w:rPr>
        <w:t>g</w:t>
      </w:r>
      <w:r>
        <w:rPr>
          <w:rFonts w:eastAsiaTheme="minorEastAsia"/>
        </w:rPr>
        <w:t xml:space="preserve"> is the body acceleration often due to gravity and other forces.</w:t>
      </w:r>
    </w:p>
    <w:p w14:paraId="1A3FF5E1" w14:textId="39DA38A3" w:rsidR="006D3C56" w:rsidRDefault="006D3C56" w:rsidP="006D3C56">
      <w:pPr>
        <w:spacing w:line="360" w:lineRule="auto"/>
        <w:ind w:firstLine="720"/>
        <w:rPr>
          <w:rFonts w:eastAsiaTheme="minorEastAsia"/>
        </w:rPr>
      </w:pPr>
      <w:r>
        <w:rPr>
          <w:rFonts w:eastAsiaTheme="minorEastAsia"/>
        </w:rPr>
        <w:lastRenderedPageBreak/>
        <w:t xml:space="preserve">In the LPBF AM process, the </w:t>
      </w:r>
      <w:r w:rsidR="00C90E11">
        <w:rPr>
          <w:rFonts w:eastAsiaTheme="minorEastAsia"/>
        </w:rPr>
        <w:t xml:space="preserve">above </w:t>
      </w:r>
      <w:r>
        <w:rPr>
          <w:rFonts w:eastAsiaTheme="minorEastAsia"/>
        </w:rPr>
        <w:t>momentum equation can be written in the following form, which can address the smearing of the melted powder particles and the convection that results in the melt pool:</w:t>
      </w:r>
    </w:p>
    <w:p w14:paraId="2E5A296C" w14:textId="77777777" w:rsidR="006D3C56" w:rsidRDefault="006D3C56" w:rsidP="003E0F31">
      <w:pPr>
        <w:spacing w:line="360" w:lineRule="auto"/>
        <w:ind w:firstLine="720"/>
        <w:rPr>
          <w:rFonts w:eastAsiaTheme="minorEastAsia"/>
        </w:rPr>
      </w:pPr>
    </w:p>
    <w:p w14:paraId="22C86985" w14:textId="43B866AC" w:rsidR="006D3C56" w:rsidRPr="006D3C56" w:rsidRDefault="006D3C56" w:rsidP="006D3C56">
      <w:pPr>
        <w:rPr>
          <w:rFonts w:eastAsiaTheme="minorEastAsia"/>
        </w:rPr>
      </w:pPr>
      <m:oMathPara>
        <m:oMath>
          <m:r>
            <w:rPr>
              <w:rFonts w:ascii="Cambria Math" w:eastAsiaTheme="minorEastAsia" w:hAnsi="Cambria Math"/>
            </w:rPr>
            <m:t>ρ</m:t>
          </m:r>
          <m:f>
            <m:fPr>
              <m:ctrlPr>
                <w:rPr>
                  <w:rFonts w:ascii="Cambria Math" w:eastAsiaTheme="minorEastAsia" w:hAnsi="Cambria Math"/>
                  <w:i/>
                  <w:iCs/>
                </w:rPr>
              </m:ctrlPr>
            </m:fPr>
            <m:num>
              <m:r>
                <w:rPr>
                  <w:rFonts w:ascii="Cambria Math" w:eastAsiaTheme="minorEastAsia" w:hAnsi="Cambria Math"/>
                </w:rPr>
                <m:t>∂</m:t>
              </m:r>
              <m:r>
                <m:rPr>
                  <m:sty m:val="bi"/>
                </m:rPr>
                <w:rPr>
                  <w:rFonts w:ascii="Cambria Math" w:eastAsiaTheme="minorEastAsia" w:hAnsi="Cambria Math"/>
                </w:rPr>
                <m:t>u</m:t>
              </m:r>
            </m:num>
            <m:den>
              <m:r>
                <w:rPr>
                  <w:rFonts w:ascii="Cambria Math" w:eastAsiaTheme="minorEastAsia" w:hAnsi="Cambria Math"/>
                </w:rPr>
                <m:t>∂t</m:t>
              </m:r>
            </m:den>
          </m:f>
          <m:r>
            <w:rPr>
              <w:rFonts w:ascii="Cambria Math" w:eastAsiaTheme="minorEastAsia" w:hAnsi="Cambria Math"/>
            </w:rPr>
            <m:t>+ </m:t>
          </m:r>
          <m:r>
            <m:rPr>
              <m:sty m:val="p"/>
            </m:rPr>
            <w:rPr>
              <w:rFonts w:ascii="Cambria Math" w:eastAsiaTheme="minorEastAsia" w:hAnsi="Cambria Math"/>
            </w:rPr>
            <m:t>∇</m:t>
          </m:r>
          <m:r>
            <w:rPr>
              <w:rFonts w:ascii="Cambria Math" w:eastAsiaTheme="minorEastAsia" w:hAnsi="Cambria Math"/>
            </w:rPr>
            <m:t>.</m:t>
          </m:r>
          <m:d>
            <m:dPr>
              <m:ctrlPr>
                <w:rPr>
                  <w:rFonts w:ascii="Cambria Math" w:eastAsiaTheme="minorEastAsia" w:hAnsi="Cambria Math"/>
                  <w:i/>
                  <w:iCs/>
                </w:rPr>
              </m:ctrlPr>
            </m:dPr>
            <m:e>
              <m:r>
                <m:rPr>
                  <m:sty m:val="bi"/>
                </m:rPr>
                <w:rPr>
                  <w:rFonts w:ascii="Cambria Math" w:eastAsiaTheme="minorEastAsia" w:hAnsi="Cambria Math"/>
                </w:rPr>
                <m:t>ρuu</m:t>
              </m:r>
            </m:e>
          </m:d>
          <m:r>
            <m:rPr>
              <m:sty m:val="bi"/>
            </m:rPr>
            <w:rPr>
              <w:rFonts w:ascii="Cambria Math" w:eastAsiaTheme="minorEastAsia" w:hAnsi="Cambria Math"/>
            </w:rPr>
            <m:t>=</m:t>
          </m:r>
          <m:r>
            <m:rPr>
              <m:sty m:val="p"/>
            </m:rPr>
            <w:rPr>
              <w:rFonts w:ascii="Cambria Math" w:eastAsiaTheme="minorEastAsia" w:hAnsi="Cambria Math"/>
            </w:rPr>
            <m:t>∇</m:t>
          </m:r>
          <m:r>
            <w:rPr>
              <w:rFonts w:ascii="Cambria Math" w:eastAsiaTheme="minorEastAsia" w:hAnsi="Cambria Math"/>
            </w:rPr>
            <m:t>p+σ </m:t>
          </m:r>
          <m:sSub>
            <m:sSubPr>
              <m:ctrlPr>
                <w:rPr>
                  <w:rFonts w:ascii="Cambria Math" w:eastAsiaTheme="minorEastAsia" w:hAnsi="Cambria Math"/>
                  <w:i/>
                </w:rPr>
              </m:ctrlPr>
            </m:sSubPr>
            <m:e>
              <m:r>
                <w:rPr>
                  <w:rFonts w:ascii="Cambria Math" w:eastAsiaTheme="minorEastAsia" w:hAnsi="Cambria Math"/>
                </w:rPr>
                <m:t>k</m:t>
              </m:r>
            </m:e>
            <m:sub>
              <m:r>
                <w:rPr>
                  <w:rFonts w:ascii="Cambria Math" w:eastAsiaTheme="minorEastAsia" w:hAnsi="Cambria Math"/>
                </w:rPr>
                <m:t>1</m:t>
              </m:r>
            </m:sub>
          </m:sSub>
          <m:r>
            <w:rPr>
              <w:rFonts w:ascii="Cambria Math" w:eastAsiaTheme="minorEastAsia" w:hAnsi="Cambria Math"/>
            </w:rPr>
            <m:t> </m:t>
          </m:r>
          <m:r>
            <m:rPr>
              <m:sty m:val="p"/>
            </m:rPr>
            <w:rPr>
              <w:rFonts w:ascii="Cambria Math" w:eastAsiaTheme="minorEastAsia" w:hAnsi="Cambria Math"/>
            </w:rPr>
            <m:t>∇α</m:t>
          </m:r>
          <m:r>
            <w:rPr>
              <w:rFonts w:ascii="Cambria Math" w:eastAsiaTheme="minorEastAsia" w:hAnsi="Cambria Math"/>
            </w:rPr>
            <m:t>+</m:t>
          </m:r>
          <m:d>
            <m:dPr>
              <m:ctrlPr>
                <w:rPr>
                  <w:rFonts w:ascii="Cambria Math" w:eastAsiaTheme="minorEastAsia" w:hAnsi="Cambria Math"/>
                  <w:i/>
                  <w:iCs/>
                </w:rPr>
              </m:ctrlPr>
            </m:dPr>
            <m:e>
              <m:r>
                <w:rPr>
                  <w:rFonts w:ascii="Cambria Math" w:eastAsiaTheme="minorEastAsia" w:hAnsi="Cambria Math"/>
                </w:rPr>
                <m:t>1-</m:t>
              </m:r>
              <m:sSub>
                <m:sSubPr>
                  <m:ctrlPr>
                    <w:rPr>
                      <w:rFonts w:ascii="Cambria Math" w:eastAsiaTheme="minorEastAsia" w:hAnsi="Cambria Math"/>
                      <w:i/>
                      <w:iCs/>
                    </w:rPr>
                  </m:ctrlPr>
                </m:sSubPr>
                <m:e>
                  <m:r>
                    <w:rPr>
                      <w:rFonts w:ascii="Cambria Math" w:eastAsiaTheme="minorEastAsia" w:hAnsi="Cambria Math"/>
                    </w:rPr>
                    <m:t>f</m:t>
                  </m:r>
                </m:e>
                <m:sub>
                  <m:r>
                    <w:rPr>
                      <w:rFonts w:ascii="Cambria Math" w:eastAsiaTheme="minorEastAsia" w:hAnsi="Cambria Math"/>
                    </w:rPr>
                    <m:t>s</m:t>
                  </m:r>
                </m:sub>
              </m:sSub>
            </m:e>
          </m:d>
          <m:sSub>
            <m:sSubPr>
              <m:ctrlPr>
                <w:rPr>
                  <w:rFonts w:ascii="Cambria Math" w:eastAsiaTheme="minorEastAsia" w:hAnsi="Cambria Math"/>
                  <w:i/>
                  <w:iCs/>
                </w:rPr>
              </m:ctrlPr>
            </m:sSubPr>
            <m:e>
              <m:r>
                <w:rPr>
                  <w:rFonts w:ascii="Cambria Math" w:eastAsiaTheme="minorEastAsia" w:hAnsi="Cambria Math"/>
                </w:rPr>
                <m:t>F</m:t>
              </m:r>
            </m:e>
            <m:sub>
              <m:r>
                <w:rPr>
                  <w:rFonts w:ascii="Cambria Math" w:eastAsiaTheme="minorEastAsia" w:hAnsi="Cambria Math"/>
                </w:rPr>
                <m:t>b</m:t>
              </m:r>
            </m:sub>
          </m:sSub>
          <m:r>
            <w:rPr>
              <w:rFonts w:ascii="Cambria Math" w:eastAsiaTheme="minorEastAsia" w:hAnsi="Cambria Math"/>
            </w:rPr>
            <m:t>+</m:t>
          </m:r>
          <m:sSub>
            <m:sSubPr>
              <m:ctrlPr>
                <w:rPr>
                  <w:rFonts w:ascii="Cambria Math" w:eastAsiaTheme="minorEastAsia" w:hAnsi="Cambria Math"/>
                  <w:i/>
                  <w:iCs/>
                </w:rPr>
              </m:ctrlPr>
            </m:sSubPr>
            <m:e>
              <m:r>
                <w:rPr>
                  <w:rFonts w:ascii="Cambria Math" w:eastAsiaTheme="minorEastAsia" w:hAnsi="Cambria Math"/>
                </w:rPr>
                <m:t>F</m:t>
              </m:r>
            </m:e>
            <m:sub>
              <m:r>
                <w:rPr>
                  <w:rFonts w:ascii="Cambria Math" w:eastAsiaTheme="minorEastAsia" w:hAnsi="Cambria Math"/>
                </w:rPr>
                <m:t>damp</m:t>
              </m:r>
            </m:sub>
          </m:sSub>
          <m:r>
            <w:rPr>
              <w:rFonts w:ascii="Cambria Math" w:eastAsiaTheme="minorEastAsia" w:hAnsi="Cambria Math"/>
            </w:rPr>
            <m:t>+</m:t>
          </m:r>
          <m:sSub>
            <m:sSubPr>
              <m:ctrlPr>
                <w:rPr>
                  <w:rFonts w:ascii="Cambria Math" w:eastAsiaTheme="minorEastAsia" w:hAnsi="Cambria Math"/>
                  <w:i/>
                  <w:iCs/>
                </w:rPr>
              </m:ctrlPr>
            </m:sSubPr>
            <m:e>
              <m:r>
                <w:rPr>
                  <w:rFonts w:ascii="Cambria Math" w:eastAsiaTheme="minorEastAsia" w:hAnsi="Cambria Math"/>
                </w:rPr>
                <m:t>P</m:t>
              </m:r>
            </m:e>
            <m:sub>
              <m:r>
                <w:rPr>
                  <w:rFonts w:ascii="Cambria Math" w:eastAsiaTheme="minorEastAsia" w:hAnsi="Cambria Math"/>
                </w:rPr>
                <m:t>recoil</m:t>
              </m:r>
            </m:sub>
          </m:sSub>
          <m:r>
            <w:rPr>
              <w:rFonts w:ascii="Cambria Math" w:eastAsiaTheme="minorEastAsia" w:hAnsi="Cambria Math"/>
            </w:rPr>
            <m:t xml:space="preserve">      (10.6)</m:t>
          </m:r>
        </m:oMath>
      </m:oMathPara>
    </w:p>
    <w:p w14:paraId="44F2923E" w14:textId="77777777" w:rsidR="006D3C56" w:rsidRPr="00E671AB" w:rsidRDefault="006D3C56" w:rsidP="006D3C56">
      <w:pPr>
        <w:rPr>
          <w:rFonts w:eastAsiaTheme="minorEastAsia"/>
          <w:iCs/>
        </w:rPr>
      </w:pPr>
    </w:p>
    <w:p w14:paraId="7D84D04E" w14:textId="245EA261" w:rsidR="006D3C56" w:rsidRDefault="00C15F82" w:rsidP="003E0F31">
      <w:pPr>
        <w:spacing w:line="360" w:lineRule="auto"/>
        <w:ind w:firstLine="720"/>
        <w:rPr>
          <w:rFonts w:eastAsiaTheme="minorEastAsia"/>
        </w:rPr>
      </w:pPr>
      <w:r>
        <w:rPr>
          <w:rFonts w:eastAsiaTheme="minorEastAsia"/>
        </w:rPr>
        <w:t xml:space="preserve">Where </w:t>
      </w:r>
      <w:r w:rsidRPr="001B068D">
        <w:rPr>
          <w:rFonts w:eastAsiaTheme="minorEastAsia"/>
          <w:i/>
          <w:iCs/>
        </w:rPr>
        <w:t>f</w:t>
      </w:r>
      <w:r w:rsidRPr="001B068D">
        <w:rPr>
          <w:rFonts w:eastAsiaTheme="minorEastAsia"/>
          <w:i/>
          <w:iCs/>
          <w:vertAlign w:val="subscript"/>
        </w:rPr>
        <w:t>s</w:t>
      </w:r>
      <w:r>
        <w:rPr>
          <w:rFonts w:eastAsiaTheme="minorEastAsia"/>
        </w:rPr>
        <w:t xml:space="preserve"> is the solid volume fraction, </w:t>
      </w:r>
      <w:r w:rsidRPr="001B068D">
        <w:rPr>
          <w:rFonts w:eastAsiaTheme="minorEastAsia"/>
          <w:i/>
          <w:iCs/>
        </w:rPr>
        <w:sym w:font="Symbol" w:char="F073"/>
      </w:r>
      <w:r>
        <w:rPr>
          <w:rFonts w:eastAsiaTheme="minorEastAsia"/>
        </w:rPr>
        <w:t xml:space="preserve"> is the surface tension coefficient, </w:t>
      </w:r>
      <m:oMath>
        <m:sSub>
          <m:sSubPr>
            <m:ctrlPr>
              <w:rPr>
                <w:rFonts w:ascii="Cambria Math" w:eastAsiaTheme="minorEastAsia" w:hAnsi="Cambria Math"/>
                <w:i/>
              </w:rPr>
            </m:ctrlPr>
          </m:sSubPr>
          <m:e>
            <m:r>
              <w:rPr>
                <w:rFonts w:ascii="Cambria Math" w:eastAsiaTheme="minorEastAsia" w:hAnsi="Cambria Math"/>
              </w:rPr>
              <m:t>k</m:t>
            </m:r>
          </m:e>
          <m:sub>
            <m:r>
              <w:rPr>
                <w:rFonts w:ascii="Cambria Math" w:eastAsiaTheme="minorEastAsia" w:hAnsi="Cambria Math"/>
              </w:rPr>
              <m:t>1</m:t>
            </m:r>
          </m:sub>
        </m:sSub>
      </m:oMath>
      <w:r>
        <w:rPr>
          <w:rFonts w:eastAsiaTheme="minorEastAsia"/>
        </w:rPr>
        <w:t xml:space="preserve"> is the curvature of the gas/metal interface, </w:t>
      </w:r>
      <w:r w:rsidRPr="001B068D">
        <w:rPr>
          <w:rFonts w:eastAsiaTheme="minorEastAsia"/>
          <w:i/>
          <w:iCs/>
        </w:rPr>
        <w:t>F</w:t>
      </w:r>
      <w:r w:rsidRPr="001B068D">
        <w:rPr>
          <w:rFonts w:eastAsiaTheme="minorEastAsia"/>
          <w:i/>
          <w:iCs/>
          <w:vertAlign w:val="subscript"/>
        </w:rPr>
        <w:t>b</w:t>
      </w:r>
      <w:r>
        <w:rPr>
          <w:rFonts w:eastAsiaTheme="minorEastAsia"/>
        </w:rPr>
        <w:t xml:space="preserve"> is thermal-solutal buoyancy, </w:t>
      </w:r>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damp</m:t>
            </m:r>
          </m:sub>
        </m:sSub>
      </m:oMath>
      <w:r>
        <w:rPr>
          <w:rFonts w:eastAsiaTheme="minorEastAsia"/>
        </w:rPr>
        <w:t xml:space="preserve"> is the momentum damping, and </w:t>
      </w:r>
      <w:r w:rsidRPr="00055FC6">
        <w:rPr>
          <w:rFonts w:eastAsiaTheme="minorEastAsia"/>
          <w:i/>
          <w:iCs/>
        </w:rPr>
        <w:t>P</w:t>
      </w:r>
      <w:r w:rsidRPr="00055FC6">
        <w:rPr>
          <w:rFonts w:eastAsiaTheme="minorEastAsia"/>
          <w:i/>
          <w:iCs/>
          <w:vertAlign w:val="subscript"/>
        </w:rPr>
        <w:t>recoil</w:t>
      </w:r>
      <w:r>
        <w:rPr>
          <w:rFonts w:eastAsiaTheme="minorEastAsia"/>
        </w:rPr>
        <w:t xml:space="preserve"> is the recoil vapor pressure  </w:t>
      </w:r>
      <w:r w:rsidR="006D3C56">
        <w:rPr>
          <w:rFonts w:eastAsiaTheme="minorEastAsia"/>
        </w:rPr>
        <w:t xml:space="preserve">The third term on the right side of the above equation is the well-known Boussinesq </w:t>
      </w:r>
      <w:r w:rsidR="0090405A">
        <w:rPr>
          <w:rFonts w:eastAsiaTheme="minorEastAsia"/>
        </w:rPr>
        <w:t>a</w:t>
      </w:r>
      <w:r w:rsidR="006D3C56">
        <w:rPr>
          <w:rFonts w:eastAsiaTheme="minorEastAsia"/>
        </w:rPr>
        <w:t xml:space="preserve">pproximation, which assumes that the density of the fluid varies linearly with temperature and solute concentration. </w:t>
      </w:r>
    </w:p>
    <w:p w14:paraId="428E641A" w14:textId="77777777" w:rsidR="006D3C56" w:rsidRPr="00E671AB" w:rsidRDefault="006D3C56" w:rsidP="003E0F31">
      <w:pPr>
        <w:spacing w:line="360" w:lineRule="auto"/>
        <w:rPr>
          <w:rFonts w:eastAsiaTheme="minorEastAsia"/>
        </w:rPr>
      </w:pPr>
    </w:p>
    <w:p w14:paraId="6B383AFE" w14:textId="5D883309" w:rsidR="006D3C56" w:rsidRDefault="006D3C56" w:rsidP="003E0F31">
      <w:pPr>
        <w:spacing w:line="360" w:lineRule="auto"/>
        <w:ind w:firstLine="720"/>
        <w:rPr>
          <w:rFonts w:eastAsiaTheme="minorEastAsia"/>
        </w:rPr>
      </w:pPr>
      <w:r>
        <w:rPr>
          <w:rFonts w:eastAsiaTheme="minorEastAsia"/>
        </w:rPr>
        <w:t>Momentum damping (</w:t>
      </w:r>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damp</m:t>
            </m:r>
          </m:sub>
        </m:sSub>
      </m:oMath>
      <w:r>
        <w:rPr>
          <w:rFonts w:eastAsiaTheme="minorEastAsia"/>
        </w:rPr>
        <w:t xml:space="preserve">) in the solidified phase is computed with </w:t>
      </w:r>
      <w:r w:rsidR="00C90E11">
        <w:rPr>
          <w:rFonts w:eastAsiaTheme="minorEastAsia"/>
        </w:rPr>
        <w:t xml:space="preserve">the </w:t>
      </w:r>
      <w:r>
        <w:rPr>
          <w:rFonts w:eastAsiaTheme="minorEastAsia"/>
        </w:rPr>
        <w:t>Carman-Kozeny equation as written below. Recoil vapor pressure (</w:t>
      </w:r>
      <w:r w:rsidRPr="00055FC6">
        <w:rPr>
          <w:rFonts w:eastAsiaTheme="minorEastAsia"/>
          <w:i/>
          <w:iCs/>
        </w:rPr>
        <w:t>P</w:t>
      </w:r>
      <w:r w:rsidRPr="00055FC6">
        <w:rPr>
          <w:rFonts w:eastAsiaTheme="minorEastAsia"/>
          <w:i/>
          <w:iCs/>
          <w:vertAlign w:val="subscript"/>
        </w:rPr>
        <w:t>recoil</w:t>
      </w:r>
      <w:r>
        <w:rPr>
          <w:rFonts w:eastAsiaTheme="minorEastAsia"/>
        </w:rPr>
        <w:t xml:space="preserve">) exerts a body force. Often the mass transfer from the liquid metal to the metallic vapor phase is not included </w:t>
      </w:r>
      <w:r>
        <w:rPr>
          <w:rFonts w:eastAsiaTheme="minorEastAsia"/>
        </w:rPr>
        <w:fldChar w:fldCharType="begin"/>
      </w:r>
      <w:r>
        <w:rPr>
          <w:rFonts w:eastAsiaTheme="minorEastAsia"/>
        </w:rPr>
        <w:instrText xml:space="preserve"> ADDIN ZOTERO_ITEM CSL_CITATION {"citationID":"m3cY4SVq","properties":{"formattedCitation":"(Ren et al. 2023)","plainCitation":"(Ren et al. 2023)","noteIndex":0},"citationItems":[{"id":242,"uris":["http://zotero.org/users/9870952/items/P3KSEPEG"],"itemData":{"id":242,"type":"article-journal","container-title":"Nature Communications","issue":"1","note":"publisher: Nature Publishing Group UK London","page":"7990","source":"Google Scholar","title":"Solute trapping and non-equilibrium microstructure during rapid solidification of additive manufacturing","volume":"14","author":[{"family":"Ren","given":"Neng"},{"family":"Li","given":"Jun"},{"family":"Zhang","given":"Ruiyao"},{"family":"Panwisawas","given":"Chinnapat"},{"family":"Xia","given":"Mingxu"},{"family":"Dong","given":"Hongbiao"},{"family":"Li","given":"Jianguo"}],"issued":{"date-parts":[["2023"]]}}}],"schema":"https://github.com/citation-style-language/schema/raw/master/csl-citation.json"} </w:instrText>
      </w:r>
      <w:r>
        <w:rPr>
          <w:rFonts w:eastAsiaTheme="minorEastAsia"/>
        </w:rPr>
        <w:fldChar w:fldCharType="separate"/>
      </w:r>
      <w:r w:rsidRPr="00826A79">
        <w:rPr>
          <w:rFonts w:cs="Calibri"/>
        </w:rPr>
        <w:t>(Ren et al. 2023)</w:t>
      </w:r>
      <w:r>
        <w:rPr>
          <w:rFonts w:eastAsiaTheme="minorEastAsia"/>
        </w:rPr>
        <w:fldChar w:fldCharType="end"/>
      </w:r>
      <w:r>
        <w:rPr>
          <w:rFonts w:eastAsiaTheme="minorEastAsia"/>
        </w:rPr>
        <w:t>.</w:t>
      </w:r>
    </w:p>
    <w:p w14:paraId="6C221AB6" w14:textId="77777777" w:rsidR="006D3C56" w:rsidRDefault="006D3C56" w:rsidP="006D3C56">
      <w:pPr>
        <w:rPr>
          <w:rFonts w:eastAsiaTheme="minorEastAsia"/>
        </w:rPr>
      </w:pPr>
    </w:p>
    <w:p w14:paraId="673C0973" w14:textId="77777777" w:rsidR="006D3C56" w:rsidRPr="006D3C56" w:rsidRDefault="00000000" w:rsidP="006D3C56">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b</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ρ</m:t>
              </m:r>
            </m:e>
            <m:sub>
              <m:r>
                <w:rPr>
                  <w:rFonts w:ascii="Cambria Math" w:eastAsiaTheme="minorEastAsia" w:hAnsi="Cambria Math"/>
                </w:rPr>
                <m:t>m</m:t>
              </m:r>
            </m:sub>
          </m:sSub>
          <m:sSub>
            <m:sSubPr>
              <m:ctrlPr>
                <w:rPr>
                  <w:rFonts w:ascii="Cambria Math" w:eastAsiaTheme="minorEastAsia" w:hAnsi="Cambria Math"/>
                  <w:i/>
                </w:rPr>
              </m:ctrlPr>
            </m:sSubPr>
            <m:e>
              <m:r>
                <w:rPr>
                  <w:rFonts w:ascii="Cambria Math" w:eastAsiaTheme="minorEastAsia" w:hAnsi="Cambria Math"/>
                </w:rPr>
                <m:t>α</m:t>
              </m:r>
            </m:e>
            <m:sub>
              <m:r>
                <w:rPr>
                  <w:rFonts w:ascii="Cambria Math" w:eastAsiaTheme="minorEastAsia" w:hAnsi="Cambria Math"/>
                </w:rPr>
                <m:t>m</m:t>
              </m:r>
            </m:sub>
          </m:sSub>
          <m:r>
            <w:rPr>
              <w:rFonts w:ascii="Cambria Math" w:eastAsiaTheme="minorEastAsia" w:hAnsi="Cambria Math"/>
            </w:rPr>
            <m:t>g</m:t>
          </m:r>
          <m:d>
            <m:dPr>
              <m:begChr m:val="["/>
              <m:endChr m:val="]"/>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β</m:t>
                  </m:r>
                </m:e>
                <m:sub>
                  <m:r>
                    <w:rPr>
                      <w:rFonts w:ascii="Cambria Math" w:eastAsiaTheme="minorEastAsia" w:hAnsi="Cambria Math"/>
                    </w:rPr>
                    <m:t>T</m:t>
                  </m:r>
                </m:sub>
              </m:sSub>
              <m:d>
                <m:dPr>
                  <m:ctrlPr>
                    <w:rPr>
                      <w:rFonts w:ascii="Cambria Math" w:eastAsiaTheme="minorEastAsia" w:hAnsi="Cambria Math"/>
                      <w:i/>
                    </w:rPr>
                  </m:ctrlPr>
                </m:dPr>
                <m:e>
                  <m:r>
                    <w:rPr>
                      <w:rFonts w:ascii="Cambria Math" w:eastAsiaTheme="minorEastAsia" w:hAnsi="Cambria Math"/>
                    </w:rPr>
                    <m:t>T-</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ref</m:t>
                      </m:r>
                    </m:sub>
                  </m:sSub>
                </m:e>
              </m:d>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β</m:t>
                  </m:r>
                </m:e>
                <m:sub>
                  <m:r>
                    <w:rPr>
                      <w:rFonts w:ascii="Cambria Math" w:eastAsiaTheme="minorEastAsia" w:hAnsi="Cambria Math"/>
                    </w:rPr>
                    <m:t>C</m:t>
                  </m:r>
                </m:sub>
              </m:sSub>
              <m:d>
                <m:dPr>
                  <m:ctrlPr>
                    <w:rPr>
                      <w:rFonts w:ascii="Cambria Math" w:eastAsiaTheme="minorEastAsia" w:hAnsi="Cambria Math"/>
                      <w:i/>
                    </w:rPr>
                  </m:ctrlPr>
                </m:dPr>
                <m:e>
                  <m:r>
                    <w:rPr>
                      <w:rFonts w:ascii="Cambria Math" w:eastAsiaTheme="minorEastAsia" w:hAnsi="Cambria Math"/>
                    </w:rPr>
                    <m:t>C-</m:t>
                  </m:r>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0</m:t>
                      </m:r>
                    </m:sub>
                  </m:sSub>
                </m:e>
              </m:d>
            </m:e>
          </m:d>
          <m:r>
            <w:rPr>
              <w:rFonts w:ascii="Cambria Math" w:eastAsiaTheme="minorEastAsia" w:hAnsi="Cambria Math"/>
            </w:rPr>
            <m:t xml:space="preserve">         (10.7)</m:t>
          </m:r>
        </m:oMath>
      </m:oMathPara>
    </w:p>
    <w:p w14:paraId="0082A6BF" w14:textId="77777777" w:rsidR="006D3C56" w:rsidRDefault="006D3C56" w:rsidP="006D3C56">
      <w:pPr>
        <w:rPr>
          <w:rFonts w:eastAsiaTheme="minorEastAsia"/>
        </w:rPr>
      </w:pPr>
    </w:p>
    <w:p w14:paraId="05435F44" w14:textId="77777777" w:rsidR="006D3C56" w:rsidRPr="006D3C56" w:rsidRDefault="00000000" w:rsidP="006D3C56">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damp</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ρ</m:t>
              </m:r>
            </m:e>
            <m:sub>
              <m:r>
                <w:rPr>
                  <w:rFonts w:ascii="Cambria Math" w:eastAsiaTheme="minorEastAsia" w:hAnsi="Cambria Math"/>
                </w:rPr>
                <m:t>m</m:t>
              </m:r>
            </m:sub>
          </m:sSub>
          <m:sSub>
            <m:sSubPr>
              <m:ctrlPr>
                <w:rPr>
                  <w:rFonts w:ascii="Cambria Math" w:eastAsiaTheme="minorEastAsia" w:hAnsi="Cambria Math"/>
                  <w:i/>
                </w:rPr>
              </m:ctrlPr>
            </m:sSubPr>
            <m:e>
              <m:r>
                <w:rPr>
                  <w:rFonts w:ascii="Cambria Math" w:eastAsiaTheme="minorEastAsia" w:hAnsi="Cambria Math"/>
                </w:rPr>
                <m:t>α</m:t>
              </m:r>
            </m:e>
            <m:sub>
              <m:r>
                <w:rPr>
                  <w:rFonts w:ascii="Cambria Math" w:eastAsiaTheme="minorEastAsia" w:hAnsi="Cambria Math"/>
                </w:rPr>
                <m:t>m</m:t>
              </m:r>
            </m:sub>
          </m:sSub>
          <m:r>
            <w:rPr>
              <w:rFonts w:ascii="Cambria Math" w:eastAsiaTheme="minorEastAsia" w:hAnsi="Cambria Math"/>
            </w:rPr>
            <m:t>μ</m:t>
          </m:r>
          <m:f>
            <m:fPr>
              <m:ctrlPr>
                <w:rPr>
                  <w:rFonts w:ascii="Cambria Math" w:eastAsiaTheme="minorEastAsia" w:hAnsi="Cambria Math"/>
                  <w:i/>
                </w:rPr>
              </m:ctrlPr>
            </m:fPr>
            <m:num>
              <m:r>
                <w:rPr>
                  <w:rFonts w:ascii="Cambria Math" w:eastAsiaTheme="minorEastAsia" w:hAnsi="Cambria Math"/>
                </w:rPr>
                <m:t>5</m:t>
              </m:r>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2</m:t>
                  </m:r>
                </m:sup>
              </m:sSup>
              <m:sSubSup>
                <m:sSubSupPr>
                  <m:ctrlPr>
                    <w:rPr>
                      <w:rFonts w:ascii="Cambria Math" w:eastAsiaTheme="minorEastAsia" w:hAnsi="Cambria Math"/>
                      <w:i/>
                    </w:rPr>
                  </m:ctrlPr>
                </m:sSubSupPr>
                <m:e>
                  <m:r>
                    <w:rPr>
                      <w:rFonts w:ascii="Cambria Math" w:eastAsiaTheme="minorEastAsia" w:hAnsi="Cambria Math"/>
                    </w:rPr>
                    <m:t>f</m:t>
                  </m:r>
                </m:e>
                <m:sub>
                  <m:r>
                    <w:rPr>
                      <w:rFonts w:ascii="Cambria Math" w:eastAsiaTheme="minorEastAsia" w:hAnsi="Cambria Math"/>
                    </w:rPr>
                    <m:t>s</m:t>
                  </m:r>
                </m:sub>
                <m:sup>
                  <m:r>
                    <w:rPr>
                      <w:rFonts w:ascii="Cambria Math" w:eastAsiaTheme="minorEastAsia" w:hAnsi="Cambria Math"/>
                    </w:rPr>
                    <m:t>2</m:t>
                  </m:r>
                </m:sup>
              </m:sSubSup>
            </m:num>
            <m:den>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1-</m:t>
                      </m:r>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s</m:t>
                          </m:r>
                        </m:sub>
                      </m:sSub>
                    </m:e>
                  </m:d>
                </m:e>
                <m:sup>
                  <m:r>
                    <w:rPr>
                      <w:rFonts w:ascii="Cambria Math" w:eastAsiaTheme="minorEastAsia" w:hAnsi="Cambria Math"/>
                    </w:rPr>
                    <m:t>3</m:t>
                  </m:r>
                </m:sup>
              </m:sSup>
            </m:den>
          </m:f>
          <m:r>
            <m:rPr>
              <m:sty m:val="bi"/>
            </m:rPr>
            <w:rPr>
              <w:rFonts w:ascii="Cambria Math" w:eastAsiaTheme="minorEastAsia" w:hAnsi="Cambria Math"/>
            </w:rPr>
            <m:t xml:space="preserve">u                                     </m:t>
          </m:r>
          <m:r>
            <w:rPr>
              <w:rFonts w:ascii="Cambria Math" w:eastAsiaTheme="minorEastAsia" w:hAnsi="Cambria Math"/>
            </w:rPr>
            <m:t>(10.8)</m:t>
          </m:r>
        </m:oMath>
      </m:oMathPara>
    </w:p>
    <w:p w14:paraId="0F93EBDB" w14:textId="77777777" w:rsidR="006D3C56" w:rsidRPr="00A347BB" w:rsidRDefault="006D3C56" w:rsidP="006D3C56">
      <w:pPr>
        <w:rPr>
          <w:rFonts w:eastAsiaTheme="minorEastAsia"/>
          <w:b/>
          <w:bCs/>
        </w:rPr>
      </w:pPr>
    </w:p>
    <w:p w14:paraId="04AA690E" w14:textId="77777777" w:rsidR="006D3C56" w:rsidRPr="006D3C56" w:rsidRDefault="00000000" w:rsidP="006D3C56">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recoil</m:t>
              </m:r>
            </m:sub>
          </m:sSub>
          <m:r>
            <w:rPr>
              <w:rFonts w:ascii="Cambria Math" w:eastAsiaTheme="minorEastAsia" w:hAnsi="Cambria Math"/>
            </w:rPr>
            <m:t>=0.54</m:t>
          </m:r>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0</m:t>
              </m:r>
            </m:sub>
          </m:sSub>
          <m:r>
            <w:rPr>
              <w:rFonts w:ascii="Cambria Math" w:eastAsiaTheme="minorEastAsia" w:hAnsi="Cambria Math"/>
            </w:rPr>
            <m:t xml:space="preserve"> exp</m:t>
          </m:r>
          <m:d>
            <m:dPr>
              <m:begChr m:val="["/>
              <m:endChr m:val="]"/>
              <m:ctrlPr>
                <w:rPr>
                  <w:rFonts w:ascii="Cambria Math" w:eastAsiaTheme="minorEastAsia" w:hAnsi="Cambria Math"/>
                  <w:i/>
                </w:rPr>
              </m:ctrlPr>
            </m:dPr>
            <m:e>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L</m:t>
                      </m:r>
                    </m:e>
                    <m:sub>
                      <m:r>
                        <w:rPr>
                          <w:rFonts w:ascii="Cambria Math" w:eastAsiaTheme="minorEastAsia" w:hAnsi="Cambria Math"/>
                        </w:rPr>
                        <m:t>V</m:t>
                      </m:r>
                    </m:sub>
                  </m:sSub>
                  <m:r>
                    <w:rPr>
                      <w:rFonts w:ascii="Cambria Math" w:eastAsiaTheme="minorEastAsia" w:hAnsi="Cambria Math"/>
                    </w:rPr>
                    <m:t>M</m:t>
                  </m:r>
                  <m:d>
                    <m:dPr>
                      <m:ctrlPr>
                        <w:rPr>
                          <w:rFonts w:ascii="Cambria Math" w:eastAsiaTheme="minorEastAsia" w:hAnsi="Cambria Math"/>
                          <w:i/>
                        </w:rPr>
                      </m:ctrlPr>
                    </m:dPr>
                    <m:e>
                      <m:r>
                        <w:rPr>
                          <w:rFonts w:ascii="Cambria Math" w:eastAsiaTheme="minorEastAsia" w:hAnsi="Cambria Math"/>
                        </w:rPr>
                        <m:t>T-</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V</m:t>
                          </m:r>
                        </m:sub>
                      </m:sSub>
                    </m:e>
                  </m:d>
                </m:num>
                <m:den>
                  <m:r>
                    <w:rPr>
                      <w:rFonts w:ascii="Cambria Math" w:eastAsiaTheme="minorEastAsia" w:hAnsi="Cambria Math"/>
                    </w:rPr>
                    <m:t xml:space="preserve">RT </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V</m:t>
                      </m:r>
                    </m:sub>
                  </m:sSub>
                </m:den>
              </m:f>
            </m:e>
          </m:d>
          <m:r>
            <m:rPr>
              <m:sty m:val="p"/>
            </m:rP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α</m:t>
              </m:r>
            </m:e>
            <m:sub>
              <m:r>
                <w:rPr>
                  <w:rFonts w:ascii="Cambria Math" w:eastAsiaTheme="minorEastAsia" w:hAnsi="Cambria Math"/>
                </w:rPr>
                <m:t>m</m:t>
              </m:r>
            </m:sub>
          </m:sSub>
          <m:r>
            <w:rPr>
              <w:rFonts w:ascii="Cambria Math" w:eastAsiaTheme="minorEastAsia" w:hAnsi="Cambria Math"/>
            </w:rPr>
            <m:t xml:space="preserve">             (10.9)</m:t>
          </m:r>
        </m:oMath>
      </m:oMathPara>
    </w:p>
    <w:p w14:paraId="2E7A63B2" w14:textId="77777777" w:rsidR="006D3C56" w:rsidRDefault="006D3C56" w:rsidP="006D3C56">
      <w:pPr>
        <w:rPr>
          <w:rFonts w:eastAsiaTheme="minorEastAsia"/>
        </w:rPr>
      </w:pPr>
    </w:p>
    <w:p w14:paraId="15FE2986" w14:textId="4D1ACB44" w:rsidR="00C15F82" w:rsidRDefault="00C15F82" w:rsidP="00C15F82">
      <w:pPr>
        <w:ind w:firstLine="720"/>
        <w:rPr>
          <w:rFonts w:eastAsiaTheme="minorEastAsia"/>
        </w:rPr>
      </w:pPr>
      <w:r>
        <w:rPr>
          <w:rFonts w:eastAsiaTheme="minorEastAsia"/>
        </w:rPr>
        <w:t xml:space="preserve">Where, </w:t>
      </w:r>
      <m:oMath>
        <m:sSub>
          <m:sSubPr>
            <m:ctrlPr>
              <w:rPr>
                <w:rFonts w:ascii="Cambria Math" w:hAnsi="Cambria Math"/>
                <w:i/>
              </w:rPr>
            </m:ctrlPr>
          </m:sSubPr>
          <m:e>
            <m:r>
              <w:rPr>
                <w:rFonts w:ascii="Cambria Math" w:hAnsi="Cambria Math"/>
              </w:rPr>
              <m:t>β</m:t>
            </m:r>
          </m:e>
          <m:sub>
            <m:r>
              <w:rPr>
                <w:rFonts w:ascii="Cambria Math" w:hAnsi="Cambria Math"/>
              </w:rPr>
              <m:t>T</m:t>
            </m:r>
          </m:sub>
        </m:sSub>
      </m:oMath>
      <w:r>
        <w:rPr>
          <w:rFonts w:eastAsiaTheme="minorEastAsia"/>
        </w:rPr>
        <w:t xml:space="preserve"> is the coefficient of thermal expansion, </w:t>
      </w:r>
      <w:r w:rsidRPr="00AC3920">
        <w:rPr>
          <w:rFonts w:eastAsiaTheme="minorEastAsia"/>
          <w:i/>
          <w:iCs/>
        </w:rPr>
        <w:t>T</w:t>
      </w:r>
      <w:r>
        <w:rPr>
          <w:rFonts w:eastAsiaTheme="minorEastAsia"/>
        </w:rPr>
        <w:t xml:space="preserve"> is the current temperature, </w:t>
      </w:r>
      <w:r w:rsidRPr="00AC3920">
        <w:rPr>
          <w:rFonts w:eastAsiaTheme="minorEastAsia"/>
          <w:i/>
          <w:iCs/>
        </w:rPr>
        <w:t>T</w:t>
      </w:r>
      <w:r w:rsidRPr="00AC3920">
        <w:rPr>
          <w:rFonts w:eastAsiaTheme="minorEastAsia"/>
          <w:i/>
          <w:iCs/>
          <w:vertAlign w:val="subscript"/>
        </w:rPr>
        <w:t>0</w:t>
      </w:r>
      <w:r>
        <w:rPr>
          <w:rFonts w:eastAsiaTheme="minorEastAsia"/>
        </w:rPr>
        <w:t xml:space="preserve"> is the initial temperature, </w:t>
      </w:r>
      <w:r w:rsidRPr="00AC3920">
        <w:rPr>
          <w:rFonts w:eastAsiaTheme="minorEastAsia"/>
          <w:i/>
          <w:iCs/>
        </w:rPr>
        <w:t>T</w:t>
      </w:r>
      <w:r>
        <w:rPr>
          <w:rFonts w:eastAsiaTheme="minorEastAsia"/>
          <w:i/>
          <w:iCs/>
          <w:vertAlign w:val="subscript"/>
        </w:rPr>
        <w:t>ref</w:t>
      </w:r>
      <w:r>
        <w:rPr>
          <w:rFonts w:eastAsiaTheme="minorEastAsia"/>
        </w:rPr>
        <w:t xml:space="preserve">  is the reference temperature, </w:t>
      </w:r>
      <m:oMath>
        <m:sSub>
          <m:sSubPr>
            <m:ctrlPr>
              <w:rPr>
                <w:rFonts w:ascii="Cambria Math" w:eastAsiaTheme="minorEastAsia" w:hAnsi="Cambria Math"/>
                <w:i/>
              </w:rPr>
            </m:ctrlPr>
          </m:sSubPr>
          <m:e>
            <m:r>
              <w:rPr>
                <w:rFonts w:ascii="Cambria Math" w:eastAsiaTheme="minorEastAsia" w:hAnsi="Cambria Math"/>
              </w:rPr>
              <m:t>β</m:t>
            </m:r>
          </m:e>
          <m:sub>
            <m:r>
              <w:rPr>
                <w:rFonts w:ascii="Cambria Math" w:eastAsiaTheme="minorEastAsia" w:hAnsi="Cambria Math"/>
              </w:rPr>
              <m:t>C</m:t>
            </m:r>
          </m:sub>
        </m:sSub>
      </m:oMath>
      <w:r>
        <w:rPr>
          <w:rFonts w:eastAsiaTheme="minorEastAsia"/>
        </w:rPr>
        <w:t xml:space="preserve"> is the solutal expansion coefficient, </w:t>
      </w:r>
      <w:r w:rsidRPr="001B068D">
        <w:rPr>
          <w:rFonts w:eastAsiaTheme="minorEastAsia"/>
          <w:i/>
          <w:iCs/>
        </w:rPr>
        <w:t>C</w:t>
      </w:r>
      <w:r>
        <w:rPr>
          <w:rFonts w:eastAsiaTheme="minorEastAsia"/>
        </w:rPr>
        <w:t xml:space="preserve"> is the solute concentration, </w:t>
      </w:r>
      <m:oMath>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0</m:t>
            </m:r>
          </m:sub>
        </m:sSub>
      </m:oMath>
      <w:r>
        <w:rPr>
          <w:rFonts w:eastAsiaTheme="minorEastAsia"/>
        </w:rPr>
        <w:t xml:space="preserve"> is the initial solute concentration, </w:t>
      </w:r>
      <w:r w:rsidRPr="001B068D">
        <w:rPr>
          <w:rFonts w:eastAsiaTheme="minorEastAsia"/>
          <w:i/>
          <w:iCs/>
        </w:rPr>
        <w:t>S</w:t>
      </w:r>
      <w:r>
        <w:rPr>
          <w:rFonts w:eastAsiaTheme="minorEastAsia"/>
        </w:rPr>
        <w:t xml:space="preserve"> is the solid-liquid interfacial area per volume, </w:t>
      </w:r>
      <m:oMath>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0</m:t>
            </m:r>
          </m:sub>
        </m:sSub>
      </m:oMath>
      <w:r>
        <w:rPr>
          <w:rFonts w:eastAsiaTheme="minorEastAsia"/>
        </w:rPr>
        <w:t xml:space="preserve"> is the ambient pressure, </w:t>
      </w:r>
      <m:oMath>
        <m:sSub>
          <m:sSubPr>
            <m:ctrlPr>
              <w:rPr>
                <w:rFonts w:ascii="Cambria Math" w:eastAsiaTheme="minorEastAsia" w:hAnsi="Cambria Math"/>
                <w:i/>
              </w:rPr>
            </m:ctrlPr>
          </m:sSubPr>
          <m:e>
            <m:r>
              <w:rPr>
                <w:rFonts w:ascii="Cambria Math" w:eastAsiaTheme="minorEastAsia" w:hAnsi="Cambria Math"/>
              </w:rPr>
              <m:t>L</m:t>
            </m:r>
          </m:e>
          <m:sub>
            <m:r>
              <w:rPr>
                <w:rFonts w:ascii="Cambria Math" w:eastAsiaTheme="minorEastAsia" w:hAnsi="Cambria Math"/>
              </w:rPr>
              <m:t>V</m:t>
            </m:r>
          </m:sub>
        </m:sSub>
      </m:oMath>
      <w:r>
        <w:rPr>
          <w:rFonts w:eastAsiaTheme="minorEastAsia"/>
        </w:rPr>
        <w:t xml:space="preserve"> is the latent of vaporization, </w:t>
      </w:r>
      <w:r w:rsidRPr="001B068D">
        <w:rPr>
          <w:rFonts w:eastAsiaTheme="minorEastAsia"/>
          <w:i/>
          <w:iCs/>
        </w:rPr>
        <w:t>M</w:t>
      </w:r>
      <w:r>
        <w:rPr>
          <w:rFonts w:eastAsiaTheme="minorEastAsia"/>
        </w:rPr>
        <w:t xml:space="preserve"> is the molecular mass of the metal vapor, </w:t>
      </w:r>
      <m:oMath>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V</m:t>
            </m:r>
          </m:sub>
        </m:sSub>
      </m:oMath>
      <w:r>
        <w:rPr>
          <w:rFonts w:eastAsiaTheme="minorEastAsia"/>
        </w:rPr>
        <w:t xml:space="preserve"> is the boiling temperature, R is the universal gas constant, </w:t>
      </w:r>
      <m:oMath>
        <m:sSub>
          <m:sSubPr>
            <m:ctrlPr>
              <w:rPr>
                <w:rFonts w:ascii="Cambria Math" w:hAnsi="Cambria Math"/>
                <w:i/>
              </w:rPr>
            </m:ctrlPr>
          </m:sSubPr>
          <m:e>
            <m:r>
              <w:rPr>
                <w:rFonts w:ascii="Cambria Math" w:hAnsi="Cambria Math"/>
              </w:rPr>
              <m:t>μ</m:t>
            </m:r>
          </m:e>
          <m:sub>
            <m:r>
              <w:rPr>
                <w:rFonts w:ascii="Cambria Math" w:hAnsi="Cambria Math"/>
              </w:rPr>
              <m:t xml:space="preserve">k </m:t>
            </m:r>
          </m:sub>
        </m:sSub>
      </m:oMath>
      <w:r>
        <w:rPr>
          <w:rFonts w:eastAsiaTheme="minorEastAsia"/>
        </w:rPr>
        <w:t xml:space="preserve">is the kinematic viscosity of the liquid and is taken as </w:t>
      </w:r>
      <m:oMath>
        <m:sSub>
          <m:sSubPr>
            <m:ctrlPr>
              <w:rPr>
                <w:rFonts w:ascii="Cambria Math" w:hAnsi="Cambria Math"/>
                <w:i/>
              </w:rPr>
            </m:ctrlPr>
          </m:sSubPr>
          <m:e>
            <m:r>
              <w:rPr>
                <w:rFonts w:ascii="Cambria Math" w:hAnsi="Cambria Math"/>
              </w:rPr>
              <m:t>μ</m:t>
            </m:r>
          </m:e>
          <m:sub>
            <m:r>
              <w:rPr>
                <w:rFonts w:ascii="Cambria Math" w:hAnsi="Cambria Math"/>
              </w:rPr>
              <m:t xml:space="preserve">k </m:t>
            </m:r>
          </m:sub>
        </m:sSub>
        <m:r>
          <w:rPr>
            <w:rFonts w:ascii="Cambria Math" w:hAnsi="Cambria Math"/>
          </w:rPr>
          <m:t xml:space="preserve">= μ/ρ </m:t>
        </m:r>
      </m:oMath>
      <w:r>
        <w:rPr>
          <w:rFonts w:eastAsiaTheme="minorEastAsia"/>
        </w:rPr>
        <w:t xml:space="preserve"> (</w:t>
      </w:r>
      <m:oMath>
        <m:r>
          <w:rPr>
            <w:rFonts w:ascii="Cambria Math" w:hAnsi="Cambria Math"/>
          </w:rPr>
          <m:t>μ</m:t>
        </m:r>
      </m:oMath>
      <w:r>
        <w:rPr>
          <w:rFonts w:eastAsiaTheme="minorEastAsia"/>
        </w:rPr>
        <w:t xml:space="preserve"> is the dynamic viscosity, and </w:t>
      </w:r>
      <w:r>
        <w:rPr>
          <w:rFonts w:eastAsiaTheme="minorEastAsia"/>
        </w:rPr>
        <w:sym w:font="Symbol" w:char="F072"/>
      </w:r>
      <w:r>
        <w:rPr>
          <w:rFonts w:eastAsiaTheme="minorEastAsia"/>
        </w:rPr>
        <w:t xml:space="preserve"> is the mass density).</w:t>
      </w:r>
    </w:p>
    <w:p w14:paraId="6BB78B16" w14:textId="77777777" w:rsidR="00C15F82" w:rsidRDefault="00C15F82" w:rsidP="001B068D">
      <w:pPr>
        <w:ind w:firstLine="720"/>
        <w:rPr>
          <w:rFonts w:eastAsiaTheme="minorEastAsia"/>
        </w:rPr>
      </w:pPr>
    </w:p>
    <w:p w14:paraId="188CFE27" w14:textId="77777777" w:rsidR="006D3C56" w:rsidRDefault="006D3C56" w:rsidP="006D3C56">
      <w:pPr>
        <w:spacing w:line="360" w:lineRule="auto"/>
        <w:ind w:firstLine="720"/>
        <w:rPr>
          <w:rFonts w:eastAsiaTheme="minorEastAsia"/>
        </w:rPr>
      </w:pPr>
      <w:r w:rsidRPr="007F738F">
        <w:rPr>
          <w:rFonts w:eastAsiaTheme="minorEastAsia"/>
          <w:b/>
          <w:bCs/>
        </w:rPr>
        <w:t>Conservation of energy</w:t>
      </w:r>
      <w:r>
        <w:rPr>
          <w:rFonts w:eastAsiaTheme="minorEastAsia"/>
        </w:rPr>
        <w:t>: The heat transfer in the liquid melt and the solid can be written with the enthalpy formulation of the conservation of energy equation (equation 2.1) as written below:</w:t>
      </w:r>
    </w:p>
    <w:p w14:paraId="666AA4FB" w14:textId="77777777" w:rsidR="006D3C56" w:rsidRDefault="006D3C56" w:rsidP="003E0F31">
      <w:pPr>
        <w:spacing w:line="360" w:lineRule="auto"/>
        <w:ind w:firstLine="720"/>
        <w:rPr>
          <w:rFonts w:eastAsiaTheme="minorEastAsia"/>
        </w:rPr>
      </w:pPr>
    </w:p>
    <w:p w14:paraId="73FEDD41" w14:textId="77777777" w:rsidR="006D3C56" w:rsidRPr="006D3C56" w:rsidRDefault="00000000" w:rsidP="006D3C56">
      <w:pPr>
        <w:rPr>
          <w:rFonts w:eastAsiaTheme="minorEastAsia"/>
        </w:rPr>
      </w:pPr>
      <m:oMathPara>
        <m:oMath>
          <m:f>
            <m:fPr>
              <m:ctrlPr>
                <w:rPr>
                  <w:rFonts w:ascii="Cambria Math" w:hAnsi="Cambria Math"/>
                  <w:i/>
                </w:rPr>
              </m:ctrlPr>
            </m:fPr>
            <m:num>
              <m:r>
                <w:rPr>
                  <w:rFonts w:ascii="Cambria Math" w:hAnsi="Cambria Math"/>
                </w:rPr>
                <m:t>∂</m:t>
              </m:r>
            </m:num>
            <m:den>
              <m:r>
                <w:rPr>
                  <w:rFonts w:ascii="Cambria Math" w:hAnsi="Cambria Math"/>
                </w:rPr>
                <m:t>∂t</m:t>
              </m:r>
            </m:den>
          </m:f>
          <m:d>
            <m:dPr>
              <m:ctrlPr>
                <w:rPr>
                  <w:rFonts w:ascii="Cambria Math" w:hAnsi="Cambria Math"/>
                  <w:i/>
                </w:rPr>
              </m:ctrlPr>
            </m:dPr>
            <m:e>
              <m:sSup>
                <m:sSupPr>
                  <m:ctrlPr>
                    <w:rPr>
                      <w:rFonts w:ascii="Cambria Math" w:hAnsi="Cambria Math"/>
                      <w:i/>
                    </w:rPr>
                  </m:ctrlPr>
                </m:sSupPr>
                <m:e>
                  <m:r>
                    <w:rPr>
                      <w:rFonts w:ascii="Cambria Math" w:hAnsi="Cambria Math"/>
                    </w:rPr>
                    <m:t>H</m:t>
                  </m:r>
                </m:e>
                <m:sup>
                  <m:r>
                    <w:rPr>
                      <w:rFonts w:ascii="Cambria Math" w:hAnsi="Cambria Math"/>
                    </w:rPr>
                    <m:t>V</m:t>
                  </m:r>
                </m:sup>
              </m:sSup>
            </m:e>
          </m:d>
          <m:r>
            <w:rPr>
              <w:rFonts w:ascii="Cambria Math" w:hAnsi="Cambria Math"/>
            </w:rPr>
            <m:t xml:space="preserve">+ </m:t>
          </m:r>
          <m:r>
            <m:rPr>
              <m:sty m:val="p"/>
            </m:rPr>
            <w:rPr>
              <w:rFonts w:ascii="Cambria Math" w:hAnsi="Cambria Math"/>
            </w:rPr>
            <m:t>∇</m:t>
          </m:r>
          <m:r>
            <w:rPr>
              <w:rFonts w:ascii="Cambria Math" w:hAnsi="Cambria Math"/>
            </w:rPr>
            <m:t xml:space="preserve"> . </m:t>
          </m:r>
          <m:d>
            <m:dPr>
              <m:ctrlPr>
                <w:rPr>
                  <w:rFonts w:ascii="Cambria Math" w:hAnsi="Cambria Math"/>
                  <w:i/>
                </w:rPr>
              </m:ctrlPr>
            </m:dPr>
            <m:e>
              <m:r>
                <m:rPr>
                  <m:sty m:val="bi"/>
                </m:rPr>
                <w:rPr>
                  <w:rFonts w:ascii="Cambria Math" w:hAnsi="Cambria Math"/>
                </w:rPr>
                <m:t>u</m:t>
              </m:r>
              <m:r>
                <w:rPr>
                  <w:rFonts w:ascii="Cambria Math" w:hAnsi="Cambria Math"/>
                </w:rPr>
                <m:t xml:space="preserve"> </m:t>
              </m:r>
              <m:sSup>
                <m:sSupPr>
                  <m:ctrlPr>
                    <w:rPr>
                      <w:rFonts w:ascii="Cambria Math" w:hAnsi="Cambria Math"/>
                      <w:i/>
                    </w:rPr>
                  </m:ctrlPr>
                </m:sSupPr>
                <m:e>
                  <m:r>
                    <w:rPr>
                      <w:rFonts w:ascii="Cambria Math" w:hAnsi="Cambria Math"/>
                    </w:rPr>
                    <m:t>H</m:t>
                  </m:r>
                </m:e>
                <m:sup>
                  <m:r>
                    <w:rPr>
                      <w:rFonts w:ascii="Cambria Math" w:hAnsi="Cambria Math"/>
                    </w:rPr>
                    <m:t>V</m:t>
                  </m:r>
                </m:sup>
              </m:sSup>
            </m:e>
          </m:d>
          <m:r>
            <w:rPr>
              <w:rFonts w:ascii="Cambria Math" w:hAnsi="Cambria Math"/>
            </w:rPr>
            <m:t xml:space="preserve">= </m:t>
          </m:r>
          <m:r>
            <m:rPr>
              <m:sty m:val="p"/>
            </m:rPr>
            <w:rPr>
              <w:rFonts w:ascii="Cambria Math" w:hAnsi="Cambria Math"/>
            </w:rPr>
            <m:t>∇</m:t>
          </m:r>
          <m:r>
            <w:rPr>
              <w:rFonts w:ascii="Cambria Math" w:hAnsi="Cambria Math"/>
            </w:rPr>
            <m:t xml:space="preserve"> . </m:t>
          </m:r>
          <m:d>
            <m:dPr>
              <m:ctrlPr>
                <w:rPr>
                  <w:rFonts w:ascii="Cambria Math" w:hAnsi="Cambria Math"/>
                  <w:i/>
                </w:rPr>
              </m:ctrlPr>
            </m:dPr>
            <m:e>
              <m:r>
                <w:rPr>
                  <w:rFonts w:ascii="Cambria Math" w:hAnsi="Cambria Math"/>
                </w:rPr>
                <m:t xml:space="preserve">k </m:t>
              </m:r>
              <m:r>
                <m:rPr>
                  <m:sty m:val="p"/>
                </m:rPr>
                <w:rPr>
                  <w:rFonts w:ascii="Cambria Math" w:hAnsi="Cambria Math"/>
                </w:rPr>
                <m:t>∇</m:t>
              </m:r>
              <m:r>
                <w:rPr>
                  <w:rFonts w:ascii="Cambria Math" w:hAnsi="Cambria Math"/>
                </w:rPr>
                <m:t>T</m:t>
              </m:r>
            </m:e>
          </m:d>
        </m:oMath>
      </m:oMathPara>
    </w:p>
    <w:p w14:paraId="0301EA5B" w14:textId="77777777" w:rsidR="006D3C56" w:rsidRDefault="006D3C56" w:rsidP="006D3C56">
      <w:pPr>
        <w:rPr>
          <w:rFonts w:eastAsiaTheme="minorEastAsia"/>
        </w:rPr>
      </w:pPr>
    </w:p>
    <w:p w14:paraId="137B0492" w14:textId="77777777" w:rsidR="006D3C56" w:rsidRDefault="006D3C56" w:rsidP="006D3C56">
      <w:pPr>
        <w:rPr>
          <w:rFonts w:eastAsiaTheme="minorEastAsia"/>
        </w:rPr>
      </w:pPr>
    </w:p>
    <w:p w14:paraId="716B158D" w14:textId="77777777" w:rsidR="006D3C56" w:rsidRDefault="006D3C56" w:rsidP="006D3C56">
      <w:pPr>
        <w:spacing w:line="360" w:lineRule="auto"/>
        <w:ind w:firstLine="720"/>
        <w:rPr>
          <w:rFonts w:eastAsiaTheme="minorEastAsia"/>
        </w:rPr>
      </w:pPr>
      <w:r>
        <w:rPr>
          <w:rFonts w:eastAsiaTheme="minorEastAsia"/>
        </w:rPr>
        <w:t xml:space="preserve">Where </w:t>
      </w:r>
      <w:r w:rsidRPr="001B068D">
        <w:rPr>
          <w:rFonts w:eastAsiaTheme="minorEastAsia"/>
          <w:i/>
          <w:iCs/>
        </w:rPr>
        <w:t>k</w:t>
      </w:r>
      <w:r>
        <w:rPr>
          <w:rFonts w:eastAsiaTheme="minorEastAsia"/>
        </w:rPr>
        <w:t xml:space="preserve"> is the thermal conductivity and </w:t>
      </w:r>
      <m:oMath>
        <m:sSup>
          <m:sSupPr>
            <m:ctrlPr>
              <w:rPr>
                <w:rFonts w:ascii="Cambria Math" w:hAnsi="Cambria Math"/>
                <w:i/>
              </w:rPr>
            </m:ctrlPr>
          </m:sSupPr>
          <m:e>
            <m:r>
              <w:rPr>
                <w:rFonts w:ascii="Cambria Math" w:hAnsi="Cambria Math"/>
              </w:rPr>
              <m:t>H</m:t>
            </m:r>
          </m:e>
          <m:sup>
            <m:r>
              <w:rPr>
                <w:rFonts w:ascii="Cambria Math" w:hAnsi="Cambria Math"/>
              </w:rPr>
              <m:t>V</m:t>
            </m:r>
          </m:sup>
        </m:sSup>
      </m:oMath>
      <w:r>
        <w:rPr>
          <w:rFonts w:eastAsiaTheme="minorEastAsia"/>
        </w:rPr>
        <w:t xml:space="preserve"> is the enthalpy per unit volume, which can be written as:</w:t>
      </w:r>
    </w:p>
    <w:p w14:paraId="51398A12" w14:textId="77777777" w:rsidR="006D3C56" w:rsidRDefault="006D3C56" w:rsidP="003E0F31">
      <w:pPr>
        <w:spacing w:line="360" w:lineRule="auto"/>
        <w:ind w:firstLine="720"/>
        <w:rPr>
          <w:rFonts w:eastAsiaTheme="minorEastAsia"/>
        </w:rPr>
      </w:pPr>
    </w:p>
    <w:p w14:paraId="3426AB20" w14:textId="77777777" w:rsidR="006D3C56" w:rsidRDefault="00000000" w:rsidP="006D3C56">
      <m:oMathPara>
        <m:oMath>
          <m:sSup>
            <m:sSupPr>
              <m:ctrlPr>
                <w:rPr>
                  <w:rFonts w:ascii="Cambria Math" w:hAnsi="Cambria Math"/>
                  <w:i/>
                </w:rPr>
              </m:ctrlPr>
            </m:sSupPr>
            <m:e>
              <m:r>
                <w:rPr>
                  <w:rFonts w:ascii="Cambria Math" w:hAnsi="Cambria Math"/>
                </w:rPr>
                <m:t>H</m:t>
              </m:r>
            </m:e>
            <m:sup>
              <m:r>
                <w:rPr>
                  <w:rFonts w:ascii="Cambria Math" w:hAnsi="Cambria Math"/>
                </w:rPr>
                <m:t>V</m:t>
              </m:r>
            </m:sup>
          </m:sSup>
          <m:r>
            <w:rPr>
              <w:rFonts w:ascii="Cambria Math" w:hAnsi="Cambria Math"/>
            </w:rPr>
            <m:t>=</m:t>
          </m:r>
          <m:sSubSup>
            <m:sSubSupPr>
              <m:ctrlPr>
                <w:rPr>
                  <w:rFonts w:ascii="Cambria Math" w:hAnsi="Cambria Math"/>
                  <w:i/>
                </w:rPr>
              </m:ctrlPr>
            </m:sSubSupPr>
            <m:e>
              <m:r>
                <w:rPr>
                  <w:rFonts w:ascii="Cambria Math" w:hAnsi="Cambria Math"/>
                </w:rPr>
                <m:t>H</m:t>
              </m:r>
            </m:e>
            <m:sub>
              <m:r>
                <w:rPr>
                  <w:rFonts w:ascii="Cambria Math" w:hAnsi="Cambria Math"/>
                </w:rPr>
                <m:t>ref</m:t>
              </m:r>
            </m:sub>
            <m:sup>
              <m:r>
                <w:rPr>
                  <w:rFonts w:ascii="Cambria Math" w:hAnsi="Cambria Math"/>
                </w:rPr>
                <m:t>V</m:t>
              </m:r>
            </m:sup>
          </m:sSubSup>
          <m:r>
            <w:rPr>
              <w:rFonts w:ascii="Cambria Math" w:hAnsi="Cambria Math"/>
            </w:rPr>
            <m:t xml:space="preserve"> + </m:t>
          </m:r>
          <m:nary>
            <m:naryPr>
              <m:limLoc m:val="subSup"/>
              <m:ctrlPr>
                <w:rPr>
                  <w:rFonts w:ascii="Cambria Math" w:hAnsi="Cambria Math"/>
                  <w:i/>
                </w:rPr>
              </m:ctrlPr>
            </m:naryPr>
            <m:sub>
              <m:sSub>
                <m:sSubPr>
                  <m:ctrlPr>
                    <w:rPr>
                      <w:rFonts w:ascii="Cambria Math" w:hAnsi="Cambria Math"/>
                      <w:i/>
                    </w:rPr>
                  </m:ctrlPr>
                </m:sSubPr>
                <m:e>
                  <m:r>
                    <w:rPr>
                      <w:rFonts w:ascii="Cambria Math" w:hAnsi="Cambria Math"/>
                    </w:rPr>
                    <m:t>T</m:t>
                  </m:r>
                </m:e>
                <m:sub>
                  <m:r>
                    <w:rPr>
                      <w:rFonts w:ascii="Cambria Math" w:hAnsi="Cambria Math"/>
                    </w:rPr>
                    <m:t>ref</m:t>
                  </m:r>
                </m:sub>
              </m:sSub>
            </m:sub>
            <m:sup>
              <m:r>
                <w:rPr>
                  <w:rFonts w:ascii="Cambria Math" w:hAnsi="Cambria Math"/>
                </w:rPr>
                <m:t>T</m:t>
              </m:r>
            </m:sup>
            <m:e>
              <m:sSub>
                <m:sSubPr>
                  <m:ctrlPr>
                    <w:rPr>
                      <w:rFonts w:ascii="Cambria Math" w:hAnsi="Cambria Math"/>
                      <w:i/>
                    </w:rPr>
                  </m:ctrlPr>
                </m:sSubPr>
                <m:e>
                  <m:r>
                    <w:rPr>
                      <w:rFonts w:ascii="Cambria Math" w:hAnsi="Cambria Math"/>
                    </w:rPr>
                    <m:t>C</m:t>
                  </m:r>
                </m:e>
                <m:sub>
                  <m:r>
                    <w:rPr>
                      <w:rFonts w:ascii="Cambria Math" w:hAnsi="Cambria Math"/>
                    </w:rPr>
                    <m:t>p</m:t>
                  </m:r>
                </m:sub>
              </m:sSub>
              <m:r>
                <w:rPr>
                  <w:rFonts w:ascii="Cambria Math" w:hAnsi="Cambria Math"/>
                </w:rPr>
                <m:t>dT</m:t>
              </m:r>
            </m:e>
          </m:nary>
          <m:r>
            <w:rPr>
              <w:rFonts w:ascii="Cambria Math" w:hAnsi="Cambria Math"/>
            </w:rPr>
            <m:t xml:space="preserve">+L </m:t>
          </m:r>
          <m:d>
            <m:dPr>
              <m:ctrlPr>
                <w:rPr>
                  <w:rFonts w:ascii="Cambria Math" w:hAnsi="Cambria Math"/>
                  <w:i/>
                </w:rPr>
              </m:ctrlPr>
            </m:dPr>
            <m:e>
              <m:r>
                <w:rPr>
                  <w:rFonts w:ascii="Cambria Math" w:hAnsi="Cambria Math"/>
                </w:rPr>
                <m:t xml:space="preserve">1- </m:t>
              </m:r>
              <m:sSub>
                <m:sSubPr>
                  <m:ctrlPr>
                    <w:rPr>
                      <w:rFonts w:ascii="Cambria Math" w:hAnsi="Cambria Math"/>
                      <w:i/>
                    </w:rPr>
                  </m:ctrlPr>
                </m:sSubPr>
                <m:e>
                  <m:r>
                    <w:rPr>
                      <w:rFonts w:ascii="Cambria Math" w:hAnsi="Cambria Math"/>
                    </w:rPr>
                    <m:t>f</m:t>
                  </m:r>
                </m:e>
                <m:sub>
                  <m:r>
                    <w:rPr>
                      <w:rFonts w:ascii="Cambria Math" w:hAnsi="Cambria Math"/>
                    </w:rPr>
                    <m:t>s</m:t>
                  </m:r>
                </m:sub>
              </m:sSub>
            </m:e>
          </m:d>
          <m:r>
            <w:rPr>
              <w:rFonts w:ascii="Cambria Math" w:hAnsi="Cambria Math"/>
            </w:rPr>
            <m:t xml:space="preserve">                     (10.10) </m:t>
          </m:r>
        </m:oMath>
      </m:oMathPara>
    </w:p>
    <w:p w14:paraId="2B036269" w14:textId="77777777" w:rsidR="006D3C56" w:rsidRDefault="006D3C56" w:rsidP="006D3C56">
      <w:pPr>
        <w:rPr>
          <w:rFonts w:eastAsiaTheme="minorEastAsia"/>
        </w:rPr>
      </w:pPr>
    </w:p>
    <w:p w14:paraId="4A7FA97D" w14:textId="014CDBAE" w:rsidR="006D3C56" w:rsidRDefault="006D3C56" w:rsidP="006D3C56">
      <w:pPr>
        <w:spacing w:line="360" w:lineRule="auto"/>
        <w:ind w:firstLine="720"/>
        <w:rPr>
          <w:rFonts w:eastAsiaTheme="minorEastAsia"/>
        </w:rPr>
      </w:pPr>
      <w:r>
        <w:rPr>
          <w:rFonts w:eastAsiaTheme="minorEastAsia"/>
        </w:rPr>
        <w:t xml:space="preserve">Where, </w:t>
      </w:r>
      <m:oMath>
        <m:sSubSup>
          <m:sSubSupPr>
            <m:ctrlPr>
              <w:rPr>
                <w:rFonts w:ascii="Cambria Math" w:hAnsi="Cambria Math"/>
                <w:i/>
              </w:rPr>
            </m:ctrlPr>
          </m:sSubSupPr>
          <m:e>
            <m:r>
              <w:rPr>
                <w:rFonts w:ascii="Cambria Math" w:hAnsi="Cambria Math"/>
              </w:rPr>
              <m:t>H</m:t>
            </m:r>
          </m:e>
          <m:sub>
            <m:r>
              <w:rPr>
                <w:rFonts w:ascii="Cambria Math" w:hAnsi="Cambria Math"/>
              </w:rPr>
              <m:t>ref</m:t>
            </m:r>
          </m:sub>
          <m:sup>
            <m:r>
              <w:rPr>
                <w:rFonts w:ascii="Cambria Math" w:hAnsi="Cambria Math"/>
              </w:rPr>
              <m:t>V</m:t>
            </m:r>
          </m:sup>
        </m:sSubSup>
      </m:oMath>
      <w:r>
        <w:rPr>
          <w:rFonts w:eastAsiaTheme="minorEastAsia"/>
        </w:rPr>
        <w:t xml:space="preserve"> is the enthalpy per unit volume at the reference temperature, </w:t>
      </w:r>
      <m:oMath>
        <m:sSub>
          <m:sSubPr>
            <m:ctrlPr>
              <w:rPr>
                <w:rFonts w:ascii="Cambria Math" w:hAnsi="Cambria Math"/>
                <w:i/>
              </w:rPr>
            </m:ctrlPr>
          </m:sSubPr>
          <m:e>
            <m:r>
              <w:rPr>
                <w:rFonts w:ascii="Cambria Math" w:hAnsi="Cambria Math"/>
              </w:rPr>
              <m:t>C</m:t>
            </m:r>
          </m:e>
          <m:sub>
            <m:r>
              <w:rPr>
                <w:rFonts w:ascii="Cambria Math" w:hAnsi="Cambria Math"/>
              </w:rPr>
              <m:t>p</m:t>
            </m:r>
          </m:sub>
        </m:sSub>
      </m:oMath>
      <w:r>
        <w:rPr>
          <w:rFonts w:eastAsiaTheme="minorEastAsia"/>
        </w:rPr>
        <w:t xml:space="preserve"> is the volumetric heat capacity, </w:t>
      </w:r>
      <w:r w:rsidRPr="005F5ECE">
        <w:rPr>
          <w:rFonts w:eastAsiaTheme="minorEastAsia"/>
          <w:i/>
          <w:iCs/>
        </w:rPr>
        <w:t>L</w:t>
      </w:r>
      <w:r>
        <w:rPr>
          <w:rFonts w:eastAsiaTheme="minorEastAsia"/>
        </w:rPr>
        <w:t xml:space="preserve"> is the volumetric latent heat of fusion, and </w:t>
      </w:r>
      <m:oMath>
        <m:sSub>
          <m:sSubPr>
            <m:ctrlPr>
              <w:rPr>
                <w:rFonts w:ascii="Cambria Math" w:hAnsi="Cambria Math"/>
                <w:i/>
              </w:rPr>
            </m:ctrlPr>
          </m:sSubPr>
          <m:e>
            <m:r>
              <w:rPr>
                <w:rFonts w:ascii="Cambria Math" w:hAnsi="Cambria Math"/>
              </w:rPr>
              <m:t>f</m:t>
            </m:r>
          </m:e>
          <m:sub>
            <m:r>
              <w:rPr>
                <w:rFonts w:ascii="Cambria Math" w:hAnsi="Cambria Math"/>
              </w:rPr>
              <m:t>s</m:t>
            </m:r>
          </m:sub>
        </m:sSub>
      </m:oMath>
      <w:r>
        <w:rPr>
          <w:rFonts w:eastAsiaTheme="minorEastAsia"/>
        </w:rPr>
        <w:t xml:space="preserve"> is the solid </w:t>
      </w:r>
      <w:r w:rsidR="008971ED">
        <w:rPr>
          <w:rFonts w:eastAsiaTheme="minorEastAsia"/>
        </w:rPr>
        <w:t xml:space="preserve">volume </w:t>
      </w:r>
      <w:r>
        <w:rPr>
          <w:rFonts w:eastAsiaTheme="minorEastAsia"/>
        </w:rPr>
        <w:t xml:space="preserve">fraction. Note that the source term due to phase change effect will have to be multiplied by the volume fraction of the metal phase in the above equation. See chapter 2 for additional explanation of the energy equations. </w:t>
      </w:r>
    </w:p>
    <w:p w14:paraId="5C9E8856" w14:textId="77777777" w:rsidR="006D3C56" w:rsidRDefault="006D3C56" w:rsidP="003E0F31">
      <w:pPr>
        <w:spacing w:line="360" w:lineRule="auto"/>
        <w:ind w:firstLine="720"/>
        <w:rPr>
          <w:rFonts w:eastAsiaTheme="minorEastAsia"/>
        </w:rPr>
      </w:pPr>
    </w:p>
    <w:p w14:paraId="1E960976" w14:textId="77777777" w:rsidR="006D3C56" w:rsidRDefault="006D3C56" w:rsidP="006D3C56">
      <w:pPr>
        <w:spacing w:line="360" w:lineRule="auto"/>
        <w:ind w:firstLine="720"/>
        <w:rPr>
          <w:rFonts w:eastAsiaTheme="minorEastAsia"/>
        </w:rPr>
      </w:pPr>
      <w:r>
        <w:rPr>
          <w:rFonts w:eastAsiaTheme="minorEastAsia"/>
        </w:rPr>
        <w:t>In the LPBF AM context, the conservation of energy equation can be written as:</w:t>
      </w:r>
    </w:p>
    <w:p w14:paraId="36A2550B" w14:textId="77777777" w:rsidR="006D3C56" w:rsidRDefault="006D3C56" w:rsidP="003E0F31">
      <w:pPr>
        <w:spacing w:line="360" w:lineRule="auto"/>
        <w:ind w:firstLine="720"/>
        <w:rPr>
          <w:rFonts w:eastAsiaTheme="minorEastAsia"/>
        </w:rPr>
      </w:pPr>
    </w:p>
    <w:p w14:paraId="7CF5C0AA" w14:textId="77777777" w:rsidR="006D3C56" w:rsidRPr="006D3C56" w:rsidRDefault="00000000" w:rsidP="006D3C56">
      <w:pPr>
        <w:rPr>
          <w:rFonts w:eastAsiaTheme="minorEastAsia"/>
        </w:rPr>
      </w:pPr>
      <m:oMathPara>
        <m:oMath>
          <m:f>
            <m:fPr>
              <m:ctrlPr>
                <w:rPr>
                  <w:rFonts w:ascii="Cambria Math" w:eastAsiaTheme="minorEastAsia" w:hAnsi="Cambria Math"/>
                  <w:i/>
                </w:rPr>
              </m:ctrlPr>
            </m:fPr>
            <m:num>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ρuH</m:t>
                  </m:r>
                </m:e>
              </m:d>
            </m:num>
            <m:den>
              <m:r>
                <w:rPr>
                  <w:rFonts w:ascii="Cambria Math" w:eastAsiaTheme="minorEastAsia" w:hAnsi="Cambria Math"/>
                </w:rPr>
                <m:t>∂t</m:t>
              </m:r>
            </m:den>
          </m:f>
          <m:r>
            <w:rPr>
              <w:rFonts w:ascii="Cambria Math" w:eastAsiaTheme="minorEastAsia" w:hAnsi="Cambria Math"/>
            </w:rPr>
            <m:t>+</m:t>
          </m:r>
          <m:r>
            <m:rPr>
              <m:sty m:val="p"/>
            </m:rPr>
            <w:rPr>
              <w:rFonts w:ascii="Cambria Math" w:eastAsiaTheme="minorEastAsia" w:hAnsi="Cambria Math"/>
            </w:rPr>
            <m:t>∇</m:t>
          </m:r>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ρuH</m:t>
              </m:r>
            </m:e>
          </m:d>
          <m:r>
            <w:rPr>
              <w:rFonts w:ascii="Cambria Math" w:eastAsiaTheme="minorEastAsia" w:hAnsi="Cambria Math"/>
            </w:rPr>
            <m:t>=</m:t>
          </m:r>
          <m:r>
            <m:rPr>
              <m:sty m:val="p"/>
            </m:rPr>
            <w:rPr>
              <w:rFonts w:ascii="Cambria Math" w:eastAsiaTheme="minorEastAsia" w:hAnsi="Cambria Math"/>
            </w:rPr>
            <m:t>∇</m:t>
          </m:r>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k</m:t>
              </m:r>
              <m:r>
                <m:rPr>
                  <m:sty m:val="p"/>
                </m:rPr>
                <w:rPr>
                  <w:rFonts w:ascii="Cambria Math" w:eastAsiaTheme="minorEastAsia" w:hAnsi="Cambria Math"/>
                </w:rPr>
                <m:t>∇</m:t>
              </m:r>
              <m:r>
                <w:rPr>
                  <w:rFonts w:ascii="Cambria Math" w:eastAsiaTheme="minorEastAsia" w:hAnsi="Cambria Math"/>
                </w:rPr>
                <m:t>T</m:t>
              </m:r>
            </m:e>
          </m:d>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laser</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vap</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latent</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rad</m:t>
              </m:r>
            </m:sub>
          </m:sSub>
          <m:r>
            <w:rPr>
              <w:rFonts w:ascii="Cambria Math" w:eastAsiaTheme="minorEastAsia" w:hAnsi="Cambria Math"/>
            </w:rPr>
            <m:t xml:space="preserve">                    (10.11)</m:t>
          </m:r>
        </m:oMath>
      </m:oMathPara>
    </w:p>
    <w:p w14:paraId="5042A0C3" w14:textId="77777777" w:rsidR="006D3C56" w:rsidRDefault="006D3C56" w:rsidP="006D3C56">
      <w:pPr>
        <w:rPr>
          <w:rFonts w:eastAsiaTheme="minorEastAsia"/>
        </w:rPr>
      </w:pPr>
    </w:p>
    <w:p w14:paraId="7AED40ED" w14:textId="0DEC574B" w:rsidR="006D3C56" w:rsidRDefault="006D3C56" w:rsidP="006D3C56">
      <w:pPr>
        <w:spacing w:line="360" w:lineRule="auto"/>
        <w:ind w:firstLine="720"/>
        <w:rPr>
          <w:rFonts w:eastAsiaTheme="minorEastAsia"/>
        </w:rPr>
      </w:pPr>
      <w:r>
        <w:rPr>
          <w:rFonts w:eastAsiaTheme="minorEastAsia"/>
        </w:rPr>
        <w:t xml:space="preserve">The laser heat source </w:t>
      </w:r>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laser</m:t>
            </m:r>
          </m:sub>
        </m:sSub>
      </m:oMath>
      <w:r>
        <w:rPr>
          <w:rFonts w:eastAsiaTheme="minorEastAsia"/>
        </w:rPr>
        <w:t xml:space="preserve"> </w:t>
      </w:r>
      <w:r w:rsidR="006A4654">
        <w:rPr>
          <w:rFonts w:eastAsiaTheme="minorEastAsia"/>
        </w:rPr>
        <w:t xml:space="preserve">(often assumed to distributed in a Gaussian form) </w:t>
      </w:r>
      <w:r>
        <w:rPr>
          <w:rFonts w:eastAsiaTheme="minorEastAsia"/>
        </w:rPr>
        <w:t xml:space="preserve">is </w:t>
      </w:r>
      <w:r w:rsidR="0071423C">
        <w:rPr>
          <w:rFonts w:eastAsiaTheme="minorEastAsia"/>
        </w:rPr>
        <w:t xml:space="preserve">applied </w:t>
      </w:r>
      <w:r>
        <w:rPr>
          <w:rFonts w:eastAsiaTheme="minorEastAsia"/>
        </w:rPr>
        <w:t xml:space="preserve">along the direction of the build.. Metal liquid vaporization effect is described by a source term, </w:t>
      </w:r>
      <w:r w:rsidRPr="00D974D5">
        <w:rPr>
          <w:rFonts w:eastAsiaTheme="minorEastAsia"/>
          <w:i/>
          <w:iCs/>
        </w:rPr>
        <w:t>q</w:t>
      </w:r>
      <w:r w:rsidRPr="00D974D5">
        <w:rPr>
          <w:rFonts w:eastAsiaTheme="minorEastAsia"/>
          <w:i/>
          <w:iCs/>
          <w:vertAlign w:val="subscript"/>
        </w:rPr>
        <w:t>vap</w:t>
      </w:r>
      <w:r>
        <w:rPr>
          <w:rFonts w:eastAsiaTheme="minorEastAsia"/>
          <w:vertAlign w:val="subscript"/>
        </w:rPr>
        <w:t xml:space="preserve"> </w:t>
      </w:r>
      <w:r>
        <w:rPr>
          <w:rFonts w:eastAsiaTheme="minorEastAsia"/>
          <w:vertAlign w:val="subscript"/>
        </w:rPr>
        <w:fldChar w:fldCharType="begin"/>
      </w:r>
      <w:r>
        <w:rPr>
          <w:rFonts w:eastAsiaTheme="minorEastAsia"/>
          <w:vertAlign w:val="subscript"/>
        </w:rPr>
        <w:instrText xml:space="preserve"> ADDIN ZOTERO_ITEM CSL_CITATION {"citationID":"n2DjlEPA","properties":{"formattedCitation":"(Ren et al. 2023)","plainCitation":"(Ren et al. 2023)","noteIndex":0},"citationItems":[{"id":242,"uris":["http://zotero.org/users/9870952/items/P3KSEPEG"],"itemData":{"id":242,"type":"article-journal","container-title":"Nature Communications","issue":"1","note":"publisher: Nature Publishing Group UK London","page":"7990","source":"Google Scholar","title":"Solute trapping and non-equilibrium microstructure during rapid solidification of additive manufacturing","volume":"14","author":[{"family":"Ren","given":"Neng"},{"family":"Li","given":"Jun"},{"family":"Zhang","given":"Ruiyao"},{"family":"Panwisawas","given":"Chinnapat"},{"family":"Xia","given":"Mingxu"},{"family":"Dong","given":"Hongbiao"},{"family":"Li","given":"Jianguo"}],"issued":{"date-parts":[["2023"]]}}}],"schema":"https://github.com/citation-style-language/schema/raw/master/csl-citation.json"} </w:instrText>
      </w:r>
      <w:r>
        <w:rPr>
          <w:rFonts w:eastAsiaTheme="minorEastAsia"/>
          <w:vertAlign w:val="subscript"/>
        </w:rPr>
        <w:fldChar w:fldCharType="separate"/>
      </w:r>
      <w:r w:rsidRPr="00826A79">
        <w:rPr>
          <w:rFonts w:cs="Calibri"/>
        </w:rPr>
        <w:t>(Ren et al. 2023)</w:t>
      </w:r>
      <w:r>
        <w:rPr>
          <w:rFonts w:eastAsiaTheme="minorEastAsia"/>
          <w:vertAlign w:val="subscript"/>
        </w:rPr>
        <w:fldChar w:fldCharType="end"/>
      </w:r>
      <w:r>
        <w:rPr>
          <w:rFonts w:eastAsiaTheme="minorEastAsia"/>
        </w:rPr>
        <w:t xml:space="preserve">. </w:t>
      </w:r>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latent</m:t>
            </m:r>
          </m:sub>
        </m:sSub>
      </m:oMath>
      <w:r>
        <w:rPr>
          <w:rFonts w:eastAsiaTheme="minorEastAsia"/>
        </w:rPr>
        <w:t xml:space="preserve"> is the latent heat of fusion as described by the last term on the right side of equation 10.10 above. The radiative heat loss from the melt pool free surface is described a</w:t>
      </w:r>
      <w:r w:rsidR="00D13501">
        <w:rPr>
          <w:rFonts w:eastAsiaTheme="minorEastAsia"/>
        </w:rPr>
        <w:t>s a</w:t>
      </w:r>
      <w:r>
        <w:rPr>
          <w:rFonts w:eastAsiaTheme="minorEastAsia"/>
        </w:rPr>
        <w:t xml:space="preserve"> source term, </w:t>
      </w:r>
      <w:r w:rsidRPr="00D974D5">
        <w:rPr>
          <w:rFonts w:eastAsiaTheme="minorEastAsia"/>
          <w:i/>
          <w:iCs/>
        </w:rPr>
        <w:t>q</w:t>
      </w:r>
      <w:r w:rsidRPr="00D974D5">
        <w:rPr>
          <w:rFonts w:eastAsiaTheme="minorEastAsia"/>
          <w:i/>
          <w:iCs/>
          <w:vertAlign w:val="subscript"/>
        </w:rPr>
        <w:t>rad</w:t>
      </w:r>
      <w:r>
        <w:rPr>
          <w:rFonts w:eastAsiaTheme="minorEastAsia"/>
        </w:rPr>
        <w:t xml:space="preserve"> following the well-known Stefan-Boltzmann law.</w:t>
      </w:r>
    </w:p>
    <w:p w14:paraId="5A8B4BAE" w14:textId="77777777" w:rsidR="006D3C56" w:rsidRDefault="006D3C56" w:rsidP="003E0F31">
      <w:pPr>
        <w:spacing w:line="360" w:lineRule="auto"/>
        <w:ind w:firstLine="720"/>
        <w:rPr>
          <w:rFonts w:eastAsiaTheme="minorEastAsia"/>
        </w:rPr>
      </w:pPr>
    </w:p>
    <w:p w14:paraId="7AE0B802" w14:textId="77777777" w:rsidR="006D3C56" w:rsidRPr="006D3C56" w:rsidRDefault="00000000" w:rsidP="006D3C56">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vap</m:t>
              </m:r>
            </m:sub>
          </m:sSub>
          <m:r>
            <w:rPr>
              <w:rFonts w:ascii="Cambria Math" w:eastAsiaTheme="minorEastAsia" w:hAnsi="Cambria Math"/>
            </w:rPr>
            <m:t>=-0.82</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L</m:t>
                  </m:r>
                </m:e>
                <m:sub>
                  <m:r>
                    <w:rPr>
                      <w:rFonts w:ascii="Cambria Math" w:eastAsiaTheme="minorEastAsia" w:hAnsi="Cambria Math"/>
                    </w:rPr>
                    <m:t>V</m:t>
                  </m:r>
                </m:sub>
              </m:sSub>
              <m:r>
                <w:rPr>
                  <w:rFonts w:ascii="Cambria Math" w:eastAsiaTheme="minorEastAsia" w:hAnsi="Cambria Math"/>
                </w:rPr>
                <m:t>M</m:t>
              </m:r>
            </m:num>
            <m:den>
              <m:rad>
                <m:radPr>
                  <m:degHide m:val="1"/>
                  <m:ctrlPr>
                    <w:rPr>
                      <w:rFonts w:ascii="Cambria Math" w:eastAsiaTheme="minorEastAsia" w:hAnsi="Cambria Math"/>
                      <w:i/>
                    </w:rPr>
                  </m:ctrlPr>
                </m:radPr>
                <m:deg/>
                <m:e>
                  <m:r>
                    <w:rPr>
                      <w:rFonts w:ascii="Cambria Math" w:eastAsiaTheme="minorEastAsia" w:hAnsi="Cambria Math"/>
                    </w:rPr>
                    <m:t>2πMRT</m:t>
                  </m:r>
                </m:e>
              </m:rad>
            </m:den>
          </m:f>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0</m:t>
              </m:r>
            </m:sub>
          </m:sSub>
          <m:r>
            <w:rPr>
              <w:rFonts w:ascii="Cambria Math" w:eastAsiaTheme="minorEastAsia" w:hAnsi="Cambria Math"/>
            </w:rPr>
            <m:t xml:space="preserve"> exp</m:t>
          </m:r>
          <m:d>
            <m:dPr>
              <m:begChr m:val="["/>
              <m:endChr m:val="]"/>
              <m:ctrlPr>
                <w:rPr>
                  <w:rFonts w:ascii="Cambria Math" w:eastAsiaTheme="minorEastAsia" w:hAnsi="Cambria Math"/>
                  <w:i/>
                </w:rPr>
              </m:ctrlPr>
            </m:dPr>
            <m:e>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L</m:t>
                      </m:r>
                    </m:e>
                    <m:sub>
                      <m:r>
                        <w:rPr>
                          <w:rFonts w:ascii="Cambria Math" w:eastAsiaTheme="minorEastAsia" w:hAnsi="Cambria Math"/>
                        </w:rPr>
                        <m:t>V</m:t>
                      </m:r>
                    </m:sub>
                  </m:sSub>
                  <m:r>
                    <w:rPr>
                      <w:rFonts w:ascii="Cambria Math" w:eastAsiaTheme="minorEastAsia" w:hAnsi="Cambria Math"/>
                    </w:rPr>
                    <m:t>M</m:t>
                  </m:r>
                  <m:d>
                    <m:dPr>
                      <m:ctrlPr>
                        <w:rPr>
                          <w:rFonts w:ascii="Cambria Math" w:eastAsiaTheme="minorEastAsia" w:hAnsi="Cambria Math"/>
                          <w:i/>
                        </w:rPr>
                      </m:ctrlPr>
                    </m:dPr>
                    <m:e>
                      <m:r>
                        <w:rPr>
                          <w:rFonts w:ascii="Cambria Math" w:eastAsiaTheme="minorEastAsia" w:hAnsi="Cambria Math"/>
                        </w:rPr>
                        <m:t>T-</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V</m:t>
                          </m:r>
                        </m:sub>
                      </m:sSub>
                    </m:e>
                  </m:d>
                </m:num>
                <m:den>
                  <m:r>
                    <w:rPr>
                      <w:rFonts w:ascii="Cambria Math" w:eastAsiaTheme="minorEastAsia" w:hAnsi="Cambria Math"/>
                    </w:rPr>
                    <m:t xml:space="preserve">RT </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V</m:t>
                      </m:r>
                    </m:sub>
                  </m:sSub>
                </m:den>
              </m:f>
            </m:e>
          </m:d>
          <m:d>
            <m:dPr>
              <m:begChr m:val="|"/>
              <m:endChr m:val="|"/>
              <m:ctrlPr>
                <w:rPr>
                  <w:rFonts w:ascii="Cambria Math" w:eastAsiaTheme="minorEastAsia" w:hAnsi="Cambria Math"/>
                  <w:i/>
                </w:rPr>
              </m:ctrlPr>
            </m:dPr>
            <m:e>
              <m:r>
                <m:rPr>
                  <m:sty m:val="p"/>
                </m:rP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α</m:t>
                  </m:r>
                </m:e>
                <m:sub>
                  <m:r>
                    <w:rPr>
                      <w:rFonts w:ascii="Cambria Math" w:eastAsiaTheme="minorEastAsia" w:hAnsi="Cambria Math"/>
                    </w:rPr>
                    <m:t>m</m:t>
                  </m:r>
                </m:sub>
              </m:sSub>
            </m:e>
          </m:d>
          <m:f>
            <m:fPr>
              <m:ctrlPr>
                <w:rPr>
                  <w:rFonts w:ascii="Cambria Math" w:eastAsiaTheme="minorEastAsia" w:hAnsi="Cambria Math"/>
                  <w:i/>
                </w:rPr>
              </m:ctrlPr>
            </m:fPr>
            <m:num>
              <m:r>
                <w:rPr>
                  <w:rFonts w:ascii="Cambria Math" w:eastAsiaTheme="minorEastAsia" w:hAnsi="Cambria Math"/>
                </w:rPr>
                <m:t>2</m:t>
              </m:r>
              <m:acc>
                <m:accPr>
                  <m:chr m:val="̅"/>
                  <m:ctrlPr>
                    <w:rPr>
                      <w:rFonts w:ascii="Cambria Math" w:eastAsiaTheme="minorEastAsia" w:hAnsi="Cambria Math"/>
                      <w:i/>
                    </w:rPr>
                  </m:ctrlPr>
                </m:accPr>
                <m:e>
                  <m:r>
                    <w:rPr>
                      <w:rFonts w:ascii="Cambria Math" w:eastAsiaTheme="minorEastAsia" w:hAnsi="Cambria Math"/>
                    </w:rPr>
                    <m:t>ρ</m:t>
                  </m:r>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p</m:t>
                      </m:r>
                    </m:sub>
                  </m:sSub>
                </m:e>
              </m:acc>
            </m:num>
            <m:den>
              <m:sSub>
                <m:sSubPr>
                  <m:ctrlPr>
                    <w:rPr>
                      <w:rFonts w:ascii="Cambria Math" w:eastAsiaTheme="minorEastAsia" w:hAnsi="Cambria Math"/>
                      <w:i/>
                    </w:rPr>
                  </m:ctrlPr>
                </m:sSubPr>
                <m:e>
                  <m:r>
                    <w:rPr>
                      <w:rFonts w:ascii="Cambria Math" w:eastAsiaTheme="minorEastAsia" w:hAnsi="Cambria Math"/>
                    </w:rPr>
                    <m:t>ρ</m:t>
                  </m:r>
                </m:e>
                <m:sub>
                  <m:r>
                    <w:rPr>
                      <w:rFonts w:ascii="Cambria Math" w:eastAsiaTheme="minorEastAsia" w:hAnsi="Cambria Math"/>
                    </w:rPr>
                    <m:t>m</m:t>
                  </m:r>
                </m:sub>
              </m:sSub>
              <m:sSub>
                <m:sSubPr>
                  <m:ctrlPr>
                    <w:rPr>
                      <w:rFonts w:ascii="Cambria Math" w:eastAsiaTheme="minorEastAsia" w:hAnsi="Cambria Math"/>
                      <w:i/>
                    </w:rPr>
                  </m:ctrlPr>
                </m:sSubPr>
                <m:e>
                  <m:r>
                    <w:rPr>
                      <w:rFonts w:ascii="Cambria Math" w:eastAsiaTheme="minorEastAsia" w:hAnsi="Cambria Math"/>
                    </w:rPr>
                    <m:t>C</m:t>
                  </m:r>
                </m:e>
                <m:sub>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m</m:t>
                      </m:r>
                    </m:sub>
                  </m:sSub>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ρ</m:t>
                  </m:r>
                </m:e>
                <m:sub>
                  <m:r>
                    <w:rPr>
                      <w:rFonts w:ascii="Cambria Math" w:eastAsiaTheme="minorEastAsia" w:hAnsi="Cambria Math"/>
                    </w:rPr>
                    <m:t>g</m:t>
                  </m:r>
                </m:sub>
              </m:sSub>
              <m:sSub>
                <m:sSubPr>
                  <m:ctrlPr>
                    <w:rPr>
                      <w:rFonts w:ascii="Cambria Math" w:eastAsiaTheme="minorEastAsia" w:hAnsi="Cambria Math"/>
                      <w:i/>
                    </w:rPr>
                  </m:ctrlPr>
                </m:sSubPr>
                <m:e>
                  <m:r>
                    <w:rPr>
                      <w:rFonts w:ascii="Cambria Math" w:eastAsiaTheme="minorEastAsia" w:hAnsi="Cambria Math"/>
                    </w:rPr>
                    <m:t>C</m:t>
                  </m:r>
                </m:e>
                <m:sub>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g</m:t>
                      </m:r>
                    </m:sub>
                  </m:sSub>
                </m:sub>
              </m:sSub>
            </m:den>
          </m:f>
          <m:r>
            <w:rPr>
              <w:rFonts w:ascii="Cambria Math" w:eastAsiaTheme="minorEastAsia" w:hAnsi="Cambria Math"/>
            </w:rPr>
            <m:t xml:space="preserve">            (10.12)</m:t>
          </m:r>
        </m:oMath>
      </m:oMathPara>
    </w:p>
    <w:p w14:paraId="4F1EA65D" w14:textId="77777777" w:rsidR="006D3C56" w:rsidRPr="001223C5" w:rsidRDefault="006D3C56" w:rsidP="006D3C56">
      <w:pPr>
        <w:rPr>
          <w:rFonts w:eastAsiaTheme="minorEastAsia"/>
        </w:rPr>
      </w:pPr>
    </w:p>
    <w:p w14:paraId="1A0024EE" w14:textId="77777777" w:rsidR="006D3C56" w:rsidRPr="006D3C56" w:rsidRDefault="00000000" w:rsidP="006D3C56">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rad</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s</m:t>
              </m:r>
            </m:sub>
          </m:sSub>
          <m:r>
            <w:rPr>
              <w:rFonts w:ascii="Cambria Math" w:eastAsiaTheme="minorEastAsia" w:hAnsi="Cambria Math"/>
            </w:rPr>
            <m:t>ε</m:t>
          </m:r>
          <m:d>
            <m:dPr>
              <m:ctrlPr>
                <w:rPr>
                  <w:rFonts w:ascii="Cambria Math" w:eastAsiaTheme="minorEastAsia" w:hAnsi="Cambria Math"/>
                  <w:i/>
                </w:rPr>
              </m:ctrlPr>
            </m:dPr>
            <m:e>
              <m:sSup>
                <m:sSupPr>
                  <m:ctrlPr>
                    <w:rPr>
                      <w:rFonts w:ascii="Cambria Math" w:eastAsiaTheme="minorEastAsia" w:hAnsi="Cambria Math"/>
                      <w:i/>
                    </w:rPr>
                  </m:ctrlPr>
                </m:sSupPr>
                <m:e>
                  <m:r>
                    <w:rPr>
                      <w:rFonts w:ascii="Cambria Math" w:eastAsiaTheme="minorEastAsia" w:hAnsi="Cambria Math"/>
                    </w:rPr>
                    <m:t>T</m:t>
                  </m:r>
                </m:e>
                <m:sup>
                  <m:r>
                    <w:rPr>
                      <w:rFonts w:ascii="Cambria Math" w:eastAsiaTheme="minorEastAsia" w:hAnsi="Cambria Math"/>
                    </w:rPr>
                    <m:t>4</m:t>
                  </m:r>
                </m:sup>
              </m:sSup>
              <m:r>
                <w:rPr>
                  <w:rFonts w:ascii="Cambria Math" w:eastAsiaTheme="minorEastAsia" w:hAnsi="Cambria Math"/>
                </w:rPr>
                <m:t>-</m:t>
              </m:r>
              <m:sSubSup>
                <m:sSubSupPr>
                  <m:ctrlPr>
                    <w:rPr>
                      <w:rFonts w:ascii="Cambria Math" w:eastAsiaTheme="minorEastAsia" w:hAnsi="Cambria Math"/>
                      <w:i/>
                    </w:rPr>
                  </m:ctrlPr>
                </m:sSubSupPr>
                <m:e>
                  <m:r>
                    <w:rPr>
                      <w:rFonts w:ascii="Cambria Math" w:eastAsiaTheme="minorEastAsia" w:hAnsi="Cambria Math"/>
                    </w:rPr>
                    <m:t>T</m:t>
                  </m:r>
                </m:e>
                <m:sub>
                  <m:r>
                    <w:rPr>
                      <w:rFonts w:ascii="Cambria Math" w:eastAsiaTheme="minorEastAsia" w:hAnsi="Cambria Math"/>
                      <w:i/>
                    </w:rPr>
                    <w:sym w:font="Symbol" w:char="F0A5"/>
                  </m:r>
                </m:sub>
                <m:sup>
                  <m:r>
                    <w:rPr>
                      <w:rFonts w:ascii="Cambria Math" w:eastAsiaTheme="minorEastAsia" w:hAnsi="Cambria Math"/>
                    </w:rPr>
                    <m:t>4</m:t>
                  </m:r>
                </m:sup>
              </m:sSubSup>
            </m:e>
          </m:d>
          <m:d>
            <m:dPr>
              <m:begChr m:val="|"/>
              <m:endChr m:val="|"/>
              <m:ctrlPr>
                <w:rPr>
                  <w:rFonts w:ascii="Cambria Math" w:eastAsiaTheme="minorEastAsia" w:hAnsi="Cambria Math"/>
                  <w:i/>
                </w:rPr>
              </m:ctrlPr>
            </m:dPr>
            <m:e>
              <m:r>
                <m:rPr>
                  <m:sty m:val="p"/>
                </m:rP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α</m:t>
                  </m:r>
                </m:e>
                <m:sub>
                  <m:r>
                    <w:rPr>
                      <w:rFonts w:ascii="Cambria Math" w:eastAsiaTheme="minorEastAsia" w:hAnsi="Cambria Math"/>
                    </w:rPr>
                    <m:t>m</m:t>
                  </m:r>
                </m:sub>
              </m:sSub>
            </m:e>
          </m:d>
          <m:f>
            <m:fPr>
              <m:ctrlPr>
                <w:rPr>
                  <w:rFonts w:ascii="Cambria Math" w:eastAsiaTheme="minorEastAsia" w:hAnsi="Cambria Math"/>
                  <w:i/>
                </w:rPr>
              </m:ctrlPr>
            </m:fPr>
            <m:num>
              <m:r>
                <w:rPr>
                  <w:rFonts w:ascii="Cambria Math" w:eastAsiaTheme="minorEastAsia" w:hAnsi="Cambria Math"/>
                </w:rPr>
                <m:t>2</m:t>
              </m:r>
              <m:acc>
                <m:accPr>
                  <m:chr m:val="̅"/>
                  <m:ctrlPr>
                    <w:rPr>
                      <w:rFonts w:ascii="Cambria Math" w:eastAsiaTheme="minorEastAsia" w:hAnsi="Cambria Math"/>
                      <w:i/>
                    </w:rPr>
                  </m:ctrlPr>
                </m:accPr>
                <m:e>
                  <m:r>
                    <w:rPr>
                      <w:rFonts w:ascii="Cambria Math" w:eastAsiaTheme="minorEastAsia" w:hAnsi="Cambria Math"/>
                    </w:rPr>
                    <m:t>ρ</m:t>
                  </m:r>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p</m:t>
                      </m:r>
                    </m:sub>
                  </m:sSub>
                </m:e>
              </m:acc>
            </m:num>
            <m:den>
              <m:sSub>
                <m:sSubPr>
                  <m:ctrlPr>
                    <w:rPr>
                      <w:rFonts w:ascii="Cambria Math" w:eastAsiaTheme="minorEastAsia" w:hAnsi="Cambria Math"/>
                      <w:i/>
                    </w:rPr>
                  </m:ctrlPr>
                </m:sSubPr>
                <m:e>
                  <m:r>
                    <w:rPr>
                      <w:rFonts w:ascii="Cambria Math" w:eastAsiaTheme="minorEastAsia" w:hAnsi="Cambria Math"/>
                    </w:rPr>
                    <m:t>ρ</m:t>
                  </m:r>
                </m:e>
                <m:sub>
                  <m:r>
                    <w:rPr>
                      <w:rFonts w:ascii="Cambria Math" w:eastAsiaTheme="minorEastAsia" w:hAnsi="Cambria Math"/>
                    </w:rPr>
                    <m:t>m</m:t>
                  </m:r>
                </m:sub>
              </m:sSub>
              <m:sSub>
                <m:sSubPr>
                  <m:ctrlPr>
                    <w:rPr>
                      <w:rFonts w:ascii="Cambria Math" w:eastAsiaTheme="minorEastAsia" w:hAnsi="Cambria Math"/>
                      <w:i/>
                    </w:rPr>
                  </m:ctrlPr>
                </m:sSubPr>
                <m:e>
                  <m:r>
                    <w:rPr>
                      <w:rFonts w:ascii="Cambria Math" w:eastAsiaTheme="minorEastAsia" w:hAnsi="Cambria Math"/>
                    </w:rPr>
                    <m:t>C</m:t>
                  </m:r>
                </m:e>
                <m:sub>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m</m:t>
                      </m:r>
                    </m:sub>
                  </m:sSub>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ρ</m:t>
                  </m:r>
                </m:e>
                <m:sub>
                  <m:r>
                    <w:rPr>
                      <w:rFonts w:ascii="Cambria Math" w:eastAsiaTheme="minorEastAsia" w:hAnsi="Cambria Math"/>
                    </w:rPr>
                    <m:t>g</m:t>
                  </m:r>
                </m:sub>
              </m:sSub>
              <m:sSub>
                <m:sSubPr>
                  <m:ctrlPr>
                    <w:rPr>
                      <w:rFonts w:ascii="Cambria Math" w:eastAsiaTheme="minorEastAsia" w:hAnsi="Cambria Math"/>
                      <w:i/>
                    </w:rPr>
                  </m:ctrlPr>
                </m:sSubPr>
                <m:e>
                  <m:r>
                    <w:rPr>
                      <w:rFonts w:ascii="Cambria Math" w:eastAsiaTheme="minorEastAsia" w:hAnsi="Cambria Math"/>
                    </w:rPr>
                    <m:t>C</m:t>
                  </m:r>
                </m:e>
                <m:sub>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g</m:t>
                      </m:r>
                    </m:sub>
                  </m:sSub>
                </m:sub>
              </m:sSub>
            </m:den>
          </m:f>
          <m:r>
            <w:rPr>
              <w:rFonts w:ascii="Cambria Math" w:eastAsiaTheme="minorEastAsia" w:hAnsi="Cambria Math"/>
            </w:rPr>
            <m:t xml:space="preserve">                                                          (10.13)</m:t>
          </m:r>
        </m:oMath>
      </m:oMathPara>
    </w:p>
    <w:p w14:paraId="2F5BB645" w14:textId="77777777" w:rsidR="006D3C56" w:rsidRDefault="006D3C56" w:rsidP="006D3C56">
      <w:pPr>
        <w:rPr>
          <w:rFonts w:eastAsiaTheme="minorEastAsia"/>
        </w:rPr>
      </w:pPr>
    </w:p>
    <w:p w14:paraId="12959036" w14:textId="77777777" w:rsidR="006D3C56" w:rsidRDefault="006D3C56" w:rsidP="006D3C56">
      <w:pPr>
        <w:spacing w:line="360" w:lineRule="auto"/>
        <w:ind w:firstLine="720"/>
        <w:rPr>
          <w:rFonts w:eastAsiaTheme="minorEastAsia"/>
        </w:rPr>
      </w:pPr>
      <w:r>
        <w:rPr>
          <w:rFonts w:eastAsiaTheme="minorEastAsia"/>
        </w:rPr>
        <w:lastRenderedPageBreak/>
        <w:t xml:space="preserve">A common Gaussian laser heat source expression can be written as </w:t>
      </w:r>
      <w:r>
        <w:rPr>
          <w:rFonts w:eastAsiaTheme="minorEastAsia"/>
        </w:rPr>
        <w:fldChar w:fldCharType="begin"/>
      </w:r>
      <w:r>
        <w:rPr>
          <w:rFonts w:eastAsiaTheme="minorEastAsia"/>
        </w:rPr>
        <w:instrText xml:space="preserve"> ADDIN ZOTERO_ITEM CSL_CITATION {"citationID":"mWjCLLra","properties":{"formattedCitation":"(Fu and Guo 2014)","plainCitation":"(Fu and Guo 2014)","noteIndex":0},"citationItems":[{"id":205,"uris":["http://zotero.org/users/9870952/items/A4DDEGA7"],"itemData":{"id":205,"type":"paper-conference","container-title":"2014 International Solid Freeform Fabrication Symposium","publisher":"University of Texas at Austin","source":"Google Scholar","title":"3-dimensional finite element modeling of selective laser melting Ti-6Al-4V alloy","URL":"https://repositories.lib.utexas.edu/handle/2152/89257","author":[{"family":"Fu","given":"C. H."},{"family":"Guo","given":"Y. B."}],"accessed":{"date-parts":[["2024",2,22]]},"issued":{"date-parts":[["2014"]]}}}],"schema":"https://github.com/citation-style-language/schema/raw/master/csl-citation.json"} </w:instrText>
      </w:r>
      <w:r>
        <w:rPr>
          <w:rFonts w:eastAsiaTheme="minorEastAsia"/>
        </w:rPr>
        <w:fldChar w:fldCharType="separate"/>
      </w:r>
      <w:r w:rsidRPr="00826A79">
        <w:rPr>
          <w:rFonts w:cs="Calibri"/>
        </w:rPr>
        <w:t>(Fu and Guo 2014)</w:t>
      </w:r>
      <w:r>
        <w:rPr>
          <w:rFonts w:eastAsiaTheme="minorEastAsia"/>
        </w:rPr>
        <w:fldChar w:fldCharType="end"/>
      </w:r>
      <w:r>
        <w:rPr>
          <w:rFonts w:eastAsiaTheme="minorEastAsia"/>
        </w:rPr>
        <w:t>:</w:t>
      </w:r>
    </w:p>
    <w:p w14:paraId="06706904" w14:textId="77777777" w:rsidR="006D3C56" w:rsidRDefault="006D3C56" w:rsidP="003E0F31">
      <w:pPr>
        <w:spacing w:line="360" w:lineRule="auto"/>
        <w:ind w:firstLine="720"/>
        <w:rPr>
          <w:rFonts w:eastAsiaTheme="minorEastAsia"/>
        </w:rPr>
      </w:pPr>
    </w:p>
    <w:p w14:paraId="0ECA219D" w14:textId="77777777" w:rsidR="006D3C56" w:rsidRPr="006D3C56" w:rsidRDefault="00000000" w:rsidP="006D3C56">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laser</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AP</m:t>
              </m:r>
            </m:num>
            <m:den>
              <m:r>
                <w:rPr>
                  <w:rFonts w:ascii="Cambria Math" w:eastAsiaTheme="minorEastAsia" w:hAnsi="Cambria Math"/>
                </w:rPr>
                <m:t>π</m:t>
              </m:r>
              <m:sSubSup>
                <m:sSubSupPr>
                  <m:ctrlPr>
                    <w:rPr>
                      <w:rFonts w:ascii="Cambria Math" w:eastAsiaTheme="minorEastAsia" w:hAnsi="Cambria Math"/>
                      <w:i/>
                    </w:rPr>
                  </m:ctrlPr>
                </m:sSubSupPr>
                <m:e>
                  <m:r>
                    <w:rPr>
                      <w:rFonts w:ascii="Cambria Math" w:eastAsiaTheme="minorEastAsia" w:hAnsi="Cambria Math"/>
                    </w:rPr>
                    <m:t>r</m:t>
                  </m:r>
                </m:e>
                <m:sub>
                  <m:r>
                    <w:rPr>
                      <w:rFonts w:ascii="Cambria Math" w:eastAsiaTheme="minorEastAsia" w:hAnsi="Cambria Math"/>
                    </w:rPr>
                    <m:t>0</m:t>
                  </m:r>
                </m:sub>
                <m:sup>
                  <m:r>
                    <w:rPr>
                      <w:rFonts w:ascii="Cambria Math" w:eastAsiaTheme="minorEastAsia" w:hAnsi="Cambria Math"/>
                    </w:rPr>
                    <m:t>2</m:t>
                  </m:r>
                </m:sup>
              </m:sSubSup>
            </m:den>
          </m:f>
          <m:d>
            <m:dPr>
              <m:begChr m:val="["/>
              <m:endChr m:val="]"/>
              <m:ctrlPr>
                <w:rPr>
                  <w:rFonts w:ascii="Cambria Math" w:eastAsiaTheme="minorEastAsia" w:hAnsi="Cambria Math"/>
                  <w:i/>
                </w:rPr>
              </m:ctrlPr>
            </m:dPr>
            <m:e>
              <m:r>
                <w:rPr>
                  <w:rFonts w:ascii="Cambria Math" w:eastAsiaTheme="minorEastAsia" w:hAnsi="Cambria Math"/>
                </w:rPr>
                <m:t>-B</m:t>
              </m:r>
              <m:sSup>
                <m:sSupPr>
                  <m:ctrlPr>
                    <w:rPr>
                      <w:rFonts w:ascii="Cambria Math" w:eastAsiaTheme="minorEastAsia" w:hAnsi="Cambria Math"/>
                      <w:i/>
                    </w:rPr>
                  </m:ctrlPr>
                </m:sSupPr>
                <m:e>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r</m:t>
                          </m:r>
                        </m:num>
                        <m:den>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0</m:t>
                              </m:r>
                            </m:sub>
                          </m:sSub>
                        </m:den>
                      </m:f>
                    </m:e>
                  </m:d>
                </m:e>
                <m:sup>
                  <m:r>
                    <w:rPr>
                      <w:rFonts w:ascii="Cambria Math" w:eastAsiaTheme="minorEastAsia" w:hAnsi="Cambria Math"/>
                    </w:rPr>
                    <m:t>2</m:t>
                  </m:r>
                </m:sup>
              </m:sSup>
            </m:e>
          </m:d>
          <m:r>
            <w:rPr>
              <w:rFonts w:ascii="Cambria Math" w:eastAsiaTheme="minorEastAsia" w:hAnsi="Cambria Math"/>
            </w:rPr>
            <m:t xml:space="preserve">                                                                                                  (10.14)</m:t>
          </m:r>
        </m:oMath>
      </m:oMathPara>
    </w:p>
    <w:p w14:paraId="551672EE" w14:textId="77777777" w:rsidR="006D3C56" w:rsidRDefault="006D3C56" w:rsidP="006D3C56">
      <w:pPr>
        <w:rPr>
          <w:rFonts w:eastAsiaTheme="minorEastAsia"/>
        </w:rPr>
      </w:pPr>
    </w:p>
    <w:p w14:paraId="7B784E23" w14:textId="3792E3BC" w:rsidR="006D3C56" w:rsidRDefault="006D3C56" w:rsidP="006D3C56">
      <w:pPr>
        <w:spacing w:line="360" w:lineRule="auto"/>
        <w:ind w:firstLine="720"/>
        <w:rPr>
          <w:rFonts w:eastAsiaTheme="minorEastAsia"/>
        </w:rPr>
      </w:pPr>
      <w:r>
        <w:rPr>
          <w:rFonts w:eastAsiaTheme="minorEastAsia"/>
        </w:rPr>
        <w:t xml:space="preserve">Where, </w:t>
      </w:r>
      <w:r w:rsidRPr="00BD2891">
        <w:rPr>
          <w:rFonts w:eastAsiaTheme="minorEastAsia"/>
          <w:i/>
          <w:iCs/>
        </w:rPr>
        <w:t>A</w:t>
      </w:r>
      <w:r>
        <w:rPr>
          <w:rFonts w:eastAsiaTheme="minorEastAsia"/>
        </w:rPr>
        <w:t xml:space="preserve"> is the laser absorption coefficient, </w:t>
      </w:r>
      <w:r w:rsidRPr="00BD2891">
        <w:rPr>
          <w:rFonts w:eastAsiaTheme="minorEastAsia"/>
          <w:i/>
          <w:iCs/>
        </w:rPr>
        <w:t>P</w:t>
      </w:r>
      <w:r>
        <w:rPr>
          <w:rFonts w:eastAsiaTheme="minorEastAsia"/>
        </w:rPr>
        <w:t xml:space="preserve"> is the laser power, </w:t>
      </w:r>
      <m:oMath>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0</m:t>
            </m:r>
          </m:sub>
        </m:sSub>
      </m:oMath>
      <w:r>
        <w:rPr>
          <w:rFonts w:eastAsiaTheme="minorEastAsia"/>
        </w:rPr>
        <w:t xml:space="preserve"> is the laser spot radius, </w:t>
      </w:r>
      <w:r w:rsidRPr="00BD2891">
        <w:rPr>
          <w:rFonts w:eastAsiaTheme="minorEastAsia"/>
          <w:i/>
          <w:iCs/>
        </w:rPr>
        <w:t>B</w:t>
      </w:r>
      <w:r>
        <w:rPr>
          <w:rFonts w:eastAsiaTheme="minorEastAsia"/>
        </w:rPr>
        <w:t xml:space="preserve"> is the shape factor for the Gaussian heat flux, </w:t>
      </w:r>
      <w:r w:rsidRPr="00BD2891">
        <w:rPr>
          <w:rFonts w:eastAsiaTheme="minorEastAsia"/>
          <w:i/>
          <w:iCs/>
        </w:rPr>
        <w:t>r</w:t>
      </w:r>
      <w:r>
        <w:rPr>
          <w:rFonts w:eastAsiaTheme="minorEastAsia"/>
        </w:rPr>
        <w:t xml:space="preserve"> is the distance from the beam center, </w:t>
      </w:r>
      <m:oMath>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s</m:t>
            </m:r>
          </m:sub>
        </m:sSub>
      </m:oMath>
      <w:r>
        <w:rPr>
          <w:rFonts w:eastAsiaTheme="minorEastAsia"/>
        </w:rPr>
        <w:t xml:space="preserve"> is the Stefan-Boltzmann constant, </w:t>
      </w:r>
      <w:r w:rsidRPr="001B068D">
        <w:rPr>
          <w:rFonts w:eastAsiaTheme="minorEastAsia"/>
          <w:i/>
          <w:iCs/>
        </w:rPr>
        <w:sym w:font="Symbol" w:char="F065"/>
      </w:r>
      <w:r>
        <w:rPr>
          <w:rFonts w:eastAsiaTheme="minorEastAsia"/>
        </w:rPr>
        <w:t xml:space="preserve"> is the metal emissivity. Note that </w:t>
      </w:r>
      <w:r w:rsidRPr="00BD2891">
        <w:rPr>
          <w:rFonts w:eastAsiaTheme="minorEastAsia"/>
          <w:i/>
          <w:iCs/>
        </w:rPr>
        <w:t>C</w:t>
      </w:r>
      <w:r w:rsidRPr="00BD2891">
        <w:rPr>
          <w:rFonts w:eastAsiaTheme="minorEastAsia"/>
          <w:i/>
          <w:iCs/>
          <w:vertAlign w:val="subscript"/>
        </w:rPr>
        <w:t>p</w:t>
      </w:r>
      <w:r>
        <w:rPr>
          <w:rFonts w:eastAsiaTheme="minorEastAsia"/>
        </w:rPr>
        <w:t xml:space="preserve"> in the </w:t>
      </w:r>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vap</m:t>
            </m:r>
          </m:sub>
        </m:sSub>
      </m:oMath>
      <w:r>
        <w:rPr>
          <w:rFonts w:eastAsiaTheme="minorEastAsia"/>
        </w:rPr>
        <w:t xml:space="preserve"> and </w:t>
      </w:r>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rad</m:t>
            </m:r>
          </m:sub>
        </m:sSub>
      </m:oMath>
      <w:r>
        <w:rPr>
          <w:rFonts w:eastAsiaTheme="minorEastAsia"/>
        </w:rPr>
        <w:t xml:space="preserve"> expressions above represent gravimetric heat capacity.</w:t>
      </w:r>
      <w:r w:rsidR="007B43E6">
        <w:rPr>
          <w:rFonts w:eastAsiaTheme="minorEastAsia"/>
        </w:rPr>
        <w:t xml:space="preserve"> Typical boundary conditions used for the CFD modeling in the LPBF process are: a) no-slip velocity and Neumann pressure at the liquid-solid interface, b) free-slip velocity, zero pressure (Dirichlet), and tangential surface tension on the top of the melt pool.</w:t>
      </w:r>
    </w:p>
    <w:p w14:paraId="0AB75D55" w14:textId="77777777" w:rsidR="006D3C56" w:rsidRPr="008E440B" w:rsidRDefault="006D3C56" w:rsidP="003E0F31">
      <w:pPr>
        <w:spacing w:line="360" w:lineRule="auto"/>
        <w:ind w:firstLine="720"/>
        <w:rPr>
          <w:rFonts w:eastAsiaTheme="minorEastAsia"/>
        </w:rPr>
      </w:pPr>
    </w:p>
    <w:p w14:paraId="515A8734" w14:textId="54CF2D9A" w:rsidR="006D3C56" w:rsidRDefault="006D3C56" w:rsidP="003E0F31">
      <w:pPr>
        <w:spacing w:line="360" w:lineRule="auto"/>
        <w:ind w:firstLine="720"/>
        <w:rPr>
          <w:rFonts w:eastAsiaTheme="minorEastAsia"/>
        </w:rPr>
      </w:pPr>
      <w:r w:rsidRPr="006D3C56">
        <w:rPr>
          <w:rFonts w:eastAsiaTheme="minorEastAsia"/>
          <w:i/>
          <w:iCs/>
        </w:rPr>
        <w:t>Thermal boundary conditions</w:t>
      </w:r>
      <w:r>
        <w:rPr>
          <w:rFonts w:eastAsiaTheme="minorEastAsia"/>
        </w:rPr>
        <w:t>: The boundary conditions when conducting a standard heat transfer analysis includes applying Dirichlet, Cauchy, or Neumann type boundary conditions. Radiation boundary condition employing Stefan-Boltzmann constant (equation 10.13) can be combined with convective type Neumann boundary condition. This type of boundary condition is required for specifying how the body exchanges heat with the atmosphere and/or whether a specific portion of the domain has to be kept to a certain temperature (Dirichlet boundary condition). These boundary conditions are described in any standard heat transfer textbook and are not discussed further here.</w:t>
      </w:r>
      <w:r w:rsidR="007B43E6">
        <w:rPr>
          <w:rFonts w:eastAsiaTheme="minorEastAsia"/>
        </w:rPr>
        <w:t xml:space="preserve"> During thermal modeling of the LPBF process, commonly used boundary conditions are: a) moving laser heat flux, b) convective heat transfer (with proper values of film coefficients) between substrate </w:t>
      </w:r>
      <w:r w:rsidR="007A489E">
        <w:rPr>
          <w:rFonts w:eastAsiaTheme="minorEastAsia"/>
        </w:rPr>
        <w:t xml:space="preserve">regions </w:t>
      </w:r>
      <w:r w:rsidR="007B43E6">
        <w:rPr>
          <w:rFonts w:eastAsiaTheme="minorEastAsia"/>
        </w:rPr>
        <w:t>and atmosphere</w:t>
      </w:r>
      <w:r w:rsidR="007A489E">
        <w:rPr>
          <w:rFonts w:eastAsiaTheme="minorEastAsia"/>
        </w:rPr>
        <w:t>, deposited metals and atmosphere, and between powder bed (unmelted region) and substrate, c) constant Dirichlet type condition at the bottom</w:t>
      </w:r>
      <w:r w:rsidR="009C1D17">
        <w:rPr>
          <w:rFonts w:eastAsiaTheme="minorEastAsia"/>
        </w:rPr>
        <w:t>/sides</w:t>
      </w:r>
      <w:r w:rsidR="007A489E">
        <w:rPr>
          <w:rFonts w:eastAsiaTheme="minorEastAsia"/>
        </w:rPr>
        <w:t xml:space="preserve"> of the substrate. </w:t>
      </w:r>
    </w:p>
    <w:p w14:paraId="41F37A4A" w14:textId="77777777" w:rsidR="006D3C56" w:rsidRDefault="006D3C56" w:rsidP="003E0F31">
      <w:pPr>
        <w:spacing w:line="360" w:lineRule="auto"/>
        <w:rPr>
          <w:rFonts w:eastAsiaTheme="minorEastAsia"/>
        </w:rPr>
      </w:pPr>
    </w:p>
    <w:p w14:paraId="1901C4B6" w14:textId="3EDD989D" w:rsidR="006D3C56" w:rsidRDefault="006D3C56" w:rsidP="006D3C56">
      <w:pPr>
        <w:spacing w:line="360" w:lineRule="auto"/>
        <w:ind w:firstLine="720"/>
        <w:rPr>
          <w:rFonts w:eastAsiaTheme="minorEastAsia"/>
        </w:rPr>
      </w:pPr>
      <w:r>
        <w:rPr>
          <w:rFonts w:eastAsiaTheme="minorEastAsia"/>
        </w:rPr>
        <w:t xml:space="preserve">The application of the moving </w:t>
      </w:r>
      <w:r w:rsidR="00132B8E">
        <w:rPr>
          <w:rFonts w:eastAsiaTheme="minorEastAsia"/>
        </w:rPr>
        <w:t>laser</w:t>
      </w:r>
      <w:r>
        <w:rPr>
          <w:rFonts w:eastAsiaTheme="minorEastAsia"/>
        </w:rPr>
        <w:t xml:space="preserve"> on the powder bed and the base plate underneath can be assigned with a heat flux boundary condition as given by the </w:t>
      </w:r>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laser</m:t>
            </m:r>
          </m:sub>
        </m:sSub>
      </m:oMath>
      <w:r>
        <w:rPr>
          <w:rFonts w:eastAsiaTheme="minorEastAsia"/>
        </w:rPr>
        <w:t xml:space="preserve"> expression above. This heat flux boundary condition can be a surface or a volumetric heat flux boundary condition. Typical expressions of these heat flux boundary conditions are </w:t>
      </w:r>
      <w:r>
        <w:rPr>
          <w:rFonts w:eastAsiaTheme="minorEastAsia"/>
        </w:rPr>
        <w:lastRenderedPageBreak/>
        <w:t xml:space="preserve">Gaussian in nature. A brief summary of these surface and volumetric heat fluxes can be found in </w:t>
      </w:r>
      <w:r>
        <w:rPr>
          <w:rFonts w:eastAsiaTheme="minorEastAsia"/>
        </w:rPr>
        <w:fldChar w:fldCharType="begin"/>
      </w:r>
      <w:r>
        <w:rPr>
          <w:rFonts w:eastAsiaTheme="minorEastAsia"/>
        </w:rPr>
        <w:instrText xml:space="preserve"> ADDIN ZOTERO_ITEM CSL_CITATION {"citationID":"koigCYOt","properties":{"formattedCitation":"(Fu and Guo 2014)","plainCitation":"(Fu and Guo 2014)","noteIndex":0},"citationItems":[{"id":205,"uris":["http://zotero.org/users/9870952/items/A4DDEGA7"],"itemData":{"id":205,"type":"paper-conference","container-title":"2014 International Solid Freeform Fabrication Symposium","publisher":"University of Texas at Austin","source":"Google Scholar","title":"3-dimensional finite element modeling of selective laser melting Ti-6Al-4V alloy","URL":"https://repositories.lib.utexas.edu/handle/2152/89257","author":[{"family":"Fu","given":"C. H."},{"family":"Guo","given":"Y. B."}],"accessed":{"date-parts":[["2024",2,22]]},"issued":{"date-parts":[["2014"]]}}}],"schema":"https://github.com/citation-style-language/schema/raw/master/csl-citation.json"} </w:instrText>
      </w:r>
      <w:r>
        <w:rPr>
          <w:rFonts w:eastAsiaTheme="minorEastAsia"/>
        </w:rPr>
        <w:fldChar w:fldCharType="separate"/>
      </w:r>
      <w:r w:rsidRPr="00826A79">
        <w:rPr>
          <w:rFonts w:cs="Calibri"/>
        </w:rPr>
        <w:t>(Fu and Guo 2014)</w:t>
      </w:r>
      <w:r>
        <w:rPr>
          <w:rFonts w:eastAsiaTheme="minorEastAsia"/>
        </w:rPr>
        <w:fldChar w:fldCharType="end"/>
      </w:r>
      <w:r>
        <w:rPr>
          <w:rFonts w:eastAsiaTheme="minorEastAsia"/>
        </w:rPr>
        <w:t xml:space="preserve">. </w:t>
      </w:r>
    </w:p>
    <w:p w14:paraId="58B60AF1" w14:textId="77777777" w:rsidR="006D3C56" w:rsidRDefault="006D3C56" w:rsidP="003E0F31">
      <w:pPr>
        <w:spacing w:line="360" w:lineRule="auto"/>
        <w:ind w:firstLine="720"/>
      </w:pPr>
    </w:p>
    <w:p w14:paraId="73E44664" w14:textId="1063DF28" w:rsidR="006D3C56" w:rsidRDefault="006D3C56" w:rsidP="003E0F31">
      <w:pPr>
        <w:spacing w:line="360" w:lineRule="auto"/>
        <w:ind w:firstLine="720"/>
      </w:pPr>
      <w:r>
        <w:t>Surface heat flux boundary conditions may be sufficient for thin powder bed cases. In a typical LPBF process, rapid heating of the top surface of the powder bed and comparably slower heating of the underlying layers of the powder bed lead to the generation of steep temperature gradients. Surface tension gradients can develop due to these steep temperature gradients. These surface tension gradients lead to convective flow due to the resulting shear forces that cause fluid to move from the hot to the cold region, which is termed as the Marangoni flow. Linear surface tension gradients are often assumed (</w:t>
      </w:r>
      <m:oMath>
        <m:r>
          <w:rPr>
            <w:rFonts w:ascii="Cambria Math" w:hAnsi="Cambria Math"/>
          </w:rPr>
          <m:t>∂γ/∂T</m:t>
        </m:r>
      </m:oMath>
      <w:r>
        <w:t xml:space="preserve">, is often a constant negative number called the Marangoni constant, where </w:t>
      </w:r>
      <w:r w:rsidRPr="009B6F9D">
        <w:rPr>
          <w:i/>
          <w:iCs/>
        </w:rPr>
        <w:sym w:font="Symbol" w:char="F067"/>
      </w:r>
      <w:r>
        <w:t xml:space="preserve"> is the surface tension). If the top of surface of the powder bed is considered flat, then </w:t>
      </w:r>
      <w:r w:rsidR="00033925">
        <w:t xml:space="preserve">the </w:t>
      </w:r>
      <w:r>
        <w:t>thermal-capillary convection influenced by the temperature gradient can be described by the following equation</w:t>
      </w:r>
      <w:r w:rsidR="00745C36">
        <w:t>s</w:t>
      </w:r>
      <w:r>
        <w:t>:</w:t>
      </w:r>
    </w:p>
    <w:p w14:paraId="2CEB7F44" w14:textId="77777777" w:rsidR="006D3C56" w:rsidRDefault="006D3C56" w:rsidP="006D3C56"/>
    <w:p w14:paraId="176D6716" w14:textId="77777777" w:rsidR="006D3C56" w:rsidRPr="006D3C56" w:rsidRDefault="006D3C56" w:rsidP="006D3C56">
      <w:pPr>
        <w:rPr>
          <w:rFonts w:eastAsiaTheme="minorEastAsia"/>
        </w:rPr>
      </w:pPr>
      <m:oMathPara>
        <m:oMath>
          <m:r>
            <w:rPr>
              <w:rFonts w:ascii="Cambria Math" w:hAnsi="Cambria Math"/>
            </w:rPr>
            <m:t xml:space="preserve">-γ </m:t>
          </m:r>
          <m:f>
            <m:fPr>
              <m:ctrlPr>
                <w:rPr>
                  <w:rFonts w:ascii="Cambria Math" w:hAnsi="Cambria Math"/>
                  <w:i/>
                </w:rPr>
              </m:ctrlPr>
            </m:fPr>
            <m:num>
              <m:r>
                <w:rPr>
                  <w:rFonts w:ascii="Cambria Math" w:hAnsi="Cambria Math"/>
                </w:rPr>
                <m:t>∂u</m:t>
              </m:r>
            </m:num>
            <m:den>
              <m:r>
                <w:rPr>
                  <w:rFonts w:ascii="Cambria Math" w:hAnsi="Cambria Math"/>
                </w:rPr>
                <m:t>∂z</m:t>
              </m:r>
            </m:den>
          </m:f>
          <m:r>
            <w:rPr>
              <w:rFonts w:ascii="Cambria Math" w:hAnsi="Cambria Math"/>
            </w:rPr>
            <m:t xml:space="preserve">= </m:t>
          </m:r>
          <m:f>
            <m:fPr>
              <m:ctrlPr>
                <w:rPr>
                  <w:rFonts w:ascii="Cambria Math" w:hAnsi="Cambria Math"/>
                  <w:i/>
                </w:rPr>
              </m:ctrlPr>
            </m:fPr>
            <m:num>
              <m:r>
                <w:rPr>
                  <w:rFonts w:ascii="Cambria Math" w:hAnsi="Cambria Math"/>
                </w:rPr>
                <m:t>∂γ</m:t>
              </m:r>
            </m:num>
            <m:den>
              <m:r>
                <w:rPr>
                  <w:rFonts w:ascii="Cambria Math" w:hAnsi="Cambria Math"/>
                </w:rPr>
                <m:t>∂T</m:t>
              </m:r>
            </m:den>
          </m:f>
          <m:r>
            <w:rPr>
              <w:rFonts w:ascii="Cambria Math" w:hAnsi="Cambria Math"/>
            </w:rPr>
            <m:t xml:space="preserve"> </m:t>
          </m:r>
          <m:f>
            <m:fPr>
              <m:ctrlPr>
                <w:rPr>
                  <w:rFonts w:ascii="Cambria Math" w:hAnsi="Cambria Math"/>
                  <w:i/>
                </w:rPr>
              </m:ctrlPr>
            </m:fPr>
            <m:num>
              <m:r>
                <w:rPr>
                  <w:rFonts w:ascii="Cambria Math" w:hAnsi="Cambria Math"/>
                </w:rPr>
                <m:t>∂T</m:t>
              </m:r>
            </m:num>
            <m:den>
              <m:r>
                <w:rPr>
                  <w:rFonts w:ascii="Cambria Math" w:hAnsi="Cambria Math"/>
                </w:rPr>
                <m:t>∂x</m:t>
              </m:r>
            </m:den>
          </m:f>
          <m:r>
            <w:rPr>
              <w:rFonts w:ascii="Cambria Math" w:hAnsi="Cambria Math"/>
            </w:rPr>
            <m:t xml:space="preserve">                                                                                                   (10.15)</m:t>
          </m:r>
        </m:oMath>
      </m:oMathPara>
    </w:p>
    <w:p w14:paraId="0F4E9D25" w14:textId="77777777" w:rsidR="006D3C56" w:rsidRPr="00B625B5" w:rsidRDefault="006D3C56" w:rsidP="006D3C56">
      <w:pPr>
        <w:rPr>
          <w:rFonts w:eastAsiaTheme="minorEastAsia"/>
        </w:rPr>
      </w:pPr>
    </w:p>
    <w:p w14:paraId="5B187B1A" w14:textId="77777777" w:rsidR="006D3C56" w:rsidRPr="006D3C56" w:rsidRDefault="006D3C56" w:rsidP="006D3C56">
      <w:pPr>
        <w:rPr>
          <w:rFonts w:eastAsiaTheme="minorEastAsia"/>
        </w:rPr>
      </w:pPr>
      <m:oMathPara>
        <m:oMath>
          <m:r>
            <w:rPr>
              <w:rFonts w:ascii="Cambria Math" w:hAnsi="Cambria Math"/>
            </w:rPr>
            <m:t xml:space="preserve">-γ </m:t>
          </m:r>
          <m:f>
            <m:fPr>
              <m:ctrlPr>
                <w:rPr>
                  <w:rFonts w:ascii="Cambria Math" w:hAnsi="Cambria Math"/>
                  <w:i/>
                </w:rPr>
              </m:ctrlPr>
            </m:fPr>
            <m:num>
              <m:r>
                <w:rPr>
                  <w:rFonts w:ascii="Cambria Math" w:hAnsi="Cambria Math"/>
                </w:rPr>
                <m:t>∂v</m:t>
              </m:r>
            </m:num>
            <m:den>
              <m:r>
                <w:rPr>
                  <w:rFonts w:ascii="Cambria Math" w:hAnsi="Cambria Math"/>
                </w:rPr>
                <m:t>∂z</m:t>
              </m:r>
            </m:den>
          </m:f>
          <m:r>
            <w:rPr>
              <w:rFonts w:ascii="Cambria Math" w:hAnsi="Cambria Math"/>
            </w:rPr>
            <m:t xml:space="preserve">= </m:t>
          </m:r>
          <m:f>
            <m:fPr>
              <m:ctrlPr>
                <w:rPr>
                  <w:rFonts w:ascii="Cambria Math" w:hAnsi="Cambria Math"/>
                  <w:i/>
                </w:rPr>
              </m:ctrlPr>
            </m:fPr>
            <m:num>
              <m:r>
                <w:rPr>
                  <w:rFonts w:ascii="Cambria Math" w:hAnsi="Cambria Math"/>
                </w:rPr>
                <m:t>∂γ</m:t>
              </m:r>
            </m:num>
            <m:den>
              <m:r>
                <w:rPr>
                  <w:rFonts w:ascii="Cambria Math" w:hAnsi="Cambria Math"/>
                </w:rPr>
                <m:t>∂T</m:t>
              </m:r>
            </m:den>
          </m:f>
          <m:r>
            <w:rPr>
              <w:rFonts w:ascii="Cambria Math" w:hAnsi="Cambria Math"/>
            </w:rPr>
            <m:t xml:space="preserve"> </m:t>
          </m:r>
          <m:f>
            <m:fPr>
              <m:ctrlPr>
                <w:rPr>
                  <w:rFonts w:ascii="Cambria Math" w:hAnsi="Cambria Math"/>
                  <w:i/>
                </w:rPr>
              </m:ctrlPr>
            </m:fPr>
            <m:num>
              <m:r>
                <w:rPr>
                  <w:rFonts w:ascii="Cambria Math" w:hAnsi="Cambria Math"/>
                </w:rPr>
                <m:t>∂T</m:t>
              </m:r>
            </m:num>
            <m:den>
              <m:r>
                <w:rPr>
                  <w:rFonts w:ascii="Cambria Math" w:hAnsi="Cambria Math"/>
                </w:rPr>
                <m:t>∂y</m:t>
              </m:r>
            </m:den>
          </m:f>
          <m:r>
            <w:rPr>
              <w:rFonts w:ascii="Cambria Math" w:hAnsi="Cambria Math"/>
            </w:rPr>
            <m:t xml:space="preserve">                                                                                                   (10.16)</m:t>
          </m:r>
        </m:oMath>
      </m:oMathPara>
    </w:p>
    <w:p w14:paraId="1944A509" w14:textId="77777777" w:rsidR="006D3C56" w:rsidRPr="00B625B5" w:rsidRDefault="006D3C56" w:rsidP="006D3C56">
      <w:pPr>
        <w:rPr>
          <w:rFonts w:eastAsiaTheme="minorEastAsia"/>
        </w:rPr>
      </w:pPr>
    </w:p>
    <w:p w14:paraId="5537728E" w14:textId="77777777" w:rsidR="006D3C56" w:rsidRDefault="006D3C56" w:rsidP="00E644BB">
      <w:pPr>
        <w:spacing w:line="360" w:lineRule="auto"/>
        <w:ind w:firstLine="360"/>
      </w:pPr>
      <w:r>
        <w:t>The implementation of boundary conditions at the free surface is not trivial. This is because the position of the free surface is not known a priori. Several methods have been used to find the free surface shape. These largely fall in two categories:</w:t>
      </w:r>
    </w:p>
    <w:p w14:paraId="3573C12B" w14:textId="77777777" w:rsidR="00E644BB" w:rsidRDefault="00E644BB" w:rsidP="003E0F31">
      <w:pPr>
        <w:spacing w:line="360" w:lineRule="auto"/>
        <w:ind w:firstLine="360"/>
      </w:pPr>
    </w:p>
    <w:p w14:paraId="4B3290D2" w14:textId="56348AA3" w:rsidR="006D3C56" w:rsidRPr="003E0F31" w:rsidRDefault="006D3C56" w:rsidP="003E0F31">
      <w:pPr>
        <w:pStyle w:val="ListParagraph"/>
        <w:numPr>
          <w:ilvl w:val="0"/>
          <w:numId w:val="18"/>
        </w:numPr>
        <w:spacing w:after="160" w:line="360" w:lineRule="auto"/>
        <w:rPr>
          <w:rFonts w:ascii="Times New Roman" w:hAnsi="Times New Roman"/>
          <w:sz w:val="24"/>
          <w:szCs w:val="24"/>
        </w:rPr>
      </w:pPr>
      <w:r w:rsidRPr="00E644BB">
        <w:rPr>
          <w:rFonts w:ascii="Times New Roman" w:hAnsi="Times New Roman"/>
          <w:sz w:val="24"/>
          <w:szCs w:val="24"/>
        </w:rPr>
        <w:t>In the first method, the free surface is defined as a sharp interface, whose motion is tracked during simulation. Often boundary fitted grids are applied, which are adjusted with each time</w:t>
      </w:r>
      <w:r w:rsidR="005979F0">
        <w:rPr>
          <w:rFonts w:ascii="Times New Roman" w:hAnsi="Times New Roman"/>
          <w:sz w:val="24"/>
          <w:szCs w:val="24"/>
        </w:rPr>
        <w:t xml:space="preserve"> </w:t>
      </w:r>
      <w:r w:rsidR="004D1496" w:rsidRPr="001B068D">
        <w:rPr>
          <w:rFonts w:ascii="Times New Roman" w:hAnsi="Times New Roman"/>
          <w:sz w:val="24"/>
          <w:szCs w:val="24"/>
        </w:rPr>
        <w:t>step</w:t>
      </w:r>
      <w:r w:rsidRPr="00E644BB">
        <w:rPr>
          <w:rFonts w:ascii="Times New Roman" w:hAnsi="Times New Roman"/>
          <w:sz w:val="24"/>
          <w:szCs w:val="24"/>
        </w:rPr>
        <w:t xml:space="preserve"> the free surface is advected.</w:t>
      </w:r>
    </w:p>
    <w:p w14:paraId="6C425FF4" w14:textId="77777777" w:rsidR="00E644BB" w:rsidRPr="00E644BB" w:rsidRDefault="00E644BB" w:rsidP="003E0F31">
      <w:pPr>
        <w:pStyle w:val="ListParagraph"/>
        <w:spacing w:after="160" w:line="259" w:lineRule="auto"/>
        <w:rPr>
          <w:rFonts w:ascii="Times New Roman" w:hAnsi="Times New Roman"/>
          <w:sz w:val="24"/>
          <w:szCs w:val="24"/>
        </w:rPr>
      </w:pPr>
    </w:p>
    <w:p w14:paraId="6DEA9CF5" w14:textId="38B7739F" w:rsidR="006D3C56" w:rsidRPr="003E0F31" w:rsidRDefault="006D3C56" w:rsidP="003E0F31">
      <w:pPr>
        <w:pStyle w:val="ListParagraph"/>
        <w:numPr>
          <w:ilvl w:val="0"/>
          <w:numId w:val="18"/>
        </w:numPr>
        <w:spacing w:after="160" w:line="360" w:lineRule="auto"/>
        <w:rPr>
          <w:rFonts w:ascii="Times New Roman" w:hAnsi="Times New Roman"/>
        </w:rPr>
      </w:pPr>
      <w:r w:rsidRPr="00E644BB">
        <w:rPr>
          <w:rFonts w:ascii="Times New Roman" w:hAnsi="Times New Roman"/>
          <w:sz w:val="24"/>
          <w:szCs w:val="24"/>
        </w:rPr>
        <w:t xml:space="preserve">In the second method, the free surface is not considered a sharp boundary. Usually, the computational grid extends beyond the surface. The free surface shape </w:t>
      </w:r>
      <w:r w:rsidR="004D1496">
        <w:rPr>
          <w:rFonts w:ascii="Times New Roman" w:hAnsi="Times New Roman"/>
          <w:sz w:val="24"/>
          <w:szCs w:val="24"/>
        </w:rPr>
        <w:t xml:space="preserve">and position </w:t>
      </w:r>
      <w:r w:rsidRPr="00E644BB">
        <w:rPr>
          <w:rFonts w:ascii="Times New Roman" w:hAnsi="Times New Roman"/>
          <w:sz w:val="24"/>
          <w:szCs w:val="24"/>
        </w:rPr>
        <w:t>at a given time</w:t>
      </w:r>
      <w:r w:rsidR="004D1496">
        <w:rPr>
          <w:rFonts w:ascii="Times New Roman" w:hAnsi="Times New Roman"/>
          <w:sz w:val="24"/>
          <w:szCs w:val="24"/>
        </w:rPr>
        <w:t xml:space="preserve"> are</w:t>
      </w:r>
      <w:r w:rsidRPr="00E644BB">
        <w:rPr>
          <w:rFonts w:ascii="Times New Roman" w:hAnsi="Times New Roman"/>
          <w:sz w:val="24"/>
          <w:szCs w:val="24"/>
        </w:rPr>
        <w:t xml:space="preserve"> determined by the cells which are partially filled. One popular method involves following massless particles (which are introduced in</w:t>
      </w:r>
      <w:r w:rsidR="00033925">
        <w:rPr>
          <w:rFonts w:ascii="Times New Roman" w:hAnsi="Times New Roman"/>
          <w:sz w:val="24"/>
          <w:szCs w:val="24"/>
        </w:rPr>
        <w:t>to</w:t>
      </w:r>
      <w:r w:rsidRPr="00E644BB">
        <w:rPr>
          <w:rFonts w:ascii="Times New Roman" w:hAnsi="Times New Roman"/>
          <w:sz w:val="24"/>
          <w:szCs w:val="24"/>
        </w:rPr>
        <w:t xml:space="preserve"> the initial liquid region near the free surface). This is known as the </w:t>
      </w:r>
      <w:r w:rsidRPr="00E644BB">
        <w:rPr>
          <w:rFonts w:ascii="Times New Roman" w:hAnsi="Times New Roman"/>
          <w:sz w:val="24"/>
          <w:szCs w:val="24"/>
        </w:rPr>
        <w:lastRenderedPageBreak/>
        <w:t xml:space="preserve">Marker-and-Cell or MAC scheme </w:t>
      </w:r>
      <w:r w:rsidRPr="003E0F31">
        <w:rPr>
          <w:rFonts w:ascii="Times New Roman" w:hAnsi="Times New Roman"/>
          <w:sz w:val="24"/>
          <w:szCs w:val="24"/>
        </w:rPr>
        <w:fldChar w:fldCharType="begin"/>
      </w:r>
      <w:r w:rsidRPr="00E644BB">
        <w:rPr>
          <w:rFonts w:ascii="Times New Roman" w:hAnsi="Times New Roman"/>
          <w:sz w:val="24"/>
          <w:szCs w:val="24"/>
        </w:rPr>
        <w:instrText xml:space="preserve"> ADDIN ZOTERO_ITEM CSL_CITATION {"citationID":"ZR6UInuw","properties":{"formattedCitation":"(Harlow and Welch 1965)","plainCitation":"(Harlow and Welch 1965)","noteIndex":0},"citationItems":[{"id":204,"uris":["http://zotero.org/users/9870952/items/5QS3VJ6E"],"itemData":{"id":204,"type":"article-journal","abstract":"A new technique is described for the numerical investigation of the time-dependent flow of an incompressible fluid, the boundary of which is partially confined and partially free. The full Navier-Stokes equations are written in finite-difference form, and the solution is accomplished by finite-time-step advancement. The primary dependent variables are the pressure and the velocity components. Also used is a set of marker particles which move with the fluid. The technique is called the marker and cell method. Some examples of the application of this method are presented. All non-linear effects are completely included, and the transient aspects can be computed for as much elapsed time as desired.","container-title":"The Physics of Fluids","DOI":"10.1063/1.1761178","ISSN":"0031-9171","issue":"12","language":"en","page":"2182-2189","source":"DOI.org (Crossref)","title":"Numerical Calculation of Time-Dependent Viscous Incompressible Flow of Fluid with Free Surface","volume":"8","author":[{"family":"Harlow","given":"Francis H."},{"family":"Welch","given":"J. Eddie"}],"issued":{"date-parts":[["1965",12,1]]}}}],"schema":"https://github.com/citation-style-language/schema/raw/master/csl-citation.json"} </w:instrText>
      </w:r>
      <w:r w:rsidRPr="003E0F31">
        <w:rPr>
          <w:rFonts w:ascii="Times New Roman" w:hAnsi="Times New Roman"/>
          <w:sz w:val="24"/>
          <w:szCs w:val="24"/>
        </w:rPr>
        <w:fldChar w:fldCharType="separate"/>
      </w:r>
      <w:r w:rsidRPr="00E644BB">
        <w:rPr>
          <w:rFonts w:ascii="Times New Roman" w:hAnsi="Times New Roman"/>
          <w:sz w:val="24"/>
          <w:szCs w:val="24"/>
        </w:rPr>
        <w:t>(Harlow and Welch 1965)</w:t>
      </w:r>
      <w:r w:rsidRPr="003E0F31">
        <w:rPr>
          <w:rFonts w:ascii="Times New Roman" w:hAnsi="Times New Roman"/>
          <w:sz w:val="24"/>
          <w:szCs w:val="24"/>
        </w:rPr>
        <w:fldChar w:fldCharType="end"/>
      </w:r>
      <w:r w:rsidRPr="00E644BB">
        <w:rPr>
          <w:rFonts w:ascii="Times New Roman" w:hAnsi="Times New Roman"/>
          <w:sz w:val="24"/>
          <w:szCs w:val="24"/>
        </w:rPr>
        <w:t xml:space="preserve">. Another well-known method solves a transport equation for the void fraction of the liquid phase. This is called the Volume-of-Fluid (VOF) method </w:t>
      </w:r>
      <w:r w:rsidRPr="003E0F31">
        <w:rPr>
          <w:rFonts w:ascii="Times New Roman" w:hAnsi="Times New Roman"/>
          <w:sz w:val="24"/>
          <w:szCs w:val="24"/>
        </w:rPr>
        <w:fldChar w:fldCharType="begin"/>
      </w:r>
      <w:r w:rsidRPr="00E644BB">
        <w:rPr>
          <w:rFonts w:ascii="Times New Roman" w:hAnsi="Times New Roman"/>
          <w:sz w:val="24"/>
          <w:szCs w:val="24"/>
        </w:rPr>
        <w:instrText xml:space="preserve"> ADDIN ZOTERO_ITEM CSL_CITATION {"citationID":"ODKS7T0G","properties":{"formattedCitation":"(Hirt and Nichols 1981)","plainCitation":"(Hirt and Nichols 1981)","noteIndex":0},"citationItems":[{"id":203,"uris":["http://zotero.org/users/9870952/items/3BIAJT3I"],"itemData":{"id":203,"type":"article-journal","abstract":"Several methods have been previously used to approximate free boundaries in finite-difference numerical simulations. A simple, but powerful, method is described that is based on the concept of a fractional volume of fluid (VOF). This method is shown to be more flexible and efficient than other methods for treating complicated free boundary configurations. To illustrate the method, a description is given for an incompressible hydrodynamics code, SOLA-VOF, that uses the VOF technique to track free fluid surfaces.","container-title":"Journal of Computational Physics","DOI":"10.1016/0021-9991(81)90145-5","ISSN":"0021-9991","issue":"1","journalAbbreviation":"Journal of Computational Physics","page":"201-225","source":"ScienceDirect","title":"Volume of fluid (VOF) method for the dynamics of free boundaries","volume":"39","author":[{"family":"Hirt","given":"C. W"},{"family":"Nichols","given":"B. D"}],"issued":{"date-parts":[["1981",1,1]]}}}],"schema":"https://github.com/citation-style-language/schema/raw/master/csl-citation.json"} </w:instrText>
      </w:r>
      <w:r w:rsidRPr="003E0F31">
        <w:rPr>
          <w:rFonts w:ascii="Times New Roman" w:hAnsi="Times New Roman"/>
          <w:sz w:val="24"/>
          <w:szCs w:val="24"/>
        </w:rPr>
        <w:fldChar w:fldCharType="separate"/>
      </w:r>
      <w:r w:rsidRPr="00E644BB">
        <w:rPr>
          <w:rFonts w:ascii="Times New Roman" w:hAnsi="Times New Roman"/>
          <w:sz w:val="24"/>
          <w:szCs w:val="24"/>
        </w:rPr>
        <w:t>(Hirt and Nichols 1981)</w:t>
      </w:r>
      <w:r w:rsidRPr="003E0F31">
        <w:rPr>
          <w:rFonts w:ascii="Times New Roman" w:hAnsi="Times New Roman"/>
          <w:sz w:val="24"/>
          <w:szCs w:val="24"/>
        </w:rPr>
        <w:fldChar w:fldCharType="end"/>
      </w:r>
      <w:r w:rsidRPr="00E644BB">
        <w:rPr>
          <w:rFonts w:ascii="Times New Roman" w:hAnsi="Times New Roman"/>
          <w:sz w:val="24"/>
          <w:szCs w:val="24"/>
        </w:rPr>
        <w:t>. This method has been implemented in many CFD software</w:t>
      </w:r>
      <w:r w:rsidR="00DF2C7E">
        <w:rPr>
          <w:rFonts w:ascii="Times New Roman" w:hAnsi="Times New Roman"/>
          <w:sz w:val="24"/>
          <w:szCs w:val="24"/>
        </w:rPr>
        <w:t xml:space="preserve"> packages</w:t>
      </w:r>
      <w:r w:rsidRPr="003E0F31">
        <w:rPr>
          <w:rFonts w:ascii="Times New Roman" w:hAnsi="Times New Roman"/>
        </w:rPr>
        <w:t>.</w:t>
      </w:r>
    </w:p>
    <w:p w14:paraId="067DA829" w14:textId="77777777" w:rsidR="00E644BB" w:rsidRDefault="00E644BB" w:rsidP="006D3C56"/>
    <w:p w14:paraId="5C944695" w14:textId="58B213E5" w:rsidR="006D3C56" w:rsidRDefault="006D3C56" w:rsidP="00E644BB">
      <w:pPr>
        <w:spacing w:line="360" w:lineRule="auto"/>
        <w:ind w:firstLine="360"/>
      </w:pPr>
      <w:r>
        <w:t>The pressure gradient term and the buoyancy force terms in the momentum conservation equation</w:t>
      </w:r>
      <w:r w:rsidR="00C52435">
        <w:t xml:space="preserve"> (10.6)</w:t>
      </w:r>
      <w:r>
        <w:t xml:space="preserve"> are called the source terms. Fluid flow inside the </w:t>
      </w:r>
      <w:r w:rsidR="004D1496">
        <w:t xml:space="preserve">liquid-solid </w:t>
      </w:r>
      <w:r>
        <w:t xml:space="preserve">mushy region results in </w:t>
      </w:r>
      <w:r w:rsidR="002318D2">
        <w:t xml:space="preserve">a </w:t>
      </w:r>
      <w:r>
        <w:t xml:space="preserve">pressure drop. It is assumed to be similar to a flow through a porous medium. This is often represented by </w:t>
      </w:r>
      <w:r w:rsidR="004D1496">
        <w:t xml:space="preserve">the </w:t>
      </w:r>
      <w:r>
        <w:t xml:space="preserve">Carman-Kozeny equation 10.8 above </w:t>
      </w:r>
      <w:r>
        <w:fldChar w:fldCharType="begin"/>
      </w:r>
      <w:r>
        <w:instrText xml:space="preserve"> ADDIN ZOTERO_ITEM CSL_CITATION {"citationID":"UgeX4lpO","properties":{"formattedCitation":"(Carman 1948)","plainCitation":"(Carman 1948)","noteIndex":0},"citationItems":[{"id":202,"uris":["http://zotero.org/users/9870952/items/U7NVCQ4J"],"itemData":{"id":202,"type":"article-journal","container-title":"Discussions of the Faraday Society","note":"publisher: Royal Society of Chemistry","page":"72–77","source":"Google Scholar","title":"Some physical aspects of water flow in porous media","volume":"3","author":[{"family":"Carman","given":"P. C."}],"issued":{"date-parts":[["1948"]]}}}],"schema":"https://github.com/citation-style-language/schema/raw/master/csl-citation.json"} </w:instrText>
      </w:r>
      <w:r>
        <w:fldChar w:fldCharType="separate"/>
      </w:r>
      <w:r w:rsidRPr="00826A79">
        <w:rPr>
          <w:rFonts w:cs="Calibri"/>
        </w:rPr>
        <w:t>(Carman 1948)</w:t>
      </w:r>
      <w:r>
        <w:fldChar w:fldCharType="end"/>
      </w:r>
      <w:r>
        <w:t>, which assumes that the liquid fraction in the mushy zone varies linearly between the solidus and the liquidus temperatures.</w:t>
      </w:r>
    </w:p>
    <w:p w14:paraId="7693A11F" w14:textId="77777777" w:rsidR="00E644BB" w:rsidRDefault="00E644BB" w:rsidP="003E0F31">
      <w:pPr>
        <w:spacing w:line="360" w:lineRule="auto"/>
        <w:ind w:firstLine="360"/>
      </w:pPr>
    </w:p>
    <w:p w14:paraId="3F64AB67" w14:textId="6E6D403F" w:rsidR="006D3C56" w:rsidRDefault="006D3C56" w:rsidP="003E0F31">
      <w:pPr>
        <w:spacing w:line="360" w:lineRule="auto"/>
        <w:ind w:firstLine="360"/>
      </w:pPr>
      <w:r>
        <w:t xml:space="preserve">Another key concept in AM processes is the occurrence of keyhole-mode melting, which is governed by </w:t>
      </w:r>
      <w:r w:rsidR="00033925">
        <w:t xml:space="preserve">the </w:t>
      </w:r>
      <w:r>
        <w:t xml:space="preserve">normalized enthalpy and process parameters including laser power, laser scan speed, and radius of the laser beam. The threshold for the keyhole-model melting was proposed by </w:t>
      </w:r>
      <w:r>
        <w:fldChar w:fldCharType="begin"/>
      </w:r>
      <w:r>
        <w:instrText xml:space="preserve"> ADDIN ZOTERO_ITEM CSL_CITATION {"citationID":"JhYoF1b8","properties":{"formattedCitation":"(Fan and Kovacevic 1999)","plainCitation":"(Fan and Kovacevic 1999)","noteIndex":0},"citationItems":[{"id":201,"uris":["http://zotero.org/users/9870952/items/ZDKC7I3U"],"itemData":{"id":201,"type":"article-journal","container-title":"Journal of Physics D: Applied Physics","issue":"22","note":"publisher: IOP Publishing","page":"2902","source":"Google Scholar","title":"Keyhole formation and collapse in plasma arc welding","volume":"32","author":[{"family":"Fan","given":"H. G."},{"family":"Kovacevic","given":"R."}],"issued":{"date-parts":[["1999"]]}}}],"schema":"https://github.com/citation-style-language/schema/raw/master/csl-citation.json"} </w:instrText>
      </w:r>
      <w:r>
        <w:fldChar w:fldCharType="separate"/>
      </w:r>
      <w:r w:rsidRPr="00826A79">
        <w:rPr>
          <w:rFonts w:cs="Calibri"/>
        </w:rPr>
        <w:t>(Fan and Kovacevic 1999)</w:t>
      </w:r>
      <w:r>
        <w:fldChar w:fldCharType="end"/>
      </w:r>
      <w:r>
        <w:t xml:space="preserve"> as given by the following equation:</w:t>
      </w:r>
    </w:p>
    <w:p w14:paraId="650381DA" w14:textId="77777777" w:rsidR="00E644BB" w:rsidRDefault="00E644BB" w:rsidP="003E0F31">
      <w:pPr>
        <w:ind w:firstLine="360"/>
      </w:pPr>
    </w:p>
    <w:p w14:paraId="14107021" w14:textId="77777777" w:rsidR="006D3C56" w:rsidRPr="00E644BB" w:rsidRDefault="00000000" w:rsidP="006D3C56">
      <w:pPr>
        <w:rPr>
          <w:rFonts w:eastAsiaTheme="minorEastAsia"/>
        </w:rPr>
      </w:pPr>
      <m:oMathPara>
        <m:oMath>
          <m:f>
            <m:fPr>
              <m:ctrlPr>
                <w:rPr>
                  <w:rFonts w:ascii="Cambria Math" w:hAnsi="Cambria Math"/>
                  <w:i/>
                </w:rPr>
              </m:ctrlPr>
            </m:fPr>
            <m:num>
              <m:r>
                <w:rPr>
                  <w:rFonts w:ascii="Cambria Math" w:hAnsi="Cambria Math"/>
                </w:rPr>
                <m:t>∆H</m:t>
              </m:r>
            </m:num>
            <m:den>
              <m:sSub>
                <m:sSubPr>
                  <m:ctrlPr>
                    <w:rPr>
                      <w:rFonts w:ascii="Cambria Math" w:hAnsi="Cambria Math"/>
                      <w:i/>
                    </w:rPr>
                  </m:ctrlPr>
                </m:sSubPr>
                <m:e>
                  <m:r>
                    <w:rPr>
                      <w:rFonts w:ascii="Cambria Math" w:hAnsi="Cambria Math"/>
                    </w:rPr>
                    <m:t>H</m:t>
                  </m:r>
                </m:e>
                <m:sub>
                  <m:r>
                    <w:rPr>
                      <w:rFonts w:ascii="Cambria Math" w:hAnsi="Cambria Math"/>
                    </w:rPr>
                    <m:t>m</m:t>
                  </m:r>
                </m:sub>
              </m:sSub>
            </m:den>
          </m:f>
          <m:r>
            <w:rPr>
              <w:rFonts w:ascii="Cambria Math" w:hAnsi="Cambria Math"/>
            </w:rPr>
            <m:t xml:space="preserve">= </m:t>
          </m:r>
          <m:f>
            <m:fPr>
              <m:ctrlPr>
                <w:rPr>
                  <w:rFonts w:ascii="Cambria Math" w:hAnsi="Cambria Math"/>
                  <w:i/>
                </w:rPr>
              </m:ctrlPr>
            </m:fPr>
            <m:num>
              <m:r>
                <w:rPr>
                  <w:rFonts w:ascii="Cambria Math" w:hAnsi="Cambria Math"/>
                </w:rPr>
                <m:t>π</m:t>
              </m:r>
              <m:sSub>
                <m:sSubPr>
                  <m:ctrlPr>
                    <w:rPr>
                      <w:rFonts w:ascii="Cambria Math" w:hAnsi="Cambria Math"/>
                      <w:i/>
                    </w:rPr>
                  </m:ctrlPr>
                </m:sSubPr>
                <m:e>
                  <m:r>
                    <w:rPr>
                      <w:rFonts w:ascii="Cambria Math" w:hAnsi="Cambria Math"/>
                    </w:rPr>
                    <m:t>T</m:t>
                  </m:r>
                </m:e>
                <m:sub>
                  <m:r>
                    <w:rPr>
                      <w:rFonts w:ascii="Cambria Math" w:hAnsi="Cambria Math"/>
                    </w:rPr>
                    <m:t>b</m:t>
                  </m:r>
                </m:sub>
              </m:sSub>
            </m:num>
            <m:den>
              <m:sSub>
                <m:sSubPr>
                  <m:ctrlPr>
                    <w:rPr>
                      <w:rFonts w:ascii="Cambria Math" w:hAnsi="Cambria Math"/>
                      <w:i/>
                    </w:rPr>
                  </m:ctrlPr>
                </m:sSubPr>
                <m:e>
                  <m:r>
                    <w:rPr>
                      <w:rFonts w:ascii="Cambria Math" w:hAnsi="Cambria Math"/>
                    </w:rPr>
                    <m:t>T</m:t>
                  </m:r>
                </m:e>
                <m:sub>
                  <m:r>
                    <w:rPr>
                      <w:rFonts w:ascii="Cambria Math" w:hAnsi="Cambria Math"/>
                    </w:rPr>
                    <m:t>m</m:t>
                  </m:r>
                </m:sub>
              </m:sSub>
            </m:den>
          </m:f>
          <m:r>
            <w:rPr>
              <w:rFonts w:ascii="Cambria Math" w:hAnsi="Cambria Math"/>
            </w:rPr>
            <m:t xml:space="preserve">                                                                                                             (10.17)</m:t>
          </m:r>
        </m:oMath>
      </m:oMathPara>
    </w:p>
    <w:p w14:paraId="25200474" w14:textId="77777777" w:rsidR="00E644BB" w:rsidRPr="00725E11" w:rsidRDefault="00E644BB" w:rsidP="006D3C56">
      <w:pPr>
        <w:rPr>
          <w:rFonts w:eastAsiaTheme="minorEastAsia"/>
        </w:rPr>
      </w:pPr>
    </w:p>
    <w:p w14:paraId="55AA5011" w14:textId="484D0B4A" w:rsidR="006D3C56" w:rsidRDefault="006D3C56" w:rsidP="00E644BB">
      <w:pPr>
        <w:spacing w:line="360" w:lineRule="auto"/>
        <w:ind w:firstLine="720"/>
        <w:rPr>
          <w:rFonts w:eastAsiaTheme="minorEastAsia"/>
        </w:rPr>
      </w:pPr>
      <w:r>
        <w:rPr>
          <w:rFonts w:eastAsiaTheme="minorEastAsia"/>
        </w:rPr>
        <w:t xml:space="preserve">Where, </w:t>
      </w:r>
      <m:oMath>
        <m:r>
          <w:rPr>
            <w:rFonts w:ascii="Cambria Math" w:hAnsi="Cambria Math"/>
          </w:rPr>
          <m:t>∆H</m:t>
        </m:r>
      </m:oMath>
      <w:r>
        <w:rPr>
          <w:rFonts w:eastAsiaTheme="minorEastAsia"/>
        </w:rPr>
        <w:t xml:space="preserve"> is the change in enthalpy due to latent heat of fusion, </w:t>
      </w:r>
      <m:oMath>
        <m:sSub>
          <m:sSubPr>
            <m:ctrlPr>
              <w:rPr>
                <w:rFonts w:ascii="Cambria Math" w:hAnsi="Cambria Math"/>
                <w:i/>
              </w:rPr>
            </m:ctrlPr>
          </m:sSubPr>
          <m:e>
            <m:r>
              <w:rPr>
                <w:rFonts w:ascii="Cambria Math" w:hAnsi="Cambria Math"/>
              </w:rPr>
              <m:t>H</m:t>
            </m:r>
          </m:e>
          <m:sub>
            <m:r>
              <w:rPr>
                <w:rFonts w:ascii="Cambria Math" w:hAnsi="Cambria Math"/>
              </w:rPr>
              <m:t>m</m:t>
            </m:r>
          </m:sub>
        </m:sSub>
      </m:oMath>
      <w:r>
        <w:rPr>
          <w:rFonts w:eastAsiaTheme="minorEastAsia"/>
        </w:rPr>
        <w:t xml:space="preserve"> is the enthalpy at the melting temperature, </w:t>
      </w:r>
      <m:oMath>
        <m:sSub>
          <m:sSubPr>
            <m:ctrlPr>
              <w:rPr>
                <w:rFonts w:ascii="Cambria Math" w:hAnsi="Cambria Math"/>
                <w:i/>
              </w:rPr>
            </m:ctrlPr>
          </m:sSubPr>
          <m:e>
            <m:r>
              <w:rPr>
                <w:rFonts w:ascii="Cambria Math" w:hAnsi="Cambria Math"/>
              </w:rPr>
              <m:t>T</m:t>
            </m:r>
          </m:e>
          <m:sub>
            <m:r>
              <w:rPr>
                <w:rFonts w:ascii="Cambria Math" w:hAnsi="Cambria Math"/>
              </w:rPr>
              <m:t>m</m:t>
            </m:r>
          </m:sub>
        </m:sSub>
      </m:oMath>
      <w:r>
        <w:rPr>
          <w:rFonts w:eastAsiaTheme="minorEastAsia"/>
        </w:rPr>
        <w:t xml:space="preserve"> is the melting temperature, and </w:t>
      </w:r>
      <m:oMath>
        <m:sSub>
          <m:sSubPr>
            <m:ctrlPr>
              <w:rPr>
                <w:rFonts w:ascii="Cambria Math" w:hAnsi="Cambria Math"/>
                <w:i/>
              </w:rPr>
            </m:ctrlPr>
          </m:sSubPr>
          <m:e>
            <m:r>
              <w:rPr>
                <w:rFonts w:ascii="Cambria Math" w:hAnsi="Cambria Math"/>
              </w:rPr>
              <m:t>T</m:t>
            </m:r>
          </m:e>
          <m:sub>
            <m:r>
              <w:rPr>
                <w:rFonts w:ascii="Cambria Math" w:hAnsi="Cambria Math"/>
              </w:rPr>
              <m:t>b</m:t>
            </m:r>
          </m:sub>
        </m:sSub>
      </m:oMath>
      <w:r>
        <w:rPr>
          <w:rFonts w:eastAsiaTheme="minorEastAsia"/>
        </w:rPr>
        <w:t xml:space="preserve"> is the boiling temperature of the material. A recoil momentum is developed due to the forces applied by the vaporizing material on the molten fluid if the operating temperature is high enough. This has been summarized in </w:t>
      </w:r>
      <w:r>
        <w:rPr>
          <w:rFonts w:eastAsiaTheme="minorEastAsia"/>
        </w:rPr>
        <w:fldChar w:fldCharType="begin"/>
      </w:r>
      <w:r>
        <w:rPr>
          <w:rFonts w:eastAsiaTheme="minorEastAsia"/>
        </w:rPr>
        <w:instrText xml:space="preserve"> ADDIN ZOTERO_ITEM CSL_CITATION {"citationID":"SMqTB0gv","properties":{"formattedCitation":"(Dou et al. 2008)","plainCitation":"(Dou et al. 2008)","noteIndex":0},"citationItems":[{"id":200,"uris":["http://zotero.org/users/9870952/items/EQ5MNH3L"],"itemData":{"id":200,"type":"article-journal","container-title":"Science Bulletin","DOI":"10.1007/s11434-008-0372-8","ISSN":"2095-9273, 2095-9281","issue":"17","journalAbbreviation":"Sci. Bull.","language":"en","page":"2593-2598","source":"DOI.org (Crossref)","title":"Surface tension of molten Al-Si alloy at temperatures ranging from 923 to 1123 K","volume":"53","author":[{"family":"Dou","given":"Lei"},{"family":"Yuan","given":"ZhangFu"},{"family":"Li","given":"JianQiang"},{"family":"Li","given":"Jing"},{"family":"Wang","given":"XiaoQiang"}],"issued":{"date-parts":[["2008",9]]}}}],"schema":"https://github.com/citation-style-language/schema/raw/master/csl-citation.json"} </w:instrText>
      </w:r>
      <w:r>
        <w:rPr>
          <w:rFonts w:eastAsiaTheme="minorEastAsia"/>
        </w:rPr>
        <w:fldChar w:fldCharType="separate"/>
      </w:r>
      <w:r w:rsidRPr="00826A79">
        <w:rPr>
          <w:rFonts w:cs="Calibri"/>
        </w:rPr>
        <w:t>(Dou et al. 2008)</w:t>
      </w:r>
      <w:r>
        <w:rPr>
          <w:rFonts w:eastAsiaTheme="minorEastAsia"/>
        </w:rPr>
        <w:fldChar w:fldCharType="end"/>
      </w:r>
      <w:r>
        <w:rPr>
          <w:rFonts w:eastAsiaTheme="minorEastAsia"/>
        </w:rPr>
        <w:t>.</w:t>
      </w:r>
      <w:r w:rsidR="00110CCA">
        <w:rPr>
          <w:rFonts w:eastAsiaTheme="minorEastAsia"/>
        </w:rPr>
        <w:t xml:space="preserve"> Fig. 10.11 (Gu 2022) show</w:t>
      </w:r>
      <w:r w:rsidR="000400B7">
        <w:rPr>
          <w:rFonts w:eastAsiaTheme="minorEastAsia"/>
        </w:rPr>
        <w:t>s</w:t>
      </w:r>
      <w:r w:rsidR="00110CCA">
        <w:rPr>
          <w:rFonts w:eastAsiaTheme="minorEastAsia"/>
        </w:rPr>
        <w:t xml:space="preserve"> computed temperature fields at different times into the modeling of a typical LPBF process. It can be seen that </w:t>
      </w:r>
      <w:r w:rsidR="000400B7">
        <w:rPr>
          <w:rFonts w:eastAsiaTheme="minorEastAsia"/>
        </w:rPr>
        <w:t xml:space="preserve">the </w:t>
      </w:r>
      <w:r w:rsidR="00110CCA">
        <w:rPr>
          <w:rFonts w:eastAsiaTheme="minorEastAsia"/>
        </w:rPr>
        <w:t xml:space="preserve">molten pool depth increases with time, reaching a near constant depth eventually, During the beginning of the simulation the melt pool is near conical (Fig. 10.11a) with highest temperature in </w:t>
      </w:r>
      <w:r w:rsidR="000400B7">
        <w:rPr>
          <w:rFonts w:eastAsiaTheme="minorEastAsia"/>
        </w:rPr>
        <w:t xml:space="preserve">the </w:t>
      </w:r>
      <w:r w:rsidR="00110CCA">
        <w:rPr>
          <w:rFonts w:eastAsiaTheme="minorEastAsia"/>
        </w:rPr>
        <w:t xml:space="preserve">melt pool center. Melt evaporation from the free surface results in deformation of the shape of the melt pool surface due to the resulting recoil pressure. Fig. 10.11b shows that the keyhole shaped molten pool </w:t>
      </w:r>
      <w:r w:rsidR="00110CCA">
        <w:rPr>
          <w:rFonts w:eastAsiaTheme="minorEastAsia"/>
        </w:rPr>
        <w:lastRenderedPageBreak/>
        <w:t>shape has stabilized. At 5.4 x 10</w:t>
      </w:r>
      <w:r w:rsidR="00110CCA" w:rsidRPr="001B068D">
        <w:rPr>
          <w:rFonts w:eastAsiaTheme="minorEastAsia"/>
          <w:vertAlign w:val="superscript"/>
        </w:rPr>
        <w:t>-3</w:t>
      </w:r>
      <w:r w:rsidR="00110CCA">
        <w:rPr>
          <w:rFonts w:eastAsiaTheme="minorEastAsia"/>
        </w:rPr>
        <w:t xml:space="preserve"> s into the simulation</w:t>
      </w:r>
      <w:r w:rsidR="000400B7">
        <w:rPr>
          <w:rFonts w:eastAsiaTheme="minorEastAsia"/>
        </w:rPr>
        <w:t xml:space="preserve"> (Fig. 10.11c), a collapse-free </w:t>
      </w:r>
      <w:r w:rsidR="00033925">
        <w:rPr>
          <w:rFonts w:eastAsiaTheme="minorEastAsia"/>
        </w:rPr>
        <w:t xml:space="preserve">keyhole </w:t>
      </w:r>
      <w:r w:rsidR="000400B7">
        <w:rPr>
          <w:rFonts w:eastAsiaTheme="minorEastAsia"/>
        </w:rPr>
        <w:t>is produced. At 6.0 x 10</w:t>
      </w:r>
      <w:r w:rsidR="000400B7" w:rsidRPr="00236051">
        <w:rPr>
          <w:rFonts w:eastAsiaTheme="minorEastAsia"/>
          <w:vertAlign w:val="superscript"/>
        </w:rPr>
        <w:t>-3</w:t>
      </w:r>
      <w:r w:rsidR="000400B7">
        <w:rPr>
          <w:rFonts w:eastAsiaTheme="minorEastAsia"/>
        </w:rPr>
        <w:t xml:space="preserve"> s (Fig. 10.11d), the shape of the keyhole is same as that in Fig. 10.11c, which indicates that a stable keyhole has formed at time corresponding to Fig. 10.11c. Thus, the melting process in a typical LPBF process changes from an initial conduction mode process to a keyhole-mode process.</w:t>
      </w:r>
      <w:r>
        <w:rPr>
          <w:rFonts w:eastAsiaTheme="minorEastAsia"/>
        </w:rPr>
        <w:t xml:space="preserve"> </w:t>
      </w:r>
    </w:p>
    <w:p w14:paraId="3F236B7F" w14:textId="77777777" w:rsidR="00E644BB" w:rsidRDefault="00E644BB" w:rsidP="003E0F31">
      <w:pPr>
        <w:spacing w:line="360" w:lineRule="auto"/>
        <w:ind w:firstLine="720"/>
        <w:rPr>
          <w:rFonts w:eastAsiaTheme="minorEastAsia"/>
        </w:rPr>
      </w:pPr>
    </w:p>
    <w:p w14:paraId="6CA5BA2D" w14:textId="5D6078D2" w:rsidR="006D3C56" w:rsidRDefault="003368F5" w:rsidP="00E644BB">
      <w:pPr>
        <w:spacing w:line="360" w:lineRule="auto"/>
        <w:ind w:firstLine="720"/>
        <w:rPr>
          <w:rFonts w:eastAsiaTheme="minorEastAsia"/>
        </w:rPr>
      </w:pPr>
      <w:r>
        <w:rPr>
          <w:rFonts w:eastAsiaTheme="minorEastAsia"/>
          <w:b/>
          <w:bCs/>
        </w:rPr>
        <w:t>Thermomechanical</w:t>
      </w:r>
      <w:r w:rsidRPr="00605E56">
        <w:rPr>
          <w:rFonts w:eastAsiaTheme="minorEastAsia"/>
          <w:b/>
          <w:bCs/>
        </w:rPr>
        <w:t xml:space="preserve"> </w:t>
      </w:r>
      <w:r w:rsidR="006D3C56" w:rsidRPr="00605E56">
        <w:rPr>
          <w:rFonts w:eastAsiaTheme="minorEastAsia"/>
          <w:b/>
          <w:bCs/>
        </w:rPr>
        <w:t>analysis</w:t>
      </w:r>
      <w:r w:rsidR="006D3C56">
        <w:rPr>
          <w:rFonts w:eastAsiaTheme="minorEastAsia"/>
        </w:rPr>
        <w:t>:</w:t>
      </w:r>
      <w:r w:rsidR="00E644BB">
        <w:rPr>
          <w:rFonts w:eastAsiaTheme="minorEastAsia"/>
        </w:rPr>
        <w:t xml:space="preserve"> </w:t>
      </w:r>
      <w:r>
        <w:rPr>
          <w:rFonts w:eastAsiaTheme="minorEastAsia"/>
        </w:rPr>
        <w:t xml:space="preserve">In the LPBF process, there is a complex interplay among </w:t>
      </w:r>
      <w:r w:rsidR="00797EC0">
        <w:rPr>
          <w:rFonts w:eastAsiaTheme="minorEastAsia"/>
        </w:rPr>
        <w:t>multiple</w:t>
      </w:r>
      <w:r>
        <w:rPr>
          <w:rFonts w:eastAsiaTheme="minorEastAsia"/>
        </w:rPr>
        <w:t xml:space="preserve"> physical phenomena that occur at varying temporal and spatial length scales, which govern the performance of the part when put in service. This is important for understanding the process-structure-property-performance (PSPP) relationship. The thermomechanical simulation is necessary to predict </w:t>
      </w:r>
      <w:r w:rsidR="00797EC0">
        <w:rPr>
          <w:rFonts w:eastAsiaTheme="minorEastAsia"/>
        </w:rPr>
        <w:t xml:space="preserve">the </w:t>
      </w:r>
      <w:r>
        <w:rPr>
          <w:rFonts w:eastAsiaTheme="minorEastAsia"/>
        </w:rPr>
        <w:t xml:space="preserve">residual stress </w:t>
      </w:r>
      <w:r w:rsidR="00797EC0">
        <w:rPr>
          <w:rFonts w:eastAsiaTheme="minorEastAsia"/>
        </w:rPr>
        <w:t xml:space="preserve">distribution </w:t>
      </w:r>
      <w:r>
        <w:rPr>
          <w:rFonts w:eastAsiaTheme="minorEastAsia"/>
        </w:rPr>
        <w:t xml:space="preserve">and </w:t>
      </w:r>
      <w:r w:rsidR="00797EC0">
        <w:rPr>
          <w:rFonts w:eastAsiaTheme="minorEastAsia"/>
        </w:rPr>
        <w:t xml:space="preserve">the </w:t>
      </w:r>
      <w:r>
        <w:rPr>
          <w:rFonts w:eastAsiaTheme="minorEastAsia"/>
        </w:rPr>
        <w:t>as-built part configuration based on thermal history and temperature dependent material properties</w:t>
      </w:r>
      <w:r w:rsidR="00797EC0">
        <w:rPr>
          <w:rFonts w:eastAsiaTheme="minorEastAsia"/>
        </w:rPr>
        <w:t>.</w:t>
      </w:r>
      <w:r>
        <w:rPr>
          <w:rFonts w:eastAsiaTheme="minorEastAsia"/>
        </w:rPr>
        <w:t xml:space="preserve"> </w:t>
      </w:r>
      <w:r w:rsidR="00350433">
        <w:rPr>
          <w:rFonts w:eastAsiaTheme="minorEastAsia"/>
        </w:rPr>
        <w:t>As Ref. (</w:t>
      </w:r>
      <w:r w:rsidR="00350433" w:rsidRPr="007C62FD">
        <w:rPr>
          <w:spacing w:val="-3"/>
        </w:rPr>
        <w:t>Turner et al. 2022)</w:t>
      </w:r>
      <w:r w:rsidR="00350433">
        <w:rPr>
          <w:spacing w:val="-3"/>
        </w:rPr>
        <w:t>) pointed out, the coupling between the thermal and solid mechanical</w:t>
      </w:r>
      <w:r>
        <w:rPr>
          <w:rFonts w:eastAsiaTheme="minorEastAsia"/>
        </w:rPr>
        <w:t xml:space="preserve"> </w:t>
      </w:r>
      <w:r w:rsidR="00350433">
        <w:rPr>
          <w:rFonts w:eastAsiaTheme="minorEastAsia"/>
        </w:rPr>
        <w:t xml:space="preserve">problem occurs in several ways: a) material parameters that govern stress response (e.g., Young’s modulus) depend on temperature and microstructural features and b) strain fields are dependent on temperatures and phases in the </w:t>
      </w:r>
      <w:r w:rsidR="001C4EA7">
        <w:rPr>
          <w:rFonts w:eastAsiaTheme="minorEastAsia"/>
        </w:rPr>
        <w:t>microstructure</w:t>
      </w:r>
      <w:r w:rsidR="00350433">
        <w:rPr>
          <w:rFonts w:eastAsiaTheme="minorEastAsia"/>
        </w:rPr>
        <w:t xml:space="preserve">, </w:t>
      </w:r>
      <w:r w:rsidR="001C4EA7">
        <w:rPr>
          <w:rFonts w:eastAsiaTheme="minorEastAsia"/>
        </w:rPr>
        <w:t>and c) the finite element mesh configuration is governed by the solution of the solid mechanics problem. Therefore,</w:t>
      </w:r>
      <w:r>
        <w:rPr>
          <w:rFonts w:eastAsiaTheme="minorEastAsia"/>
        </w:rPr>
        <w:t xml:space="preserve"> </w:t>
      </w:r>
      <w:r w:rsidR="001C4EA7">
        <w:rPr>
          <w:rFonts w:eastAsiaTheme="minorEastAsia"/>
        </w:rPr>
        <w:t xml:space="preserve">a </w:t>
      </w:r>
      <w:r w:rsidR="006D3C56">
        <w:rPr>
          <w:rFonts w:eastAsiaTheme="minorEastAsia"/>
        </w:rPr>
        <w:t>coupled fluid-thermal-</w:t>
      </w:r>
      <w:r w:rsidR="00A73748">
        <w:rPr>
          <w:rFonts w:eastAsiaTheme="minorEastAsia"/>
        </w:rPr>
        <w:t>thermomechanical</w:t>
      </w:r>
      <w:r w:rsidR="006D3C56">
        <w:rPr>
          <w:rFonts w:eastAsiaTheme="minorEastAsia"/>
        </w:rPr>
        <w:t>-microstructural analysis is need</w:t>
      </w:r>
      <w:r w:rsidR="00E80EA8">
        <w:rPr>
          <w:rFonts w:eastAsiaTheme="minorEastAsia"/>
        </w:rPr>
        <w:t>ed</w:t>
      </w:r>
      <w:r w:rsidR="006D3C56">
        <w:rPr>
          <w:rFonts w:eastAsiaTheme="minorEastAsia"/>
        </w:rPr>
        <w:t xml:space="preserve"> for </w:t>
      </w:r>
      <w:r>
        <w:rPr>
          <w:rFonts w:eastAsiaTheme="minorEastAsia"/>
        </w:rPr>
        <w:t xml:space="preserve">properly modeling the </w:t>
      </w:r>
      <w:r w:rsidR="006D3C56">
        <w:rPr>
          <w:rFonts w:eastAsiaTheme="minorEastAsia"/>
        </w:rPr>
        <w:t>LPBF process</w:t>
      </w:r>
      <w:r w:rsidR="00797EC0">
        <w:rPr>
          <w:rFonts w:eastAsiaTheme="minorEastAsia"/>
        </w:rPr>
        <w:t xml:space="preserve"> (see Fig. 10.8)</w:t>
      </w:r>
      <w:r w:rsidR="006D3C56">
        <w:rPr>
          <w:rFonts w:eastAsiaTheme="minorEastAsia"/>
        </w:rPr>
        <w:t xml:space="preserve">. </w:t>
      </w:r>
      <w:r w:rsidR="00797EC0">
        <w:rPr>
          <w:rFonts w:eastAsiaTheme="minorEastAsia"/>
        </w:rPr>
        <w:t xml:space="preserve">The thermomechanical </w:t>
      </w:r>
      <w:r w:rsidR="0023380E">
        <w:rPr>
          <w:rFonts w:eastAsiaTheme="minorEastAsia"/>
        </w:rPr>
        <w:t xml:space="preserve">problem is solved at the macroscopic scale with traditional finite element analysis technique. </w:t>
      </w:r>
      <w:r w:rsidR="006D3C56">
        <w:rPr>
          <w:rFonts w:eastAsiaTheme="minorEastAsia"/>
        </w:rPr>
        <w:t xml:space="preserve">However, </w:t>
      </w:r>
      <w:r w:rsidR="006F7EEA">
        <w:rPr>
          <w:rFonts w:eastAsiaTheme="minorEastAsia"/>
        </w:rPr>
        <w:t>the coupled solution approach is</w:t>
      </w:r>
      <w:r w:rsidR="006D3C56">
        <w:rPr>
          <w:rFonts w:eastAsiaTheme="minorEastAsia"/>
        </w:rPr>
        <w:t xml:space="preserve"> highly computationally intensive and infeasible from a practical standpoint. Therefore, a sequential analysis strategy is often followed (see below) </w:t>
      </w:r>
      <w:r w:rsidR="006D3C56">
        <w:rPr>
          <w:rFonts w:eastAsiaTheme="minorEastAsia"/>
        </w:rPr>
        <w:fldChar w:fldCharType="begin"/>
      </w:r>
      <w:r w:rsidR="006D3C56">
        <w:rPr>
          <w:rFonts w:eastAsiaTheme="minorEastAsia"/>
        </w:rPr>
        <w:instrText xml:space="preserve"> ADDIN ZOTERO_ITEM CSL_CITATION {"citationID":"gmRiQJXR","properties":{"formattedCitation":"(Ghosh et al. 2018)","plainCitation":"(Ghosh et al. 2018)","noteIndex":0},"citationItems":[{"id":248,"uris":["http://zotero.org/users/9870952/items/EP7XZWFC"],"itemData":{"id":248,"type":"article-journal","container-title":"Modelling and simulation in materials science and engineering","issue":"7","note":"publisher: IOP Publishing","page":"075005","source":"Google Scholar","title":"Simulation of temperature, stress and microstructure fields during laser deposition of Ti–6Al–4V","volume":"26","author":[{"family":"Ghosh","given":"Supriyo"},{"family":"McReynolds","given":"Kevin"},{"family":"Guyer","given":"Jonathan E."},{"family":"Banerjee","given":"Dilip"}],"issued":{"date-parts":[["2018"]]}}}],"schema":"https://github.com/citation-style-language/schema/raw/master/csl-citation.json"} </w:instrText>
      </w:r>
      <w:r w:rsidR="006D3C56">
        <w:rPr>
          <w:rFonts w:eastAsiaTheme="minorEastAsia"/>
        </w:rPr>
        <w:fldChar w:fldCharType="separate"/>
      </w:r>
      <w:r w:rsidR="006D3C56" w:rsidRPr="00826A79">
        <w:rPr>
          <w:rFonts w:cs="Calibri"/>
        </w:rPr>
        <w:t>(Ghosh et al. 2018)</w:t>
      </w:r>
      <w:r w:rsidR="006D3C56">
        <w:rPr>
          <w:rFonts w:eastAsiaTheme="minorEastAsia"/>
        </w:rPr>
        <w:fldChar w:fldCharType="end"/>
      </w:r>
      <w:r w:rsidR="006D3C56">
        <w:rPr>
          <w:rFonts w:eastAsiaTheme="minorEastAsia"/>
        </w:rPr>
        <w:t xml:space="preserve">. </w:t>
      </w:r>
      <w:r w:rsidR="00350433">
        <w:rPr>
          <w:rFonts w:eastAsiaTheme="minorEastAsia"/>
        </w:rPr>
        <w:t>The thermomechanical problem requires solving macroscopic balance laws of mass and liner momentum.</w:t>
      </w:r>
      <w:r w:rsidR="006F7EEA">
        <w:rPr>
          <w:rFonts w:eastAsiaTheme="minorEastAsia"/>
        </w:rPr>
        <w:t xml:space="preserve"> </w:t>
      </w:r>
      <w:r w:rsidR="00264A08">
        <w:rPr>
          <w:rFonts w:eastAsiaTheme="minorEastAsia"/>
        </w:rPr>
        <w:t xml:space="preserve">The </w:t>
      </w:r>
      <w:r w:rsidR="006D3C56">
        <w:rPr>
          <w:rFonts w:eastAsiaTheme="minorEastAsia"/>
        </w:rPr>
        <w:t>governing nonlinear stress equation is written as:</w:t>
      </w:r>
    </w:p>
    <w:p w14:paraId="26DB9FD5" w14:textId="77777777" w:rsidR="00E644BB" w:rsidRDefault="00E644BB" w:rsidP="003E0F31">
      <w:pPr>
        <w:spacing w:line="360" w:lineRule="auto"/>
        <w:ind w:firstLine="720"/>
        <w:rPr>
          <w:rFonts w:eastAsiaTheme="minorEastAsia"/>
        </w:rPr>
      </w:pPr>
    </w:p>
    <w:p w14:paraId="2CE45054" w14:textId="77777777" w:rsidR="006D3C56" w:rsidRPr="00E644BB" w:rsidRDefault="006D3C56" w:rsidP="006D3C56">
      <w:pPr>
        <w:rPr>
          <w:rFonts w:eastAsiaTheme="minorEastAsia"/>
        </w:rPr>
      </w:pPr>
      <m:oMathPara>
        <m:oMath>
          <m:r>
            <m:rPr>
              <m:sty m:val="p"/>
            </m:rPr>
            <w:rPr>
              <w:rFonts w:ascii="Cambria Math" w:eastAsiaTheme="minorEastAsia" w:hAnsi="Cambria Math"/>
            </w:rPr>
            <m:t>∇</m:t>
          </m:r>
          <m:r>
            <w:rPr>
              <w:rFonts w:ascii="Cambria Math" w:eastAsiaTheme="minorEastAsia" w:hAnsi="Cambria Math"/>
            </w:rPr>
            <m:t>.σ+f=0                                                                                                           (10.18)</m:t>
          </m:r>
        </m:oMath>
      </m:oMathPara>
    </w:p>
    <w:p w14:paraId="4CF1CAB9" w14:textId="77777777" w:rsidR="00E644BB" w:rsidRPr="00576AE9" w:rsidRDefault="00E644BB" w:rsidP="006D3C56">
      <w:pPr>
        <w:rPr>
          <w:rFonts w:eastAsiaTheme="minorEastAsia"/>
        </w:rPr>
      </w:pPr>
    </w:p>
    <w:p w14:paraId="4DEA7A5C" w14:textId="77777777" w:rsidR="006D3C56" w:rsidRDefault="006D3C56" w:rsidP="00E644BB">
      <w:pPr>
        <w:spacing w:line="360" w:lineRule="auto"/>
        <w:ind w:firstLine="720"/>
        <w:rPr>
          <w:rFonts w:eastAsiaTheme="minorEastAsia"/>
        </w:rPr>
      </w:pPr>
      <w:r>
        <w:rPr>
          <w:rFonts w:eastAsiaTheme="minorEastAsia"/>
        </w:rPr>
        <w:t>W</w:t>
      </w:r>
      <w:r w:rsidRPr="00576AE9">
        <w:rPr>
          <w:rFonts w:eastAsiaTheme="minorEastAsia"/>
        </w:rPr>
        <w:t>here</w:t>
      </w:r>
      <w:r>
        <w:rPr>
          <w:rFonts w:eastAsiaTheme="minorEastAsia"/>
        </w:rPr>
        <w:t>,</w:t>
      </w:r>
      <w:r w:rsidRPr="00576AE9">
        <w:rPr>
          <w:rFonts w:eastAsiaTheme="minorEastAsia"/>
        </w:rPr>
        <w:t xml:space="preserve"> </w:t>
      </w:r>
      <w:r w:rsidRPr="00576AE9">
        <w:rPr>
          <w:rFonts w:eastAsiaTheme="minorEastAsia"/>
          <w:i/>
          <w:iCs/>
        </w:rPr>
        <w:sym w:font="Symbol" w:char="F073"/>
      </w:r>
      <w:r w:rsidRPr="00576AE9">
        <w:rPr>
          <w:rFonts w:eastAsiaTheme="minorEastAsia"/>
        </w:rPr>
        <w:t xml:space="preserve"> is the stress tensor and </w:t>
      </w:r>
      <w:r w:rsidRPr="00576AE9">
        <w:rPr>
          <w:rFonts w:eastAsiaTheme="minorEastAsia"/>
          <w:i/>
          <w:iCs/>
        </w:rPr>
        <w:t>f</w:t>
      </w:r>
      <w:r w:rsidRPr="00576AE9">
        <w:rPr>
          <w:rFonts w:eastAsiaTheme="minorEastAsia"/>
        </w:rPr>
        <w:t xml:space="preserve"> is </w:t>
      </w:r>
      <w:r>
        <w:rPr>
          <w:rFonts w:eastAsiaTheme="minorEastAsia"/>
        </w:rPr>
        <w:t xml:space="preserve">the </w:t>
      </w:r>
      <w:r w:rsidRPr="00576AE9">
        <w:rPr>
          <w:rFonts w:eastAsiaTheme="minorEastAsia"/>
        </w:rPr>
        <w:t xml:space="preserve">internal force. </w:t>
      </w:r>
      <w:r>
        <w:rPr>
          <w:rFonts w:eastAsiaTheme="minorEastAsia"/>
        </w:rPr>
        <w:t>If</w:t>
      </w:r>
      <w:r w:rsidRPr="00576AE9">
        <w:rPr>
          <w:rFonts w:eastAsiaTheme="minorEastAsia"/>
        </w:rPr>
        <w:t xml:space="preserve"> an elasto-plastic behavior </w:t>
      </w:r>
      <w:r>
        <w:rPr>
          <w:rFonts w:eastAsiaTheme="minorEastAsia"/>
        </w:rPr>
        <w:t>is assumed for the material, the stress-strain relationship can be explained as:</w:t>
      </w:r>
    </w:p>
    <w:p w14:paraId="0833CF73" w14:textId="77777777" w:rsidR="00E644BB" w:rsidRDefault="00E644BB" w:rsidP="003E0F31">
      <w:pPr>
        <w:spacing w:line="360" w:lineRule="auto"/>
        <w:ind w:firstLine="720"/>
        <w:rPr>
          <w:rFonts w:eastAsiaTheme="minorEastAsia"/>
        </w:rPr>
      </w:pPr>
    </w:p>
    <w:p w14:paraId="3764FF14" w14:textId="77777777" w:rsidR="006D3C56" w:rsidRPr="00E644BB" w:rsidRDefault="006D3C56" w:rsidP="006D3C56">
      <w:pPr>
        <w:rPr>
          <w:rFonts w:eastAsiaTheme="minorEastAsia"/>
        </w:rPr>
      </w:pPr>
      <m:oMathPara>
        <m:oMath>
          <m:r>
            <w:rPr>
              <w:rFonts w:ascii="Cambria Math" w:eastAsiaTheme="minorEastAsia" w:hAnsi="Cambria Math"/>
            </w:rPr>
            <m:t>σ=</m:t>
          </m:r>
          <m:r>
            <m:rPr>
              <m:sty m:val="bi"/>
            </m:rPr>
            <w:rPr>
              <w:rFonts w:ascii="Cambria Math" w:eastAsiaTheme="minorEastAsia" w:hAnsi="Cambria Math"/>
            </w:rPr>
            <m:t>C</m:t>
          </m:r>
          <m:r>
            <w:rPr>
              <w:rFonts w:ascii="Cambria Math" w:eastAsiaTheme="minorEastAsia" w:hAnsi="Cambria Math"/>
            </w:rPr>
            <m:t>ϵ                                                                                                                      (10.19)</m:t>
          </m:r>
        </m:oMath>
      </m:oMathPara>
    </w:p>
    <w:p w14:paraId="674D5BF8" w14:textId="77777777" w:rsidR="00E644BB" w:rsidRDefault="00E644BB" w:rsidP="006D3C56">
      <w:pPr>
        <w:rPr>
          <w:rFonts w:eastAsiaTheme="minorEastAsia"/>
        </w:rPr>
      </w:pPr>
    </w:p>
    <w:p w14:paraId="389A6C12" w14:textId="77777777" w:rsidR="006D3C56" w:rsidRDefault="006D3C56" w:rsidP="003E0F31">
      <w:pPr>
        <w:spacing w:line="360" w:lineRule="auto"/>
        <w:ind w:firstLine="720"/>
        <w:rPr>
          <w:rFonts w:eastAsiaTheme="minorEastAsia"/>
        </w:rPr>
      </w:pPr>
      <w:r>
        <w:rPr>
          <w:rFonts w:eastAsiaTheme="minorEastAsia"/>
        </w:rPr>
        <w:t xml:space="preserve">Where </w:t>
      </w:r>
      <w:r w:rsidRPr="00576AE9">
        <w:rPr>
          <w:rFonts w:eastAsiaTheme="minorEastAsia"/>
          <w:b/>
          <w:bCs/>
          <w:i/>
          <w:iCs/>
        </w:rPr>
        <w:t>C</w:t>
      </w:r>
      <w:r>
        <w:rPr>
          <w:rFonts w:eastAsiaTheme="minorEastAsia"/>
        </w:rPr>
        <w:t xml:space="preserve"> is the material stiffness tensor and </w:t>
      </w:r>
      <w:r>
        <w:rPr>
          <w:rFonts w:eastAsiaTheme="minorEastAsia"/>
        </w:rPr>
        <w:sym w:font="Symbol" w:char="F065"/>
      </w:r>
      <w:r>
        <w:rPr>
          <w:rFonts w:eastAsiaTheme="minorEastAsia"/>
        </w:rPr>
        <w:t xml:space="preserve"> Is the total strain tensor. The total strain tensor is written as (creep strain is neglected here):</w:t>
      </w:r>
    </w:p>
    <w:p w14:paraId="7AED9323" w14:textId="77777777" w:rsidR="00E644BB" w:rsidRDefault="00E644BB" w:rsidP="006D3C56">
      <w:pPr>
        <w:rPr>
          <w:rFonts w:eastAsiaTheme="minorEastAsia"/>
        </w:rPr>
      </w:pPr>
    </w:p>
    <w:p w14:paraId="1730C529" w14:textId="77777777" w:rsidR="006D3C56" w:rsidRDefault="006D3C56" w:rsidP="006D3C56">
      <w:pPr>
        <w:rPr>
          <w:rFonts w:eastAsiaTheme="minorEastAsia"/>
        </w:rPr>
      </w:pPr>
      <m:oMathPara>
        <m:oMath>
          <m:r>
            <w:rPr>
              <w:rFonts w:ascii="Cambria Math" w:eastAsiaTheme="minorEastAsia" w:hAnsi="Cambria Math"/>
            </w:rPr>
            <m:t>ϵ=</m:t>
          </m:r>
          <m:sSub>
            <m:sSubPr>
              <m:ctrlPr>
                <w:rPr>
                  <w:rFonts w:ascii="Cambria Math" w:eastAsiaTheme="minorEastAsia" w:hAnsi="Cambria Math"/>
                  <w:i/>
                </w:rPr>
              </m:ctrlPr>
            </m:sSubPr>
            <m:e>
              <m:r>
                <w:rPr>
                  <w:rFonts w:ascii="Cambria Math" w:eastAsiaTheme="minorEastAsia" w:hAnsi="Cambria Math"/>
                </w:rPr>
                <m:t>ε</m:t>
              </m:r>
            </m:e>
            <m:sub>
              <m:r>
                <w:rPr>
                  <w:rFonts w:ascii="Cambria Math" w:eastAsiaTheme="minorEastAsia" w:hAnsi="Cambria Math"/>
                </w:rPr>
                <m:t>e</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ϵ</m:t>
              </m:r>
            </m:e>
            <m:sub>
              <m:r>
                <w:rPr>
                  <w:rFonts w:ascii="Cambria Math" w:eastAsiaTheme="minorEastAsia" w:hAnsi="Cambria Math"/>
                </w:rPr>
                <m:t>p</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ϵ</m:t>
              </m:r>
            </m:e>
            <m:sub>
              <m:r>
                <w:rPr>
                  <w:rFonts w:ascii="Cambria Math" w:eastAsiaTheme="minorEastAsia" w:hAnsi="Cambria Math"/>
                </w:rPr>
                <m:t>t</m:t>
              </m:r>
            </m:sub>
          </m:sSub>
          <m:r>
            <w:rPr>
              <w:rFonts w:ascii="Cambria Math" w:eastAsiaTheme="minorEastAsia" w:hAnsi="Cambria Math"/>
            </w:rPr>
            <m:t xml:space="preserve">                                                                                                    (10.20)</m:t>
          </m:r>
        </m:oMath>
      </m:oMathPara>
    </w:p>
    <w:p w14:paraId="68228A16" w14:textId="77777777" w:rsidR="00E644BB" w:rsidRDefault="00E644BB" w:rsidP="006D3C56">
      <w:pPr>
        <w:rPr>
          <w:rFonts w:eastAsiaTheme="minorEastAsia"/>
        </w:rPr>
      </w:pPr>
    </w:p>
    <w:p w14:paraId="45086879" w14:textId="7D20A338" w:rsidR="006D3C56" w:rsidRDefault="006D3C56" w:rsidP="003E0F31">
      <w:pPr>
        <w:spacing w:line="360" w:lineRule="auto"/>
        <w:ind w:firstLine="720"/>
        <w:rPr>
          <w:rFonts w:eastAsiaTheme="minorEastAsia"/>
        </w:rPr>
      </w:pPr>
      <w:r>
        <w:rPr>
          <w:rFonts w:eastAsiaTheme="minorEastAsia"/>
        </w:rPr>
        <w:t xml:space="preserve">Where, </w:t>
      </w:r>
      <m:oMath>
        <m:sSub>
          <m:sSubPr>
            <m:ctrlPr>
              <w:rPr>
                <w:rFonts w:ascii="Cambria Math" w:eastAsiaTheme="minorEastAsia" w:hAnsi="Cambria Math"/>
                <w:i/>
              </w:rPr>
            </m:ctrlPr>
          </m:sSubPr>
          <m:e>
            <m:r>
              <w:rPr>
                <w:rFonts w:ascii="Cambria Math" w:eastAsiaTheme="minorEastAsia" w:hAnsi="Cambria Math"/>
              </w:rPr>
              <m:t>ε</m:t>
            </m:r>
          </m:e>
          <m:sub>
            <m:r>
              <w:rPr>
                <w:rFonts w:ascii="Cambria Math" w:eastAsiaTheme="minorEastAsia" w:hAnsi="Cambria Math"/>
              </w:rPr>
              <m:t>e</m:t>
            </m:r>
          </m:sub>
        </m:sSub>
      </m:oMath>
      <w:r>
        <w:rPr>
          <w:rFonts w:eastAsiaTheme="minorEastAsia"/>
        </w:rPr>
        <w:t xml:space="preserve"> is the elastic strain tensor (eq. 10.21), </w:t>
      </w:r>
      <m:oMath>
        <m:sSub>
          <m:sSubPr>
            <m:ctrlPr>
              <w:rPr>
                <w:rFonts w:ascii="Cambria Math" w:eastAsiaTheme="minorEastAsia" w:hAnsi="Cambria Math"/>
                <w:i/>
              </w:rPr>
            </m:ctrlPr>
          </m:sSubPr>
          <m:e>
            <m:r>
              <w:rPr>
                <w:rFonts w:ascii="Cambria Math" w:eastAsiaTheme="minorEastAsia" w:hAnsi="Cambria Math"/>
              </w:rPr>
              <m:t>ϵ</m:t>
            </m:r>
          </m:e>
          <m:sub>
            <m:r>
              <w:rPr>
                <w:rFonts w:ascii="Cambria Math" w:eastAsiaTheme="minorEastAsia" w:hAnsi="Cambria Math"/>
              </w:rPr>
              <m:t>p</m:t>
            </m:r>
          </m:sub>
        </m:sSub>
      </m:oMath>
      <w:r>
        <w:rPr>
          <w:rFonts w:eastAsiaTheme="minorEastAsia"/>
        </w:rPr>
        <w:t xml:space="preserve"> is the plastic strain tensor (eq. 10.23), and </w:t>
      </w:r>
      <m:oMath>
        <m:sSub>
          <m:sSubPr>
            <m:ctrlPr>
              <w:rPr>
                <w:rFonts w:ascii="Cambria Math" w:eastAsiaTheme="minorEastAsia" w:hAnsi="Cambria Math"/>
                <w:i/>
              </w:rPr>
            </m:ctrlPr>
          </m:sSubPr>
          <m:e>
            <m:r>
              <w:rPr>
                <w:rFonts w:ascii="Cambria Math" w:eastAsiaTheme="minorEastAsia" w:hAnsi="Cambria Math"/>
              </w:rPr>
              <m:t>ϵ</m:t>
            </m:r>
          </m:e>
          <m:sub>
            <m:r>
              <w:rPr>
                <w:rFonts w:ascii="Cambria Math" w:eastAsiaTheme="minorEastAsia" w:hAnsi="Cambria Math"/>
              </w:rPr>
              <m:t>t</m:t>
            </m:r>
          </m:sub>
        </m:sSub>
      </m:oMath>
      <w:r>
        <w:rPr>
          <w:rFonts w:eastAsiaTheme="minorEastAsia"/>
        </w:rPr>
        <w:t xml:space="preserve"> is the thermal strain tensor (eq. 10.22), </w:t>
      </w:r>
      <w:r w:rsidRPr="005A73B0">
        <w:rPr>
          <w:rFonts w:eastAsiaTheme="minorEastAsia"/>
          <w:i/>
          <w:iCs/>
        </w:rPr>
        <w:t>f</w:t>
      </w:r>
      <w:r>
        <w:rPr>
          <w:rFonts w:eastAsiaTheme="minorEastAsia"/>
        </w:rPr>
        <w:t xml:space="preserve"> is the yield function (eq. 10.24), </w:t>
      </w:r>
      <m:oMath>
        <m:acc>
          <m:accPr>
            <m:chr m:val="̇"/>
            <m:ctrlPr>
              <w:rPr>
                <w:rFonts w:ascii="Cambria Math" w:hAnsi="Cambria Math"/>
                <w:i/>
                <w:kern w:val="2"/>
                <w14:ligatures w14:val="standardContextual"/>
              </w:rPr>
            </m:ctrlPr>
          </m:accPr>
          <m:e>
            <m:sSub>
              <m:sSubPr>
                <m:ctrlPr>
                  <w:rPr>
                    <w:rFonts w:ascii="Cambria Math" w:hAnsi="Cambria Math"/>
                    <w:i/>
                    <w:kern w:val="2"/>
                    <w14:ligatures w14:val="standardContextual"/>
                  </w:rPr>
                </m:ctrlPr>
              </m:sSubPr>
              <m:e>
                <m:r>
                  <w:rPr>
                    <w:rFonts w:ascii="Cambria Math" w:hAnsi="Cambria Math"/>
                  </w:rPr>
                  <m:t>ε</m:t>
                </m:r>
              </m:e>
              <m:sub>
                <m:r>
                  <w:rPr>
                    <w:rFonts w:ascii="Cambria Math" w:hAnsi="Cambria Math"/>
                  </w:rPr>
                  <m:t>p</m:t>
                </m:r>
              </m:sub>
            </m:sSub>
          </m:e>
        </m:acc>
      </m:oMath>
      <w:r>
        <w:rPr>
          <w:rFonts w:eastAsiaTheme="minorEastAsia"/>
        </w:rPr>
        <w:t xml:space="preserve"> is the plastic strain rate tensor (eq. 10.25), </w:t>
      </w:r>
      <w:r w:rsidRPr="00A47722">
        <w:rPr>
          <w:rFonts w:eastAsiaTheme="minorEastAsia"/>
          <w:i/>
          <w:iCs/>
        </w:rPr>
        <w:t>a</w:t>
      </w:r>
      <w:r>
        <w:rPr>
          <w:rFonts w:eastAsiaTheme="minorEastAsia"/>
        </w:rPr>
        <w:t xml:space="preserve"> is the flow vector (eq. 10.26). </w:t>
      </w:r>
    </w:p>
    <w:p w14:paraId="429AE602" w14:textId="77777777" w:rsidR="00E644BB" w:rsidRDefault="00E644BB" w:rsidP="006D3C56">
      <w:pPr>
        <w:rPr>
          <w:rFonts w:eastAsiaTheme="minorEastAsia"/>
        </w:rPr>
      </w:pPr>
    </w:p>
    <w:p w14:paraId="6E9CB4BC" w14:textId="77777777" w:rsidR="006D3C56" w:rsidRPr="00E644BB" w:rsidRDefault="00000000" w:rsidP="006D3C56">
      <w:pPr>
        <w:rPr>
          <w:rFonts w:eastAsiaTheme="minorEastAsia"/>
        </w:rPr>
      </w:pPr>
      <m:oMathPara>
        <m:oMath>
          <m:sSub>
            <m:sSubPr>
              <m:ctrlPr>
                <w:rPr>
                  <w:rFonts w:ascii="Cambria Math" w:eastAsiaTheme="minorEastAsia" w:hAnsi="Cambria Math"/>
                  <w:i/>
                  <w:kern w:val="2"/>
                  <w14:ligatures w14:val="standardContextual"/>
                </w:rPr>
              </m:ctrlPr>
            </m:sSubPr>
            <m:e>
              <m:r>
                <w:rPr>
                  <w:rFonts w:ascii="Cambria Math" w:eastAsiaTheme="minorEastAsia" w:hAnsi="Cambria Math"/>
                </w:rPr>
                <m:t>ε</m:t>
              </m:r>
            </m:e>
            <m:sub>
              <m:r>
                <w:rPr>
                  <w:rFonts w:ascii="Cambria Math" w:eastAsiaTheme="minorEastAsia" w:hAnsi="Cambria Math"/>
                </w:rPr>
                <m:t>e</m:t>
              </m:r>
            </m:sub>
          </m:sSub>
          <m:r>
            <w:rPr>
              <w:rFonts w:ascii="Cambria Math" w:eastAsiaTheme="minorEastAsia" w:hAnsi="Cambria Math"/>
            </w:rPr>
            <m:t>=</m:t>
          </m:r>
          <m:f>
            <m:fPr>
              <m:ctrlPr>
                <w:rPr>
                  <w:rFonts w:ascii="Cambria Math" w:eastAsiaTheme="minorEastAsia" w:hAnsi="Cambria Math"/>
                  <w:i/>
                  <w:kern w:val="2"/>
                  <w14:ligatures w14:val="standardContextual"/>
                </w:rPr>
              </m:ctrlPr>
            </m:fPr>
            <m:num>
              <m:r>
                <w:rPr>
                  <w:rFonts w:ascii="Cambria Math" w:eastAsiaTheme="minorEastAsia" w:hAnsi="Cambria Math"/>
                </w:rPr>
                <m:t>1+</m:t>
              </m:r>
              <m:r>
                <w:rPr>
                  <w:rFonts w:ascii="Cambria Math" w:eastAsiaTheme="minorEastAsia" w:hAnsi="Cambria Math"/>
                  <w:i/>
                </w:rPr>
                <w:sym w:font="Symbol" w:char="F06E"/>
              </m:r>
            </m:num>
            <m:den>
              <m:r>
                <w:rPr>
                  <w:rFonts w:ascii="Cambria Math" w:eastAsiaTheme="minorEastAsia" w:hAnsi="Cambria Math"/>
                </w:rPr>
                <m:t>E</m:t>
              </m:r>
            </m:den>
          </m:f>
          <m:r>
            <w:rPr>
              <w:rFonts w:ascii="Cambria Math" w:eastAsiaTheme="minorEastAsia" w:hAnsi="Cambria Math"/>
            </w:rPr>
            <m:t>σ-</m:t>
          </m:r>
          <m:f>
            <m:fPr>
              <m:ctrlPr>
                <w:rPr>
                  <w:rFonts w:ascii="Cambria Math" w:eastAsiaTheme="minorEastAsia" w:hAnsi="Cambria Math"/>
                  <w:i/>
                  <w:kern w:val="2"/>
                  <w14:ligatures w14:val="standardContextual"/>
                </w:rPr>
              </m:ctrlPr>
            </m:fPr>
            <m:num>
              <m:r>
                <w:rPr>
                  <w:rFonts w:ascii="Cambria Math" w:eastAsiaTheme="minorEastAsia" w:hAnsi="Cambria Math"/>
                  <w:i/>
                </w:rPr>
                <w:sym w:font="Symbol" w:char="F06E"/>
              </m:r>
            </m:num>
            <m:den>
              <m:r>
                <w:rPr>
                  <w:rFonts w:ascii="Cambria Math" w:eastAsiaTheme="minorEastAsia" w:hAnsi="Cambria Math"/>
                </w:rPr>
                <m:t>E</m:t>
              </m:r>
            </m:den>
          </m:f>
          <m:r>
            <w:rPr>
              <w:rFonts w:ascii="Cambria Math" w:eastAsiaTheme="minorEastAsia" w:hAnsi="Cambria Math"/>
            </w:rPr>
            <m:t xml:space="preserve"> Tr</m:t>
          </m:r>
          <m:d>
            <m:dPr>
              <m:ctrlPr>
                <w:rPr>
                  <w:rFonts w:ascii="Cambria Math" w:eastAsiaTheme="minorEastAsia" w:hAnsi="Cambria Math"/>
                  <w:i/>
                  <w:kern w:val="2"/>
                  <w14:ligatures w14:val="standardContextual"/>
                </w:rPr>
              </m:ctrlPr>
            </m:dPr>
            <m:e>
              <m:r>
                <w:rPr>
                  <w:rFonts w:ascii="Cambria Math" w:eastAsiaTheme="minorEastAsia" w:hAnsi="Cambria Math"/>
                </w:rPr>
                <m:t>σ</m:t>
              </m:r>
            </m:e>
          </m:d>
          <m:r>
            <w:rPr>
              <w:rFonts w:ascii="Cambria Math" w:eastAsiaTheme="minorEastAsia" w:hAnsi="Cambria Math"/>
            </w:rPr>
            <m:t xml:space="preserve"> </m:t>
          </m:r>
          <m:r>
            <m:rPr>
              <m:sty m:val="bi"/>
            </m:rPr>
            <w:rPr>
              <w:rFonts w:ascii="Cambria Math" w:eastAsiaTheme="minorEastAsia" w:hAnsi="Cambria Math"/>
            </w:rPr>
            <m:t xml:space="preserve">I                                                                                  </m:t>
          </m:r>
          <m:r>
            <w:rPr>
              <w:rFonts w:ascii="Cambria Math" w:eastAsiaTheme="minorEastAsia" w:hAnsi="Cambria Math"/>
            </w:rPr>
            <m:t>(10.21)</m:t>
          </m:r>
        </m:oMath>
      </m:oMathPara>
    </w:p>
    <w:p w14:paraId="0E5CB62F" w14:textId="77777777" w:rsidR="00E644BB" w:rsidRDefault="00E644BB" w:rsidP="006D3C56">
      <w:pPr>
        <w:rPr>
          <w:rFonts w:eastAsiaTheme="minorEastAsia"/>
        </w:rPr>
      </w:pPr>
    </w:p>
    <w:p w14:paraId="0CCE74C7" w14:textId="77777777" w:rsidR="006D3C56" w:rsidRPr="00E644BB" w:rsidRDefault="00000000" w:rsidP="006D3C56">
      <w:pPr>
        <w:rPr>
          <w:rFonts w:eastAsiaTheme="minorEastAsia"/>
          <w:kern w:val="2"/>
          <w14:ligatures w14:val="standardContextual"/>
        </w:rPr>
      </w:pPr>
      <m:oMathPara>
        <m:oMath>
          <m:sSub>
            <m:sSubPr>
              <m:ctrlPr>
                <w:rPr>
                  <w:rFonts w:ascii="Cambria Math" w:hAnsi="Cambria Math"/>
                  <w:i/>
                  <w:kern w:val="2"/>
                  <w14:ligatures w14:val="standardContextual"/>
                </w:rPr>
              </m:ctrlPr>
            </m:sSubPr>
            <m:e>
              <m:r>
                <w:rPr>
                  <w:rFonts w:ascii="Cambria Math" w:hAnsi="Cambria Math"/>
                </w:rPr>
                <m:t>ε</m:t>
              </m:r>
            </m:e>
            <m:sub>
              <m:r>
                <w:rPr>
                  <w:rFonts w:ascii="Cambria Math" w:hAnsi="Cambria Math"/>
                </w:rPr>
                <m:t>t</m:t>
              </m:r>
            </m:sub>
          </m:sSub>
          <m:r>
            <w:rPr>
              <w:rFonts w:ascii="Cambria Math" w:hAnsi="Cambria Math"/>
            </w:rPr>
            <m:t>= α</m:t>
          </m:r>
          <m:d>
            <m:dPr>
              <m:ctrlPr>
                <w:rPr>
                  <w:rFonts w:ascii="Cambria Math" w:hAnsi="Cambria Math"/>
                  <w:i/>
                  <w:kern w:val="2"/>
                  <w14:ligatures w14:val="standardContextual"/>
                </w:rPr>
              </m:ctrlPr>
            </m:dPr>
            <m:e>
              <m:r>
                <w:rPr>
                  <w:rFonts w:ascii="Cambria Math" w:hAnsi="Cambria Math"/>
                </w:rPr>
                <m:t>T-</m:t>
              </m:r>
              <m:sSub>
                <m:sSubPr>
                  <m:ctrlPr>
                    <w:rPr>
                      <w:rFonts w:ascii="Cambria Math" w:hAnsi="Cambria Math"/>
                      <w:i/>
                      <w:kern w:val="2"/>
                      <w14:ligatures w14:val="standardContextual"/>
                    </w:rPr>
                  </m:ctrlPr>
                </m:sSubPr>
                <m:e>
                  <m:r>
                    <w:rPr>
                      <w:rFonts w:ascii="Cambria Math" w:hAnsi="Cambria Math"/>
                    </w:rPr>
                    <m:t>T</m:t>
                  </m:r>
                </m:e>
                <m:sub>
                  <m:r>
                    <w:rPr>
                      <w:rFonts w:ascii="Cambria Math" w:hAnsi="Cambria Math"/>
                    </w:rPr>
                    <m:t>0</m:t>
                  </m:r>
                </m:sub>
              </m:sSub>
            </m:e>
          </m:d>
          <m:r>
            <w:rPr>
              <w:rFonts w:ascii="Cambria Math" w:hAnsi="Cambria Math"/>
              <w:kern w:val="2"/>
              <w14:ligatures w14:val="standardContextual"/>
            </w:rPr>
            <m:t xml:space="preserve">                                                                                                      (10.22)</m:t>
          </m:r>
        </m:oMath>
      </m:oMathPara>
    </w:p>
    <w:p w14:paraId="33579E18" w14:textId="77777777" w:rsidR="00E644BB" w:rsidRPr="00C2134A" w:rsidRDefault="00E644BB" w:rsidP="006D3C56">
      <w:pPr>
        <w:rPr>
          <w:rFonts w:eastAsiaTheme="minorEastAsia"/>
        </w:rPr>
      </w:pPr>
    </w:p>
    <w:p w14:paraId="6762C018" w14:textId="77777777" w:rsidR="006D3C56" w:rsidRPr="00E644BB" w:rsidRDefault="00000000" w:rsidP="006D3C56">
      <w:pPr>
        <w:rPr>
          <w:rFonts w:eastAsiaTheme="minorEastAsia"/>
          <w:kern w:val="2"/>
          <w14:ligatures w14:val="standardContextual"/>
        </w:rPr>
      </w:pPr>
      <m:oMathPara>
        <m:oMath>
          <m:sSub>
            <m:sSubPr>
              <m:ctrlPr>
                <w:rPr>
                  <w:rFonts w:ascii="Cambria Math" w:hAnsi="Cambria Math"/>
                  <w:i/>
                  <w:kern w:val="2"/>
                  <w14:ligatures w14:val="standardContextual"/>
                </w:rPr>
              </m:ctrlPr>
            </m:sSubPr>
            <m:e>
              <m:r>
                <w:rPr>
                  <w:rFonts w:ascii="Cambria Math" w:hAnsi="Cambria Math"/>
                </w:rPr>
                <m:t>ε</m:t>
              </m:r>
            </m:e>
            <m:sub>
              <m:r>
                <w:rPr>
                  <w:rFonts w:ascii="Cambria Math" w:hAnsi="Cambria Math"/>
                </w:rPr>
                <m:t>p</m:t>
              </m:r>
            </m:sub>
          </m:sSub>
          <m:r>
            <w:rPr>
              <w:rFonts w:ascii="Cambria Math" w:hAnsi="Cambria Math"/>
            </w:rPr>
            <m:t>=g</m:t>
          </m:r>
          <m:d>
            <m:dPr>
              <m:ctrlPr>
                <w:rPr>
                  <w:rFonts w:ascii="Cambria Math" w:hAnsi="Cambria Math"/>
                  <w:i/>
                  <w:kern w:val="2"/>
                  <w14:ligatures w14:val="standardContextual"/>
                </w:rPr>
              </m:ctrlPr>
            </m:dPr>
            <m:e>
              <m:sSub>
                <m:sSubPr>
                  <m:ctrlPr>
                    <w:rPr>
                      <w:rFonts w:ascii="Cambria Math" w:hAnsi="Cambria Math"/>
                      <w:i/>
                      <w:kern w:val="2"/>
                      <w14:ligatures w14:val="standardContextual"/>
                    </w:rPr>
                  </m:ctrlPr>
                </m:sSubPr>
                <m:e>
                  <m:r>
                    <w:rPr>
                      <w:rFonts w:ascii="Cambria Math" w:hAnsi="Cambria Math"/>
                    </w:rPr>
                    <m:t>σ</m:t>
                  </m:r>
                </m:e>
                <m:sub>
                  <m:r>
                    <w:rPr>
                      <w:rFonts w:ascii="Cambria Math" w:hAnsi="Cambria Math"/>
                    </w:rPr>
                    <m:t>Y</m:t>
                  </m:r>
                </m:sub>
              </m:sSub>
            </m:e>
          </m:d>
          <m:r>
            <w:rPr>
              <w:rFonts w:ascii="Cambria Math" w:hAnsi="Cambria Math"/>
              <w:kern w:val="2"/>
              <w14:ligatures w14:val="standardContextual"/>
            </w:rPr>
            <m:t xml:space="preserve">                                                                                                             (10.23)</m:t>
          </m:r>
        </m:oMath>
      </m:oMathPara>
    </w:p>
    <w:p w14:paraId="131D4D28" w14:textId="77777777" w:rsidR="00E644BB" w:rsidRPr="00193A85" w:rsidRDefault="00E644BB" w:rsidP="006D3C56">
      <w:pPr>
        <w:rPr>
          <w:rFonts w:eastAsiaTheme="minorEastAsia"/>
          <w:kern w:val="2"/>
          <w14:ligatures w14:val="standardContextual"/>
        </w:rPr>
      </w:pPr>
    </w:p>
    <w:p w14:paraId="527055B3" w14:textId="77777777" w:rsidR="006D3C56" w:rsidRPr="00E644BB" w:rsidRDefault="006D3C56" w:rsidP="006D3C56">
      <w:pPr>
        <w:rPr>
          <w:rFonts w:eastAsiaTheme="minorEastAsia"/>
        </w:rPr>
      </w:pPr>
      <m:oMathPara>
        <m:oMath>
          <m:r>
            <w:rPr>
              <w:rFonts w:ascii="Cambria Math" w:hAnsi="Cambria Math"/>
            </w:rPr>
            <m:t>f=</m:t>
          </m:r>
          <m:sSub>
            <m:sSubPr>
              <m:ctrlPr>
                <w:rPr>
                  <w:rFonts w:ascii="Cambria Math" w:hAnsi="Cambria Math"/>
                  <w:i/>
                  <w:kern w:val="2"/>
                  <w14:ligatures w14:val="standardContextual"/>
                </w:rPr>
              </m:ctrlPr>
            </m:sSubPr>
            <m:e>
              <m:r>
                <w:rPr>
                  <w:rFonts w:ascii="Cambria Math" w:hAnsi="Cambria Math"/>
                </w:rPr>
                <m:t>σ</m:t>
              </m:r>
            </m:e>
            <m:sub>
              <m:r>
                <w:rPr>
                  <w:rFonts w:ascii="Cambria Math" w:hAnsi="Cambria Math"/>
                </w:rPr>
                <m:t>m</m:t>
              </m:r>
            </m:sub>
          </m:sSub>
          <m:r>
            <w:rPr>
              <w:rFonts w:ascii="Cambria Math" w:hAnsi="Cambria Math"/>
            </w:rPr>
            <m:t xml:space="preserve">- </m:t>
          </m:r>
          <m:sSub>
            <m:sSubPr>
              <m:ctrlPr>
                <w:rPr>
                  <w:rFonts w:ascii="Cambria Math" w:hAnsi="Cambria Math"/>
                  <w:i/>
                  <w:kern w:val="2"/>
                  <w14:ligatures w14:val="standardContextual"/>
                </w:rPr>
              </m:ctrlPr>
            </m:sSubPr>
            <m:e>
              <m:r>
                <w:rPr>
                  <w:rFonts w:ascii="Cambria Math" w:hAnsi="Cambria Math"/>
                </w:rPr>
                <m:t>σ</m:t>
              </m:r>
            </m:e>
            <m:sub>
              <m:r>
                <w:rPr>
                  <w:rFonts w:ascii="Cambria Math" w:hAnsi="Cambria Math"/>
                </w:rPr>
                <m:t>Y</m:t>
              </m:r>
            </m:sub>
          </m:sSub>
          <m:d>
            <m:dPr>
              <m:ctrlPr>
                <w:rPr>
                  <w:rFonts w:ascii="Cambria Math" w:hAnsi="Cambria Math"/>
                  <w:i/>
                </w:rPr>
              </m:ctrlPr>
            </m:dPr>
            <m:e>
              <m:sSub>
                <m:sSubPr>
                  <m:ctrlPr>
                    <w:rPr>
                      <w:rFonts w:ascii="Cambria Math" w:hAnsi="Cambria Math"/>
                      <w:i/>
                      <w:kern w:val="2"/>
                      <w14:ligatures w14:val="standardContextual"/>
                    </w:rPr>
                  </m:ctrlPr>
                </m:sSubPr>
                <m:e>
                  <m:r>
                    <w:rPr>
                      <w:rFonts w:ascii="Cambria Math" w:hAnsi="Cambria Math"/>
                    </w:rPr>
                    <m:t>ε</m:t>
                  </m:r>
                </m:e>
                <m:sub>
                  <m:r>
                    <w:rPr>
                      <w:rFonts w:ascii="Cambria Math" w:hAnsi="Cambria Math"/>
                    </w:rPr>
                    <m:t>p</m:t>
                  </m:r>
                </m:sub>
              </m:sSub>
              <m:r>
                <w:rPr>
                  <w:rFonts w:ascii="Cambria Math" w:hAnsi="Cambria Math"/>
                </w:rPr>
                <m:t>, T</m:t>
              </m:r>
            </m:e>
          </m:d>
          <m:r>
            <w:rPr>
              <w:rFonts w:ascii="Cambria Math" w:hAnsi="Cambria Math"/>
            </w:rPr>
            <m:t>≤0                                                                                    (10.24)</m:t>
          </m:r>
        </m:oMath>
      </m:oMathPara>
    </w:p>
    <w:p w14:paraId="26FF7AA0" w14:textId="77777777" w:rsidR="00E644BB" w:rsidRPr="00193A85" w:rsidRDefault="00E644BB" w:rsidP="006D3C56">
      <w:pPr>
        <w:rPr>
          <w:rFonts w:eastAsiaTheme="minorEastAsia"/>
        </w:rPr>
      </w:pPr>
    </w:p>
    <w:p w14:paraId="3A948CF8" w14:textId="77777777" w:rsidR="006D3C56" w:rsidRPr="00E644BB" w:rsidRDefault="00000000" w:rsidP="006D3C56">
      <w:pPr>
        <w:rPr>
          <w:rFonts w:eastAsiaTheme="minorEastAsia"/>
        </w:rPr>
      </w:pPr>
      <m:oMathPara>
        <m:oMath>
          <m:acc>
            <m:accPr>
              <m:chr m:val="̇"/>
              <m:ctrlPr>
                <w:rPr>
                  <w:rFonts w:ascii="Cambria Math" w:hAnsi="Cambria Math"/>
                  <w:i/>
                  <w:kern w:val="2"/>
                  <w14:ligatures w14:val="standardContextual"/>
                </w:rPr>
              </m:ctrlPr>
            </m:accPr>
            <m:e>
              <m:sSub>
                <m:sSubPr>
                  <m:ctrlPr>
                    <w:rPr>
                      <w:rFonts w:ascii="Cambria Math" w:hAnsi="Cambria Math"/>
                      <w:i/>
                      <w:kern w:val="2"/>
                      <w14:ligatures w14:val="standardContextual"/>
                    </w:rPr>
                  </m:ctrlPr>
                </m:sSubPr>
                <m:e>
                  <m:r>
                    <w:rPr>
                      <w:rFonts w:ascii="Cambria Math" w:hAnsi="Cambria Math"/>
                    </w:rPr>
                    <m:t>ε</m:t>
                  </m:r>
                </m:e>
                <m:sub>
                  <m:r>
                    <w:rPr>
                      <w:rFonts w:ascii="Cambria Math" w:hAnsi="Cambria Math"/>
                    </w:rPr>
                    <m:t>p</m:t>
                  </m:r>
                </m:sub>
              </m:sSub>
            </m:e>
          </m:acc>
          <m:r>
            <w:rPr>
              <w:rFonts w:ascii="Cambria Math" w:hAnsi="Cambria Math"/>
            </w:rPr>
            <m:t xml:space="preserve">= </m:t>
          </m:r>
          <m:acc>
            <m:accPr>
              <m:chr m:val="̇"/>
              <m:ctrlPr>
                <w:rPr>
                  <w:rFonts w:ascii="Cambria Math" w:hAnsi="Cambria Math"/>
                  <w:i/>
                  <w:kern w:val="2"/>
                  <w14:ligatures w14:val="standardContextual"/>
                </w:rPr>
              </m:ctrlPr>
            </m:accPr>
            <m:e>
              <m:sSub>
                <m:sSubPr>
                  <m:ctrlPr>
                    <w:rPr>
                      <w:rFonts w:ascii="Cambria Math" w:hAnsi="Cambria Math"/>
                      <w:i/>
                      <w:kern w:val="2"/>
                      <w14:ligatures w14:val="standardContextual"/>
                    </w:rPr>
                  </m:ctrlPr>
                </m:sSubPr>
                <m:e>
                  <m:r>
                    <w:rPr>
                      <w:rFonts w:ascii="Cambria Math" w:hAnsi="Cambria Math"/>
                    </w:rPr>
                    <m:t>ε</m:t>
                  </m:r>
                </m:e>
                <m:sub>
                  <m:r>
                    <w:rPr>
                      <w:rFonts w:ascii="Cambria Math" w:hAnsi="Cambria Math"/>
                    </w:rPr>
                    <m:t>q</m:t>
                  </m:r>
                </m:sub>
              </m:sSub>
            </m:e>
          </m:acc>
          <m:r>
            <m:rPr>
              <m:sty m:val="bi"/>
            </m:rPr>
            <w:rPr>
              <w:rFonts w:ascii="Cambria Math" w:hAnsi="Cambria Math"/>
            </w:rPr>
            <m:t xml:space="preserve">a                                                                                                                </m:t>
          </m:r>
          <m:r>
            <w:rPr>
              <w:rFonts w:ascii="Cambria Math" w:hAnsi="Cambria Math"/>
            </w:rPr>
            <m:t>(10.25)</m:t>
          </m:r>
        </m:oMath>
      </m:oMathPara>
    </w:p>
    <w:p w14:paraId="706C3B7F" w14:textId="77777777" w:rsidR="00E644BB" w:rsidRPr="00193A85" w:rsidRDefault="00E644BB" w:rsidP="006D3C56">
      <w:pPr>
        <w:rPr>
          <w:rFonts w:eastAsiaTheme="minorEastAsia"/>
        </w:rPr>
      </w:pPr>
    </w:p>
    <w:p w14:paraId="6FF0D0DF" w14:textId="77777777" w:rsidR="006D3C56" w:rsidRPr="00E644BB" w:rsidRDefault="006D3C56" w:rsidP="006D3C56">
      <w:pPr>
        <w:rPr>
          <w:rFonts w:eastAsiaTheme="minorEastAsia"/>
          <w:kern w:val="2"/>
          <w14:ligatures w14:val="standardContextual"/>
        </w:rPr>
      </w:pPr>
      <m:oMathPara>
        <m:oMath>
          <m:r>
            <w:rPr>
              <w:rFonts w:ascii="Cambria Math" w:hAnsi="Cambria Math"/>
            </w:rPr>
            <m:t xml:space="preserve">a= </m:t>
          </m:r>
          <m:sSup>
            <m:sSupPr>
              <m:ctrlPr>
                <w:rPr>
                  <w:rFonts w:ascii="Cambria Math" w:hAnsi="Cambria Math"/>
                  <w:i/>
                  <w:kern w:val="2"/>
                  <w14:ligatures w14:val="standardContextual"/>
                </w:rPr>
              </m:ctrlPr>
            </m:sSupPr>
            <m:e>
              <m:d>
                <m:dPr>
                  <m:ctrlPr>
                    <w:rPr>
                      <w:rFonts w:ascii="Cambria Math" w:hAnsi="Cambria Math"/>
                      <w:i/>
                      <w:kern w:val="2"/>
                      <w14:ligatures w14:val="standardContextual"/>
                    </w:rPr>
                  </m:ctrlPr>
                </m:dPr>
                <m:e>
                  <m:f>
                    <m:fPr>
                      <m:ctrlPr>
                        <w:rPr>
                          <w:rFonts w:ascii="Cambria Math" w:hAnsi="Cambria Math"/>
                          <w:i/>
                          <w:kern w:val="2"/>
                          <w14:ligatures w14:val="standardContextual"/>
                        </w:rPr>
                      </m:ctrlPr>
                    </m:fPr>
                    <m:num>
                      <m:r>
                        <w:rPr>
                          <w:rFonts w:ascii="Cambria Math" w:hAnsi="Cambria Math"/>
                        </w:rPr>
                        <m:t>∂f</m:t>
                      </m:r>
                    </m:num>
                    <m:den>
                      <m:r>
                        <w:rPr>
                          <w:rFonts w:ascii="Cambria Math" w:hAnsi="Cambria Math"/>
                        </w:rPr>
                        <m:t>∂σ</m:t>
                      </m:r>
                    </m:den>
                  </m:f>
                </m:e>
              </m:d>
            </m:e>
            <m:sup>
              <m:r>
                <w:rPr>
                  <w:rFonts w:ascii="Cambria Math" w:hAnsi="Cambria Math"/>
                </w:rPr>
                <m:t>T</m:t>
              </m:r>
            </m:sup>
          </m:sSup>
          <m:r>
            <w:rPr>
              <w:rFonts w:ascii="Cambria Math" w:hAnsi="Cambria Math"/>
              <w:kern w:val="2"/>
              <w14:ligatures w14:val="standardContextual"/>
            </w:rPr>
            <m:t xml:space="preserve">                                                                                                           (10.26)</m:t>
          </m:r>
        </m:oMath>
      </m:oMathPara>
    </w:p>
    <w:p w14:paraId="73E9B0AC" w14:textId="77777777" w:rsidR="00E644BB" w:rsidRDefault="00E644BB" w:rsidP="006D3C56">
      <w:pPr>
        <w:rPr>
          <w:rFonts w:eastAsiaTheme="minorEastAsia"/>
        </w:rPr>
      </w:pPr>
    </w:p>
    <w:p w14:paraId="0489DF7F" w14:textId="77777777" w:rsidR="006D3C56" w:rsidRDefault="006D3C56" w:rsidP="003E0F31">
      <w:pPr>
        <w:spacing w:line="360" w:lineRule="auto"/>
        <w:ind w:firstLine="720"/>
        <w:rPr>
          <w:rFonts w:eastAsiaTheme="minorEastAsia"/>
        </w:rPr>
      </w:pPr>
      <w:r>
        <w:rPr>
          <w:rFonts w:eastAsiaTheme="minorEastAsia"/>
        </w:rPr>
        <w:t xml:space="preserve">Where, </w:t>
      </w:r>
      <w:r w:rsidRPr="00A47722">
        <w:rPr>
          <w:rFonts w:eastAsiaTheme="minorEastAsia"/>
          <w:i/>
          <w:iCs/>
        </w:rPr>
        <w:t>E</w:t>
      </w:r>
      <w:r>
        <w:rPr>
          <w:rFonts w:eastAsiaTheme="minorEastAsia"/>
        </w:rPr>
        <w:t xml:space="preserve"> is the Young’s modulus, </w:t>
      </w:r>
      <w:r w:rsidRPr="00A47722">
        <w:rPr>
          <w:rFonts w:eastAsiaTheme="minorEastAsia"/>
          <w:i/>
          <w:iCs/>
        </w:rPr>
        <w:sym w:font="Symbol" w:char="F06E"/>
      </w:r>
      <w:r>
        <w:rPr>
          <w:rFonts w:eastAsiaTheme="minorEastAsia"/>
        </w:rPr>
        <w:t xml:space="preserve"> is the Poisson’s ratio, </w:t>
      </w:r>
      <w:r w:rsidRPr="00A47722">
        <w:rPr>
          <w:rFonts w:eastAsiaTheme="minorEastAsia"/>
          <w:b/>
          <w:bCs/>
          <w:i/>
          <w:iCs/>
        </w:rPr>
        <w:t>I</w:t>
      </w:r>
      <w:r>
        <w:rPr>
          <w:rFonts w:eastAsiaTheme="minorEastAsia"/>
        </w:rPr>
        <w:t xml:space="preserve"> is the identity matrix, </w:t>
      </w:r>
      <w:r w:rsidRPr="00A47722">
        <w:rPr>
          <w:rFonts w:eastAsiaTheme="minorEastAsia"/>
          <w:i/>
          <w:iCs/>
        </w:rPr>
        <w:sym w:font="Symbol" w:char="F061"/>
      </w:r>
      <w:r>
        <w:rPr>
          <w:rFonts w:eastAsiaTheme="minorEastAsia"/>
        </w:rPr>
        <w:t xml:space="preserve">  is the coefficient of thermal expansion, </w:t>
      </w:r>
      <w:r w:rsidRPr="00A47722">
        <w:rPr>
          <w:rFonts w:eastAsiaTheme="minorEastAsia"/>
          <w:i/>
          <w:iCs/>
        </w:rPr>
        <w:t>T</w:t>
      </w:r>
      <w:r>
        <w:rPr>
          <w:rFonts w:eastAsiaTheme="minorEastAsia"/>
        </w:rPr>
        <w:t xml:space="preserve"> is the temperature, </w:t>
      </w:r>
      <w:r w:rsidRPr="00A47722">
        <w:rPr>
          <w:rFonts w:eastAsiaTheme="minorEastAsia"/>
          <w:i/>
          <w:iCs/>
        </w:rPr>
        <w:t>T</w:t>
      </w:r>
      <w:r w:rsidRPr="00A47722">
        <w:rPr>
          <w:rFonts w:eastAsiaTheme="minorEastAsia"/>
          <w:i/>
          <w:iCs/>
          <w:vertAlign w:val="subscript"/>
        </w:rPr>
        <w:t>0</w:t>
      </w:r>
      <w:r>
        <w:rPr>
          <w:rFonts w:eastAsiaTheme="minorEastAsia"/>
        </w:rPr>
        <w:t xml:space="preserve"> is the initial reference temperature, </w:t>
      </w:r>
      <m:oMath>
        <m:r>
          <w:rPr>
            <w:rFonts w:ascii="Cambria Math" w:hAnsi="Cambria Math"/>
          </w:rPr>
          <m:t>g</m:t>
        </m:r>
        <m:d>
          <m:dPr>
            <m:ctrlPr>
              <w:rPr>
                <w:rFonts w:ascii="Cambria Math" w:hAnsi="Cambria Math"/>
                <w:i/>
                <w:kern w:val="2"/>
                <w14:ligatures w14:val="standardContextual"/>
              </w:rPr>
            </m:ctrlPr>
          </m:dPr>
          <m:e>
            <m:sSub>
              <m:sSubPr>
                <m:ctrlPr>
                  <w:rPr>
                    <w:rFonts w:ascii="Cambria Math" w:hAnsi="Cambria Math"/>
                    <w:i/>
                    <w:kern w:val="2"/>
                    <w14:ligatures w14:val="standardContextual"/>
                  </w:rPr>
                </m:ctrlPr>
              </m:sSubPr>
              <m:e>
                <m:r>
                  <w:rPr>
                    <w:rFonts w:ascii="Cambria Math" w:hAnsi="Cambria Math"/>
                  </w:rPr>
                  <m:t>σ</m:t>
                </m:r>
              </m:e>
              <m:sub>
                <m:r>
                  <w:rPr>
                    <w:rFonts w:ascii="Cambria Math" w:hAnsi="Cambria Math"/>
                  </w:rPr>
                  <m:t>Y</m:t>
                </m:r>
              </m:sub>
            </m:sSub>
          </m:e>
        </m:d>
      </m:oMath>
      <w:r>
        <w:rPr>
          <w:rFonts w:eastAsiaTheme="minorEastAsia"/>
        </w:rPr>
        <w:t xml:space="preserve"> a function related to yield strength, </w:t>
      </w:r>
      <m:oMath>
        <m:sSub>
          <m:sSubPr>
            <m:ctrlPr>
              <w:rPr>
                <w:rFonts w:ascii="Cambria Math" w:hAnsi="Cambria Math"/>
                <w:i/>
                <w:kern w:val="2"/>
                <w14:ligatures w14:val="standardContextual"/>
              </w:rPr>
            </m:ctrlPr>
          </m:sSubPr>
          <m:e>
            <m:r>
              <w:rPr>
                <w:rFonts w:ascii="Cambria Math" w:hAnsi="Cambria Math"/>
              </w:rPr>
              <m:t>σ</m:t>
            </m:r>
          </m:e>
          <m:sub>
            <m:r>
              <w:rPr>
                <w:rFonts w:ascii="Cambria Math" w:hAnsi="Cambria Math"/>
              </w:rPr>
              <m:t>Y</m:t>
            </m:r>
          </m:sub>
        </m:sSub>
      </m:oMath>
      <w:r>
        <w:rPr>
          <w:rFonts w:eastAsiaTheme="minorEastAsia"/>
        </w:rPr>
        <w:t xml:space="preserve">, </w:t>
      </w:r>
      <m:oMath>
        <m:sSub>
          <m:sSubPr>
            <m:ctrlPr>
              <w:rPr>
                <w:rFonts w:ascii="Cambria Math" w:hAnsi="Cambria Math"/>
                <w:i/>
                <w:kern w:val="2"/>
                <w14:ligatures w14:val="standardContextual"/>
              </w:rPr>
            </m:ctrlPr>
          </m:sSubPr>
          <m:e>
            <m:r>
              <w:rPr>
                <w:rFonts w:ascii="Cambria Math" w:hAnsi="Cambria Math"/>
              </w:rPr>
              <m:t>σ</m:t>
            </m:r>
          </m:e>
          <m:sub>
            <m:r>
              <w:rPr>
                <w:rFonts w:ascii="Cambria Math" w:hAnsi="Cambria Math"/>
              </w:rPr>
              <m:t>m</m:t>
            </m:r>
          </m:sub>
        </m:sSub>
      </m:oMath>
      <w:r>
        <w:rPr>
          <w:rFonts w:eastAsiaTheme="minorEastAsia"/>
        </w:rPr>
        <w:t xml:space="preserve"> is the von Mises stress, and </w:t>
      </w:r>
      <m:oMath>
        <m:acc>
          <m:accPr>
            <m:chr m:val="̇"/>
            <m:ctrlPr>
              <w:rPr>
                <w:rFonts w:ascii="Cambria Math" w:hAnsi="Cambria Math"/>
                <w:i/>
                <w:kern w:val="2"/>
                <w14:ligatures w14:val="standardContextual"/>
              </w:rPr>
            </m:ctrlPr>
          </m:accPr>
          <m:e>
            <m:sSub>
              <m:sSubPr>
                <m:ctrlPr>
                  <w:rPr>
                    <w:rFonts w:ascii="Cambria Math" w:hAnsi="Cambria Math"/>
                    <w:i/>
                    <w:kern w:val="2"/>
                    <w14:ligatures w14:val="standardContextual"/>
                  </w:rPr>
                </m:ctrlPr>
              </m:sSubPr>
              <m:e>
                <m:r>
                  <w:rPr>
                    <w:rFonts w:ascii="Cambria Math" w:hAnsi="Cambria Math"/>
                  </w:rPr>
                  <m:t>ε</m:t>
                </m:r>
              </m:e>
              <m:sub>
                <m:r>
                  <w:rPr>
                    <w:rFonts w:ascii="Cambria Math" w:hAnsi="Cambria Math"/>
                  </w:rPr>
                  <m:t>q</m:t>
                </m:r>
              </m:sub>
            </m:sSub>
          </m:e>
        </m:acc>
      </m:oMath>
      <w:r>
        <w:rPr>
          <w:rFonts w:eastAsiaTheme="minorEastAsia"/>
        </w:rPr>
        <w:t xml:space="preserve"> is the equivalent plastic strain rate tensor. A suitable yield criterion (e.g., von Mises etc.) and hardening law are needed to describe stress-strain behavior in the plastic regime. Often, plastic behavior with isotropic hardening is assumed and hence, the plastic strain can be calculated by enforcing von Mises yield criterion and the Prandtl-Reuss flow rule </w:t>
      </w:r>
      <w:r>
        <w:rPr>
          <w:rFonts w:eastAsiaTheme="minorEastAsia"/>
        </w:rPr>
        <w:fldChar w:fldCharType="begin"/>
      </w:r>
      <w:r>
        <w:rPr>
          <w:rFonts w:eastAsiaTheme="minorEastAsia"/>
        </w:rPr>
        <w:instrText xml:space="preserve"> ADDIN ZOTERO_ITEM CSL_CITATION {"citationID":"anHtc0eL","properties":{"formattedCitation":"(Ghosh et al. 2018)","plainCitation":"(Ghosh et al. 2018)","noteIndex":0},"citationItems":[{"id":248,"uris":["http://zotero.org/users/9870952/items/EP7XZWFC"],"itemData":{"id":248,"type":"article-journal","container-title":"Modelling and simulation in materials science and engineering","issue":"7","note":"publisher: IOP Publishing","page":"075005","source":"Google Scholar","title":"Simulation of temperature, stress and microstructure fields during laser deposition of Ti–6Al–4V","volume":"26","author":[{"family":"Ghosh","given":"Supriyo"},{"family":"McReynolds","given":"Kevin"},{"family":"Guyer","given":"Jonathan E."},{"family":"Banerjee","given":"Dilip"}],"issued":{"date-parts":[["2018"]]}}}],"schema":"https://github.com/citation-style-language/schema/raw/master/csl-citation.json"} </w:instrText>
      </w:r>
      <w:r>
        <w:rPr>
          <w:rFonts w:eastAsiaTheme="minorEastAsia"/>
        </w:rPr>
        <w:fldChar w:fldCharType="separate"/>
      </w:r>
      <w:r w:rsidRPr="00826A79">
        <w:rPr>
          <w:rFonts w:cs="Calibri"/>
        </w:rPr>
        <w:t>(Ghosh et al. 2018)</w:t>
      </w:r>
      <w:r>
        <w:rPr>
          <w:rFonts w:eastAsiaTheme="minorEastAsia"/>
        </w:rPr>
        <w:fldChar w:fldCharType="end"/>
      </w:r>
      <w:r>
        <w:rPr>
          <w:rFonts w:eastAsiaTheme="minorEastAsia"/>
        </w:rPr>
        <w:t xml:space="preserve">. Additional details are in ref </w:t>
      </w:r>
      <w:r>
        <w:rPr>
          <w:rFonts w:eastAsiaTheme="minorEastAsia"/>
        </w:rPr>
        <w:fldChar w:fldCharType="begin"/>
      </w:r>
      <w:r>
        <w:rPr>
          <w:rFonts w:eastAsiaTheme="minorEastAsia"/>
        </w:rPr>
        <w:instrText xml:space="preserve"> ADDIN ZOTERO_ITEM CSL_CITATION {"citationID":"O9Etajly","properties":{"formattedCitation":"(Ghosh et al. 2018)","plainCitation":"(Ghosh et al. 2018)","noteIndex":0},"citationItems":[{"id":248,"uris":["http://zotero.org/users/9870952/items/EP7XZWFC"],"itemData":{"id":248,"type":"article-journal","container-title":"Modelling and simulation in materials science and engineering","issue":"7","note":"publisher: IOP Publishing","page":"075005","source":"Google Scholar","title":"Simulation of temperature, stress and microstructure fields during laser deposition of Ti–6Al–4V","volume":"26","author":[{"family":"Ghosh","given":"Supriyo"},{"family":"McReynolds","given":"Kevin"},{"family":"Guyer","given":"Jonathan E."},{"family":"Banerjee","given":"Dilip"}],"issued":{"date-parts":[["2018"]]}}}],"schema":"https://github.com/citation-style-language/schema/raw/master/csl-citation.json"} </w:instrText>
      </w:r>
      <w:r>
        <w:rPr>
          <w:rFonts w:eastAsiaTheme="minorEastAsia"/>
        </w:rPr>
        <w:fldChar w:fldCharType="separate"/>
      </w:r>
      <w:r w:rsidRPr="00826A79">
        <w:rPr>
          <w:rFonts w:cs="Calibri"/>
        </w:rPr>
        <w:t>(Ghosh et al. 2018)</w:t>
      </w:r>
      <w:r>
        <w:rPr>
          <w:rFonts w:eastAsiaTheme="minorEastAsia"/>
        </w:rPr>
        <w:fldChar w:fldCharType="end"/>
      </w:r>
      <w:r>
        <w:rPr>
          <w:rFonts w:eastAsiaTheme="minorEastAsia"/>
        </w:rPr>
        <w:t xml:space="preserve">.  See Fig. </w:t>
      </w:r>
      <w:r>
        <w:t>10.</w:t>
      </w:r>
      <w:r>
        <w:rPr>
          <w:rFonts w:eastAsiaTheme="minorEastAsia"/>
        </w:rPr>
        <w:t>12.</w:t>
      </w:r>
    </w:p>
    <w:p w14:paraId="050A80A3" w14:textId="77777777" w:rsidR="00027F0A" w:rsidRDefault="00027F0A"/>
    <w:p w14:paraId="13351140" w14:textId="77777777" w:rsidR="00027F0A" w:rsidRDefault="00027F0A"/>
    <w:p w14:paraId="49470168" w14:textId="6776DAB1" w:rsidR="00027F0A" w:rsidRDefault="00027F0A" w:rsidP="00027F0A">
      <w:pPr>
        <w:tabs>
          <w:tab w:val="left" w:pos="-1432"/>
          <w:tab w:val="left" w:pos="-761"/>
          <w:tab w:val="left" w:pos="850"/>
          <w:tab w:val="left" w:pos="3600"/>
        </w:tabs>
        <w:suppressAutoHyphens/>
        <w:spacing w:line="360" w:lineRule="auto"/>
        <w:rPr>
          <w:b/>
          <w:bCs/>
          <w:spacing w:val="-3"/>
        </w:rPr>
      </w:pPr>
      <w:r>
        <w:rPr>
          <w:b/>
          <w:bCs/>
          <w:spacing w:val="-3"/>
        </w:rPr>
        <w:t xml:space="preserve">10.4.2 </w:t>
      </w:r>
      <w:r w:rsidRPr="00027F0A">
        <w:rPr>
          <w:b/>
          <w:bCs/>
          <w:spacing w:val="-3"/>
        </w:rPr>
        <w:t>Mesoscale models for microstructural evolution</w:t>
      </w:r>
    </w:p>
    <w:p w14:paraId="683E6DF1" w14:textId="77777777" w:rsidR="00027F0A" w:rsidRDefault="006D3C56">
      <w:r>
        <w:tab/>
      </w:r>
    </w:p>
    <w:p w14:paraId="0D458067" w14:textId="5EC40F40" w:rsidR="00027F0A" w:rsidRDefault="00027F0A" w:rsidP="00027F0A">
      <w:pPr>
        <w:spacing w:line="360" w:lineRule="auto"/>
        <w:ind w:firstLine="720"/>
        <w:rPr>
          <w:rFonts w:eastAsiaTheme="minorEastAsia"/>
        </w:rPr>
      </w:pPr>
      <w:r w:rsidRPr="00A53B2A">
        <w:rPr>
          <w:rFonts w:eastAsiaTheme="minorEastAsia"/>
        </w:rPr>
        <w:lastRenderedPageBreak/>
        <w:t>An exact definition of the term “mesoscale” is probably not available. However, it is an intermediate scale model between the continuum and atomic scale models. These models often address phenomena between nanoscale and microscale. They can be distinguished from the continuum level model because they often use discrete elements. Mesoscale models can be made more specific to target applications because of the open-ended nature of the elements. As an example, dislocations can be modeled as discrete states that move through a material. Many mesoscale models can track certain patterns or defects such as dislocations. On the other hand, both Cellular Automata and Monte Carlo methods are stochastic in nature, where probabilistic concepts are applied to model the evolution of the microstructure.</w:t>
      </w:r>
      <w:r>
        <w:rPr>
          <w:rFonts w:eastAsiaTheme="minorEastAsia"/>
        </w:rPr>
        <w:t xml:space="preserve"> Different types of models such as phase field </w:t>
      </w:r>
      <w:r w:rsidR="002D4B41">
        <w:rPr>
          <w:rFonts w:eastAsiaTheme="minorEastAsia"/>
        </w:rPr>
        <w:t>and</w:t>
      </w:r>
      <w:r>
        <w:rPr>
          <w:rFonts w:eastAsiaTheme="minorEastAsia"/>
        </w:rPr>
        <w:t xml:space="preserve"> cellular automaton are used to describe the liquid to solid</w:t>
      </w:r>
      <w:r w:rsidR="002D4B41">
        <w:rPr>
          <w:rFonts w:eastAsiaTheme="minorEastAsia"/>
        </w:rPr>
        <w:t xml:space="preserve"> and</w:t>
      </w:r>
      <w:r w:rsidR="00264A08">
        <w:rPr>
          <w:rFonts w:eastAsiaTheme="minorEastAsia"/>
        </w:rPr>
        <w:t xml:space="preserve"> </w:t>
      </w:r>
      <w:r>
        <w:rPr>
          <w:rFonts w:eastAsiaTheme="minorEastAsia"/>
        </w:rPr>
        <w:t xml:space="preserve">solid to solid phase transformations, whereby solidification structures such as cells, dendrites, precipitates etc. form, which can grow subsequently resulting in the grain growth behavior. </w:t>
      </w:r>
    </w:p>
    <w:p w14:paraId="12C5C283" w14:textId="77777777" w:rsidR="00027F0A" w:rsidRDefault="00027F0A" w:rsidP="00027F0A">
      <w:pPr>
        <w:spacing w:line="360" w:lineRule="auto"/>
        <w:ind w:firstLine="720"/>
        <w:rPr>
          <w:rFonts w:eastAsiaTheme="minorEastAsia"/>
        </w:rPr>
      </w:pPr>
    </w:p>
    <w:p w14:paraId="4EEEB2FB" w14:textId="77777777" w:rsidR="00027F0A" w:rsidRDefault="00027F0A" w:rsidP="00027F0A">
      <w:pPr>
        <w:spacing w:line="360" w:lineRule="auto"/>
        <w:ind w:firstLine="720"/>
        <w:rPr>
          <w:rFonts w:eastAsiaTheme="minorEastAsia"/>
        </w:rPr>
      </w:pPr>
    </w:p>
    <w:p w14:paraId="7F3BA7B8" w14:textId="2D960E26" w:rsidR="00027F0A" w:rsidRDefault="00027F0A" w:rsidP="00027F0A">
      <w:pPr>
        <w:tabs>
          <w:tab w:val="left" w:pos="-1432"/>
          <w:tab w:val="left" w:pos="-761"/>
          <w:tab w:val="left" w:pos="850"/>
          <w:tab w:val="left" w:pos="3600"/>
        </w:tabs>
        <w:suppressAutoHyphens/>
        <w:spacing w:line="360" w:lineRule="auto"/>
        <w:rPr>
          <w:b/>
          <w:bCs/>
          <w:spacing w:val="-3"/>
        </w:rPr>
      </w:pPr>
      <w:r>
        <w:rPr>
          <w:b/>
          <w:bCs/>
          <w:spacing w:val="-3"/>
        </w:rPr>
        <w:t xml:space="preserve">10.4.2.1 </w:t>
      </w:r>
      <w:r w:rsidRPr="00027F0A">
        <w:rPr>
          <w:b/>
          <w:bCs/>
          <w:spacing w:val="-3"/>
        </w:rPr>
        <w:t>Phase field method</w:t>
      </w:r>
      <w:r w:rsidRPr="00027F0A" w:rsidDel="00027F0A">
        <w:rPr>
          <w:b/>
          <w:bCs/>
          <w:spacing w:val="-3"/>
        </w:rPr>
        <w:t xml:space="preserve"> </w:t>
      </w:r>
    </w:p>
    <w:p w14:paraId="7DE884C4" w14:textId="77777777" w:rsidR="00027F0A" w:rsidRDefault="00027F0A" w:rsidP="00027F0A">
      <w:pPr>
        <w:spacing w:line="360" w:lineRule="auto"/>
        <w:jc w:val="both"/>
        <w:rPr>
          <w:rFonts w:eastAsiaTheme="minorEastAsia"/>
        </w:rPr>
      </w:pPr>
    </w:p>
    <w:p w14:paraId="76522249" w14:textId="748FE831" w:rsidR="00027F0A" w:rsidRDefault="00826A79" w:rsidP="003E0F31">
      <w:pPr>
        <w:spacing w:line="360" w:lineRule="auto"/>
        <w:ind w:firstLine="720"/>
      </w:pPr>
      <w:r>
        <w:t xml:space="preserve">The phase field model has been described in detail in </w:t>
      </w:r>
      <w:r w:rsidRPr="00DA1F76">
        <w:rPr>
          <w:spacing w:val="-3"/>
        </w:rPr>
        <w:t>§</w:t>
      </w:r>
      <w:r>
        <w:t xml:space="preserve">3.4. Here we briefly describe it as it relates to the multiscale approach for modeling metal AM processes. </w:t>
      </w:r>
      <w:r w:rsidR="00027F0A">
        <w:t xml:space="preserve">Phase-field (PF) models can combine continuum level models with atomistic models such as the density functional theory (DFT) and molecular dynamics (MD). PF models represent </w:t>
      </w:r>
      <w:r w:rsidR="006A36F4">
        <w:t xml:space="preserve">the </w:t>
      </w:r>
      <w:r w:rsidR="00027F0A">
        <w:t xml:space="preserve">phase transformation interface as a continuous transition layer with a finite thickness using a PF variable. This strategy avoids explicit tracking of the phase boundaries. For solidification of multicomponent alloys, a phase field approach can combine chemical bulk free energy, interfacial energy, and driving force for phase transformation. Variational derivatives of the resulting free energy functional with respect to composition, order parameter, and temperature are minimized resulting in time-dependent equations such as the Cahn-Hilliard equation (for time-dependent evolution of composition), Allen-Cahn equation, or Ginzburg-Landau equation for temporal evolution of the order parameter (a non-conserved quantity). These partial differential equations (PDE) are then solved on a regular, fine grid using concepts of </w:t>
      </w:r>
      <w:r w:rsidR="00027F0A">
        <w:lastRenderedPageBreak/>
        <w:t>finite difference or finite volume techniques using explicit or semi-implicit time-stepping algorithm and proper initial and boundary conditions. Needed dendrite growth parameters such as the thermal gradient (G) and solidification velocity (V) are obtained from the continuum level model. For equiaxed solidification, proper nucleation mechanisms are incorporated in the phase field model. Appropriate phase field models can address the columnar to equiaxed microstructure transition. Additionally, phase field models have been widely used to model the solid-state phase transformation. Phase field models are combined with CALPHAD type models to determine the stable phases present during phase transformation.</w:t>
      </w:r>
    </w:p>
    <w:p w14:paraId="5FA61A6C" w14:textId="77777777" w:rsidR="00027F0A" w:rsidRDefault="00027F0A" w:rsidP="00027F0A">
      <w:pPr>
        <w:spacing w:line="360" w:lineRule="auto"/>
        <w:jc w:val="both"/>
        <w:rPr>
          <w:rFonts w:eastAsiaTheme="minorEastAsia"/>
        </w:rPr>
      </w:pPr>
    </w:p>
    <w:p w14:paraId="71D4AB41" w14:textId="77777777" w:rsidR="00027F0A" w:rsidRPr="006267BA" w:rsidRDefault="00027F0A" w:rsidP="003E0F31">
      <w:pPr>
        <w:spacing w:line="360" w:lineRule="auto"/>
        <w:ind w:firstLine="720"/>
      </w:pPr>
      <w:r>
        <w:t xml:space="preserve">PF modeling is based on a thermodynamically consistent theory that is rooted in the tradition of variational approaches of classical mechanics. It offers a consistent framework to incorporate interfaces and kinetics into thermodynamics. PF models can bring the important phenomenon of ‘evolving microstructures’ into full-field models of materials behavior. Advanced PF models have been applied in diffusional and advective transport, micro-elasticity and plasticity, magnetism and ionic mass transport. A PF model transfers atomistic scale properties, like interface energy anisotropy, into mesoscopic scale microstructures. From here the output transfers into macroscopic scale materials properties. In the PF model, the individual phases and their crystallographic variants can be described by a set of non-conserved order parameters, which can vary from 0 to 1. The use of this phase field modeling approach has been described in ref </w:t>
      </w:r>
      <w:r>
        <w:fldChar w:fldCharType="begin"/>
      </w:r>
      <w:r>
        <w:instrText xml:space="preserve"> ADDIN ZOTERO_ITEM CSL_CITATION {"citationID":"o0hJyZAm","properties":{"formattedCitation":"(Ghosh et al. 2018)","plainCitation":"(Ghosh et al. 2018)","noteIndex":0},"citationItems":[{"id":248,"uris":["http://zotero.org/users/9870952/items/EP7XZWFC"],"itemData":{"id":248,"type":"article-journal","container-title":"Modelling and simulation in materials science and engineering","issue":"7","note":"publisher: IOP Publishing","page":"075005","source":"Google Scholar","title":"Simulation of temperature, stress and microstructure fields during laser deposition of Ti–6Al–4V","volume":"26","author":[{"family":"Ghosh","given":"Supriyo"},{"family":"McReynolds","given":"Kevin"},{"family":"Guyer","given":"Jonathan E."},{"family":"Banerjee","given":"Dilip"}],"issued":{"date-parts":[["2018"]]}}}],"schema":"https://github.com/citation-style-language/schema/raw/master/csl-citation.json"} </w:instrText>
      </w:r>
      <w:r>
        <w:fldChar w:fldCharType="separate"/>
      </w:r>
      <w:r w:rsidRPr="00826A79">
        <w:rPr>
          <w:rFonts w:cs="Calibri"/>
        </w:rPr>
        <w:t>(Ghosh et al. 2018)</w:t>
      </w:r>
      <w:r>
        <w:fldChar w:fldCharType="end"/>
      </w:r>
      <w:r>
        <w:t xml:space="preserve"> (see Fig. 10.12).</w:t>
      </w:r>
    </w:p>
    <w:p w14:paraId="422437D7" w14:textId="77777777" w:rsidR="009F1E63" w:rsidRDefault="009F1E63" w:rsidP="00027F0A">
      <w:pPr>
        <w:spacing w:line="360" w:lineRule="auto"/>
        <w:jc w:val="both"/>
        <w:rPr>
          <w:rFonts w:eastAsiaTheme="minorEastAsia"/>
        </w:rPr>
      </w:pPr>
    </w:p>
    <w:p w14:paraId="4C99AEE7" w14:textId="77777777" w:rsidR="009F1E63" w:rsidRDefault="009F1E63" w:rsidP="00027F0A">
      <w:pPr>
        <w:spacing w:line="360" w:lineRule="auto"/>
        <w:jc w:val="both"/>
        <w:rPr>
          <w:rFonts w:eastAsiaTheme="minorEastAsia"/>
        </w:rPr>
      </w:pPr>
    </w:p>
    <w:p w14:paraId="1DE57472" w14:textId="70FB1B8E" w:rsidR="009F1E63" w:rsidRDefault="009F1E63" w:rsidP="00027F0A">
      <w:pPr>
        <w:spacing w:line="360" w:lineRule="auto"/>
        <w:jc w:val="both"/>
        <w:rPr>
          <w:b/>
          <w:bCs/>
          <w:spacing w:val="-3"/>
        </w:rPr>
      </w:pPr>
      <w:r>
        <w:rPr>
          <w:b/>
          <w:bCs/>
          <w:spacing w:val="-3"/>
        </w:rPr>
        <w:t xml:space="preserve">10.4.2.2 </w:t>
      </w:r>
      <w:r w:rsidRPr="009F1E63">
        <w:rPr>
          <w:b/>
          <w:bCs/>
          <w:spacing w:val="-3"/>
        </w:rPr>
        <w:t>Cellular automata method</w:t>
      </w:r>
    </w:p>
    <w:p w14:paraId="38206431" w14:textId="77777777" w:rsidR="009F1E63" w:rsidRDefault="009F1E63" w:rsidP="00027F0A">
      <w:pPr>
        <w:spacing w:line="360" w:lineRule="auto"/>
        <w:jc w:val="both"/>
        <w:rPr>
          <w:b/>
          <w:bCs/>
          <w:spacing w:val="-3"/>
        </w:rPr>
      </w:pPr>
    </w:p>
    <w:p w14:paraId="2E01FD40" w14:textId="30EB2DBF" w:rsidR="009F1E63" w:rsidRDefault="00264A08" w:rsidP="009F1E63">
      <w:pPr>
        <w:spacing w:line="360" w:lineRule="auto"/>
        <w:ind w:firstLine="720"/>
      </w:pPr>
      <w:r>
        <w:t>The cellular automata (CA)</w:t>
      </w:r>
      <w:r w:rsidRPr="003B6799">
        <w:t xml:space="preserve"> </w:t>
      </w:r>
      <w:r w:rsidR="009F1E63" w:rsidRPr="003B6799">
        <w:t>technique was developed by Hasselbarth and Gobel</w:t>
      </w:r>
      <w:r w:rsidR="009F1E63">
        <w:t xml:space="preserve"> </w:t>
      </w:r>
      <w:r w:rsidR="009F1E63">
        <w:fldChar w:fldCharType="begin"/>
      </w:r>
      <w:r w:rsidR="009F1E63">
        <w:instrText xml:space="preserve"> ADDIN ZOTERO_ITEM CSL_CITATION {"citationID":"hv6lZY5Z","properties":{"formattedCitation":"(Hesselbarth and G\\uc0\\u246{}bel 1991)","plainCitation":"(Hesselbarth and Göbel 1991)","noteIndex":0},"citationItems":[{"id":256,"uris":["http://zotero.org/users/9870952/items/IEDFYDF9"],"itemData":{"id":256,"type":"article-journal","container-title":"Acta Metallurgica et Materialia","issue":"9","note":"publisher: Elsevier","page":"2135–2143","source":"Google Scholar","title":"Simulation of recrystallization by cellular automata","volume":"39","author":[{"family":"Hesselbarth","given":"Hanfried W."},{"family":"Göbel","given":"I. R."}],"issued":{"date-parts":[["1991"]]}}}],"schema":"https://github.com/citation-style-language/schema/raw/master/csl-citation.json"} </w:instrText>
      </w:r>
      <w:r w:rsidR="009F1E63">
        <w:fldChar w:fldCharType="separate"/>
      </w:r>
      <w:r w:rsidR="009F1E63" w:rsidRPr="00826A79">
        <w:rPr>
          <w:rFonts w:cs="Calibri"/>
        </w:rPr>
        <w:t>(Hesselbarth and Göbel 1991)</w:t>
      </w:r>
      <w:r w:rsidR="009F1E63">
        <w:fldChar w:fldCharType="end"/>
      </w:r>
      <w:r w:rsidR="009F1E63">
        <w:t xml:space="preserve">. </w:t>
      </w:r>
      <w:r w:rsidR="009F1E63" w:rsidRPr="003B6799">
        <w:t xml:space="preserve">It subdivides each continuum element or finite volume into much finer regular grids or cells. Macroscopic field variables are solved at the continuum level (e.g., temperature field from a heat transfer simulation), while phenomenon such as the dendrite tip growth requires a much finer mesh, and this is </w:t>
      </w:r>
      <w:r w:rsidR="009F1E63" w:rsidRPr="003B6799">
        <w:lastRenderedPageBreak/>
        <w:t>handled in a finer grid in CA. This method can handle grain growth at the scale of dendrite arms (50</w:t>
      </w:r>
      <w:r w:rsidR="00F71D3F">
        <w:t xml:space="preserve"> </w:t>
      </w:r>
      <w:r w:rsidR="00F71D3F" w:rsidRPr="001B068D">
        <w:rPr>
          <w:i/>
          <w:iCs/>
        </w:rPr>
        <w:sym w:font="Symbol" w:char="F06D"/>
      </w:r>
      <w:r w:rsidR="00F71D3F" w:rsidRPr="001B068D">
        <w:rPr>
          <w:i/>
          <w:iCs/>
        </w:rPr>
        <w:t>m</w:t>
      </w:r>
      <w:r w:rsidR="008A017C">
        <w:t xml:space="preserve"> </w:t>
      </w:r>
      <w:r w:rsidR="009F1E63" w:rsidRPr="003B6799">
        <w:t xml:space="preserve">to 100 </w:t>
      </w:r>
      <w:r w:rsidR="00F71D3F" w:rsidRPr="001B068D">
        <w:rPr>
          <w:i/>
          <w:iCs/>
        </w:rPr>
        <w:sym w:font="Symbol" w:char="F06D"/>
      </w:r>
      <w:r w:rsidR="009F1E63" w:rsidRPr="001B068D">
        <w:rPr>
          <w:i/>
          <w:iCs/>
        </w:rPr>
        <w:t>m</w:t>
      </w:r>
      <w:r w:rsidR="009F1E63" w:rsidRPr="003B6799">
        <w:t xml:space="preserve">). A connectivity map is created to provide a relationship between a macroscopic element and its associated cells at the outset. For a typical phase transformation problem, the macroscopic heat flow equation can be solved with the enthalpy method, which provides each macroscopic node the current temperature and the enthalpy variation within a specified global time increment. These quantities are then interpolated in the finer cells that are connected with this node. The evolution of the microstructure (grains) is computed at the finer scale with appropriate nucleation and growth laws, which results in the release of a small amount of latent heat within the cells. </w:t>
      </w:r>
      <w:r w:rsidR="009F1E63">
        <w:t xml:space="preserve">An instantaneous nucleation or a Gaussian distribution employing continuous nucleation is often adopted </w:t>
      </w:r>
      <w:r w:rsidR="009F1E63">
        <w:fldChar w:fldCharType="begin"/>
      </w:r>
      <w:r w:rsidR="009F1E63">
        <w:instrText xml:space="preserve"> ADDIN ZOTERO_ITEM CSL_CITATION {"citationID":"x6tjncmM","properties":{"formattedCitation":"(Doru M. Stefanescu, Upadhya, and Bandyopadhyay 1990; Doru Michael Stefanescu et al. 1989)","plainCitation":"(Doru M. Stefanescu, Upadhya, and Bandyopadhyay 1990; Doru Michael Stefanescu et al. 1989)","noteIndex":0},"citationItems":[{"id":262,"uris":["http://zotero.org/users/9870952/items/2P8WCKUL"],"itemData":{"id":262,"type":"article-journal","container-title":"Metallurgical Transactions A","DOI":"10.1007/BF02656584","ISSN":"0360-2133, 2379-0180","issue":"3","journalAbbreviation":"Metall Trans A","language":"en","license":"https://www.springernature.com/gp/researchers/text-and-data-mining","page":"997-1005","source":"DOI.org (Crossref)","title":"Heat transfer-solidification kinetics modeling of solidification of castings","volume":"21","author":[{"family":"Stefanescu","given":"Doru M."},{"family":"Upadhya","given":"G."},{"family":"Bandyopadhyay","given":"D."}],"issued":{"date-parts":[["1990",3]]}}},{"id":263,"uris":["http://zotero.org/users/9870952/items/VCD88R66"],"itemData":{"id":263,"type":"article-journal","container-title":"JOM","DOI":"10.1007/BF03220820","ISSN":"1047-4838, 1543-1851","issue":"2","journalAbbreviation":"JOM","language":"en","license":"http://www.springer.com/tdm","page":"22-25","source":"DOI.org (Crossref)","title":"Modeling the evolution of equiaxed miorostructures in castings","volume":"41","author":[{"family":"Stefanescu","given":"Doru Michael"},{"family":"Upadhya","given":"Girish"},{"family":"Bandyopadhyay","given":"Dilip Kumar"},{"family":"Chen","given":"In-Gann"}],"issued":{"date-parts":[["1989",2]]}}}],"schema":"https://github.com/citation-style-language/schema/raw/master/csl-citation.json"} </w:instrText>
      </w:r>
      <w:r w:rsidR="009F1E63">
        <w:fldChar w:fldCharType="separate"/>
      </w:r>
      <w:r w:rsidR="009F1E63" w:rsidRPr="00826A79">
        <w:rPr>
          <w:rFonts w:cs="Calibri"/>
        </w:rPr>
        <w:t>(Doru M. Stefanescu, Upadhya, and Bandyopadhyay 1990; Doru Michael Stefanescu et al. 1989)</w:t>
      </w:r>
      <w:r w:rsidR="009F1E63">
        <w:fldChar w:fldCharType="end"/>
      </w:r>
      <w:r w:rsidR="009F1E63">
        <w:t xml:space="preserve">. </w:t>
      </w:r>
      <w:r w:rsidR="009F1E63" w:rsidRPr="003B6799">
        <w:t>Summation of this latent heat over all cells are then fed back to the continuum level node. After the macroscopic temperature field is updated, calculation for the next time step continues. Nucleation at the finer cells begins in a stochastic manner. Crystallographic orientation can be selected from a pre-defined set of orientation classes. Growth of the microstructure can occur over several cells by following proper growth laws. At some point</w:t>
      </w:r>
      <w:r w:rsidR="009F1E63">
        <w:t>,</w:t>
      </w:r>
      <w:r w:rsidR="009F1E63" w:rsidRPr="003B6799">
        <w:t xml:space="preserve"> an evolving microstructure can take over neighboring cells belonging to an adjoining global node. The change of fraction solid within a cell can be computed using simplified models such as the Gulliver-Scheil microsegregation model.</w:t>
      </w:r>
    </w:p>
    <w:p w14:paraId="0555904A" w14:textId="77777777" w:rsidR="009F1E63" w:rsidRDefault="009F1E63" w:rsidP="009F1E63">
      <w:pPr>
        <w:spacing w:line="360" w:lineRule="auto"/>
      </w:pPr>
    </w:p>
    <w:p w14:paraId="50B9484F" w14:textId="4882B8E9" w:rsidR="009F1E63" w:rsidRDefault="009F1E63" w:rsidP="009F1E63">
      <w:pPr>
        <w:spacing w:line="360" w:lineRule="auto"/>
      </w:pPr>
      <w:r>
        <w:tab/>
      </w:r>
      <w:r w:rsidRPr="003B6799">
        <w:t xml:space="preserve">Essentially, </w:t>
      </w:r>
      <w:r>
        <w:t xml:space="preserve">the </w:t>
      </w:r>
      <w:r w:rsidR="006A36F4">
        <w:t>CA</w:t>
      </w:r>
      <w:r w:rsidRPr="003B6799">
        <w:t xml:space="preserve"> method describes each macroscopic element with a finite number of cells occupying a finite number of discrete states. The subsequent state of a cell is determined by its current state and the states of its nearest neighbors. Every cell contains same set of rules and acts only with </w:t>
      </w:r>
      <w:r w:rsidR="00264A08">
        <w:t xml:space="preserve">the </w:t>
      </w:r>
      <w:r w:rsidRPr="003B6799">
        <w:t xml:space="preserve">knowledge of its immediate surroundings during every iteration. This method differs from </w:t>
      </w:r>
      <w:r w:rsidR="00264A08">
        <w:t xml:space="preserve">the </w:t>
      </w:r>
      <w:r w:rsidRPr="003B6799">
        <w:t xml:space="preserve">macroscopic finite volume method in that there are not quantities being averaged over the continua. For a solidification problem, an initial state of the system is a seed crystal that can be placed in the calculation domain, surrounded by cells that are in the liquid state. Reduction of cell sizes can increase computational cost substantially and the model can resemble the real system. Both columnar and equiaxed dendritic growth equations can be utilized in the </w:t>
      </w:r>
      <w:r w:rsidRPr="003B6799">
        <w:lastRenderedPageBreak/>
        <w:t xml:space="preserve">cells. Columnar dendrites often grow at the </w:t>
      </w:r>
      <w:r>
        <w:t>boundary</w:t>
      </w:r>
      <w:r w:rsidRPr="003B6799">
        <w:t xml:space="preserve"> wall and can exhibit preferential growth. A popular variation of this approach is called CA-FE (cellular automata-finite element) model.</w:t>
      </w:r>
      <w:r>
        <w:t xml:space="preserve"> A framework for the CA-FE approach has been described in ref </w:t>
      </w:r>
      <w:r>
        <w:fldChar w:fldCharType="begin"/>
      </w:r>
      <w:r>
        <w:instrText xml:space="preserve"> ADDIN ZOTERO_ITEM CSL_CITATION {"citationID":"dVRyj8IF","properties":{"formattedCitation":"(Gandin and Rappaz 1994)","plainCitation":"(Gandin and Rappaz 1994)","noteIndex":0},"citationItems":[{"id":258,"uris":["http://zotero.org/users/9870952/items/PATGB9LG"],"itemData":{"id":258,"type":"article-journal","container-title":"Acta metallurgica et materialia","issue":"7","note":"publisher: Elsevier","page":"2233–2246","source":"Google Scholar","title":"A coupled finite element-cellular automaton model for the prediction of dendritic grain structures in solidification processes","volume":"42","author":[{"family":"Gandin","given":"Ch-A."},{"family":"Rappaz","given":"Michel"}],"issued":{"date-parts":[["1994"]]}}}],"schema":"https://github.com/citation-style-language/schema/raw/master/csl-citation.json"} </w:instrText>
      </w:r>
      <w:r>
        <w:fldChar w:fldCharType="separate"/>
      </w:r>
      <w:r w:rsidRPr="00826A79">
        <w:rPr>
          <w:rFonts w:cs="Calibri"/>
        </w:rPr>
        <w:t>(Gandin and Rappaz 1994)</w:t>
      </w:r>
      <w:r>
        <w:fldChar w:fldCharType="end"/>
      </w:r>
      <w:r>
        <w:t xml:space="preserve"> (see Fig. 10.13). Constitutional undercooling in the liquid ahead of the solid-liquid interface and solute distribution determine the growth rate of the solid-liquid interface and morphologies of the interface e.g., planar, cellular, and dendritic. The equations of solute transport are given in </w:t>
      </w:r>
      <w:r>
        <w:fldChar w:fldCharType="begin"/>
      </w:r>
      <w:r>
        <w:instrText xml:space="preserve"> ADDIN ZOTERO_ITEM CSL_CITATION {"citationID":"OUazRg0r","properties":{"formattedCitation":"(Ren et al. 2023)","plainCitation":"(Ren et al. 2023)","noteIndex":0},"citationItems":[{"id":242,"uris":["http://zotero.org/users/9870952/items/P3KSEPEG"],"itemData":{"id":242,"type":"article-journal","container-title":"Nature Communications","issue":"1","note":"publisher: Nature Publishing Group UK London","page":"7990","source":"Google Scholar","title":"Solute trapping and non-equilibrium microstructure during rapid solidification of additive manufacturing","volume":"14","author":[{"family":"Ren","given":"Neng"},{"family":"Li","given":"Jun"},{"family":"Zhang","given":"Ruiyao"},{"family":"Panwisawas","given":"Chinnapat"},{"family":"Xia","given":"Mingxu"},{"family":"Dong","given":"Hongbiao"},{"family":"Li","given":"Jianguo"}],"issued":{"date-parts":[["2023"]]}}}],"schema":"https://github.com/citation-style-language/schema/raw/master/csl-citation.json"} </w:instrText>
      </w:r>
      <w:r>
        <w:fldChar w:fldCharType="separate"/>
      </w:r>
      <w:r w:rsidRPr="00826A79">
        <w:rPr>
          <w:rFonts w:cs="Calibri"/>
        </w:rPr>
        <w:t>(Ren et al. 2023)</w:t>
      </w:r>
      <w:r>
        <w:fldChar w:fldCharType="end"/>
      </w:r>
      <w:r>
        <w:t xml:space="preserve">. </w:t>
      </w:r>
      <w:r w:rsidRPr="008918CA">
        <w:t>An example of CA-FE modeling of dendritic growth and m</w:t>
      </w:r>
      <w:r w:rsidR="00F71D3F">
        <w:t>i</w:t>
      </w:r>
      <w:r w:rsidRPr="008918CA">
        <w:t xml:space="preserve">crosegregation for a LENS processed Fe-0.13%C alloy is shown in Fig. </w:t>
      </w:r>
      <w:r>
        <w:t xml:space="preserve">10.14 </w:t>
      </w:r>
      <w:r>
        <w:fldChar w:fldCharType="begin"/>
      </w:r>
      <w:r>
        <w:instrText xml:space="preserve"> ADDIN ZOTERO_ITEM CSL_CITATION {"citationID":"UmHRIcbw","properties":{"formattedCitation":"(Yin and Felicelli 2010)","plainCitation":"(Yin and Felicelli 2010)","noteIndex":0},"citationItems":[{"id":260,"uris":["http://zotero.org/users/9870952/items/2BTKXARS"],"itemData":{"id":260,"type":"article-journal","container-title":"Acta Materialia","issue":"4","note":"publisher: Elsevier","page":"1455–1465","source":"Google Scholar","title":"Dendrite growth simulation during solidification in the LENS process","volume":"58","author":[{"family":"Yin","given":"H."},{"family":"Felicelli","given":"S. D."}],"issued":{"date-parts":[["2010"]]}}}],"schema":"https://github.com/citation-style-language/schema/raw/master/csl-citation.json"} </w:instrText>
      </w:r>
      <w:r>
        <w:fldChar w:fldCharType="separate"/>
      </w:r>
      <w:r w:rsidRPr="00826A79">
        <w:rPr>
          <w:rFonts w:cs="Calibri"/>
        </w:rPr>
        <w:t>(Yin and Felicelli 2010)</w:t>
      </w:r>
      <w:r>
        <w:fldChar w:fldCharType="end"/>
      </w:r>
      <w:r>
        <w:t>.</w:t>
      </w:r>
    </w:p>
    <w:p w14:paraId="72E13604" w14:textId="77777777" w:rsidR="009F1E63" w:rsidRDefault="009F1E63" w:rsidP="009F1E63">
      <w:pPr>
        <w:spacing w:line="360" w:lineRule="auto"/>
      </w:pPr>
    </w:p>
    <w:p w14:paraId="7DA8ED34" w14:textId="77777777" w:rsidR="009F1E63" w:rsidRDefault="009F1E63" w:rsidP="009F1E63">
      <w:pPr>
        <w:spacing w:line="360" w:lineRule="auto"/>
      </w:pPr>
    </w:p>
    <w:p w14:paraId="4948790C" w14:textId="49AA82A0" w:rsidR="009F1E63" w:rsidRDefault="009F1E63" w:rsidP="009F1E63">
      <w:pPr>
        <w:spacing w:line="360" w:lineRule="auto"/>
        <w:jc w:val="both"/>
        <w:rPr>
          <w:b/>
          <w:bCs/>
          <w:spacing w:val="-3"/>
        </w:rPr>
      </w:pPr>
      <w:r>
        <w:rPr>
          <w:b/>
          <w:bCs/>
          <w:spacing w:val="-3"/>
        </w:rPr>
        <w:t xml:space="preserve">10.4.3 </w:t>
      </w:r>
      <w:r w:rsidR="00584101">
        <w:rPr>
          <w:b/>
          <w:bCs/>
          <w:spacing w:val="-3"/>
        </w:rPr>
        <w:t>Model Coupling Approaches</w:t>
      </w:r>
    </w:p>
    <w:p w14:paraId="3105245E" w14:textId="77777777" w:rsidR="009F1E63" w:rsidRDefault="009F1E63" w:rsidP="009F1E63">
      <w:pPr>
        <w:spacing w:line="360" w:lineRule="auto"/>
      </w:pPr>
    </w:p>
    <w:p w14:paraId="131B6445" w14:textId="2E16BD6F" w:rsidR="009F1E63" w:rsidRDefault="009F1E63" w:rsidP="003E0F31">
      <w:pPr>
        <w:spacing w:line="360" w:lineRule="auto"/>
        <w:ind w:firstLine="720"/>
      </w:pPr>
      <w:r>
        <w:t xml:space="preserve">The </w:t>
      </w:r>
      <w:r w:rsidR="006A36F4">
        <w:t xml:space="preserve">comprehensive </w:t>
      </w:r>
      <w:r>
        <w:t xml:space="preserve">modeling of the LPBF process requires solving CFD, heat transfer, </w:t>
      </w:r>
      <w:r w:rsidR="00877C51">
        <w:t>thermomechanical analysis</w:t>
      </w:r>
      <w:r>
        <w:t xml:space="preserve">, solid-liquid and solid-solid phase transformation equations. The most accurate way to solve these equations requires a coupled approach where all equations are solved using the same discretization of the computational domain. This is very challenging because of the differences in length scales used for the types of solutions such as CFD, phase transformations etc.  Such an analysis becomes computationally prohibitive based on the size of the model and number of computational steps needed for the analysis. The challenges in modeling </w:t>
      </w:r>
      <w:r w:rsidRPr="00487388">
        <w:t>hierarchical solidification microstructures in metal additive manufacturing</w:t>
      </w:r>
      <w:r>
        <w:t xml:space="preserve"> has been discussed in ref. </w:t>
      </w:r>
      <w:r>
        <w:fldChar w:fldCharType="begin"/>
      </w:r>
      <w:r>
        <w:instrText xml:space="preserve"> ADDIN ZOTERO_ITEM CSL_CITATION {"citationID":"ofNpuh1u","properties":{"formattedCitation":"(Ghosh et al. 2023)","plainCitation":"(Ghosh et al. 2023)","noteIndex":0},"citationItems":[{"id":246,"uris":["http://zotero.org/users/9870952/items/3EC6793A"],"itemData":{"id":246,"type":"article-journal","abstract":"Metal-based additive manufacturing (AM) processes often produce parts with improved properties compared to conventional manufacturing and metal working routes. However, currently, only a few alloys can be reliably additively manufactured as the vast majority of the alloys in use today are not explicitly designed for this manufacturing route. This is because the highly non-equilibrium nature of melting and rapid solidification phenomena during AM leads to undesirable microstructures with complex growth morphologies and unpredictable microstructural inhomogeneities including solidification defects, leading to unwanted variability in final material properties. In this context, the review article discusses the underlying physical mechanisms of microstructure and associated defects formation during ultrarapid cooling rates typical of AM in order to suggest approaches to minimize and control microstructural heterogeneities for improved printability and microstructure robustness (and hence properties). In particular, the physical effects of cooling rates and alloy parameters on rapidly moving complex solid–liquid interface shapes and the nucleation behavior during non-steady thermal conditions in heterogeneous liquid during AM must be well-understood to control the solidification microstructure and grain morphology. Suitable integration of physics-rich macroscale melt-pool, microstructure, and atomic-scale nucleation models (but benchmarked by experimental measurements) could quantitatively simulate the above hierarchical AM solidification problems that extend across multiple length scales and associated chemical heterogeneities. To address the tremendous computational expense of the above solidification problems toward large part-scale or full-melt-pool simulation, exascale computing hardware and software has been leveraged as a part of the exascale computing project. Further, the AM solidification simulations would guide parameter-microstructure optimization via data-driven modeling and, ultimately, alloy and processing development to suit various envisaged applications in the AM community.","container-title":"Additive Manufacturing","DOI":"10.1016/j.addma.2023.103845","ISSN":"2214-8604","journalAbbreviation":"Additive Manufacturing","page":"103845","source":"ScienceDirect","title":"Modeling of hierarchical solidification microstructures in metal additive manufacturing: Challenges and opportunities","title-short":"Modeling of hierarchical solidification microstructures in metal additive manufacturing","volume":"78","author":[{"family":"Ghosh","given":"Supriyo"},{"family":"Zollinger","given":"Julien"},{"family":"Zaloznik","given":"Miha"},{"family":"Banerjee","given":"Dilip"},{"family":"Newman","given":"Christopher K."},{"family":"Arroyave","given":"Raymundo"}],"issued":{"date-parts":[["2023",9,25]]}}}],"schema":"https://github.com/citation-style-language/schema/raw/master/csl-citation.json"} </w:instrText>
      </w:r>
      <w:r>
        <w:fldChar w:fldCharType="separate"/>
      </w:r>
      <w:r w:rsidRPr="00826A79">
        <w:rPr>
          <w:rFonts w:cs="Calibri"/>
        </w:rPr>
        <w:t>(Ghosh et al. 2023)</w:t>
      </w:r>
      <w:r>
        <w:fldChar w:fldCharType="end"/>
      </w:r>
      <w:r>
        <w:t xml:space="preserve">. Often, a semi-coupled (or sequential) approach is </w:t>
      </w:r>
      <w:r w:rsidR="00877C51">
        <w:t xml:space="preserve">a </w:t>
      </w:r>
      <w:r>
        <w:t xml:space="preserve">more convenient approach to solve these equations numerically. A very fine computational grid is needed to solve the CFD equations. Computational results (e.g., temperature, heat flux fields etc.) can then be transferred to a coarser mesh that </w:t>
      </w:r>
      <w:r w:rsidR="006A36F4">
        <w:t>is</w:t>
      </w:r>
      <w:r>
        <w:t xml:space="preserve"> appropriate for both heat transfer and </w:t>
      </w:r>
      <w:r w:rsidR="00877C51">
        <w:t>thermomechanical analysis</w:t>
      </w:r>
      <w:r>
        <w:t xml:space="preserve"> calculations. The temperature field is obtained first from the heat transfer analysis. This temperature field is then transferred to an equivalent </w:t>
      </w:r>
      <w:r w:rsidR="00877C51">
        <w:t>thermomechanical analysis</w:t>
      </w:r>
      <w:r>
        <w:t xml:space="preserve"> calculation model </w:t>
      </w:r>
      <w:r>
        <w:fldChar w:fldCharType="begin"/>
      </w:r>
      <w:r>
        <w:instrText xml:space="preserve"> ADDIN ZOTERO_ITEM CSL_CITATION {"citationID":"E9FV3lrz","properties":{"formattedCitation":"(Ghosh et al. 2018)","plainCitation":"(Ghosh et al. 2018)","noteIndex":0},"citationItems":[{"id":248,"uris":["http://zotero.org/users/9870952/items/EP7XZWFC"],"itemData":{"id":248,"type":"article-journal","container-title":"Modelling and simulation in materials science and engineering","issue":"7","note":"publisher: IOP Publishing","page":"075005","source":"Google Scholar","title":"Simulation of temperature, stress and microstructure fields during laser deposition of Ti–6Al–4V","volume":"26","author":[{"family":"Ghosh","given":"Supriyo"},{"family":"McReynolds","given":"Kevin"},{"family":"Guyer","given":"Jonathan E."},{"family":"Banerjee","given":"Dilip"}],"issued":{"date-parts":[["2018"]]}}}],"schema":"https://github.com/citation-style-language/schema/raw/master/csl-citation.json"} </w:instrText>
      </w:r>
      <w:r>
        <w:fldChar w:fldCharType="separate"/>
      </w:r>
      <w:r w:rsidRPr="00826A79">
        <w:rPr>
          <w:rFonts w:cs="Calibri"/>
        </w:rPr>
        <w:t>(Ghosh et al. 2018)</w:t>
      </w:r>
      <w:r>
        <w:fldChar w:fldCharType="end"/>
      </w:r>
      <w:r>
        <w:t xml:space="preserve">. In a coupled analysis, phase change is typically handled through the source term in </w:t>
      </w:r>
      <w:r w:rsidRPr="002E1C1A">
        <w:t xml:space="preserve">energy equation (2.1, 10.10) </w:t>
      </w:r>
      <w:r w:rsidRPr="00912815">
        <w:t>when</w:t>
      </w:r>
      <w:r>
        <w:t xml:space="preserve"> a macro-microscopic coupling is desired. For a practical semi-coupled or sequential </w:t>
      </w:r>
      <w:r>
        <w:lastRenderedPageBreak/>
        <w:t xml:space="preserve">approach this phase change can be included by accounting for the latent heat in the enthalpy </w:t>
      </w:r>
      <w:r w:rsidR="001C591E">
        <w:t>vs</w:t>
      </w:r>
      <w:r>
        <w:t>. temperature data. This approach assumes a temperature range for the phase change.</w:t>
      </w:r>
    </w:p>
    <w:p w14:paraId="447DD3FF" w14:textId="77777777" w:rsidR="009F1E63" w:rsidRDefault="009F1E63" w:rsidP="009F1E63"/>
    <w:p w14:paraId="1CE258A0" w14:textId="7CC3E1A6" w:rsidR="009F1E63" w:rsidRDefault="009F1E63" w:rsidP="003E0F31">
      <w:pPr>
        <w:spacing w:line="360" w:lineRule="auto"/>
        <w:ind w:firstLine="720"/>
      </w:pPr>
      <w:r>
        <w:t xml:space="preserve">Following CFD and heat transfer analyses, </w:t>
      </w:r>
      <w:r w:rsidR="00877C51">
        <w:t xml:space="preserve">thermomechanical </w:t>
      </w:r>
      <w:r>
        <w:t xml:space="preserve">analysis is conducted using the computed temperature field over the domain. The objective of the </w:t>
      </w:r>
      <w:r w:rsidR="00877C51">
        <w:t xml:space="preserve">thermomechanical </w:t>
      </w:r>
      <w:r>
        <w:t xml:space="preserve">analysis is to determine residual stresses and distortion in the bult part. Generally, an elasto-plastic material behavior is assumed. An appropriate yield surface model and hardening model need to be chosen. Generally, the finite element model for the heat transfer analysis is converted to an equivalent </w:t>
      </w:r>
      <w:r w:rsidR="00877C51">
        <w:t>thermomechanical</w:t>
      </w:r>
      <w:r>
        <w:t xml:space="preserve"> analysis model. After assigning proper boundary conditions to the domain, the </w:t>
      </w:r>
      <w:r w:rsidR="00877C51">
        <w:t xml:space="preserve">thermomechanical </w:t>
      </w:r>
      <w:r>
        <w:t>analysis can be performed for each step for which heat transfer analyses data were output. Temperature</w:t>
      </w:r>
      <w:r w:rsidR="00FE225C">
        <w:t>-</w:t>
      </w:r>
      <w:r>
        <w:t xml:space="preserve">dependent themophysical and mechanical properties are used for substrate, powder, solid, and liquid phases of the material. For a small deformation problem, the nonlinear mechanical analysis problem can be treated as a quasi-static incremental analysis problem. </w:t>
      </w:r>
      <w:r w:rsidR="00F1539F">
        <w:t xml:space="preserve">This is largely a small deformation problem because deformations are </w:t>
      </w:r>
      <w:r w:rsidR="00877C51">
        <w:t xml:space="preserve">only </w:t>
      </w:r>
      <w:r w:rsidR="00F1539F">
        <w:t xml:space="preserve">due to </w:t>
      </w:r>
      <w:r w:rsidR="00877C51">
        <w:t xml:space="preserve">the </w:t>
      </w:r>
      <w:r w:rsidR="00F1539F">
        <w:t xml:space="preserve">varying thermal gradients and </w:t>
      </w:r>
      <w:r w:rsidR="00877C51">
        <w:t xml:space="preserve">the </w:t>
      </w:r>
      <w:r w:rsidR="00F1539F">
        <w:t xml:space="preserve">variation in material properties as a result of the nonuniform thermal field in the LPBF process (both during deposition and the subsequent cooling process). Therefore, the thermomechanical problem basically becomes a study of </w:t>
      </w:r>
      <w:r w:rsidR="00877C51">
        <w:t>a</w:t>
      </w:r>
      <w:r w:rsidR="00F1539F">
        <w:t xml:space="preserve"> small deformation behavior of the substrate-powder assembly, </w:t>
      </w:r>
      <w:r w:rsidR="008173AA">
        <w:t xml:space="preserve">especially </w:t>
      </w:r>
      <w:r w:rsidR="00F1539F">
        <w:t xml:space="preserve">since </w:t>
      </w:r>
      <w:r w:rsidR="008173AA">
        <w:t>there is no external</w:t>
      </w:r>
      <w:r w:rsidR="00F1539F">
        <w:t xml:space="preserve"> </w:t>
      </w:r>
      <w:r w:rsidR="008173AA">
        <w:t xml:space="preserve">force field. </w:t>
      </w:r>
      <w:r>
        <w:t xml:space="preserve">The temperature and stress fields can be correlated with a </w:t>
      </w:r>
      <w:r w:rsidR="00FE225C">
        <w:t>PF</w:t>
      </w:r>
      <w:r>
        <w:t xml:space="preserve"> type microstructural analysis model through the calculation of temperature gradient and solid-liquid interface velocity </w:t>
      </w:r>
      <w:r>
        <w:fldChar w:fldCharType="begin"/>
      </w:r>
      <w:r>
        <w:instrText xml:space="preserve"> ADDIN ZOTERO_ITEM CSL_CITATION {"citationID":"2ODjy5p4","properties":{"formattedCitation":"(Ghosh et al. 2018)","plainCitation":"(Ghosh et al. 2018)","noteIndex":0},"citationItems":[{"id":248,"uris":["http://zotero.org/users/9870952/items/EP7XZWFC"],"itemData":{"id":248,"type":"article-journal","container-title":"Modelling and simulation in materials science and engineering","issue":"7","note":"publisher: IOP Publishing","page":"075005","source":"Google Scholar","title":"Simulation of temperature, stress and microstructure fields during laser deposition of Ti–6Al–4V","volume":"26","author":[{"family":"Ghosh","given":"Supriyo"},{"family":"McReynolds","given":"Kevin"},{"family":"Guyer","given":"Jonathan E."},{"family":"Banerjee","given":"Dilip"}],"issued":{"date-parts":[["2018"]]}}}],"schema":"https://github.com/citation-style-language/schema/raw/master/csl-citation.json"} </w:instrText>
      </w:r>
      <w:r>
        <w:fldChar w:fldCharType="separate"/>
      </w:r>
      <w:r w:rsidRPr="00826A79">
        <w:rPr>
          <w:rFonts w:cs="Calibri"/>
        </w:rPr>
        <w:t>(Ghosh et al. 2018)</w:t>
      </w:r>
      <w:r>
        <w:fldChar w:fldCharType="end"/>
      </w:r>
      <w:r>
        <w:t xml:space="preserve">. Alternatively, for using a </w:t>
      </w:r>
      <w:r w:rsidR="00FE225C">
        <w:t>CA</w:t>
      </w:r>
      <w:r>
        <w:t xml:space="preserve"> approach, a computational grid needs to be created, which is used to model nucleation and growth of grains. The heat evolution as a result of an incremental phase change is coupled with the source term in the energy equation </w:t>
      </w:r>
      <w:r>
        <w:fldChar w:fldCharType="begin"/>
      </w:r>
      <w:r>
        <w:instrText xml:space="preserve"> ADDIN ZOTERO_ITEM CSL_CITATION {"citationID":"Kad4x55K","properties":{"formattedCitation":"(Gandin and Rappaz 1994)","plainCitation":"(Gandin and Rappaz 1994)","noteIndex":0},"citationItems":[{"id":258,"uris":["http://zotero.org/users/9870952/items/PATGB9LG"],"itemData":{"id":258,"type":"article-journal","container-title":"Acta metallurgica et materialia","issue":"7","note":"publisher: Elsevier","page":"2233–2246","source":"Google Scholar","title":"A coupled finite element-cellular automaton model for the prediction of dendritic grain structures in solidification processes","volume":"42","author":[{"family":"Gandin","given":"Ch-A."},{"family":"Rappaz","given":"Michel"}],"issued":{"date-parts":[["1994"]]}}}],"schema":"https://github.com/citation-style-language/schema/raw/master/csl-citation.json"} </w:instrText>
      </w:r>
      <w:r>
        <w:fldChar w:fldCharType="separate"/>
      </w:r>
      <w:r w:rsidRPr="00826A79">
        <w:rPr>
          <w:rFonts w:cs="Calibri"/>
        </w:rPr>
        <w:t>(Gandin and Rappaz 1994)</w:t>
      </w:r>
      <w:r>
        <w:fldChar w:fldCharType="end"/>
      </w:r>
      <w:r>
        <w:t>.</w:t>
      </w:r>
    </w:p>
    <w:p w14:paraId="307BC63D" w14:textId="77777777" w:rsidR="009F1E63" w:rsidRDefault="009F1E63" w:rsidP="009F1E63">
      <w:pPr>
        <w:spacing w:line="360" w:lineRule="auto"/>
      </w:pPr>
    </w:p>
    <w:p w14:paraId="47C928C9" w14:textId="6BB3C908" w:rsidR="00554C08" w:rsidRDefault="00554C08" w:rsidP="00554C08">
      <w:pPr>
        <w:spacing w:line="360" w:lineRule="auto"/>
        <w:jc w:val="both"/>
        <w:rPr>
          <w:b/>
          <w:bCs/>
          <w:spacing w:val="-3"/>
        </w:rPr>
      </w:pPr>
      <w:r>
        <w:rPr>
          <w:b/>
          <w:bCs/>
          <w:spacing w:val="-3"/>
        </w:rPr>
        <w:t>10.4.3 AM Uncertainty quantification (UQ)</w:t>
      </w:r>
    </w:p>
    <w:p w14:paraId="1F7876F7" w14:textId="77777777" w:rsidR="00554C08" w:rsidRDefault="00554C08" w:rsidP="009F1E63">
      <w:pPr>
        <w:spacing w:line="360" w:lineRule="auto"/>
      </w:pPr>
    </w:p>
    <w:p w14:paraId="01D2AAAD" w14:textId="45BF7413" w:rsidR="00554C08" w:rsidRDefault="00554C08" w:rsidP="001B068D">
      <w:pPr>
        <w:spacing w:line="360" w:lineRule="auto"/>
        <w:ind w:firstLine="720"/>
      </w:pPr>
      <w:r w:rsidRPr="00554C08">
        <w:lastRenderedPageBreak/>
        <w:t xml:space="preserve">One of the main factors that adversely affects the widespread adoption of AM technology is the difficulty in certifying AM part quality due to variability in key metrics that dictate product quality. Since there are challenges in conducting a large number of tests mainly due to cost considerations, modeling tools based on both on physics and machine learning (ML) based approaches are serving as viable alternatives. Developing digital twins </w:t>
      </w:r>
      <w:r w:rsidR="00736544">
        <w:t xml:space="preserve">of AM processes </w:t>
      </w:r>
      <w:r w:rsidRPr="00554C08">
        <w:t>serves as one such alternatives. These modeling-based approaches allow users to study the influence of variability in key process parameters on the quantities of interest such as microstructural features, mechanical properties etc. As discussed earlier, a variety of physics-based modeling tools (e.g., CFD, heat transfer etc.) is needed for accurately modeling the AM process. But there are many sources of uncertainties that influence prediction accuracy of each of the physics-based models (</w:t>
      </w:r>
      <w:r w:rsidR="00D42F5B">
        <w:t>Banerjee 2013) (Banerjee 2016)</w:t>
      </w:r>
      <w:r w:rsidRPr="00554C08">
        <w:t>. Uncertainties in experimental setup, measurements etc. can introduce errors in ML models that are often built using experimental measurements. It is important to quantify and track uncertainties throughout the entire AM process (Hu and Mahadevan 2017). Uncertainties in AM process are due to imprecise knowledge in processing parameters (e.g., laser power etc.), modeling parameters (e.g., thermophysical properties, boundary conditions etc.), and errors between the physical process and the equivalent model representation. Model uncertainty is addressed by the following: a) model calibration, b) model verification, and model validation (</w:t>
      </w:r>
      <w:r w:rsidR="00D42F5B" w:rsidRPr="00D42F5B">
        <w:t>Mahadevan</w:t>
      </w:r>
      <w:r w:rsidR="00D42F5B">
        <w:t xml:space="preserve"> et. al</w:t>
      </w:r>
      <w:r w:rsidR="00D42F5B" w:rsidRPr="00D42F5B">
        <w:t xml:space="preserve"> </w:t>
      </w:r>
      <w:r w:rsidRPr="00554C08">
        <w:t>202</w:t>
      </w:r>
      <w:r w:rsidR="00D42F5B">
        <w:t>2</w:t>
      </w:r>
      <w:r w:rsidRPr="00554C08">
        <w:t>). Model uncertainties can be computed by tracking the uncertainty propagation throughout the entire sequence of simulation steps. This is the forward approach for quantifying uncertainty. In the inverse approach, uncertainty is quantified by obtaining the difference between model predictions and real-world measurements. Artificial Intelligence (AI)/ML models are also being developed which are mainly data-driven surrogate models that are based on experimental measurements. However, there are also AI/ML UQ quantification approaches that are focused on model-based data (Wang</w:t>
      </w:r>
      <w:r w:rsidR="00D42F5B">
        <w:t xml:space="preserve"> et. al</w:t>
      </w:r>
      <w:r w:rsidRPr="00554C08">
        <w:t xml:space="preserve"> 2020). By knowing uncertainties accurately, key parameters (e.g., process parameters such as laser power etc.) can be properly controlled based on users’ requirements. This is possible by properly estimating the sensitivities of the total uncertainties with respect to variation in these critical parameters.</w:t>
      </w:r>
    </w:p>
    <w:p w14:paraId="7BAA9714" w14:textId="77777777" w:rsidR="00C90C8E" w:rsidRDefault="00C90C8E" w:rsidP="009F1E63">
      <w:pPr>
        <w:spacing w:line="360" w:lineRule="auto"/>
      </w:pPr>
    </w:p>
    <w:p w14:paraId="0D2E4DFB" w14:textId="2E3EE5C6" w:rsidR="00C90C8E" w:rsidRDefault="00C90C8E" w:rsidP="00C90C8E">
      <w:pPr>
        <w:spacing w:line="360" w:lineRule="auto"/>
        <w:jc w:val="both"/>
        <w:rPr>
          <w:b/>
          <w:bCs/>
          <w:spacing w:val="-3"/>
        </w:rPr>
      </w:pPr>
      <w:r>
        <w:rPr>
          <w:b/>
          <w:bCs/>
          <w:spacing w:val="-3"/>
        </w:rPr>
        <w:lastRenderedPageBreak/>
        <w:t xml:space="preserve">10.5 </w:t>
      </w:r>
      <w:r w:rsidRPr="00C90C8E">
        <w:rPr>
          <w:b/>
          <w:bCs/>
          <w:spacing w:val="-3"/>
        </w:rPr>
        <w:t xml:space="preserve">Common </w:t>
      </w:r>
      <w:r>
        <w:rPr>
          <w:b/>
          <w:bCs/>
          <w:spacing w:val="-3"/>
        </w:rPr>
        <w:t>a</w:t>
      </w:r>
      <w:r w:rsidRPr="00C90C8E">
        <w:rPr>
          <w:b/>
          <w:bCs/>
          <w:spacing w:val="-3"/>
        </w:rPr>
        <w:t xml:space="preserve">lloys </w:t>
      </w:r>
      <w:r>
        <w:rPr>
          <w:b/>
          <w:bCs/>
          <w:spacing w:val="-3"/>
        </w:rPr>
        <w:t>u</w:t>
      </w:r>
      <w:r w:rsidRPr="00C90C8E">
        <w:rPr>
          <w:b/>
          <w:bCs/>
          <w:spacing w:val="-3"/>
        </w:rPr>
        <w:t>sed</w:t>
      </w:r>
    </w:p>
    <w:p w14:paraId="44723B46" w14:textId="77777777" w:rsidR="00C90C8E" w:rsidRDefault="00C90C8E" w:rsidP="00C90C8E">
      <w:pPr>
        <w:spacing w:line="360" w:lineRule="auto"/>
      </w:pPr>
    </w:p>
    <w:p w14:paraId="2B90CE71" w14:textId="1BD4FD17" w:rsidR="00C90C8E" w:rsidRDefault="00C90C8E" w:rsidP="00C90C8E">
      <w:pPr>
        <w:spacing w:line="360" w:lineRule="auto"/>
        <w:jc w:val="both"/>
        <w:rPr>
          <w:b/>
          <w:bCs/>
          <w:spacing w:val="-3"/>
        </w:rPr>
      </w:pPr>
      <w:r>
        <w:rPr>
          <w:b/>
          <w:bCs/>
          <w:spacing w:val="-3"/>
        </w:rPr>
        <w:t>10.5.1 Ti</w:t>
      </w:r>
      <w:r w:rsidRPr="00C90C8E">
        <w:rPr>
          <w:b/>
          <w:bCs/>
          <w:spacing w:val="-3"/>
        </w:rPr>
        <w:t xml:space="preserve"> </w:t>
      </w:r>
      <w:r>
        <w:rPr>
          <w:b/>
          <w:bCs/>
          <w:spacing w:val="-3"/>
        </w:rPr>
        <w:t>a</w:t>
      </w:r>
      <w:r w:rsidRPr="00C90C8E">
        <w:rPr>
          <w:b/>
          <w:bCs/>
          <w:spacing w:val="-3"/>
        </w:rPr>
        <w:t>lloys</w:t>
      </w:r>
    </w:p>
    <w:p w14:paraId="0B748AAD" w14:textId="77777777" w:rsidR="00C90C8E" w:rsidRDefault="00C90C8E" w:rsidP="00C90C8E">
      <w:pPr>
        <w:spacing w:line="360" w:lineRule="auto"/>
      </w:pPr>
    </w:p>
    <w:p w14:paraId="00347F5A" w14:textId="0802E1E0" w:rsidR="00C90C8E" w:rsidRDefault="00C90C8E" w:rsidP="00C90C8E">
      <w:pPr>
        <w:spacing w:line="360" w:lineRule="auto"/>
        <w:ind w:firstLine="720"/>
      </w:pPr>
      <w:r>
        <w:t xml:space="preserve">Ti-alloys have good strength to weight ratios, excellent mechanical properties (fatigue and fracture) and corrosion resistance. They are widely used in aerospace and biomedical applications. Both LPBF and DED techniques have been used to produce AM parts of Ti alloys. Table 2 </w:t>
      </w:r>
      <w:r>
        <w:fldChar w:fldCharType="begin"/>
      </w:r>
      <w:r>
        <w:instrText xml:space="preserve"> ADDIN ZOTERO_ITEM CSL_CITATION {"citationID":"s8Q6W7Oy","properties":{"formattedCitation":"(Frazier 2014)","plainCitation":"(Frazier 2014)","noteIndex":0},"citationItems":[{"id":211,"uris":["http://zotero.org/users/9870952/items/DXMF3B3W"],"itemData":{"id":211,"type":"article-journal","abstract":"This paper reviews the state-of-the-art of an important, rapidly emerging, manufacturing technology that is alternatively called additive manufacturing (AM), direct digital manufacturing, free form fabrication, or 3D printing, etc. A broad contextual overview of metallic AM is provided. AM has the potential to revolutionize the global parts manufacturing and logistics landscape. It enables distributed manufacturing and the productions of parts-on-demand while offering the potential to reduce cost, energy consumption, and carbon footprint. This paper explores the material science, processes, and business consideration associated with achieving these performance gains. It is concluded that a paradigm shift is required in order to fully exploit AM potential.","container-title":"Journal of Materials Engineering and Performance","DOI":"10.1007/s11665-014-0958-z","ISSN":"1544-1024","issue":"6","journalAbbreviation":"J. of Materi Eng and Perform","language":"en","page":"1917-1928","source":"Springer Link","title":"Metal Additive Manufacturing: A Review","title-short":"Metal Additive Manufacturing","volume":"23","author":[{"family":"Frazier","given":"William E."}],"issued":{"date-parts":[["2014",6,1]]}}}],"schema":"https://github.com/citation-style-language/schema/raw/master/csl-citation.json"} </w:instrText>
      </w:r>
      <w:r>
        <w:fldChar w:fldCharType="separate"/>
      </w:r>
      <w:r w:rsidRPr="00826A79">
        <w:rPr>
          <w:rFonts w:cs="Calibri"/>
        </w:rPr>
        <w:t>(Frazier 2014)</w:t>
      </w:r>
      <w:r>
        <w:fldChar w:fldCharType="end"/>
      </w:r>
      <w:r>
        <w:t xml:space="preserve"> lists common AM alloys. Among the Ti-alloys, Ti-6Al-4V is the most common AM material because </w:t>
      </w:r>
      <w:r w:rsidR="00255C59">
        <w:t xml:space="preserve">of </w:t>
      </w:r>
      <w:r>
        <w:t xml:space="preserve">its compatibility in biomedical applications. In Ti alloys, the </w:t>
      </w:r>
      <w:r>
        <w:sym w:font="Symbol" w:char="F061"/>
      </w:r>
      <w:r>
        <w:t xml:space="preserve"> phase has high strength but less ductility, while the </w:t>
      </w:r>
      <w:r>
        <w:sym w:font="Symbol" w:char="F062"/>
      </w:r>
      <w:r>
        <w:t xml:space="preserve"> phase has more ductility. Most Ti-alloys with </w:t>
      </w:r>
      <w:r>
        <w:sym w:font="Symbol" w:char="F061"/>
      </w:r>
      <w:r>
        <w:t>+</w:t>
      </w:r>
      <w:r>
        <w:sym w:font="Symbol" w:char="F062"/>
      </w:r>
      <w:r>
        <w:t xml:space="preserve"> phases have high strength and formability. Desired mechanical properties can be engineered by adjusting the relative phase fractions and relevant microstructural features. Al stabilizes the </w:t>
      </w:r>
      <w:r>
        <w:sym w:font="Symbol" w:char="F061"/>
      </w:r>
      <w:r>
        <w:t xml:space="preserve"> phase, while V stabilizes the </w:t>
      </w:r>
      <w:r>
        <w:sym w:font="Symbol" w:char="F062"/>
      </w:r>
      <w:r>
        <w:t xml:space="preserve"> phase. Most AM Ti alloy parts are subjected to post AM thermal processing such as HIP or thermal anneal treatments. The targeted temperatures for both of these processes are within the </w:t>
      </w:r>
      <w:r>
        <w:sym w:font="Symbol" w:char="F061"/>
      </w:r>
      <w:r>
        <w:t>-</w:t>
      </w:r>
      <w:r>
        <w:sym w:font="Symbol" w:char="F062"/>
      </w:r>
      <w:r>
        <w:t xml:space="preserve"> region close to the </w:t>
      </w:r>
      <w:r>
        <w:sym w:font="Symbol" w:char="F062"/>
      </w:r>
      <w:r>
        <w:t xml:space="preserve"> transus temperature. The AM processed Ti-6Al-4V parts have mechanical properties similar to those of the wrought counterparts. Although AM processed parts tend to exceed strength values of wrought products, their ductility values are slightly inferior to those of the wrought parts. AM processed parts show some anisotropy in strength behavior. WAAM (wire and arc additive manufacturing) produced Ti parts show larger anisotropy, i.e., </w:t>
      </w:r>
      <w:r w:rsidR="002D4B41">
        <w:t xml:space="preserve">properties vary significantly depending on the tensile axis with respect to the build or transverse direction </w:t>
      </w:r>
      <w:r>
        <w:fldChar w:fldCharType="begin"/>
      </w:r>
      <w:r>
        <w:instrText xml:space="preserve"> ADDIN ZOTERO_ITEM CSL_CITATION {"citationID":"pOByKRyM","properties":{"formattedCitation":"(Wang, Fude et al., n.d.)","plainCitation":"(Wang, Fude et al., n.d.)","noteIndex":0},"citationItems":[{"id":213,"uris":["http://zotero.org/users/9870952/items/AZH4XJDV"],"itemData":{"id":213,"type":"webpage","title":"Microstructure and Mechanical Properties of Wire and Arc Additive Manufactured Ti-6Al-4V | Metallurgical and Materials Transactions A","URL":"https://link.springer.com/article/10.1007/s11661-012-1444-6","author":[{"literal":"Wang, Fude"},{"literal":"Williams, Stewart"},{"literal":"Colgrove, Paul"},{"literal":"Antonysamy, Alphons"}],"accessed":{"date-parts":[["2024",3,26]]}}}],"schema":"https://github.com/citation-style-language/schema/raw/master/csl-citation.json"} </w:instrText>
      </w:r>
      <w:r>
        <w:fldChar w:fldCharType="separate"/>
      </w:r>
      <w:r w:rsidRPr="00826A79">
        <w:rPr>
          <w:rFonts w:cs="Calibri"/>
        </w:rPr>
        <w:t>(Wang, Fude et al., n.d.)</w:t>
      </w:r>
      <w:r>
        <w:fldChar w:fldCharType="end"/>
      </w:r>
      <w:r>
        <w:t xml:space="preserve">. </w:t>
      </w:r>
      <w:r w:rsidR="00F777C3">
        <w:t xml:space="preserve">It should be pointed out here that </w:t>
      </w:r>
      <w:r w:rsidR="00255C59">
        <w:t xml:space="preserve">the </w:t>
      </w:r>
      <w:r w:rsidR="00F777C3">
        <w:t xml:space="preserve">solidification behavior influences </w:t>
      </w:r>
      <w:r w:rsidR="00255C59">
        <w:t xml:space="preserve">the </w:t>
      </w:r>
      <w:r w:rsidR="00F777C3">
        <w:t xml:space="preserve">observed behavior in AM processing such as anisotropy. </w:t>
      </w:r>
      <w:r w:rsidR="00343394">
        <w:t xml:space="preserve">Sections 5 and 7 explain in great detail atom attachment mechanisms for both </w:t>
      </w:r>
      <w:r w:rsidR="00F777C3">
        <w:t xml:space="preserve">the </w:t>
      </w:r>
      <w:r w:rsidR="00343394">
        <w:t xml:space="preserve">non-facetted and facetted growth and </w:t>
      </w:r>
      <w:r w:rsidR="00F777C3">
        <w:t xml:space="preserve">the </w:t>
      </w:r>
      <w:r w:rsidR="00343394">
        <w:t xml:space="preserve">development of anisotropy during solidification. Anisotropy is important in dendritic growth. After nucleation, growth occurs by addition of atoms to the crystal. During the solidification of a non-faceted materials (e.g., metals), atoms can be added to any portion of the solid-liquid interface. Usually, the shape of the crystal is governed by the thermal and solute diffusion fields. However, a small anisotropy in properties such as interfacial energy can trigger preferential growth of dendrite arms </w:t>
      </w:r>
      <w:r w:rsidR="00343394">
        <w:lastRenderedPageBreak/>
        <w:t>along certain crystallographic directions. This is reason why dendrites in cubic materials tend to grow in [100] directions.</w:t>
      </w:r>
      <w:r w:rsidR="00F777C3">
        <w:t xml:space="preserve"> </w:t>
      </w:r>
      <w:r w:rsidR="00255C59">
        <w:t>Typical f</w:t>
      </w:r>
      <w:r>
        <w:t xml:space="preserve">atigue life of AM parts are greater than those of the forged parts </w:t>
      </w:r>
      <w:r>
        <w:fldChar w:fldCharType="begin"/>
      </w:r>
      <w:r>
        <w:instrText xml:space="preserve"> ADDIN ZOTERO_ITEM CSL_CITATION {"citationID":"TZq5ALNJ","properties":{"formattedCitation":"(Wang, Fude et al., n.d.)","plainCitation":"(Wang, Fude et al., n.d.)","noteIndex":0},"citationItems":[{"id":213,"uris":["http://zotero.org/users/9870952/items/AZH4XJDV"],"itemData":{"id":213,"type":"webpage","title":"Microstructure and Mechanical Properties of Wire and Arc Additive Manufactured Ti-6Al-4V | Metallurgical and Materials Transactions A","URL":"https://link.springer.com/article/10.1007/s11661-012-1444-6","author":[{"literal":"Wang, Fude"},{"literal":"Williams, Stewart"},{"literal":"Colgrove, Paul"},{"literal":"Antonysamy, Alphons"}],"accessed":{"date-parts":[["2024",3,26]]}}}],"schema":"https://github.com/citation-style-language/schema/raw/master/csl-citation.json"} </w:instrText>
      </w:r>
      <w:r>
        <w:fldChar w:fldCharType="separate"/>
      </w:r>
      <w:r w:rsidRPr="00826A79">
        <w:rPr>
          <w:rFonts w:cs="Calibri"/>
        </w:rPr>
        <w:t>(Wang, Fude et al., n.d.)</w:t>
      </w:r>
      <w:r>
        <w:fldChar w:fldCharType="end"/>
      </w:r>
      <w:r>
        <w:t>.</w:t>
      </w:r>
      <w:r w:rsidR="003F7C0A">
        <w:t xml:space="preserve"> However, it must be pointed out that fatigue life depends on many factors such as internal porosity, surface finish etc.</w:t>
      </w:r>
    </w:p>
    <w:p w14:paraId="4CD9DEA2" w14:textId="77777777" w:rsidR="00C90C8E" w:rsidRDefault="00C90C8E" w:rsidP="003E0F31">
      <w:pPr>
        <w:spacing w:line="360" w:lineRule="auto"/>
        <w:ind w:firstLine="720"/>
      </w:pPr>
    </w:p>
    <w:p w14:paraId="79065F28" w14:textId="77777777" w:rsidR="00C90C8E" w:rsidRDefault="00C90C8E" w:rsidP="00C90C8E">
      <w:r>
        <w:t xml:space="preserve">   Table 2 Common commercial AM alloys </w:t>
      </w:r>
      <w:r>
        <w:fldChar w:fldCharType="begin"/>
      </w:r>
      <w:r>
        <w:instrText xml:space="preserve"> ADDIN ZOTERO_ITEM CSL_CITATION {"citationID":"jeFt5RT9","properties":{"formattedCitation":"(Frazier 2014)","plainCitation":"(Frazier 2014)","noteIndex":0},"citationItems":[{"id":211,"uris":["http://zotero.org/users/9870952/items/DXMF3B3W"],"itemData":{"id":211,"type":"article-journal","abstract":"This paper reviews the state-of-the-art of an important, rapidly emerging, manufacturing technology that is alternatively called additive manufacturing (AM), direct digital manufacturing, free form fabrication, or 3D printing, etc. A broad contextual overview of metallic AM is provided. AM has the potential to revolutionize the global parts manufacturing and logistics landscape. It enables distributed manufacturing and the productions of parts-on-demand while offering the potential to reduce cost, energy consumption, and carbon footprint. This paper explores the material science, processes, and business consideration associated with achieving these performance gains. It is concluded that a paradigm shift is required in order to fully exploit AM potential.","container-title":"Journal of Materials Engineering and Performance","DOI":"10.1007/s11665-014-0958-z","ISSN":"1544-1024","issue":"6","journalAbbreviation":"J. of Materi Eng and Perform","language":"en","page":"1917-1928","source":"Springer Link","title":"Metal Additive Manufacturing: A Review","title-short":"Metal Additive Manufacturing","volume":"23","author":[{"family":"Frazier","given":"William E."}],"issued":{"date-parts":[["2014",6,1]]}}}],"schema":"https://github.com/citation-style-language/schema/raw/master/csl-citation.json"} </w:instrText>
      </w:r>
      <w:r>
        <w:fldChar w:fldCharType="separate"/>
      </w:r>
      <w:r w:rsidRPr="00826A79">
        <w:rPr>
          <w:rFonts w:cs="Calibri"/>
        </w:rPr>
        <w:t>(Frazier 2014)</w:t>
      </w:r>
      <w:r>
        <w:fldChar w:fldCharType="end"/>
      </w:r>
      <w:r>
        <w:t>.</w:t>
      </w:r>
    </w:p>
    <w:p w14:paraId="047D7BF8" w14:textId="77777777" w:rsidR="00C90C8E" w:rsidRDefault="00C90C8E" w:rsidP="00C90C8E">
      <w:r>
        <w:rPr>
          <w:noProof/>
        </w:rPr>
        <w:drawing>
          <wp:inline distT="0" distB="0" distL="0" distR="0" wp14:anchorId="5D099350" wp14:editId="53654312">
            <wp:extent cx="5613072" cy="862043"/>
            <wp:effectExtent l="0" t="0" r="6985" b="0"/>
            <wp:docPr id="21044676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4467601" name=""/>
                    <pic:cNvPicPr/>
                  </pic:nvPicPr>
                  <pic:blipFill rotWithShape="1">
                    <a:blip r:embed="rId1365"/>
                    <a:srcRect l="28249" t="23484" r="9421" b="59488"/>
                    <a:stretch/>
                  </pic:blipFill>
                  <pic:spPr bwMode="auto">
                    <a:xfrm>
                      <a:off x="0" y="0"/>
                      <a:ext cx="5614416" cy="862249"/>
                    </a:xfrm>
                    <a:prstGeom prst="rect">
                      <a:avLst/>
                    </a:prstGeom>
                    <a:ln>
                      <a:noFill/>
                    </a:ln>
                    <a:extLst>
                      <a:ext uri="{53640926-AAD7-44D8-BBD7-CCE9431645EC}">
                        <a14:shadowObscured xmlns:a14="http://schemas.microsoft.com/office/drawing/2010/main"/>
                      </a:ext>
                    </a:extLst>
                  </pic:spPr>
                </pic:pic>
              </a:graphicData>
            </a:graphic>
          </wp:inline>
        </w:drawing>
      </w:r>
    </w:p>
    <w:p w14:paraId="07D2BAE1" w14:textId="77777777" w:rsidR="00C90C8E" w:rsidRDefault="00C90C8E" w:rsidP="00C90C8E">
      <w:pPr>
        <w:spacing w:line="360" w:lineRule="auto"/>
      </w:pPr>
    </w:p>
    <w:p w14:paraId="60316CD3" w14:textId="77777777" w:rsidR="00C90C8E" w:rsidRDefault="00C90C8E" w:rsidP="00C90C8E">
      <w:pPr>
        <w:spacing w:line="360" w:lineRule="auto"/>
      </w:pPr>
    </w:p>
    <w:p w14:paraId="3AA2467B" w14:textId="5C8C12D6" w:rsidR="00C90C8E" w:rsidRDefault="00C90C8E" w:rsidP="00C90C8E">
      <w:pPr>
        <w:spacing w:line="360" w:lineRule="auto"/>
        <w:jc w:val="both"/>
        <w:rPr>
          <w:b/>
          <w:bCs/>
          <w:spacing w:val="-3"/>
        </w:rPr>
      </w:pPr>
      <w:r>
        <w:rPr>
          <w:b/>
          <w:bCs/>
          <w:spacing w:val="-3"/>
        </w:rPr>
        <w:t>10.5.2 Ni a</w:t>
      </w:r>
      <w:r w:rsidRPr="00C90C8E">
        <w:rPr>
          <w:b/>
          <w:bCs/>
          <w:spacing w:val="-3"/>
        </w:rPr>
        <w:t>lloys</w:t>
      </w:r>
    </w:p>
    <w:p w14:paraId="28E64F1D" w14:textId="77777777" w:rsidR="00C90C8E" w:rsidRDefault="00C90C8E" w:rsidP="00C90C8E">
      <w:pPr>
        <w:spacing w:line="360" w:lineRule="auto"/>
      </w:pPr>
    </w:p>
    <w:p w14:paraId="661C3FED" w14:textId="392874C9" w:rsidR="00C90C8E" w:rsidRDefault="00C90C8E" w:rsidP="003E0F31">
      <w:pPr>
        <w:spacing w:line="360" w:lineRule="auto"/>
        <w:ind w:firstLine="720"/>
      </w:pPr>
      <w:r>
        <w:t xml:space="preserve">Ni-base alloys can be roughly grouped into weldable and non-weldable alloys. Non-weldable alloys are difficult to fabricate with AM. Among the weldable alloys, both the IN 625 and IN 718 have been produced with </w:t>
      </w:r>
      <w:r w:rsidRPr="00A73748">
        <w:t>SEBM and LPBF</w:t>
      </w:r>
      <w:r>
        <w:t xml:space="preserve"> </w:t>
      </w:r>
      <w:r>
        <w:fldChar w:fldCharType="begin"/>
      </w:r>
      <w:r>
        <w:instrText xml:space="preserve"> ADDIN ZOTERO_ITEM CSL_CITATION {"citationID":"8V7xtPlL","properties":{"formattedCitation":"(Sanchez et al. 2021)","plainCitation":"(Sanchez et al. 2021)","noteIndex":0},"citationItems":[{"id":239,"uris":["http://zotero.org/users/9870952/items/5K6DPZQJ"],"itemData":{"id":239,"type":"article-journal","abstract":"Powder Bed Fusion (PBF) techniques constitute a family of Additive Manufacturing (AM) processes, which are characterised by high design flexibility and no tooling requirement. This makes PBF techniques attractive to many modern manufacturing sectors (e.g. aerospace, defence, energy and automotive) where some materials, such as Nickel-based superalloys, cannot be easily processed using conventional subtractive techniques. Nickel-based superalloys are crucial materials in modern engineering and underpin the performance of many advanced mechanical systems. Their physical properties (high mechanical integrity at high temperature) make them difficult to process via traditional techniques. Consequently, manufacture of nickel-based superalloys using PBF platforms has attracted significant attention. To permit a wider application, a deep understanding of their mechanical behaviour and relation to process needs to be achieved. The motivation for this paper is to provide a comprehensive review of the mechanical properties of PBF nickel-based superalloys and how process parameters affect these, and to aid practitioners in identifying the shortcomings and the opportunities in this field. Therefore, this paper aims to review research contributions regarding the microstructure and mechanical properties of nickel-based superalloys, manufactured using the two principle PBF techniques: Laser Powder Bed Fusion (LPBF) and Electron Beam Melting (EBM). The ‘target’ microstructures are introduced alongside the characteristics of those produced by PBF process, followed by an overview of the most used building processes, as well as build quality inspection techniques. A comprehensive evaluation of the mechanical properties, including tensile strength, hardness, shear strength, fatigue resistance, creep resistance and fracture toughness of PBF nickel-based superalloys are analysed. This work concludes with summary tables for data published on these properties serving as a quick reference to scholars. Characteristic process factors influencing functional performance are also discussed and compared throughout for the purpose of identifying research opportunities and directing the research community toward the end goal of achieving part integrity that extends beyond static components only.","container-title":"International Journal of Machine Tools and Manufacture","DOI":"10.1016/j.ijmachtools.2021.103729","ISSN":"0890-6955","journalAbbreviation":"International Journal of Machine Tools and Manufacture","page":"103729","source":"ScienceDirect","title":"Powder Bed Fusion of nickel-based superalloys: A review","title-short":"Powder Bed Fusion of nickel-based superalloys","volume":"165","author":[{"family":"Sanchez","given":"Salomé"},{"family":"Smith","given":"Peter"},{"family":"Xu","given":"Zhengkai"},{"family":"Gaspard","given":"Gabriele"},{"family":"Hyde","given":"Christopher J."},{"family":"Wits","given":"Wessel W."},{"family":"Ashcroft","given":"Ian A."},{"family":"Chen","given":"Hao"},{"family":"Clare","given":"Adam T."}],"issued":{"date-parts":[["2021",6,1]]}}}],"schema":"https://github.com/citation-style-language/schema/raw/master/csl-citation.json"} </w:instrText>
      </w:r>
      <w:r>
        <w:fldChar w:fldCharType="separate"/>
      </w:r>
      <w:r w:rsidRPr="00826A79">
        <w:rPr>
          <w:rFonts w:cs="Calibri"/>
        </w:rPr>
        <w:t>(Sanchez et al. 2021)</w:t>
      </w:r>
      <w:r>
        <w:fldChar w:fldCharType="end"/>
      </w:r>
      <w:r>
        <w:t xml:space="preserve">. Direct metal deposition (DMD) was used to fabricate both crack and porosity free samples of IN 625 alloys </w:t>
      </w:r>
      <w:r>
        <w:fldChar w:fldCharType="begin"/>
      </w:r>
      <w:r>
        <w:instrText xml:space="preserve"> ADDIN ZOTERO_ITEM CSL_CITATION {"citationID":"qJOAlrWL","properties":{"formattedCitation":"(Dinda, Dasgupta, and Mazumder 2009)","plainCitation":"(Dinda, Dasgupta, and Mazumder 2009)","noteIndex":0},"citationItems":[{"id":286,"uris":["http://zotero.org/users/9870952/items/IKK9QIZE"],"itemData":{"id":286,"type":"article-journal","container-title":"Materials Science and Engineering: A","issue":"1-2","note":"publisher: Elsevier","page":"98–104","source":"Google Scholar","title":"Laser aided direct metal deposition of Inconel 625 superalloy: Microstructural evolution and thermal stability","title-short":"Laser aided direct metal deposition of Inconel 625 superalloy","volume":"509","author":[{"family":"Dinda","given":"G. P</w:instrText>
      </w:r>
      <w:r>
        <w:rPr>
          <w:rFonts w:ascii="Microsoft Yi Baiti" w:eastAsia="Microsoft Yi Baiti" w:hAnsi="Microsoft Yi Baiti" w:cs="Microsoft Yi Baiti" w:hint="eastAsia"/>
        </w:rPr>
        <w:instrText>ꎬ</w:instrText>
      </w:r>
      <w:r>
        <w:instrText>"},{"family":"Dasgupta","given":"A. K</w:instrText>
      </w:r>
      <w:r>
        <w:rPr>
          <w:rFonts w:ascii="Microsoft Yi Baiti" w:eastAsia="Microsoft Yi Baiti" w:hAnsi="Microsoft Yi Baiti" w:cs="Microsoft Yi Baiti" w:hint="eastAsia"/>
        </w:rPr>
        <w:instrText>ꎬ</w:instrText>
      </w:r>
      <w:r>
        <w:instrText xml:space="preserve">"},{"family":"Mazumder","given":"J."}],"issued":{"date-parts":[["2009"]]}}}],"schema":"https://github.com/citation-style-language/schema/raw/master/csl-citation.json"} </w:instrText>
      </w:r>
      <w:r>
        <w:fldChar w:fldCharType="separate"/>
      </w:r>
      <w:r w:rsidRPr="00826A79">
        <w:rPr>
          <w:rFonts w:cs="Calibri"/>
        </w:rPr>
        <w:t>(Dinda, Dasgupta, and Mazumder 2009)</w:t>
      </w:r>
      <w:r>
        <w:fldChar w:fldCharType="end"/>
      </w:r>
      <w:r>
        <w:t xml:space="preserve">. Components of Rene 41 alloy with fine directionally solidified (DS) microstructures were fabricated with </w:t>
      </w:r>
      <w:r w:rsidR="00A73748">
        <w:t xml:space="preserve">laser metal deposition </w:t>
      </w:r>
      <w:r w:rsidR="00A73748" w:rsidRPr="00A73748">
        <w:t>(</w:t>
      </w:r>
      <w:r w:rsidRPr="00A73748">
        <w:t>LMD</w:t>
      </w:r>
      <w:r w:rsidR="00A73748" w:rsidRPr="00A73748">
        <w:t>)</w:t>
      </w:r>
      <w:r>
        <w:t xml:space="preserve"> process </w:t>
      </w:r>
      <w:r>
        <w:fldChar w:fldCharType="begin"/>
      </w:r>
      <w:r>
        <w:instrText xml:space="preserve"> ADDIN ZOTERO_ITEM CSL_CITATION {"citationID":"RMVP8Dvd","properties":{"formattedCitation":"(J. Li and Wang 2010)","plainCitation":"(J. Li and Wang 2010)","noteIndex":0},"citationItems":[{"id":288,"uris":["http://zotero.org/users/9870952/items/EHTQZHLY"],"itemData":{"id":288,"type":"article-journal","container-title":"Materials Science and Engineering: A","issue":"18-19","note":"publisher: Elsevier","page":"4823–4829","source":"Google Scholar","title":"Microstructure and mechanical properties of rapid directionally solidified Ni-base superalloy Rene′ 41 by laser melting deposition manufacturing","volume":"527","author":[{"family":"Li","given":"J."},{"family":"Wang","given":"H. M."}],"issued":{"date-parts":[["2010"]]}}}],"schema":"https://github.com/citation-style-language/schema/raw/master/csl-citation.json"} </w:instrText>
      </w:r>
      <w:r>
        <w:fldChar w:fldCharType="separate"/>
      </w:r>
      <w:r w:rsidRPr="00826A79">
        <w:rPr>
          <w:rFonts w:cs="Calibri"/>
        </w:rPr>
        <w:t>(J. Li and Wang 2010)</w:t>
      </w:r>
      <w:r>
        <w:fldChar w:fldCharType="end"/>
      </w:r>
      <w:r>
        <w:t xml:space="preserve">. Both selective laser sintering (SLS) and SLS/HIP methods have been used to produce cylindrical specimens of IN 625 alloys </w:t>
      </w:r>
      <w:r>
        <w:fldChar w:fldCharType="begin"/>
      </w:r>
      <w:r>
        <w:instrText xml:space="preserve"> ADDIN ZOTERO_ITEM CSL_CITATION {"citationID":"fpLr8qeJ","properties":{"formattedCitation":"(Das et al. 1998)","plainCitation":"(Das et al. 1998)","noteIndex":0},"citationItems":[{"id":283,"uris":["http://zotero.org/users/9870952/items/WXGPDVPA"],"itemData":{"id":283,"type":"article-journal","container-title":"JOM","DOI":"10.1007/s11837-998-0299-1","ISSN":"1047-4838, 1543-1851","issue":"12","journalAbbreviation":"JOM","language":"en","license":"http://www.springer.com/tdm","page":"17-20","source":"DOI.org (Crossref)","title":"Producing metal parts with selective laser sintering/hot isostatic pressing","volume":"50","author":[{"family":"Das","given":"Suman"},{"family":"Wohlert","given":"Martin"},{"family":"Beaman","given":"Joseph J."},{"family":"Bourell","given":"David L."}],"issued":{"date-parts":[["1998",12]]}}}],"schema":"https://github.com/citation-style-language/schema/raw/master/csl-citation.json"} </w:instrText>
      </w:r>
      <w:r>
        <w:fldChar w:fldCharType="separate"/>
      </w:r>
      <w:r w:rsidRPr="00826A79">
        <w:rPr>
          <w:rFonts w:cs="Calibri"/>
        </w:rPr>
        <w:t>(Das et al. 1998)</w:t>
      </w:r>
      <w:r>
        <w:fldChar w:fldCharType="end"/>
      </w:r>
      <w:r>
        <w:t xml:space="preserve">. Sateesh et al. </w:t>
      </w:r>
      <w:r>
        <w:fldChar w:fldCharType="begin"/>
      </w:r>
      <w:r>
        <w:instrText xml:space="preserve"> ADDIN ZOTERO_ITEM CSL_CITATION {"citationID":"tifS2rrV","properties":{"formattedCitation":"(Sateesh et al. 2014)","plainCitation":"(Sateesh et al. 2014)","noteIndex":0},"citationItems":[{"id":285,"uris":["http://zotero.org/users/9870952/items/9FW7GSGG"],"itemData":{"id":285,"type":"article-journal","container-title":"Procedia Materials Science","note":"publisher: Elsevier","page":"772–779","source":"Google Scholar","title":"Microstructure and mechanical characterization of laser sintered Inconel-625 superalloy","volume":"5","author":[{"family":"Sateesh","given":"N. H."},{"family":"Kumar","given":"GC Mohan"},{"family":"Prasad","given":"Krishna"},{"family":"Srinivasa","given":"C. K."},{"family":"Vinod","given":"A. R."}],"issued":{"date-parts":[["2014"]]}}}],"schema":"https://github.com/citation-style-language/schema/raw/master/csl-citation.json"} </w:instrText>
      </w:r>
      <w:r>
        <w:fldChar w:fldCharType="separate"/>
      </w:r>
      <w:r w:rsidRPr="00826A79">
        <w:rPr>
          <w:rFonts w:cs="Calibri"/>
        </w:rPr>
        <w:t>(Sateesh et al. 2014)</w:t>
      </w:r>
      <w:r>
        <w:fldChar w:fldCharType="end"/>
      </w:r>
      <w:r>
        <w:t xml:space="preserve"> used direct metal laser sintering (DMLS) to sinter IN 625 powders onto a steel substrate. Columnar grains </w:t>
      </w:r>
      <w:r w:rsidR="002D4B41">
        <w:t xml:space="preserve">often </w:t>
      </w:r>
      <w:r>
        <w:t xml:space="preserve">form in AM parts in the as fabricated condition. The </w:t>
      </w:r>
      <w:r w:rsidR="00255C59">
        <w:t>h</w:t>
      </w:r>
      <w:r w:rsidR="00255C59" w:rsidRPr="00255C59">
        <w:t xml:space="preserve">ot isostatic pressing </w:t>
      </w:r>
      <w:r w:rsidR="00255C59">
        <w:t>(</w:t>
      </w:r>
      <w:r w:rsidRPr="00255C59">
        <w:t>HIP</w:t>
      </w:r>
      <w:r w:rsidR="00255C59">
        <w:t>)</w:t>
      </w:r>
      <w:r>
        <w:t xml:space="preserve"> process results in </w:t>
      </w:r>
      <w:r w:rsidR="00255C59">
        <w:t xml:space="preserve">the </w:t>
      </w:r>
      <w:r>
        <w:t xml:space="preserve">recrystallization of these columnar grains and </w:t>
      </w:r>
      <w:r w:rsidR="00255C59">
        <w:t xml:space="preserve">the </w:t>
      </w:r>
      <w:r>
        <w:t xml:space="preserve">dissolution of the metastable </w:t>
      </w:r>
      <w:r>
        <w:sym w:font="Symbol" w:char="F067"/>
      </w:r>
      <w:r>
        <w:t>” (Ni</w:t>
      </w:r>
      <w:r w:rsidRPr="00625E02">
        <w:rPr>
          <w:vertAlign w:val="subscript"/>
        </w:rPr>
        <w:t>3</w:t>
      </w:r>
      <w:r>
        <w:t xml:space="preserve">Nb) phase. Sanchez et. al </w:t>
      </w:r>
      <w:r>
        <w:fldChar w:fldCharType="begin"/>
      </w:r>
      <w:r>
        <w:instrText xml:space="preserve"> ADDIN ZOTERO_ITEM CSL_CITATION {"citationID":"LSWQCnTu","properties":{"formattedCitation":"(Sanchez et al. 2021)","plainCitation":"(Sanchez et al. 2021)","noteIndex":0},"citationItems":[{"id":239,"uris":["http://zotero.org/users/9870952/items/5K6DPZQJ"],"itemData":{"id":239,"type":"article-journal","abstract":"Powder Bed Fusion (PBF) techniques constitute a family of Additive Manufacturing (AM) processes, which are characterised by high design flexibility and no tooling requirement. This makes PBF techniques attractive to many modern manufacturing sectors (e.g. aerospace, defence, energy and automotive) where some materials, such as Nickel-based superalloys, cannot be easily processed using conventional subtractive techniques. Nickel-based superalloys are crucial materials in modern engineering and underpin the performance of many advanced mechanical systems. Their physical properties (high mechanical integrity at high temperature) make them difficult to process via traditional techniques. Consequently, manufacture of nickel-based superalloys using PBF platforms has attracted significant attention. To permit a wider application, a deep understanding of their mechanical behaviour and relation to process needs to be achieved. The motivation for this paper is to provide a comprehensive review of the mechanical properties of PBF nickel-based superalloys and how process parameters affect these, and to aid practitioners in identifying the shortcomings and the opportunities in this field. Therefore, this paper aims to review research contributions regarding the microstructure and mechanical properties of nickel-based superalloys, manufactured using the two principle PBF techniques: Laser Powder Bed Fusion (LPBF) and Electron Beam Melting (EBM). The ‘target’ microstructures are introduced alongside the characteristics of those produced by PBF process, followed by an overview of the most used building processes, as well as build quality inspection techniques. A comprehensive evaluation of the mechanical properties, including tensile strength, hardness, shear strength, fatigue resistance, creep resistance and fracture toughness of PBF nickel-based superalloys are analysed. This work concludes with summary tables for data published on these properties serving as a quick reference to scholars. Characteristic process factors influencing functional performance are also discussed and compared throughout for the purpose of identifying research opportunities and directing the research community toward the end goal of achieving part integrity that extends beyond static components only.","container-title":"International Journal of Machine Tools and Manufacture","DOI":"10.1016/j.ijmachtools.2021.103729","ISSN":"0890-6955","journalAbbreviation":"International Journal of Machine Tools and Manufacture","page":"103729","source":"ScienceDirect","title":"Powder Bed Fusion of nickel-based superalloys: A review","title-short":"Powder Bed Fusion of nickel-based superalloys","volume":"165","author":[{"family":"Sanchez","given":"Salomé"},{"family":"Smith","given":"Peter"},{"family":"Xu","given":"Zhengkai"},{"family":"Gaspard","given":"Gabriele"},{"family":"Hyde","given":"Christopher J."},{"family":"Wits","given":"Wessel W."},{"family":"Ashcroft","given":"Ian A."},{"family":"Chen","given":"Hao"},{"family":"Clare","given":"Adam T."}],"issued":{"date-parts":[["2021",6,1]]}}}],"schema":"https://github.com/citation-style-language/schema/raw/master/csl-citation.json"} </w:instrText>
      </w:r>
      <w:r>
        <w:fldChar w:fldCharType="separate"/>
      </w:r>
      <w:r w:rsidRPr="00826A79">
        <w:rPr>
          <w:rFonts w:cs="Calibri"/>
        </w:rPr>
        <w:t>(Sanchez et al. 2021)</w:t>
      </w:r>
      <w:r>
        <w:fldChar w:fldCharType="end"/>
      </w:r>
      <w:r>
        <w:t xml:space="preserve"> reported unusual microstructures and also columnar precipitate architectures, allowing the possibility of more tailored microstructural designs. In the AM fabricated condition, the ductility is equivalent to those of the wrought material, while the yield strength is somewhat lower. The HIP process improves the ductility, while the yield strength decreases substantially </w:t>
      </w:r>
      <w:r>
        <w:lastRenderedPageBreak/>
        <w:fldChar w:fldCharType="begin"/>
      </w:r>
      <w:r>
        <w:instrText xml:space="preserve"> ADDIN ZOTERO_ITEM CSL_CITATION {"citationID":"VCN0On9U","properties":{"formattedCitation":"(Murr et al. 2011)","plainCitation":"(Murr et al. 2011)","noteIndex":0},"citationItems":[{"id":215,"uris":["http://zotero.org/users/9870952/items/9J6ZTEQI"],"itemData":{"id":215,"type":"article-journal","container-title":"Metallurgical and Materials Transactions A","DOI":"10.1007/s11661-011-0748-2","ISSN":"1073-5623, 1543-1940","issue":"11","journalAbbreviation":"Metall Mater Trans A","language":"en","page":"3491-3508","source":"DOI.org (Crossref)","title":"Microstructural Architecture, Microstructures, and Mechanical Properties for a Nickel-Base Superalloy Fabricated by Electron Beam Melting","volume":"42","author":[{"family":"Murr","given":"L. E."},{"family":"Martinez","given":"E."},{"family":"Gaytan","given":"S. M."},{"family":"Ramirez","given":"D. A."},{"family":"Machado","given":"B. I."},{"family":"Shindo","given":"P. W."},{"family":"Martinez","given":"J. L."},{"family":"Medina","given":"F."},{"family":"Wooten","given":"J."},{"family":"Ciscel","given":"D."},{"family":"Ackelid","given":"U."},{"family":"Wicker","given":"R. B."}],"issued":{"date-parts":[["2011",11]]}}}],"schema":"https://github.com/citation-style-language/schema/raw/master/csl-citation.json"} </w:instrText>
      </w:r>
      <w:r>
        <w:fldChar w:fldCharType="separate"/>
      </w:r>
      <w:r w:rsidRPr="00826A79">
        <w:rPr>
          <w:rFonts w:cs="Calibri"/>
        </w:rPr>
        <w:t>(Murr et al. 2011)</w:t>
      </w:r>
      <w:r>
        <w:fldChar w:fldCharType="end"/>
      </w:r>
      <w:r>
        <w:t>. Usually, the tensile strength and ductility for AM processed Ni-base superalloys exceed those of the as-cast materials.</w:t>
      </w:r>
    </w:p>
    <w:p w14:paraId="7B44323C" w14:textId="77777777" w:rsidR="00C90C8E" w:rsidRDefault="00C90C8E" w:rsidP="00C90C8E"/>
    <w:p w14:paraId="64CD65A6" w14:textId="75C60864" w:rsidR="00C90C8E" w:rsidRDefault="00C90C8E" w:rsidP="003E0F31">
      <w:pPr>
        <w:spacing w:line="360" w:lineRule="auto"/>
        <w:ind w:firstLine="720"/>
      </w:pPr>
      <w:r>
        <w:t>In SEBM produced materials such as CMSX-4, very fine segregation is observed compared to the conventional casting process and hence, the homogenization can be performed quickly, within minutes. Essentially, segregation free parts can be produced by this method. Other commercial alloys that have been successfully processed with LPBF are: Hastelloy X, Nimonic 263, Thymonel-2, 247LC, EP708, IN939, K536</w:t>
      </w:r>
      <w:r w:rsidR="00A73748">
        <w:rPr>
          <w:rStyle w:val="FootnoteReference"/>
        </w:rPr>
        <w:footnoteReference w:id="4"/>
      </w:r>
      <w:r>
        <w:t>.</w:t>
      </w:r>
    </w:p>
    <w:p w14:paraId="11791005" w14:textId="77777777" w:rsidR="00C90C8E" w:rsidRDefault="00C90C8E" w:rsidP="00C90C8E">
      <w:pPr>
        <w:spacing w:line="360" w:lineRule="auto"/>
      </w:pPr>
    </w:p>
    <w:p w14:paraId="142E55A2" w14:textId="77777777" w:rsidR="00C90C8E" w:rsidRDefault="00C90C8E" w:rsidP="009F1E63">
      <w:pPr>
        <w:spacing w:line="360" w:lineRule="auto"/>
      </w:pPr>
    </w:p>
    <w:p w14:paraId="2A9BD970" w14:textId="6C5CFCB7" w:rsidR="00C90C8E" w:rsidRDefault="00C90C8E" w:rsidP="00C90C8E">
      <w:pPr>
        <w:spacing w:line="360" w:lineRule="auto"/>
        <w:jc w:val="both"/>
        <w:rPr>
          <w:b/>
          <w:bCs/>
          <w:spacing w:val="-3"/>
        </w:rPr>
      </w:pPr>
      <w:r>
        <w:rPr>
          <w:b/>
          <w:bCs/>
          <w:spacing w:val="-3"/>
        </w:rPr>
        <w:t>10.5.3 Fe a</w:t>
      </w:r>
      <w:r w:rsidRPr="00C90C8E">
        <w:rPr>
          <w:b/>
          <w:bCs/>
          <w:spacing w:val="-3"/>
        </w:rPr>
        <w:t>lloys</w:t>
      </w:r>
    </w:p>
    <w:p w14:paraId="37F16F6F" w14:textId="77777777" w:rsidR="00C90C8E" w:rsidRDefault="00C90C8E" w:rsidP="00C90C8E">
      <w:pPr>
        <w:spacing w:line="360" w:lineRule="auto"/>
      </w:pPr>
    </w:p>
    <w:p w14:paraId="65E24F51" w14:textId="71A003E0" w:rsidR="00C90C8E" w:rsidRDefault="00C90C8E" w:rsidP="003E0F31">
      <w:pPr>
        <w:spacing w:line="360" w:lineRule="auto"/>
        <w:ind w:firstLine="720"/>
      </w:pPr>
      <w:r>
        <w:t>Laser melting of ferrous alloys offers challenges. Since both the solvent Fe and a major alloying element Cr have strong affinity for oxygen, oxidation may result under normal processing conditions</w:t>
      </w:r>
      <w:r w:rsidR="005776D7">
        <w:t xml:space="preserve"> (not including processing under inert atmosphere or </w:t>
      </w:r>
      <w:r w:rsidR="004206E4">
        <w:t>under high vacuum conditions)</w:t>
      </w:r>
      <w:r>
        <w:t xml:space="preserve"> Therefore, contaminated oxide layers may appear on top of the melt pool resulting in a phenomenon called balling. Often carbon segregation may occur leading to undesirable mechanical properties. LPBF and DED-based AM techniques have been used to process various types of steels such as austenitic, martensitic, duplex, </w:t>
      </w:r>
      <w:r w:rsidR="002D4B41">
        <w:t xml:space="preserve">and </w:t>
      </w:r>
      <w:r>
        <w:t xml:space="preserve">precipitation-hardened. Among them, the most common grades are 304, 316, 304L, 316L </w:t>
      </w:r>
      <w:r>
        <w:fldChar w:fldCharType="begin"/>
      </w:r>
      <w:r>
        <w:instrText xml:space="preserve"> ADDIN ZOTERO_ITEM CSL_CITATION {"citationID":"9vnu7MFI","properties":{"formattedCitation":"(DebRoy et al. 2018; Blinn et al. 2018; Han et al. 2020)","plainCitation":"(DebRoy et al. 2018; Blinn et al. 2018; Han et al. 2020)","noteIndex":0},"citationItems":[{"id":266,"uris":["http://zotero.org/users/9870952/items/XL2LBBKV"],"itemData":{"id":266,"type":"article-journal","container-title":"Progress in Materials Science","note":"publisher: Elsevier","page":"112–224","source":"Google Scholar","title":"Additive manufacturing of metallic components–process, structure and properties","volume":"92","author":[{"family":"DebRoy","given":"Tarasankar"},{"family":"Wei","given":"Huiliang L."},{"family":"Zuback","given":"James S."},{"family":"Mukherjee","given":"Tuhin"},{"family":"Elmer","given":"John W."},{"family":"Milewski","given":"John O."},{"family":"Beese","given":"Allison Michelle"},{"family":"Wilson-Heid","given":"A.","dropping-particle":"de"},{"family":"De","given":"Amitava"},{"family":"Zhang","given":"Wei"}],"issued":{"date-parts":[["2018"]]}}},{"id":268,"uris":["http://zotero.org/users/9870952/items/RHPVN7MK"],"itemData":{"id":268,"type":"article-journal","container-title":"Metals","issue":"4","note":"publisher: MDPI","page":"220","source":"Google Scholar","title":"An investigation of the microstructure and fatigue behavior of additively manufactured AISI 316L stainless steel with regard to the influence of heat treatment","volume":"8","author":[{"family":"Blinn","given":"Bastian"},{"family":"Klein","given":"Marcus"},{"family":"Gläßner","given":"Christopher"},{"family":"Smaga","given":"Marek"},{"family":"Aurich","given":"Jan C."},{"family":"Beck","given":"Tilmann"}],"issued":{"date-parts":[["2018"]]}}},{"id":270,"uris":["http://zotero.org/users/9870952/items/PC55ZQNN"],"itemData":{"id":270,"type":"article-journal","container-title":"Journal of Materials Research","issue":"15","note":"publisher: Cambridge University Press","page":"2006–2015","source":"Google Scholar","title":"Microstructure and properties of a novel wear-and corrosion-resistant stainless steel fabricated by laser melting deposition","volume":"35","author":[{"family":"Han","given":"Yurou"},{"family":"Zhang","given":"Chunhua"},{"family":"Cui","given":"Xue"},{"family":"Zhang","given":"Song"},{"family":"Chen","given":"Jiang"},{"family":"Dong","given":"Shiyun"},{"family":"Abdullah","given":"Adil Othman"}],"issued":{"date-parts":[["2020"]]}}}],"schema":"https://github.com/citation-style-language/schema/raw/master/csl-citation.json"} </w:instrText>
      </w:r>
      <w:r>
        <w:fldChar w:fldCharType="separate"/>
      </w:r>
      <w:r w:rsidRPr="00826A79">
        <w:rPr>
          <w:rFonts w:cs="Calibri"/>
        </w:rPr>
        <w:t>(DebRoy et al. 2018; Blinn et al. 2018; Han et al. 2020)</w:t>
      </w:r>
      <w:r>
        <w:fldChar w:fldCharType="end"/>
      </w:r>
      <w:r>
        <w:t>. Generally, steels with fine grained microstructures can be produced compared to conventional manufacturing techniques</w:t>
      </w:r>
      <w:r w:rsidR="005776D7">
        <w:t xml:space="preserve"> because of the generally high cooling rates involved in AM processes</w:t>
      </w:r>
      <w:r>
        <w:t xml:space="preserve">. Post-build heat treatments are often used to achieve desirable properties. Kruth et al. </w:t>
      </w:r>
      <w:r>
        <w:fldChar w:fldCharType="begin"/>
      </w:r>
      <w:r>
        <w:instrText xml:space="preserve"> ADDIN ZOTERO_ITEM CSL_CITATION {"citationID":"Eshy5LSd","properties":{"formattedCitation":"(Kruth et al. 2004)","plainCitation":"(Kruth et al. 2004)","noteIndex":0},"citationItems":[{"id":290,"uris":["http://zotero.org/users/9870952/items/9HTAAIGW"],"itemData":{"id":290,"type":"article-journal","container-title":"Journal of materials processing technology","issue":"1-3","note":"publisher: Elsevier","page":"616–622","source":"Google Scholar","title":"Selective laser melting of iron-based powder","volume":"149","author":[{"family":"Kruth","given":"Jean-Pierre"},{"family":"Froyen","given":"Ludo"},{"family":"Van Vaerenbergh","given":"Jonas"},{"family":"Mercelis","given":"Peter"},{"family":"Rombouts","given":"Marleen"},{"family":"Lauwers","given":"Bert"}],"issued":{"date-parts":[["2004"]]}}}],"schema":"https://github.com/citation-style-language/schema/raw/master/csl-citation.json"} </w:instrText>
      </w:r>
      <w:r>
        <w:fldChar w:fldCharType="separate"/>
      </w:r>
      <w:r w:rsidRPr="00826A79">
        <w:rPr>
          <w:rFonts w:cs="Calibri"/>
        </w:rPr>
        <w:t>(Kruth et al. 2004)</w:t>
      </w:r>
      <w:r>
        <w:fldChar w:fldCharType="end"/>
      </w:r>
      <w:r>
        <w:t xml:space="preserve"> used the LENS (laser engineered net shaping) method to melt and deposit 316L stainless steel powders. Epitaxial growth of new layers on previously deposited layers </w:t>
      </w:r>
      <w:r>
        <w:lastRenderedPageBreak/>
        <w:t>were observed. Both fine and coarse columnar region were seen in the microstructure (see Fig. 10.15).</w:t>
      </w:r>
    </w:p>
    <w:p w14:paraId="5744883E" w14:textId="77777777" w:rsidR="00C90C8E" w:rsidRDefault="00C90C8E" w:rsidP="00C90C8E"/>
    <w:p w14:paraId="3609D4D5" w14:textId="77777777" w:rsidR="00C90C8E" w:rsidRDefault="00C90C8E" w:rsidP="003E0F31">
      <w:pPr>
        <w:spacing w:line="360" w:lineRule="auto"/>
        <w:ind w:firstLine="720"/>
      </w:pPr>
      <w:r>
        <w:t xml:space="preserve">Cormier et al. </w:t>
      </w:r>
      <w:r>
        <w:fldChar w:fldCharType="begin"/>
      </w:r>
      <w:r>
        <w:instrText xml:space="preserve"> ADDIN ZOTERO_ITEM CSL_CITATION {"citationID":"QiYOrLNZ","properties":{"formattedCitation":"(Cormier, Harrysson, and West 2004)","plainCitation":"(Cormier, Harrysson, and West 2004)","noteIndex":0},"citationItems":[{"id":221,"uris":["http://zotero.org/users/9870952/items/XQILB7SA"],"itemData":{"id":221,"type":"article-journal","container-title":"Rapid prototyping journal","issue":"1","note":"publisher: Emerald Group Publishing Limited","page":"35–41","source":"Google Scholar","title":"Characterization of H13 steel produced via electron beam melting","volume":"10","author":[{"family":"Cormier","given":"Denis"},{"family":"Harrysson","given":"Ola"},{"family":"West","given":"Harvey"}],"issued":{"date-parts":[["2004"]]}}}],"schema":"https://github.com/citation-style-language/schema/raw/master/csl-citation.json"} </w:instrText>
      </w:r>
      <w:r>
        <w:fldChar w:fldCharType="separate"/>
      </w:r>
      <w:r w:rsidRPr="00826A79">
        <w:rPr>
          <w:rFonts w:cs="Calibri"/>
        </w:rPr>
        <w:t>(Cormier, Harrysson, and West 2004)</w:t>
      </w:r>
      <w:r>
        <w:fldChar w:fldCharType="end"/>
      </w:r>
      <w:r>
        <w:t xml:space="preserve"> demonstrated a microstructure analysis of H13 tool steel that was produced by SEBM. The AM built part had martensitic microstructure with high hardness values. Qi et al. </w:t>
      </w:r>
      <w:r>
        <w:fldChar w:fldCharType="begin"/>
      </w:r>
      <w:r>
        <w:instrText xml:space="preserve"> ADDIN ZOTERO_ITEM CSL_CITATION {"citationID":"ECOXCFNl","properties":{"formattedCitation":"(Qi et al. 2006)","plainCitation":"(Qi et al. 2006)","noteIndex":0},"citationItems":[{"id":223,"uris":["http://zotero.org/users/9870952/items/EDIIF2WG"],"itemData":{"id":223,"type":"article-journal","abstract":"Electron beam selective melting (EBSM) is a new type of rapid manufacturing of direct metal fabrication technology, which combines electron beam machining with rapid prototyping. It makes use of some advantages of an electron beam, such as high energy density, high absorption rate, and vacuum environment. In this study, direct metal part forming of gas and water-atomized 316L stainless steel powder were researched in detail. The one-dimensional experiments showed that the gas-atomized 316L stainless steel powder could be formed in a solid line at slow scanning velocity and low beam current while the water-atomized powder had serious balling and break-up phenomena at most conditions. The powder mixture containing 40–60 wt % of the gas-atomized powder has the optimum forming ability. The forming technology of the mixture powder must be divided into three steps: placing step, heating step, and melting step. After research on the technology parameters, some two-dimensional facets and three-dimensional parts were produced by EBSM. The microstructure of the three-dimensional forming parts was fine; the interfaces between the layers were metallurgically bonded.","container-title":"Proceedings of the Institution of Mechanical Engineers, Part B: Journal of Engineering Manufacture","DOI":"10.1243/09544054JEM438","ISSN":"0954-4054, 2041-2975","issue":"11","journalAbbreviation":"Proceedings of the Institution of Mechanical Engineers, Part B: Journal of Engineering Manufacture","language":"en","license":"http://journals.sagepub.com/page/policies/text-and-data-mining-license","page":"1845-1853","source":"DOI.org (Crossref)","title":"Direct metal part forming of 316L stainless steel powder by electron beam selective melting","volume":"220","author":[{"family":"Qi","given":"H B"},{"family":"Yan","given":"Y N"},{"family":"Lin","given":"F"},{"family":"He","given":"W"},{"family":"Zhang","given":"R J"}],"issued":{"date-parts":[["2006",11,1]]}}}],"schema":"https://github.com/citation-style-language/schema/raw/master/csl-citation.json"} </w:instrText>
      </w:r>
      <w:r>
        <w:fldChar w:fldCharType="separate"/>
      </w:r>
      <w:r w:rsidRPr="00826A79">
        <w:rPr>
          <w:rFonts w:cs="Calibri"/>
        </w:rPr>
        <w:t>(Qi et al. 2006)</w:t>
      </w:r>
      <w:r>
        <w:fldChar w:fldCharType="end"/>
      </w:r>
      <w:r>
        <w:t xml:space="preserve"> investigated the formability of the 316L steels by SEBM. Finer microstructure was obtained with good metallurgical bonding among the deposited layers. They described the influence of the scanning strategy on densification and the surface roughness.</w:t>
      </w:r>
    </w:p>
    <w:p w14:paraId="0DA85F1E" w14:textId="77777777" w:rsidR="00C90C8E" w:rsidRDefault="00C90C8E" w:rsidP="00C90C8E">
      <w:pPr>
        <w:spacing w:line="360" w:lineRule="auto"/>
      </w:pPr>
    </w:p>
    <w:p w14:paraId="2AE882EC" w14:textId="77777777" w:rsidR="00C90C8E" w:rsidRDefault="00C90C8E" w:rsidP="003E0F31">
      <w:pPr>
        <w:spacing w:line="360" w:lineRule="auto"/>
      </w:pPr>
    </w:p>
    <w:p w14:paraId="48C55E98" w14:textId="497F6FE5" w:rsidR="00C90C8E" w:rsidRDefault="00C90C8E" w:rsidP="00C90C8E">
      <w:pPr>
        <w:spacing w:line="360" w:lineRule="auto"/>
        <w:jc w:val="both"/>
        <w:rPr>
          <w:b/>
          <w:bCs/>
          <w:spacing w:val="-3"/>
        </w:rPr>
      </w:pPr>
      <w:r>
        <w:rPr>
          <w:b/>
          <w:bCs/>
          <w:spacing w:val="-3"/>
        </w:rPr>
        <w:t xml:space="preserve">10.5.4 </w:t>
      </w:r>
      <w:r w:rsidR="00744D11">
        <w:rPr>
          <w:b/>
          <w:bCs/>
          <w:spacing w:val="-3"/>
        </w:rPr>
        <w:t>Co</w:t>
      </w:r>
      <w:r>
        <w:rPr>
          <w:b/>
          <w:bCs/>
          <w:spacing w:val="-3"/>
        </w:rPr>
        <w:t xml:space="preserve"> a</w:t>
      </w:r>
      <w:r w:rsidRPr="00C90C8E">
        <w:rPr>
          <w:b/>
          <w:bCs/>
          <w:spacing w:val="-3"/>
        </w:rPr>
        <w:t>lloys</w:t>
      </w:r>
    </w:p>
    <w:p w14:paraId="6CCB01D4" w14:textId="6F17E4C0" w:rsidR="009F1E63" w:rsidRDefault="009F1E63" w:rsidP="009F1E63">
      <w:pPr>
        <w:spacing w:line="360" w:lineRule="auto"/>
      </w:pPr>
    </w:p>
    <w:p w14:paraId="1FEEA666" w14:textId="77777777" w:rsidR="00744D11" w:rsidRDefault="00744D11" w:rsidP="003E0F31">
      <w:pPr>
        <w:spacing w:line="360" w:lineRule="auto"/>
        <w:ind w:firstLine="720"/>
      </w:pPr>
      <w:r>
        <w:t xml:space="preserve">Co-base alloys are used as components in high temperature, high wear resistance applications such as vanes in gas turbine engines and valve seats in nuclear power plants. They are also used in biomedical applications. Usually, Co-base alloys are produced by casting or forging and then subjected to heat treatment for adjusting the mechanical properties </w:t>
      </w:r>
      <w:r>
        <w:fldChar w:fldCharType="begin"/>
      </w:r>
      <w:r>
        <w:instrText xml:space="preserve"> ADDIN ZOTERO_ITEM CSL_CITATION {"citationID":"3Wxdqxof","properties":{"formattedCitation":"(K\\uc0\\u246{}rner 2016)","plainCitation":"(Körner 2016)","noteIndex":0},"citationItems":[{"id":218,"uris":["http://zotero.org/users/9870952/items/ID4XE522"],"itemData":{"id":218,"type":"article-journal","container-title":"International Materials Reviews","DOI":"10.1080/09506608.2016.1176289","ISSN":"0950-6608, 1743-2804","issue":"5","journalAbbreviation":"International Materials Reviews","language":"en","page":"361-377","source":"DOI.org (Crossref)","title":"Additive manufacturing of metallic components by selective electron beam melting — a review","volume":"61","author":[{"family":"Körner","given":"C."}],"issued":{"date-parts":[["2016",7,3]]}}}],"schema":"https://github.com/citation-style-language/schema/raw/master/csl-citation.json"} </w:instrText>
      </w:r>
      <w:r>
        <w:fldChar w:fldCharType="separate"/>
      </w:r>
      <w:r w:rsidRPr="00826A79">
        <w:rPr>
          <w:rFonts w:cs="Calibri"/>
        </w:rPr>
        <w:t>(Körner 2016)</w:t>
      </w:r>
      <w:r>
        <w:fldChar w:fldCharType="end"/>
      </w:r>
      <w:r>
        <w:t xml:space="preserve">. SLM has been used to produce Co-base alloy dentures by SLM </w:t>
      </w:r>
      <w:r>
        <w:fldChar w:fldCharType="begin"/>
      </w:r>
      <w:r>
        <w:instrText xml:space="preserve"> ADDIN ZOTERO_ITEM CSL_CITATION {"citationID":"nC8HhgVB","properties":{"formattedCitation":"(\\uc0\\u8220{}Degudent - Germany,\\uc0\\u8221{} n.d.)","plainCitation":"(“Degudent - Germany,” n.d.)","noteIndex":0},"citationItems":[{"id":224,"uris":["http://zotero.org/users/9870952/items/RLP5YRMJ"],"itemData":{"id":224,"type":"webpage","title":"Degudent - Germany","URL":"https://chemicalparks.eu/companies/degudent","accessed":{"date-parts":[["2024",3,26]]}}}],"schema":"https://github.com/citation-style-language/schema/raw/master/csl-citation.json"} </w:instrText>
      </w:r>
      <w:r>
        <w:fldChar w:fldCharType="separate"/>
      </w:r>
      <w:r w:rsidRPr="00826A79">
        <w:rPr>
          <w:rFonts w:cs="Calibri"/>
        </w:rPr>
        <w:t>(“Degudent - Germany,” n.d.)</w:t>
      </w:r>
      <w:r>
        <w:fldChar w:fldCharType="end"/>
      </w:r>
      <w:r>
        <w:t xml:space="preserve">. Gaytan et el. </w:t>
      </w:r>
      <w:r>
        <w:fldChar w:fldCharType="begin"/>
      </w:r>
      <w:r>
        <w:instrText xml:space="preserve"> ADDIN ZOTERO_ITEM CSL_CITATION {"citationID":"ehFR9tGV","properties":{"formattedCitation":"(Murr et al. 2011; Gaytan et al. 2011)","plainCitation":"(Murr et al. 2011; Gaytan et al. 2011)","noteIndex":0},"citationItems":[{"id":215,"uris":["http://zotero.org/users/9870952/items/9J6ZTEQI"],"itemData":{"id":215,"type":"article-journal","container-title":"Metallurgical and Materials Transactions A","DOI":"10.1007/s11661-011-0748-2","ISSN":"1073-5623, 1543-1940","issue":"11","journalAbbreviation":"Metall Mater Trans A","language":"en","page":"3491-3508","source":"DOI.org (Crossref)","title":"Microstructural Architecture, Microstructures, and Mechanical Properties for a Nickel-Base Superalloy Fabricated by Electron Beam Melting","volume":"42","author":[{"family":"Murr","given":"L. E."},{"family":"Martinez","given":"E."},{"family":"Gaytan","given":"S. M."},{"family":"Ramirez","given":"D. A."},{"family":"Machado","given":"B. I."},{"family":"Shindo","given":"P. W."},{"family":"Martinez","given":"J. L."},{"family":"Medina","given":"F."},{"family":"Wooten","given":"J."},{"family":"Ciscel","given":"D."},{"family":"Ackelid","given":"U."},{"family":"Wicker","given":"R. B."}],"issued":{"date-parts":[["2011",11]]}}},{"id":228,"uris":["http://zotero.org/users/9870952/items/LB3BIQRG"],"itemData":{"id":228,"type":"article-journal","container-title":"Materials Sciences and Applications","issue":"05","note":"publisher: Scientific Research Publishing","page":"355","source":"Google Scholar","title":"A TEM study of cobalt-base alloy prototypes fabricated by EBM","volume":"2","author":[{"family":"Gaytan","given":"Sara M."},{"family":"Murr","given":"Larry E."},{"family":"Ramirez","given":"Diana A."},{"family":"Machado","given":"Brenda I."},{"family":"Martinez","given":"Edwin"},{"family":"Hernandez","given":"Daniel H."},{"family":"Martinez","given":"Jose L."},{"family":"Medina","given":"Francisco"},{"family":"Wicker","given":"Ryan B."}],"issued":{"date-parts":[["2011"]]}}}],"schema":"https://github.com/citation-style-language/schema/raw/master/csl-citation.json"} </w:instrText>
      </w:r>
      <w:r>
        <w:fldChar w:fldCharType="separate"/>
      </w:r>
      <w:r w:rsidRPr="00826A79">
        <w:rPr>
          <w:rFonts w:cs="Calibri"/>
        </w:rPr>
        <w:t>(Murr et al. 2011; Gaytan et al. 2011)</w:t>
      </w:r>
      <w:r>
        <w:fldChar w:fldCharType="end"/>
      </w:r>
      <w:r>
        <w:t xml:space="preserve"> described fabrication of Co-26Cr-6Mo-0.2C alloy by SEBM. Sun et al </w:t>
      </w:r>
      <w:r>
        <w:fldChar w:fldCharType="begin"/>
      </w:r>
      <w:r>
        <w:instrText xml:space="preserve"> ADDIN ZOTERO_ITEM CSL_CITATION {"citationID":"q1SWCpGY","properties":{"formattedCitation":"(Sun et al. 2014; 2015)","plainCitation":"(Sun et al. 2014; 2015)","noteIndex":0},"citationItems":[{"id":230,"uris":["http://zotero.org/users/9870952/items/7SWPXVPI"],"itemData":{"id":230,"type":"article-journal","container-title":"Acta Materialia","note":"publisher: Elsevier","page":"154–168","source":"Google Scholar","title":"Build direction dependence of microstructure and high-temperature tensile property of Co–Cr–Mo alloy fabricated by electron beam melting","volume":"64","author":[{"family":"Sun","given":"Shi-Hai"},{"family":"Koizumi","given":"Yuichiro"},{"family":"Kurosu","given":"Shingo"},{"family":"Li","given":"Yun-Ping"},{"family":"Matsumoto","given":"Hiroaki"},{"family":"Chiba","given":"Akihiko"}],"issued":{"date-parts":[["2014"]]}}},{"id":232,"uris":["http://zotero.org/users/9870952/items/XMBJZ9CL"],"itemData":{"id":232,"type":"article-journal","container-title":"Acta Materialia","note":"publisher: Elsevier","page":"305–318","source":"Google Scholar","title":"Phase and grain size inhomogeneity and their influences on creep behavior of Co–Cr–Mo alloy additive manufactured by electron beam melting","volume":"86","author":[{"family":"Sun","given":"Shi-Hai"},{"family":"Koizumi","given":"Yuichiro"},{"family":"Kurosu","given":"Shingo"},{"family":"Li","given":"Yun-Ping"},{"family":"Chiba","given":"Akihiko"}],"issued":{"date-parts":[["2015"]]}}}],"schema":"https://github.com/citation-style-language/schema/raw/master/csl-citation.json"} </w:instrText>
      </w:r>
      <w:r>
        <w:fldChar w:fldCharType="separate"/>
      </w:r>
      <w:r w:rsidRPr="00826A79">
        <w:rPr>
          <w:rFonts w:cs="Calibri"/>
        </w:rPr>
        <w:t>(Sun et al. 2014; 2015)</w:t>
      </w:r>
      <w:r>
        <w:fldChar w:fldCharType="end"/>
      </w:r>
      <w:r>
        <w:t xml:space="preserve"> reported a thorough investigation of Co-Cr-Mo fabricate by SEBM. During SEBM, Co-Cr-Mo alloys solidify with the formation of the fcc </w:t>
      </w:r>
      <w:r>
        <w:sym w:font="Symbol" w:char="F067"/>
      </w:r>
      <w:r>
        <w:t xml:space="preserve"> phase, which is not subsequently converted into the stable </w:t>
      </w:r>
      <w:r>
        <w:sym w:font="Symbol" w:char="F065"/>
      </w:r>
      <w:r>
        <w:t xml:space="preserve"> phase during the build process. Preferred grain orientation (&lt;001&gt; orientation for the fcc </w:t>
      </w:r>
      <w:r>
        <w:sym w:font="Symbol" w:char="F067"/>
      </w:r>
      <w:r>
        <w:t xml:space="preserve"> phase) texture develops, with the subsequent M</w:t>
      </w:r>
      <w:r w:rsidRPr="00EE12AC">
        <w:rPr>
          <w:vertAlign w:val="subscript"/>
        </w:rPr>
        <w:t>23</w:t>
      </w:r>
      <w:r>
        <w:t>C</w:t>
      </w:r>
      <w:r w:rsidRPr="00EE12AC">
        <w:rPr>
          <w:vertAlign w:val="subscript"/>
        </w:rPr>
        <w:t>6</w:t>
      </w:r>
      <w:r>
        <w:t xml:space="preserve"> formation along the build direction.</w:t>
      </w:r>
    </w:p>
    <w:p w14:paraId="41891F29" w14:textId="77777777" w:rsidR="00744D11" w:rsidRDefault="00744D11" w:rsidP="003E0F31">
      <w:pPr>
        <w:spacing w:line="360" w:lineRule="auto"/>
      </w:pPr>
    </w:p>
    <w:p w14:paraId="38F92A06" w14:textId="77777777" w:rsidR="009F1E63" w:rsidRDefault="009F1E63" w:rsidP="00027F0A">
      <w:pPr>
        <w:spacing w:line="360" w:lineRule="auto"/>
        <w:jc w:val="both"/>
        <w:rPr>
          <w:rFonts w:eastAsiaTheme="minorEastAsia"/>
        </w:rPr>
      </w:pPr>
    </w:p>
    <w:p w14:paraId="619041CD" w14:textId="5EEF6B38" w:rsidR="00744D11" w:rsidRDefault="00744D11" w:rsidP="00744D11">
      <w:pPr>
        <w:spacing w:line="360" w:lineRule="auto"/>
        <w:jc w:val="both"/>
        <w:rPr>
          <w:b/>
          <w:bCs/>
          <w:spacing w:val="-3"/>
        </w:rPr>
      </w:pPr>
      <w:r>
        <w:rPr>
          <w:b/>
          <w:bCs/>
          <w:spacing w:val="-3"/>
        </w:rPr>
        <w:t>10.5.5 Cu a</w:t>
      </w:r>
      <w:r w:rsidRPr="00C90C8E">
        <w:rPr>
          <w:b/>
          <w:bCs/>
          <w:spacing w:val="-3"/>
        </w:rPr>
        <w:t>lloys</w:t>
      </w:r>
    </w:p>
    <w:p w14:paraId="32E4E61C" w14:textId="77777777" w:rsidR="00744D11" w:rsidRDefault="00744D11" w:rsidP="00027F0A">
      <w:pPr>
        <w:spacing w:line="360" w:lineRule="auto"/>
        <w:jc w:val="both"/>
        <w:rPr>
          <w:rFonts w:eastAsiaTheme="minorEastAsia"/>
        </w:rPr>
      </w:pPr>
    </w:p>
    <w:p w14:paraId="486B1AC4" w14:textId="22C18D5F" w:rsidR="00744D11" w:rsidRDefault="00744D11" w:rsidP="00744D11">
      <w:pPr>
        <w:spacing w:line="360" w:lineRule="auto"/>
        <w:ind w:firstLine="720"/>
      </w:pPr>
      <w:r>
        <w:t xml:space="preserve">Copper alloys are widely used in </w:t>
      </w:r>
      <w:r w:rsidR="00255C59">
        <w:t>a variety</w:t>
      </w:r>
      <w:r>
        <w:t xml:space="preserve"> of applications such as high conductivity wires, electrical appliances, heat exchangers just to name a few. </w:t>
      </w:r>
      <w:r>
        <w:lastRenderedPageBreak/>
        <w:t xml:space="preserve">Manufacture of complex-shaped copper components for electrical and heat management applications can be possible through the LPBF process. 3D printing of pure copper alloys result in parts of low strength and/or low thermal conductivity. Therefore, researchers have been working on AM produced high strength, high thermal conductivity copper alloys by dispersing nanoparticles such as </w:t>
      </w:r>
      <w:r w:rsidRPr="00C86DB5">
        <w:t>lanthanum hexaboride (LaB6)</w:t>
      </w:r>
      <w:r>
        <w:t xml:space="preserve"> during the LPBF process </w:t>
      </w:r>
      <w:r>
        <w:fldChar w:fldCharType="begin"/>
      </w:r>
      <w:r>
        <w:instrText xml:space="preserve"> ADDIN ZOTERO_ITEM CSL_CITATION {"citationID":"6RYgo32n","properties":{"formattedCitation":"(Liu et al. 2024)","plainCitation":"(Liu et al. 2024)","noteIndex":0},"citationItems":[{"id":234,"uris":["http://zotero.org/users/9870952/items/3JSTF6VK"],"itemData":{"id":234,"type":"article-journal","abstract":"Additive manufacturing (AM), known as 3D printing, enables rapid fabrication of geometrically complex copper (Cu) components for electrical conduction and heat management applications. However, pure Cu or Cu alloys produced by 3D printing often suffer from either low strength or low conductivity at room and elevated temperatures. Here, we demonstrate a design strategy for 3D printing of high strength, high conductivity Cu by uniformly dispersing a minor portion of lanthanum hexaboride (LaB6) nanoparticles in pure Cu through laser powder bed fusion (L-PBF). We show that trace additions of LaB6 to pure Cu results in an improved L-PBF processability, an enhanced strength, an improved thermal stability, all whilst maintaining a high conductivity. The presented strategy could expand the applicability of 3D printed Cu components to more demanding conditions where high strength, high conductivity and thermal stability are required.","container-title":"Nature Communications","DOI":"10.1038/s41467-024-45732-y","ISSN":"2041-1723","issue":"1","journalAbbreviation":"Nat Commun","language":"en","license":"2024 The Author(s)","note":"publisher: Nature Publishing Group","page":"1283","source":"www.nature.com","title":"Manufacturing of high strength and high conductivity copper with laser powder bed fusion","volume":"15","author":[{"family":"Liu","given":"Yingang"},{"family":"Zhang","given":"Jingqi"},{"family":"Niu","given":"Ranming"},{"family":"Bayat","given":"Mohamad"},{"family":"Zhou","given":"Ying"},{"family":"Yin","given":"Yu"},{"family":"Tan","given":"Qiyang"},{"family":"Liu","given":"Shiyang"},{"family":"Hattel","given":"Jesper Henri"},{"family":"Li","given":"Miaoquan"},{"family":"Huang","given":"Xiaoxu"},{"family":"Cairney","given":"Julie"},{"family":"Chen","given":"Yi-Sheng"},{"family":"Easton","given":"Mark"},{"family":"Hutchinson","given":"Christopher"},{"family":"Zhang","given":"Ming-Xing"}],"issued":{"date-parts":[["2024",2,12]]}}}],"schema":"https://github.com/citation-style-language/schema/raw/master/csl-citation.json"} </w:instrText>
      </w:r>
      <w:r>
        <w:fldChar w:fldCharType="separate"/>
      </w:r>
      <w:r w:rsidRPr="00826A79">
        <w:rPr>
          <w:rFonts w:cs="Calibri"/>
        </w:rPr>
        <w:t>(Liu et al. 2024)</w:t>
      </w:r>
      <w:r>
        <w:fldChar w:fldCharType="end"/>
      </w:r>
      <w:r>
        <w:t xml:space="preserve">. Some of the copper alloys that have been processed by AM are: </w:t>
      </w:r>
      <w:r w:rsidRPr="007A7480">
        <w:rPr>
          <w:rFonts w:cstheme="minorHAnsi"/>
          <w:color w:val="1A1A1A"/>
          <w:shd w:val="clear" w:color="auto" w:fill="FFFFFF"/>
        </w:rPr>
        <w:t xml:space="preserve">copper-chromium alloys, GRCop, oxide-dispersion-strengthened copper, copper-nickel alloys, copper-tin alloys, copper-zinc alloys, and copper-base shape memory alloys </w:t>
      </w:r>
      <w:r w:rsidRPr="007A7480">
        <w:rPr>
          <w:rFonts w:cstheme="minorHAnsi"/>
          <w:color w:val="1A1A1A"/>
          <w:shd w:val="clear" w:color="auto" w:fill="FFFFFF"/>
        </w:rPr>
        <w:fldChar w:fldCharType="begin"/>
      </w:r>
      <w:r>
        <w:rPr>
          <w:rFonts w:cstheme="minorHAnsi"/>
          <w:color w:val="1A1A1A"/>
          <w:shd w:val="clear" w:color="auto" w:fill="FFFFFF"/>
        </w:rPr>
        <w:instrText xml:space="preserve"> ADDIN ZOTERO_ITEM CSL_CITATION {"citationID":"1VbRH9kZ","properties":{"formattedCitation":"(Horn and Gamzina 2020)","plainCitation":"(Horn and Gamzina 2020)","noteIndex":0},"citationItems":[{"id":236,"uris":["http://zotero.org/users/9870952/items/ECFAA59B"],"itemData":{"id":236,"type":"article-journal","abstract":"Abstract. This article is a detailed account of additive manufacturing (AM) processes for copper and copper alloys such as copper-chromium alloys, GRCop, o","DOI":"10.31399/asm.hb.v24.a0006579","language":"en","source":"dl.asminternational.org","title":"Additive Manufacturing of Copper and Copper Alloys","URL":"https://dl.asminternational.org/handbooks/edited-volume/119/chapter/2350563/Additive-Manufacturing-of-Copper-and-Copper-Alloys","author":[{"family":"Horn","given":"Timothy J."},{"family":"Gamzina","given":"Diana"}],"accessed":{"date-parts":[["2024",3,26]]},"issued":{"date-parts":[["2020",6,15]]}}}],"schema":"https://github.com/citation-style-language/schema/raw/master/csl-citation.json"} </w:instrText>
      </w:r>
      <w:r w:rsidRPr="007A7480">
        <w:rPr>
          <w:rFonts w:cstheme="minorHAnsi"/>
          <w:color w:val="1A1A1A"/>
          <w:shd w:val="clear" w:color="auto" w:fill="FFFFFF"/>
        </w:rPr>
        <w:fldChar w:fldCharType="separate"/>
      </w:r>
      <w:r w:rsidRPr="00826A79">
        <w:rPr>
          <w:rFonts w:cs="Calibri"/>
        </w:rPr>
        <w:t>(Horn and Gamzina 2020)</w:t>
      </w:r>
      <w:r w:rsidRPr="007A7480">
        <w:rPr>
          <w:rFonts w:cstheme="minorHAnsi"/>
          <w:color w:val="1A1A1A"/>
          <w:shd w:val="clear" w:color="auto" w:fill="FFFFFF"/>
        </w:rPr>
        <w:fldChar w:fldCharType="end"/>
      </w:r>
      <w:r w:rsidRPr="007A7480">
        <w:rPr>
          <w:rFonts w:cstheme="minorHAnsi"/>
          <w:color w:val="1A1A1A"/>
          <w:shd w:val="clear" w:color="auto" w:fill="FFFFFF"/>
        </w:rPr>
        <w:t xml:space="preserve">. </w:t>
      </w:r>
      <w:r w:rsidRPr="00141391">
        <w:rPr>
          <w:rFonts w:cstheme="minorHAnsi"/>
          <w:color w:val="1A1A1A"/>
          <w:shd w:val="clear" w:color="auto" w:fill="FFFFFF"/>
        </w:rPr>
        <w:t xml:space="preserve">GRCop powder metal </w:t>
      </w:r>
      <w:r>
        <w:rPr>
          <w:rFonts w:cstheme="minorHAnsi"/>
          <w:color w:val="1A1A1A"/>
          <w:shd w:val="clear" w:color="auto" w:fill="FFFFFF"/>
        </w:rPr>
        <w:t xml:space="preserve">(Cu combined with Cr and Nb) </w:t>
      </w:r>
      <w:r w:rsidRPr="00141391">
        <w:rPr>
          <w:rFonts w:cstheme="minorHAnsi"/>
          <w:color w:val="1A1A1A"/>
          <w:shd w:val="clear" w:color="auto" w:fill="FFFFFF"/>
        </w:rPr>
        <w:t>was developed by NASA.</w:t>
      </w:r>
      <w:r>
        <w:rPr>
          <w:rFonts w:cstheme="minorHAnsi"/>
          <w:color w:val="1A1A1A"/>
          <w:shd w:val="clear" w:color="auto" w:fill="FFFFFF"/>
        </w:rPr>
        <w:t xml:space="preserve"> Most copper </w:t>
      </w:r>
      <w:r w:rsidRPr="00141391">
        <w:rPr>
          <w:rFonts w:cstheme="minorHAnsi"/>
          <w:color w:val="1A1A1A"/>
          <w:shd w:val="clear" w:color="auto" w:fill="FFFFFF"/>
        </w:rPr>
        <w:t xml:space="preserve">alloys </w:t>
      </w:r>
      <w:r>
        <w:rPr>
          <w:rFonts w:cstheme="minorHAnsi"/>
          <w:color w:val="1A1A1A"/>
          <w:shd w:val="clear" w:color="auto" w:fill="FFFFFF"/>
        </w:rPr>
        <w:t xml:space="preserve">engineered this way have enhanced mechanical properties due to </w:t>
      </w:r>
      <w:r w:rsidRPr="00141391">
        <w:rPr>
          <w:rFonts w:cstheme="minorHAnsi"/>
          <w:color w:val="1A1A1A"/>
          <w:shd w:val="clear" w:color="auto" w:fill="FFFFFF"/>
        </w:rPr>
        <w:t>dispersion strengthening</w:t>
      </w:r>
      <w:r>
        <w:rPr>
          <w:rFonts w:cstheme="minorHAnsi"/>
          <w:color w:val="1A1A1A"/>
          <w:shd w:val="clear" w:color="auto" w:fill="FFFFFF"/>
        </w:rPr>
        <w:t>. The LPBF processing of copper alloys are difficult because a) optical coating of the laser mirror can be damaged by high laser reflectivity of copper, b) rapid heat transfer (copper has high thermal conductivity) from melt pool to</w:t>
      </w:r>
      <w:r w:rsidR="00255C59">
        <w:rPr>
          <w:rFonts w:cstheme="minorHAnsi"/>
          <w:color w:val="1A1A1A"/>
          <w:shd w:val="clear" w:color="auto" w:fill="FFFFFF"/>
        </w:rPr>
        <w:t xml:space="preserve"> the</w:t>
      </w:r>
      <w:r>
        <w:rPr>
          <w:rFonts w:cstheme="minorHAnsi"/>
          <w:color w:val="1A1A1A"/>
          <w:shd w:val="clear" w:color="auto" w:fill="FFFFFF"/>
        </w:rPr>
        <w:t xml:space="preserve"> surrounding region can cause curling and delamination due to large thermal gradient</w:t>
      </w:r>
      <w:r w:rsidR="00255C59">
        <w:rPr>
          <w:rFonts w:cstheme="minorHAnsi"/>
          <w:color w:val="1A1A1A"/>
          <w:shd w:val="clear" w:color="auto" w:fill="FFFFFF"/>
        </w:rPr>
        <w:t>s</w:t>
      </w:r>
      <w:r>
        <w:rPr>
          <w:rFonts w:cstheme="minorHAnsi"/>
          <w:color w:val="1A1A1A"/>
          <w:shd w:val="clear" w:color="auto" w:fill="FFFFFF"/>
        </w:rPr>
        <w:t>, c) porous part formation due to copper’s low laser energy absorptance rate, d) gas porosity in printed parts due to rapid oxidation of feedstock powders</w:t>
      </w:r>
      <w:r>
        <w:t xml:space="preserve"> </w:t>
      </w:r>
      <w:r>
        <w:fldChar w:fldCharType="begin"/>
      </w:r>
      <w:r>
        <w:instrText xml:space="preserve"> ADDIN ZOTERO_ITEM CSL_CITATION {"citationID":"VMqeZn65","properties":{"formattedCitation":"(Vahedi Nemani et al. 2024)","plainCitation":"(Vahedi Nemani et al. 2024)","noteIndex":0},"citationItems":[{"id":237,"uris":["http://zotero.org/users/9870952/items/YTVEXBKF"],"itemData":{"id":237,"type":"article-journal","abstract":"Copper-based materials have long been used for their outstanding thermal and electrical conductivities in various applications, such as heat exchangers, induction heat coils, cooling channels, radiators, and electronic connectors. The development of advanced copper alloys has broadened their utilization to include structural applications in harsh service conditions found in industries like oil and gas, marine, power plants, and water treatment, where good corrosion resistance and a combination of high strength, wear, and fatigue tolerance are critical. These advanced multi-component structures often have complex designs and intricate geometries, requiring extensive metallurgical processing routes and the joining of the individual components into a final structure. Additive manufacturing (AM) has revolutionized the way complex structures are designed and manufactured. It has reduced the processing steps, assemblies, and tooling while also eliminating the need for joining processes. However, the high thermal conductivity of copper and its high reflectivity to near-infrared radiation present challenges in the production of copper alloys using fusion-based AM processes, especially with Yb-fiber laser-based techniques. To overcome these difficulties, various solutions have been proposed, such as the use of high-power, low-wavelength laser sources, preheating the build chamber, employing low thermal conductivity building platforms, and adding alloying elements or composite particles to the feedstock material. This article systematically reviews different aspects of AM processing of common industrial copper alloys and composites, including copper-chrome, copper-nickel, tin-bronze, nickel-aluminum bronze, copper-carbon composites, copper-ceramic composites, and copper-metal composites. It focuses on the state-of-the-art AM techniques employed for processing different copper-based materials and the associated technological and metallurgical challenges, optimized processing variables, the impact of post-printing heat treatments, the resulting microstructural features, physical properties, mechanical performance, and corrosion response of the AM-fabricated parts. Where applicable, a comprehensive comparison of the results with those of their conventionally fabricated counterparts is provided.","container-title":"Journal of Manufacturing and Materials Processing","DOI":"10.3390/jmmp8020054","ISSN":"2504-4494","issue":"2","language":"en","license":"http://creativecommons.org/licenses/by/3.0/","note":"number: 2\npublisher: Multidisciplinary Digital Publishing Institute","page":"54","source":"www.mdpi.com","title":"Advancements in Additive Manufacturing for Copper-Based Alloys and Composites: A Comprehensive Review","title-short":"Advancements in Additive Manufacturing for Copper-Based Alloys and Composites","volume":"8","author":[{"family":"Vahedi Nemani","given":"Alireza"},{"family":"Ghaffari","given":"Mahya"},{"family":"Sabet Bokati","given":"Kazem"},{"family":"Valizade","given":"Nima"},{"family":"Afshari","given":"Elham"},{"family":"Nasiri","given":"Ali"}],"issued":{"date-parts":[["2024",4]]}}}],"schema":"https://github.com/citation-style-language/schema/raw/master/csl-citation.json"} </w:instrText>
      </w:r>
      <w:r>
        <w:fldChar w:fldCharType="separate"/>
      </w:r>
      <w:r w:rsidRPr="00826A79">
        <w:rPr>
          <w:rFonts w:cs="Calibri"/>
        </w:rPr>
        <w:t>(Vahedi Nemani et al. 2024)</w:t>
      </w:r>
      <w:r>
        <w:fldChar w:fldCharType="end"/>
      </w:r>
      <w:r w:rsidRPr="008300DA">
        <w:t>.</w:t>
      </w:r>
      <w:r>
        <w:t xml:space="preserve"> Such difficulties can be possibly overcome by a) using a high-power laser, b) using a preheated powder bed, c) using lower wavelength laser source, d) using a building platform material of lower thermal conductivity, e) using alloying elements into the feedstock material.</w:t>
      </w:r>
      <w:r>
        <w:rPr>
          <w:rFonts w:cstheme="minorHAnsi"/>
          <w:color w:val="1A1A1A"/>
          <w:shd w:val="clear" w:color="auto" w:fill="FFFFFF"/>
        </w:rPr>
        <w:t xml:space="preserve"> </w:t>
      </w:r>
      <w:r>
        <w:t xml:space="preserve">Alloys that have been successfully processed by the LPBF process are: Cu-Cr alloys, Cu-Ni alloys, tin bronzes, nickel-aluminum bronzes, Cu-Cr-Zr alloys, Cu-composites </w:t>
      </w:r>
      <w:r>
        <w:fldChar w:fldCharType="begin"/>
      </w:r>
      <w:r>
        <w:instrText xml:space="preserve"> ADDIN ZOTERO_ITEM CSL_CITATION {"citationID":"BRlmdOYs","properties":{"formattedCitation":"(Vahedi Nemani et al. 2024)","plainCitation":"(Vahedi Nemani et al. 2024)","noteIndex":0},"citationItems":[{"id":237,"uris":["http://zotero.org/users/9870952/items/YTVEXBKF"],"itemData":{"id":237,"type":"article-journal","abstract":"Copper-based materials have long been used for their outstanding thermal and electrical conductivities in various applications, such as heat exchangers, induction heat coils, cooling channels, radiators, and electronic connectors. The development of advanced copper alloys has broadened their utilization to include structural applications in harsh service conditions found in industries like oil and gas, marine, power plants, and water treatment, where good corrosion resistance and a combination of high strength, wear, and fatigue tolerance are critical. These advanced multi-component structures often have complex designs and intricate geometries, requiring extensive metallurgical processing routes and the joining of the individual components into a final structure. Additive manufacturing (AM) has revolutionized the way complex structures are designed and manufactured. It has reduced the processing steps, assemblies, and tooling while also eliminating the need for joining processes. However, the high thermal conductivity of copper and its high reflectivity to near-infrared radiation present challenges in the production of copper alloys using fusion-based AM processes, especially with Yb-fiber laser-based techniques. To overcome these difficulties, various solutions have been proposed, such as the use of high-power, low-wavelength laser sources, preheating the build chamber, employing low thermal conductivity building platforms, and adding alloying elements or composite particles to the feedstock material. This article systematically reviews different aspects of AM processing of common industrial copper alloys and composites, including copper-chrome, copper-nickel, tin-bronze, nickel-aluminum bronze, copper-carbon composites, copper-ceramic composites, and copper-metal composites. It focuses on the state-of-the-art AM techniques employed for processing different copper-based materials and the associated technological and metallurgical challenges, optimized processing variables, the impact of post-printing heat treatments, the resulting microstructural features, physical properties, mechanical performance, and corrosion response of the AM-fabricated parts. Where applicable, a comprehensive comparison of the results with those of their conventionally fabricated counterparts is provided.","container-title":"Journal of Manufacturing and Materials Processing","DOI":"10.3390/jmmp8020054","ISSN":"2504-4494","issue":"2","language":"en","license":"http://creativecommons.org/licenses/by/3.0/","note":"number: 2\npublisher: Multidisciplinary Digital Publishing Institute","page":"54","source":"www.mdpi.com","title":"Advancements in Additive Manufacturing for Copper-Based Alloys and Composites: A Comprehensive Review","title-short":"Advancements in Additive Manufacturing for Copper-Based Alloys and Composites","volume":"8","author":[{"family":"Vahedi Nemani","given":"Alireza"},{"family":"Ghaffari","given":"Mahya"},{"family":"Sabet Bokati","given":"Kazem"},{"family":"Valizade","given":"Nima"},{"family":"Afshari","given":"Elham"},{"family":"Nasiri","given":"Ali"}],"issued":{"date-parts":[["2024",4]]}}}],"schema":"https://github.com/citation-style-language/schema/raw/master/csl-citation.json"} </w:instrText>
      </w:r>
      <w:r>
        <w:fldChar w:fldCharType="separate"/>
      </w:r>
      <w:r w:rsidRPr="00826A79">
        <w:rPr>
          <w:rFonts w:cs="Calibri"/>
        </w:rPr>
        <w:t>(Vahedi Nemani et al. 2024)</w:t>
      </w:r>
      <w:r>
        <w:fldChar w:fldCharType="end"/>
      </w:r>
      <w:r>
        <w:t>. AM built commercial pure copper is also being used in semiconductor applications (e.g., RF antennas, thermal management etc.).</w:t>
      </w:r>
    </w:p>
    <w:p w14:paraId="78292801" w14:textId="77777777" w:rsidR="00744D11" w:rsidRDefault="00744D11" w:rsidP="00744D11">
      <w:pPr>
        <w:spacing w:line="360" w:lineRule="auto"/>
      </w:pPr>
    </w:p>
    <w:p w14:paraId="756CA5FF" w14:textId="77777777" w:rsidR="00744D11" w:rsidRDefault="00744D11" w:rsidP="00744D11">
      <w:pPr>
        <w:spacing w:line="360" w:lineRule="auto"/>
      </w:pPr>
    </w:p>
    <w:p w14:paraId="3B29CBD1" w14:textId="70CF8092" w:rsidR="00744D11" w:rsidRDefault="00744D11" w:rsidP="00744D11">
      <w:pPr>
        <w:spacing w:line="360" w:lineRule="auto"/>
        <w:jc w:val="both"/>
        <w:rPr>
          <w:b/>
          <w:bCs/>
          <w:spacing w:val="-3"/>
        </w:rPr>
      </w:pPr>
      <w:r>
        <w:rPr>
          <w:b/>
          <w:bCs/>
          <w:spacing w:val="-3"/>
        </w:rPr>
        <w:t>10.5.6 Al a</w:t>
      </w:r>
      <w:r w:rsidRPr="00C90C8E">
        <w:rPr>
          <w:b/>
          <w:bCs/>
          <w:spacing w:val="-3"/>
        </w:rPr>
        <w:t>lloys</w:t>
      </w:r>
    </w:p>
    <w:p w14:paraId="4D7CE8F7" w14:textId="77777777" w:rsidR="00744D11" w:rsidRDefault="00744D11" w:rsidP="00744D11">
      <w:pPr>
        <w:spacing w:line="360" w:lineRule="auto"/>
        <w:jc w:val="both"/>
        <w:rPr>
          <w:rFonts w:eastAsiaTheme="minorEastAsia"/>
        </w:rPr>
      </w:pPr>
    </w:p>
    <w:p w14:paraId="0B40E2A5" w14:textId="2F8F5E70" w:rsidR="00744D11" w:rsidRDefault="00744D11" w:rsidP="003E0F31">
      <w:pPr>
        <w:spacing w:line="360" w:lineRule="auto"/>
        <w:ind w:firstLine="720"/>
      </w:pPr>
      <w:r>
        <w:t xml:space="preserve">Al alloys are widely used in many engineering applications. They have excellent corrosion resistance and have good strength to weight ratios. However, their use in AM is still limited due to issues such as poor weldability and low laser absorption. </w:t>
      </w:r>
      <w:r w:rsidR="006E2202">
        <w:t xml:space="preserve">These are </w:t>
      </w:r>
      <w:r w:rsidR="006E2202">
        <w:lastRenderedPageBreak/>
        <w:t xml:space="preserve">reasons for which most popular aluminum alloys used for casting and AM processing are near eutectic alloys (e.g., Al10SiMg, Al12Si alloys etc.) </w:t>
      </w:r>
      <w:r>
        <w:t xml:space="preserve">Because of high thermal conductivity and high reflectivity of Al alloys, AM of these alloys have significantly higher power requirements. Additionally, a thin layer of aluminum oxide can form, which adversely affects surface wetting and melting process. Oxides from previously deposited layer can get entrapped during the deposition of new layer. Such phenomena can result in inferior mechanical properties and homogeneity of the parts produced. Poor flowability of aluminum alloy powders is another problem, which can make </w:t>
      </w:r>
      <w:r w:rsidR="001F0E53">
        <w:t xml:space="preserve">the </w:t>
      </w:r>
      <w:r>
        <w:t xml:space="preserve">formation of thin and intricate parts difficult. Increased chances of gas porosity formation exist due to solubility of hydrogen in aluminum alloy melt. This can result in weakened mechanical properties of AM built parts. Inert gas shielding has been used to circumvent this problem for LPBF process with </w:t>
      </w:r>
      <w:r w:rsidRPr="008A3EC9">
        <w:t>EN AW-7075</w:t>
      </w:r>
      <w:r>
        <w:t xml:space="preserve"> powder material </w:t>
      </w:r>
      <w:r>
        <w:fldChar w:fldCharType="begin"/>
      </w:r>
      <w:r>
        <w:instrText xml:space="preserve"> ADDIN ZOTERO_ITEM CSL_CITATION {"citationID":"RLXjCBlu","properties":{"formattedCitation":"(Langebeck et al. 2020)","plainCitation":"(Langebeck et al. 2020)","noteIndex":0},"citationItems":[{"id":272,"uris":["http://zotero.org/users/9870952/items/YB27YNK7"],"itemData":{"id":272,"type":"article-journal","abstract":"Abstract\n            As a widely used additive manufacturing technique, the laser metal deposition process (LMD) also known as direct energy deposition (DED) is often used to manufacture large-scale parts. Advantages of the LMD process are the high build-up rate as well as its nearly limitless build-up volume. To manufacture large-scale parts in lightweight design with high strength aluminium alloy EN AW-7075, the LMD process has a disadvantage that must be considered. During the process, the aluminium alloy is melted and has therefore a high solubility for hydrogen. As soon as the melt pool solidifies again, the hydrogen cannot escape the melt and hydrogen pores are formed which weakens the mechanical properties of the manufactured part. To counter this disadvantage, the hydrogen must be successfully kept away from the process zone. Therefore, the covering of the process zone with shielding gas can be improved by an additional shielding gas shroud. Furthermore, the process parameters energy input per unit length as well as the horizontal overlapping between two single tracks can be varied to minimize the pore volume. Best results can be achieved in single tracks with an elevated energy input per unit length from 3000 to 6000 J/cm. To manufacture layers, a minimal horizontal overlapping will lead to lowest pore volume, although this results in a very wavy surface, as a compromise of low pore volume and a nearly even surface a horizontal overlapping of 30 to 37% leads to a pore volume of 0.95% ± 0.50%.","container-title":"Welding in the World","DOI":"10.1007/s40194-019-00831-z","ISSN":"0043-2288, 1878-6669","issue":"3","journalAbbreviation":"Weld World","language":"en","page":"429-436","source":"DOI.org (Crossref)","title":"Additive manufacturing with the lightweight material aluminium alloy EN AW-7075","volume":"64","author":[{"family":"Langebeck","given":"Anika"},{"family":"Bohlen","given":"Annika"},{"family":"Freisse","given":"Hannes"},{"family":"Vollertsen","given":"Frank"}],"issued":{"date-parts":[["2020",3]]}}}],"schema":"https://github.com/citation-style-language/schema/raw/master/csl-citation.json"} </w:instrText>
      </w:r>
      <w:r>
        <w:fldChar w:fldCharType="separate"/>
      </w:r>
      <w:r w:rsidRPr="00826A79">
        <w:rPr>
          <w:rFonts w:cs="Calibri"/>
        </w:rPr>
        <w:t>(Langebeck et al. 2020)</w:t>
      </w:r>
      <w:r>
        <w:fldChar w:fldCharType="end"/>
      </w:r>
      <w:r>
        <w:t xml:space="preserve">. Other indirect AM processes such as arc welding and solid-state friction-based AM techniques are used for Al alloy parts. Some of the alloys that have been used to produce Al parts with WAAM process are alloy 5087, 2024, 2319, and Al-6Mg alloys </w:t>
      </w:r>
      <w:r>
        <w:fldChar w:fldCharType="begin"/>
      </w:r>
      <w:r>
        <w:instrText xml:space="preserve"> ADDIN ZOTERO_ITEM CSL_CITATION {"citationID":"h38TP40t","properties":{"formattedCitation":"(Derekar 2018)","plainCitation":"(Derekar 2018)","noteIndex":0},"citationItems":[{"id":275,"uris":["http://zotero.org/users/9870952/items/2RAJQDTU"],"itemData":{"id":275,"type":"article-journal","abstract":"Although wire arc additive manufacturing (WAAM) has proven its capability of fulfilling demands of production of medium-to-large-scale components for automotive and allied sectors made up of aluminium, at present, WAAM cannot be applied as a fully fledged manufacturing process because of practical challenges such as under-matched mechanical properties, the presence of large residual stresses and mandatory post-deposition operation for the formed component. This paper is a review of WAAM technology including a brief of WAAM history, status, advantages and constraints of the WAAM field. A focus is provided including the efforts directed towards the reduction of porosity, tensile properties, microstructural investigations and other valuable advancements in the field of WAAM of aluminium.\n            This review was submitted as part of the 2018 Materials Literature Review Prize of the Institute of Materials, Minerals and Mining run by the Editorial Board of MST. Sponsorship of the prize by TWI Ltd is gratefully acknowledged.","container-title":"Materials Science and Technology","DOI":"10.1080/02670836.2018.1455012","ISSN":"0267-0836, 1743-2847","issue":"8","journalAbbreviation":"Materials Science and Technology","language":"en","page":"895-916","source":"DOI.org (Crossref)","title":"A review of wire arc additive manufacturing and advances in wire arc additive manufacturing of aluminium","volume":"34","author":[{"family":"Derekar","given":"K. S."}],"issued":{"date-parts":[["2018",5]]}}}],"schema":"https://github.com/citation-style-language/schema/raw/master/csl-citation.json"} </w:instrText>
      </w:r>
      <w:r>
        <w:fldChar w:fldCharType="separate"/>
      </w:r>
      <w:r w:rsidRPr="00826A79">
        <w:rPr>
          <w:rFonts w:cs="Calibri"/>
        </w:rPr>
        <w:t>(Derekar 2018)</w:t>
      </w:r>
      <w:r>
        <w:fldChar w:fldCharType="end"/>
      </w:r>
      <w:r>
        <w:t xml:space="preserve">. </w:t>
      </w:r>
    </w:p>
    <w:p w14:paraId="3C863120" w14:textId="77777777" w:rsidR="00744D11" w:rsidRDefault="00744D11" w:rsidP="00744D11">
      <w:pPr>
        <w:spacing w:line="360" w:lineRule="auto"/>
      </w:pPr>
    </w:p>
    <w:p w14:paraId="4F147451" w14:textId="77777777" w:rsidR="00744D11" w:rsidRDefault="00744D11" w:rsidP="00744D11">
      <w:pPr>
        <w:spacing w:line="360" w:lineRule="auto"/>
      </w:pPr>
    </w:p>
    <w:p w14:paraId="327BDDDE" w14:textId="02EAA878" w:rsidR="00744D11" w:rsidRDefault="00744D11" w:rsidP="00744D11">
      <w:pPr>
        <w:spacing w:line="360" w:lineRule="auto"/>
        <w:jc w:val="both"/>
        <w:rPr>
          <w:b/>
          <w:bCs/>
          <w:spacing w:val="-3"/>
        </w:rPr>
      </w:pPr>
      <w:r>
        <w:rPr>
          <w:b/>
          <w:bCs/>
          <w:spacing w:val="-3"/>
        </w:rPr>
        <w:t>10.5.7 Mg a</w:t>
      </w:r>
      <w:r w:rsidRPr="00C90C8E">
        <w:rPr>
          <w:b/>
          <w:bCs/>
          <w:spacing w:val="-3"/>
        </w:rPr>
        <w:t>lloys</w:t>
      </w:r>
    </w:p>
    <w:p w14:paraId="54FB6756" w14:textId="77777777" w:rsidR="00744D11" w:rsidRDefault="00744D11" w:rsidP="00744D11">
      <w:pPr>
        <w:spacing w:line="360" w:lineRule="auto"/>
        <w:jc w:val="both"/>
        <w:rPr>
          <w:rFonts w:eastAsiaTheme="minorEastAsia"/>
        </w:rPr>
      </w:pPr>
    </w:p>
    <w:p w14:paraId="36DD2BB5" w14:textId="5826E552" w:rsidR="00744D11" w:rsidRPr="00744D11" w:rsidRDefault="00744D11" w:rsidP="003E0F31">
      <w:pPr>
        <w:spacing w:line="360" w:lineRule="auto"/>
        <w:ind w:firstLine="720"/>
      </w:pPr>
      <w:r w:rsidRPr="00744D11">
        <w:t xml:space="preserve">Mg alloys have been gaining popularity as a degradable biomaterial. They have similar stiffness values as those of bones. Since complex shaped parts can be produced by AM techniques, researchers have attempted to make AM built parts of Mg alloys. Common AM techniques such as LPBF, WAAM, friction stir based techniques have been used to produce complex shaped parts of Mg alloys. Common challenges with AM of Mg alloys are oxidation and evaporation of Mg during processing for processes that produce liquid melts. Inert atmosphere operation can prevent such issues, however. </w:t>
      </w:r>
      <w:r w:rsidRPr="003E0F31">
        <w:t xml:space="preserve">WAAM of AZ31 magnesium alloy was successfully used to produce fully dense components with good properties </w:t>
      </w:r>
      <w:r w:rsidRPr="003E0F31">
        <w:fldChar w:fldCharType="begin"/>
      </w:r>
      <w:r w:rsidRPr="003E0F31">
        <w:instrText xml:space="preserve"> ADDIN ZOTERO_ITEM CSL_CITATION {"citationID":"IJd4DEGX","properties":{"formattedCitation":"(Guo et al. 2016)","plainCitation":"(Guo et al. 2016)","noteIndex":0},"citationItems":[{"id":277,"uris":["http://zotero.org/users/9870952/items/TAWRF8WI"],"itemData":{"id":277,"type":"article-journal","container-title":"Materials","issue":"10","note":"publisher: MDPI","page":"823","source":"Google Scholar","title":"Wire arc additive manufacturing of AZ31 magnesium alloy: Grain refinement by adjusting pulse frequency","title-short":"Wire arc additive manufacturing of AZ31 magnesium alloy","volume":"9","author":[{"family":"Guo","given":"Jing"},{"family":"Zhou","given":"Yong"},{"family":"Liu","given":"Changmeng"},{"family":"Wu","given":"Qianru"},{"family":"Chen","given":"Xianping"},{"family":"Lu","given":"Jiping"}],"issued":{"date-parts":[["2016"]]}}}],"schema":"https://github.com/citation-style-language/schema/raw/master/csl-citation.json"} </w:instrText>
      </w:r>
      <w:r w:rsidRPr="003E0F31">
        <w:fldChar w:fldCharType="separate"/>
      </w:r>
      <w:r w:rsidRPr="003E0F31">
        <w:t>(Guo et al. 2016)</w:t>
      </w:r>
      <w:r w:rsidRPr="003E0F31">
        <w:fldChar w:fldCharType="end"/>
      </w:r>
      <w:r w:rsidRPr="003E0F31">
        <w:t xml:space="preserve">. A Mg-Al-Zn-Ca-rare earth alloy with superior properties was successfully used to produce parts using the WAAM technique </w:t>
      </w:r>
      <w:r w:rsidRPr="003E0F31">
        <w:fldChar w:fldCharType="begin"/>
      </w:r>
      <w:r w:rsidRPr="003E0F31">
        <w:instrText xml:space="preserve"> ADDIN ZOTERO_ITEM CSL_CITATION {"citationID":"7mYDvo9l","properties":{"formattedCitation":"(Gneiger et al. 2020)","plainCitation":"(Gneiger et al. 2020)","noteIndex":0},"citationItems":[{"id":279,"uris":["http://zotero.org/users/9870952/items/CHQGR96L"],"itemData":{"id":279,"type":"article-journal","container-title":"Metals","issue":"6","note":"publisher: MDPI","page":"778","source":"Google Scholar","title":"Development of a high strength magnesium alloy for wire arc additive manufacturing","volume":"10","author":[{"family":"Gneiger","given":"Stefan"},{"family":"Österreicher","given":"Johannes A."},{"family":"Arnoldt","given":"Aurel R."},{"family":"Birgmann","given":"Alois"},{"family":"Fehlbier","given":"Martin"}],"issued":{"date-parts":[["2020"]]}}}],"schema":"https://github.com/citation-style-language/schema/raw/master/csl-citation.json"} </w:instrText>
      </w:r>
      <w:r w:rsidRPr="003E0F31">
        <w:fldChar w:fldCharType="separate"/>
      </w:r>
      <w:r w:rsidRPr="003E0F31">
        <w:t>(Gneiger et al. 2020)</w:t>
      </w:r>
      <w:r w:rsidRPr="003E0F31">
        <w:fldChar w:fldCharType="end"/>
      </w:r>
      <w:r w:rsidRPr="003E0F31">
        <w:t xml:space="preserve">. </w:t>
      </w:r>
      <w:r w:rsidR="008A29DE" w:rsidRPr="003E0F31">
        <w:t>Bär</w:t>
      </w:r>
      <w:r w:rsidRPr="003E0F31">
        <w:t xml:space="preserve"> et al. </w:t>
      </w:r>
      <w:r w:rsidRPr="003E0F31">
        <w:fldChar w:fldCharType="begin"/>
      </w:r>
      <w:r w:rsidRPr="003E0F31">
        <w:instrText xml:space="preserve"> ADDIN ZOTERO_ITEM CSL_CITATION {"citationID":"0qklI312","properties":{"formattedCitation":"(B\\uc0\\u228{}r et al. 2019)","plainCitation":"(Bär et al. 2019)","noteIndex":0},"citationItems":[{"id":281,"uris":["http://zotero.org/users/9870952/items/IRIS53B7"],"itemData":{"id":281,"type":"article-journal","container-title":"Acta biomaterialia","note":"publisher: Elsevier","page":"36–49","source":"Google Scholar","title":"Laser additive manufacturing of biodegradable magnesium alloy WE43: A detailed microstructure analysis","title-short":"Laser additive manufacturing of biodegradable magnesium alloy WE43","volume":"98","author":[{"family":"Bär","given":"Florian"},{"family":"Berger","given":"Leopold"},{"family":"Jauer","given":"Lucas"},{"family":"Kurtuldu","given":"Güven"},{"family":"Schäublin","given":"Robin"},{"family":"Schleifenbaum","given":"Johannes H."},{"family":"Löffler","given":"Jörg F."}],"issued":{"date-parts":[["2019"]]}}}],"schema":"https://github.com/citation-style-language/schema/raw/master/csl-citation.json"} </w:instrText>
      </w:r>
      <w:r w:rsidRPr="003E0F31">
        <w:fldChar w:fldCharType="separate"/>
      </w:r>
      <w:r w:rsidRPr="003E0F31">
        <w:t>(Bär et al. 2019)</w:t>
      </w:r>
      <w:r w:rsidRPr="003E0F31">
        <w:fldChar w:fldCharType="end"/>
      </w:r>
      <w:r w:rsidRPr="003E0F31">
        <w:t xml:space="preserve"> successfully produced complex shaped bioresorbable implant with a WE-43 (a Mg alloy containing yttrium and neodymium) </w:t>
      </w:r>
      <w:r w:rsidRPr="003E0F31">
        <w:lastRenderedPageBreak/>
        <w:t>alloy using the LPBF process. Researchers have been continuing their work for printing Mg alloy components for many biomedical applications.</w:t>
      </w:r>
    </w:p>
    <w:p w14:paraId="4D62CA3C" w14:textId="77777777" w:rsidR="00744D11" w:rsidRDefault="00744D11" w:rsidP="00744D11">
      <w:pPr>
        <w:spacing w:line="360" w:lineRule="auto"/>
      </w:pPr>
    </w:p>
    <w:p w14:paraId="6B34A86F" w14:textId="77777777" w:rsidR="00744D11" w:rsidRDefault="00744D11" w:rsidP="00744D11">
      <w:pPr>
        <w:spacing w:line="360" w:lineRule="auto"/>
      </w:pPr>
    </w:p>
    <w:p w14:paraId="6513D210" w14:textId="77CB6DFB" w:rsidR="00744D11" w:rsidRDefault="00744D11" w:rsidP="00744D11">
      <w:pPr>
        <w:spacing w:line="360" w:lineRule="auto"/>
        <w:jc w:val="both"/>
        <w:rPr>
          <w:b/>
          <w:bCs/>
          <w:spacing w:val="-3"/>
        </w:rPr>
      </w:pPr>
      <w:r>
        <w:rPr>
          <w:b/>
          <w:bCs/>
          <w:spacing w:val="-3"/>
        </w:rPr>
        <w:t xml:space="preserve">10.6 </w:t>
      </w:r>
      <w:r w:rsidRPr="00744D11">
        <w:rPr>
          <w:b/>
          <w:bCs/>
          <w:spacing w:val="-3"/>
        </w:rPr>
        <w:t>Mechanical properties</w:t>
      </w:r>
    </w:p>
    <w:p w14:paraId="5480AD40" w14:textId="77777777" w:rsidR="00744D11" w:rsidRDefault="00744D11" w:rsidP="00744D11">
      <w:pPr>
        <w:spacing w:line="360" w:lineRule="auto"/>
      </w:pPr>
    </w:p>
    <w:p w14:paraId="241CEBD5" w14:textId="7F9A70C0" w:rsidR="00744D11" w:rsidRDefault="00744D11" w:rsidP="003E0F31">
      <w:pPr>
        <w:spacing w:line="360" w:lineRule="auto"/>
        <w:ind w:firstLine="720"/>
      </w:pPr>
      <w:r>
        <w:t xml:space="preserve">In this section, we will focus on the mechanical properties of a few commercial alloys that </w:t>
      </w:r>
      <w:r w:rsidR="006E55FF">
        <w:t xml:space="preserve">are </w:t>
      </w:r>
      <w:r>
        <w:t xml:space="preserve">processed by AM. Ref </w:t>
      </w:r>
      <w:r>
        <w:fldChar w:fldCharType="begin"/>
      </w:r>
      <w:r>
        <w:instrText xml:space="preserve"> ADDIN ZOTERO_ITEM CSL_CITATION {"citationID":"hVKpL0cW","properties":{"formattedCitation":"(Lewandowski and Seifi 2016)","plainCitation":"(Lewandowski and Seifi 2016)","noteIndex":0},"citationItems":[{"id":292,"uris":["http://zotero.org/users/9870952/items/Z35K4GPJ"],"itemData":{"id":292,"type":"article-journal","abstract":"This article reviews published data on the mechanical properties of additively manufactured metallic materials. The additive manufacturing techniques utilized to generate samples covered in this review include powder bed fusion (e.g., EBM, SLM, DMLS) and directed energy deposition (e.g., LENS, EBF\n              3\n              ). Although only a limited number of metallic alloy systems are currently available for additive manufacturing (e.g., Ti-6Al-4V, TiAl, stainless steel, Inconel 625/718, and Al-Si-10Mg), the bulk of the published mechanical properties information has been generated on Ti-6Al-4V. However, summary tables for published mechanical properties and/or key figures are included for each of the alloys listed above, grouped by the additive technique used to generate the data. Published values for mechanical properties obtained from hardness, tension/compression, fracture toughness, fatigue crack growth, and high cycle fatigue are included for as-built, heat-treated, and/or HIP conditions, when available. The effects of test orientation/build direction on properties, when available, are also provided, along with discussion of the potential source(s) (e.g., texture, microstructure changes, defects) of anisotropy in properties. Recommendations for additional work are also provided.","container-title":"Annual Review of Materials Research","DOI":"10.1146/annurev-matsci-070115-032024","ISSN":"1531-7331, 1545-4118","issue":"1","journalAbbreviation":"Annu. Rev. Mater. Res.","language":"en","page":"151-186","source":"DOI.org (Crossref)","title":"Metal Additive Manufacturing: A Review of Mechanical Properties","title-short":"Metal Additive Manufacturing","volume":"46","author":[{"family":"Lewandowski","given":"John J."},{"family":"Seifi","given":"Mohsen"}],"issued":{"date-parts":[["2016",7,1]]}}}],"schema":"https://github.com/citation-style-language/schema/raw/master/csl-citation.json"} </w:instrText>
      </w:r>
      <w:r>
        <w:fldChar w:fldCharType="separate"/>
      </w:r>
      <w:r w:rsidRPr="00826A79">
        <w:rPr>
          <w:rFonts w:cs="Calibri"/>
        </w:rPr>
        <w:t>(Lewandowski and Seifi 2016)</w:t>
      </w:r>
      <w:r>
        <w:fldChar w:fldCharType="end"/>
      </w:r>
      <w:r>
        <w:t xml:space="preserve"> lists published data of  mechanical properties of additively manufactured parts of a few commercial alloys. The data are listed for both powder bed fusion (e.g., EBM etc.) and directed energy deposition (e.g., LENS etc.) processes. This review shows most data </w:t>
      </w:r>
      <w:r w:rsidR="006E55FF">
        <w:t xml:space="preserve">for </w:t>
      </w:r>
      <w:r>
        <w:t xml:space="preserve">Ti-6Al-4V alloys. Detailed tabulated data are provided for stainless steels, IN 625, IN 718, and Al-Si-10Mg alloys based on the types of AM techniques used. Data from tests such as hardness, tension/compression, fracture toughness, fatigue crack growth, and high cycle fatigue tests are included for as built, heat-treated and HIP conditions in some cases. Data are also provided for mechanical properties as a function of the texture in the microstructure. </w:t>
      </w:r>
      <w:r w:rsidR="006E55FF">
        <w:t>Y</w:t>
      </w:r>
      <w:r w:rsidR="006E55FF">
        <w:t xml:space="preserve">ield strength vs. elongation plots of most major AM alloys systems are shown in </w:t>
      </w:r>
      <w:r w:rsidR="006E55FF" w:rsidRPr="00CD4724">
        <w:t>Fig. 10.16</w:t>
      </w:r>
      <w:r w:rsidR="006E55FF">
        <w:t xml:space="preserve"> </w:t>
      </w:r>
      <w:r>
        <w:fldChar w:fldCharType="begin"/>
      </w:r>
      <w:r>
        <w:instrText xml:space="preserve"> ADDIN ZOTERO_ITEM CSL_CITATION {"citationID":"fFEaPLNV","properties":{"formattedCitation":"(Lewandowski and Seifi 2016)","plainCitation":"(Lewandowski and Seifi 2016)","noteIndex":0},"citationItems":[{"id":292,"uris":["http://zotero.org/users/9870952/items/Z35K4GPJ"],"itemData":{"id":292,"type":"article-journal","abstract":"This article reviews published data on the mechanical properties of additively manufactured metallic materials. The additive manufacturing techniques utilized to generate samples covered in this review include powder bed fusion (e.g., EBM, SLM, DMLS) and directed energy deposition (e.g., LENS, EBF\n              3\n              ). Although only a limited number of metallic alloy systems are currently available for additive manufacturing (e.g., Ti-6Al-4V, TiAl, stainless steel, Inconel 625/718, and Al-Si-10Mg), the bulk of the published mechanical properties information has been generated on Ti-6Al-4V. However, summary tables for published mechanical properties and/or key figures are included for each of the alloys listed above, grouped by the additive technique used to generate the data. Published values for mechanical properties obtained from hardness, tension/compression, fracture toughness, fatigue crack growth, and high cycle fatigue are included for as-built, heat-treated, and/or HIP conditions, when available. The effects of test orientation/build direction on properties, when available, are also provided, along with discussion of the potential source(s) (e.g., texture, microstructure changes, defects) of anisotropy in properties. Recommendations for additional work are also provided.","container-title":"Annual Review of Materials Research","DOI":"10.1146/annurev-matsci-070115-032024","ISSN":"1531-7331, 1545-4118","issue":"1","journalAbbreviation":"Annu. Rev. Mater. Res.","language":"en","page":"151-186","source":"DOI.org (Crossref)","title":"Metal Additive Manufacturing: A Review of Mechanical Properties","title-short":"Metal Additive Manufacturing","volume":"46","author":[{"family":"Lewandowski","given":"John J."},{"family":"Seifi","given":"Mohsen"}],"issued":{"date-parts":[["2016",7,1]]}}}],"schema":"https://github.com/citation-style-language/schema/raw/master/csl-citation.json"} </w:instrText>
      </w:r>
      <w:r>
        <w:fldChar w:fldCharType="separate"/>
      </w:r>
      <w:r w:rsidRPr="00826A79">
        <w:rPr>
          <w:rFonts w:cs="Calibri"/>
        </w:rPr>
        <w:t>(Lewandowski and Seifi 2016)</w:t>
      </w:r>
      <w:r>
        <w:fldChar w:fldCharType="end"/>
      </w:r>
      <w:r w:rsidR="006E55FF">
        <w:t>.</w:t>
      </w:r>
    </w:p>
    <w:p w14:paraId="7709525C" w14:textId="77777777" w:rsidR="00744D11" w:rsidRDefault="00744D11" w:rsidP="00744D11"/>
    <w:p w14:paraId="04900E31" w14:textId="0D9DBA86" w:rsidR="00744D11" w:rsidRDefault="00744D11" w:rsidP="003E0F31">
      <w:pPr>
        <w:spacing w:line="360" w:lineRule="auto"/>
        <w:ind w:firstLine="720"/>
      </w:pPr>
      <w:r>
        <w:t xml:space="preserve">In the following sections, we highlight mechanical properties of AM built parts of common commercial alloys. </w:t>
      </w:r>
    </w:p>
    <w:p w14:paraId="13D1DB68" w14:textId="77777777" w:rsidR="00744D11" w:rsidRDefault="00744D11" w:rsidP="003E0F31">
      <w:pPr>
        <w:spacing w:line="360" w:lineRule="auto"/>
      </w:pPr>
    </w:p>
    <w:p w14:paraId="1F3CB46F" w14:textId="77777777" w:rsidR="00E308E0" w:rsidRDefault="00E308E0" w:rsidP="00027F0A">
      <w:pPr>
        <w:spacing w:line="360" w:lineRule="auto"/>
        <w:jc w:val="both"/>
        <w:rPr>
          <w:rFonts w:eastAsiaTheme="minorEastAsia"/>
        </w:rPr>
      </w:pPr>
    </w:p>
    <w:p w14:paraId="603FB0A7" w14:textId="78436145" w:rsidR="00E308E0" w:rsidRDefault="00E308E0" w:rsidP="00E308E0">
      <w:pPr>
        <w:spacing w:line="360" w:lineRule="auto"/>
        <w:jc w:val="both"/>
        <w:rPr>
          <w:b/>
          <w:bCs/>
          <w:spacing w:val="-3"/>
        </w:rPr>
      </w:pPr>
      <w:r>
        <w:rPr>
          <w:b/>
          <w:bCs/>
          <w:spacing w:val="-3"/>
        </w:rPr>
        <w:t>10.6.1 Cu a</w:t>
      </w:r>
      <w:r w:rsidRPr="00C90C8E">
        <w:rPr>
          <w:b/>
          <w:bCs/>
          <w:spacing w:val="-3"/>
        </w:rPr>
        <w:t>lloys</w:t>
      </w:r>
    </w:p>
    <w:p w14:paraId="6B292396" w14:textId="77777777" w:rsidR="00E308E0" w:rsidRDefault="00E308E0" w:rsidP="003E0F31">
      <w:pPr>
        <w:spacing w:line="360" w:lineRule="auto"/>
        <w:jc w:val="both"/>
        <w:rPr>
          <w:rFonts w:eastAsiaTheme="minorEastAsia"/>
        </w:rPr>
      </w:pPr>
    </w:p>
    <w:p w14:paraId="61374FF1" w14:textId="19DA6AE0" w:rsidR="00E308E0" w:rsidRDefault="00E308E0" w:rsidP="003E0F31">
      <w:pPr>
        <w:spacing w:line="360" w:lineRule="auto"/>
        <w:ind w:firstLine="720"/>
      </w:pPr>
      <w:r>
        <w:t>There are significant challenges with LPBF processing of copper and its alloys. This is mainly due to high laser reflectivity and high thermal conductivity, low laser energy absorptance rate, and rapid oxidation of feedstock powders</w:t>
      </w:r>
      <w:r w:rsidR="006E55FF">
        <w:t xml:space="preserve"> as mentioned earlier</w:t>
      </w:r>
      <w:r>
        <w:t xml:space="preserve">. Researchers have sought to improve mechanical properties with addition of certain alloying elements. Cr has often been used as an alloying element to improve mechanical properties because of the precipitating hardening that takes place due to low solubility of </w:t>
      </w:r>
      <w:r>
        <w:lastRenderedPageBreak/>
        <w:t>Cr in Cu. Ni, on the other hand, improves mechanical strength through solid solution strengthening mechanism. LPBF processed Cu-Cr alloys show lower tensile and yield strengths and higher ductility compared to parts produced by conventional techniques (see Fig. 10.17). Solution heat treatment enhances ductility, but the impact on strengths is minimal.</w:t>
      </w:r>
    </w:p>
    <w:p w14:paraId="1A085762" w14:textId="77777777" w:rsidR="00E308E0" w:rsidRDefault="00E308E0" w:rsidP="00E308E0"/>
    <w:p w14:paraId="2202B6FB" w14:textId="374F24B8" w:rsidR="00E308E0" w:rsidRDefault="00E308E0" w:rsidP="003E0F31">
      <w:pPr>
        <w:spacing w:line="360" w:lineRule="auto"/>
        <w:ind w:firstLine="720"/>
      </w:pPr>
      <w:r>
        <w:t xml:space="preserve">Cu-Ni alloys produced with L-PBF process typically have low porosity levels and good mechanical properties. Ref. </w:t>
      </w:r>
      <w:r>
        <w:fldChar w:fldCharType="begin"/>
      </w:r>
      <w:r>
        <w:instrText xml:space="preserve"> ADDIN ZOTERO_ITEM CSL_CITATION {"citationID":"mN9hVa6j","properties":{"formattedCitation":"(Baraz et al. 2020)","plainCitation":"(Baraz et al. 2020)","noteIndex":0},"citationItems":[{"id":298,"uris":["http://zotero.org/users/9870952/items/2WRZ3PJA"],"itemData":{"id":298,"type":"paper-conference","container-title":"IOP Conference Series: Materials Science and Engineering","note":"issue: 1","page":"012119","publisher":"IOP Publishing","source":"Google Scholar","title":"The additive technology to obtain a three-dimensional model of the 81Cu-19Ni alloy","URL":"https://iopscience.iop.org/article/10.1088/1757-899X/966/1/012119/meta","volume":"966","author":[{"family":"Baraz","given":"V. R."},{"family":"Gerasimov","given":"S. S."},{"family":"Gruzdeva","given":"I. A."},{"family":"Shveikin","given":"V. P."},{"family":"Chemesova","given":"A. V."},{"family":"Ovchinnikova","given":"A. O."},{"family":"Veretennikova","given":"I. A."}],"accessed":{"date-parts":[["2024",4,10]]},"issued":{"date-parts":[["2020"]]}}}],"schema":"https://github.com/citation-style-language/schema/raw/master/csl-citation.json"} </w:instrText>
      </w:r>
      <w:r>
        <w:fldChar w:fldCharType="separate"/>
      </w:r>
      <w:r w:rsidRPr="00826A79">
        <w:rPr>
          <w:rFonts w:cs="Calibri"/>
        </w:rPr>
        <w:t>(Baraz et al. 2020)</w:t>
      </w:r>
      <w:r>
        <w:fldChar w:fldCharType="end"/>
      </w:r>
      <w:r>
        <w:t xml:space="preserve"> found that the hardness of Cu-Ni layers deposited on annealed substrate of the same material was 19</w:t>
      </w:r>
      <w:r w:rsidR="00196E17">
        <w:t xml:space="preserve"> </w:t>
      </w:r>
      <w:r>
        <w:t xml:space="preserve">% higher </w:t>
      </w:r>
      <w:r w:rsidR="006E55FF">
        <w:t xml:space="preserve">than </w:t>
      </w:r>
      <w:r>
        <w:t xml:space="preserve">that of the substrate material. Ref. </w:t>
      </w:r>
      <w:r>
        <w:fldChar w:fldCharType="begin"/>
      </w:r>
      <w:r>
        <w:instrText xml:space="preserve"> ADDIN ZOTERO_ITEM CSL_CITATION {"citationID":"Po9e4qFF","properties":{"formattedCitation":"(Sabelle, Walczak, and Ramos-Grez 2018)","plainCitation":"(Sabelle, Walczak, and Ramos-Grez 2018)","noteIndex":0},"citationItems":[{"id":300,"uris":["http://zotero.org/users/9870952/items/5E95VE9L"],"itemData":{"id":300,"type":"article-journal","container-title":"Optics and Lasers in Engineering","note":"publisher: Elsevier","page":"1–8","source":"Google Scholar","title":"Scanning pattern angle effect on the resulting properties of selective laser sintered monolayers of Cu-Sn-Ni powder","volume":"100","author":[{"family":"Sabelle","given":"Matías"},{"family":"Walczak","given":"Magdalena"},{"family":"Ramos-Grez","given":"Jorge"}],"issued":{"date-parts":[["2018"]]}}}],"schema":"https://github.com/citation-style-language/schema/raw/master/csl-citation.json"} </w:instrText>
      </w:r>
      <w:r>
        <w:fldChar w:fldCharType="separate"/>
      </w:r>
      <w:r w:rsidRPr="00826A79">
        <w:rPr>
          <w:rFonts w:cs="Calibri"/>
        </w:rPr>
        <w:t>(Sabelle, Walczak, and Ramos-Grez 2018)</w:t>
      </w:r>
      <w:r>
        <w:fldChar w:fldCharType="end"/>
      </w:r>
      <w:r>
        <w:t xml:space="preserve"> reported that the maximum tensile strength of LPBF processed Cu-Ni alloys was achieved when the laser scan pattern angle was 60</w:t>
      </w:r>
      <w:r w:rsidRPr="009A4AA5">
        <w:t>°</w:t>
      </w:r>
      <w:r>
        <w:t xml:space="preserve">. This maximum strength was achieved regardless of the choice of </w:t>
      </w:r>
      <w:r w:rsidR="006E55FF">
        <w:t xml:space="preserve">the </w:t>
      </w:r>
      <w:r>
        <w:t xml:space="preserve">scanning speed and </w:t>
      </w:r>
      <w:r w:rsidR="006E55FF">
        <w:t xml:space="preserve">the </w:t>
      </w:r>
      <w:r>
        <w:t xml:space="preserve">laser power used. </w:t>
      </w:r>
    </w:p>
    <w:p w14:paraId="5F136252" w14:textId="77777777" w:rsidR="00E308E0" w:rsidRDefault="00E308E0" w:rsidP="00E308E0"/>
    <w:p w14:paraId="5D327A46" w14:textId="77777777" w:rsidR="00E308E0" w:rsidRDefault="00E308E0" w:rsidP="003E0F31">
      <w:pPr>
        <w:spacing w:line="360" w:lineRule="auto"/>
        <w:ind w:firstLine="720"/>
      </w:pPr>
      <w:r>
        <w:t xml:space="preserve">3D printing of tin bronzes has been successfully conducted by the LPBF process. LPBF process enhances mechanical properties due to finer microstructure as seen in Fig. 10.18 </w:t>
      </w:r>
      <w:r>
        <w:fldChar w:fldCharType="begin"/>
      </w:r>
      <w:r>
        <w:instrText xml:space="preserve"> ADDIN ZOTERO_ITEM CSL_CITATION {"citationID":"O3HR161M","properties":{"formattedCitation":"(Scudino et al. 2015)","plainCitation":"(Scudino et al. 2015)","noteIndex":0},"citationItems":[{"id":302,"uris":["http://zotero.org/users/9870952/items/489Y4E8C"],"itemData":{"id":302,"type":"article-journal","container-title":"Materials Letters","note":"publisher: Elsevier","page":"202–204","source":"Google Scholar","title":"Additive manufacturing of Cu–10Sn bronze","volume":"156","author":[{"family":"Scudino","given":"S."},{"family":"Unterdörfer","given":"C."},{"family":"Prashanth","given":"K. G."},{"family":"Attar","given":"Hooyar"},{"family":"Ellendt","given":"N."},{"family":"Uhlenwinkel","given":"V."},{"family":"Eckert","given":"J."}],"issued":{"date-parts":[["2015"]]}}}],"schema":"https://github.com/citation-style-language/schema/raw/master/csl-citation.json"} </w:instrText>
      </w:r>
      <w:r>
        <w:fldChar w:fldCharType="separate"/>
      </w:r>
      <w:r w:rsidRPr="00826A79">
        <w:rPr>
          <w:rFonts w:cs="Calibri"/>
        </w:rPr>
        <w:t>(Scudino et al. 2015)</w:t>
      </w:r>
      <w:r>
        <w:fldChar w:fldCharType="end"/>
      </w:r>
      <w:r>
        <w:t xml:space="preserve">. Significant improvement in properties can be seen in comparison to the conventional casting process. A summary of mechanical properties of tin bronzes is seen in Fig. 10.19 </w:t>
      </w:r>
      <w:r>
        <w:fldChar w:fldCharType="begin"/>
      </w:r>
      <w:r>
        <w:instrText xml:space="preserve"> ADDIN ZOTERO_ITEM CSL_CITATION {"citationID":"1IXkwqEO","properties":{"formattedCitation":"(Vahedi Nemani et al. 2024)","plainCitation":"(Vahedi Nemani et al. 2024)","noteIndex":0},"citationItems":[{"id":237,"uris":["http://zotero.org/users/9870952/items/YTVEXBKF"],"itemData":{"id":237,"type":"article-journal","abstract":"Copper-based materials have long been used for their outstanding thermal and electrical conductivities in various applications, such as heat exchangers, induction heat coils, cooling channels, radiators, and electronic connectors. The development of advanced copper alloys has broadened their utilization to include structural applications in harsh service conditions found in industries like oil and gas, marine, power plants, and water treatment, where good corrosion resistance and a combination of high strength, wear, and fatigue tolerance are critical. These advanced multi-component structures often have complex designs and intricate geometries, requiring extensive metallurgical processing routes and the joining of the individual components into a final structure. Additive manufacturing (AM) has revolutionized the way complex structures are designed and manufactured. It has reduced the processing steps, assemblies, and tooling while also eliminating the need for joining processes. However, the high thermal conductivity of copper and its high reflectivity to near-infrared radiation present challenges in the production of copper alloys using fusion-based AM processes, especially with Yb-fiber laser-based techniques. To overcome these difficulties, various solutions have been proposed, such as the use of high-power, low-wavelength laser sources, preheating the build chamber, employing low thermal conductivity building platforms, and adding alloying elements or composite particles to the feedstock material. This article systematically reviews different aspects of AM processing of common industrial copper alloys and composites, including copper-chrome, copper-nickel, tin-bronze, nickel-aluminum bronze, copper-carbon composites, copper-ceramic composites, and copper-metal composites. It focuses on the state-of-the-art AM techniques employed for processing different copper-based materials and the associated technological and metallurgical challenges, optimized processing variables, the impact of post-printing heat treatments, the resulting microstructural features, physical properties, mechanical performance, and corrosion response of the AM-fabricated parts. Where applicable, a comprehensive comparison of the results with those of their conventionally fabricated counterparts is provided.","container-title":"Journal of Manufacturing and Materials Processing","DOI":"10.3390/jmmp8020054","ISSN":"2504-4494","issue":"2","language":"en","license":"http://creativecommons.org/licenses/by/3.0/","note":"number: 2\npublisher: Multidisciplinary Digital Publishing Institute","page":"54","source":"www.mdpi.com","title":"Advancements in Additive Manufacturing for Copper-Based Alloys and Composites: A Comprehensive Review","title-short":"Advancements in Additive Manufacturing for Copper-Based Alloys and Composites","volume":"8","author":[{"family":"Vahedi Nemani","given":"Alireza"},{"family":"Ghaffari","given":"Mahya"},{"family":"Sabet Bokati","given":"Kazem"},{"family":"Valizade","given":"Nima"},{"family":"Afshari","given":"Elham"},{"family":"Nasiri","given":"Ali"}],"issued":{"date-parts":[["2024",4]]}}}],"schema":"https://github.com/citation-style-language/schema/raw/master/csl-citation.json"} </w:instrText>
      </w:r>
      <w:r>
        <w:fldChar w:fldCharType="separate"/>
      </w:r>
      <w:r w:rsidRPr="00826A79">
        <w:rPr>
          <w:rFonts w:cs="Calibri"/>
        </w:rPr>
        <w:t>(Vahedi Nemani et al. 2024)</w:t>
      </w:r>
      <w:r>
        <w:fldChar w:fldCharType="end"/>
      </w:r>
      <w:r>
        <w:t xml:space="preserve">. Similar overview is provided in Fig. 10.20 for Ni aluminum bronzes (NAB), which are primarily used in the marine industry, processed by different AM techniques </w:t>
      </w:r>
      <w:r>
        <w:fldChar w:fldCharType="begin"/>
      </w:r>
      <w:r>
        <w:instrText xml:space="preserve"> ADDIN ZOTERO_ITEM CSL_CITATION {"citationID":"OxeWfh4M","properties":{"formattedCitation":"(Vahedi Nemani et al. 2024)","plainCitation":"(Vahedi Nemani et al. 2024)","noteIndex":0},"citationItems":[{"id":237,"uris":["http://zotero.org/users/9870952/items/YTVEXBKF"],"itemData":{"id":237,"type":"article-journal","abstract":"Copper-based materials have long been used for their outstanding thermal and electrical conductivities in various applications, such as heat exchangers, induction heat coils, cooling channels, radiators, and electronic connectors. The development of advanced copper alloys has broadened their utilization to include structural applications in harsh service conditions found in industries like oil and gas, marine, power plants, and water treatment, where good corrosion resistance and a combination of high strength, wear, and fatigue tolerance are critical. These advanced multi-component structures often have complex designs and intricate geometries, requiring extensive metallurgical processing routes and the joining of the individual components into a final structure. Additive manufacturing (AM) has revolutionized the way complex structures are designed and manufactured. It has reduced the processing steps, assemblies, and tooling while also eliminating the need for joining processes. However, the high thermal conductivity of copper and its high reflectivity to near-infrared radiation present challenges in the production of copper alloys using fusion-based AM processes, especially with Yb-fiber laser-based techniques. To overcome these difficulties, various solutions have been proposed, such as the use of high-power, low-wavelength laser sources, preheating the build chamber, employing low thermal conductivity building platforms, and adding alloying elements or composite particles to the feedstock material. This article systematically reviews different aspects of AM processing of common industrial copper alloys and composites, including copper-chrome, copper-nickel, tin-bronze, nickel-aluminum bronze, copper-carbon composites, copper-ceramic composites, and copper-metal composites. It focuses on the state-of-the-art AM techniques employed for processing different copper-based materials and the associated technological and metallurgical challenges, optimized processing variables, the impact of post-printing heat treatments, the resulting microstructural features, physical properties, mechanical performance, and corrosion response of the AM-fabricated parts. Where applicable, a comprehensive comparison of the results with those of their conventionally fabricated counterparts is provided.","container-title":"Journal of Manufacturing and Materials Processing","DOI":"10.3390/jmmp8020054","ISSN":"2504-4494","issue":"2","language":"en","license":"http://creativecommons.org/licenses/by/3.0/","note":"number: 2\npublisher: Multidisciplinary Digital Publishing Institute","page":"54","source":"www.mdpi.com","title":"Advancements in Additive Manufacturing for Copper-Based Alloys and Composites: A Comprehensive Review","title-short":"Advancements in Additive Manufacturing for Copper-Based Alloys and Composites","volume":"8","author":[{"family":"Vahedi Nemani","given":"Alireza"},{"family":"Ghaffari","given":"Mahya"},{"family":"Sabet Bokati","given":"Kazem"},{"family":"Valizade","given":"Nima"},{"family":"Afshari","given":"Elham"},{"family":"Nasiri","given":"Ali"}],"issued":{"date-parts":[["2024",4]]}}}],"schema":"https://github.com/citation-style-language/schema/raw/master/csl-citation.json"} </w:instrText>
      </w:r>
      <w:r>
        <w:fldChar w:fldCharType="separate"/>
      </w:r>
      <w:r w:rsidRPr="00826A79">
        <w:rPr>
          <w:rFonts w:cs="Calibri"/>
        </w:rPr>
        <w:t>(Vahedi Nemani et al. 2024)</w:t>
      </w:r>
      <w:r>
        <w:fldChar w:fldCharType="end"/>
      </w:r>
      <w:r>
        <w:t xml:space="preserve">. Ref. </w:t>
      </w:r>
      <w:r>
        <w:fldChar w:fldCharType="begin"/>
      </w:r>
      <w:r>
        <w:instrText xml:space="preserve"> ADDIN ZOTERO_ITEM CSL_CITATION {"citationID":"n4CzmaWv","properties":{"formattedCitation":"(Dharmendra et al. 2019)","plainCitation":"(Dharmendra et al. 2019)","noteIndex":0},"citationItems":[{"id":304,"uris":["http://zotero.org/users/9870952/items/GMH7B66J"],"itemData":{"id":304,"type":"article-journal","container-title":"Additive Manufacturing","note":"publisher: Elsevier","page":"100872","source":"Google Scholar","title":"Microstructural evolution and mechanical behavior of nickel aluminum bronze Cu-9Al-4Fe-4Ni-1Mn fabricated through wire-arc additive manufacturing","volume":"30","author":[{"family":"Dharmendra","given":"C."},{"family":"Hadadzadeh","given":"A."},{"family":"Amirkhiz","given":"B. S."},{"family":"Ram","given":"GD Janaki"},{"family":"Mohammadi","given":"M."}],"issued":{"date-parts":[["2019"]]}}}],"schema":"https://github.com/citation-style-language/schema/raw/master/csl-citation.json"} </w:instrText>
      </w:r>
      <w:r>
        <w:fldChar w:fldCharType="separate"/>
      </w:r>
      <w:r w:rsidRPr="00826A79">
        <w:rPr>
          <w:rFonts w:cs="Calibri"/>
        </w:rPr>
        <w:t>(Dharmendra et al. 2019)</w:t>
      </w:r>
      <w:r>
        <w:fldChar w:fldCharType="end"/>
      </w:r>
      <w:r>
        <w:t xml:space="preserve"> reported that the WAAM-processed NAB possessed higher yield strength and ductility compared to cast parts mainly due to the fine microstructure that is obtained with the WAAM process. Barr et al. </w:t>
      </w:r>
      <w:r>
        <w:fldChar w:fldCharType="begin"/>
      </w:r>
      <w:r>
        <w:instrText xml:space="preserve"> ADDIN ZOTERO_ITEM CSL_CITATION {"citationID":"ZLTnNSNH","properties":{"formattedCitation":"(Barr et al. 2022)","plainCitation":"(Barr et al. 2022)","noteIndex":0},"citationItems":[{"id":306,"uris":["http://zotero.org/users/9870952/items/6JNY8PZW"],"itemData":{"id":306,"type":"article-journal","container-title":"Additive Manufacturing","note":"publisher: Elsevier","page":"102771","source":"Google Scholar","title":"Effect of composition on the tensile and corrosion performance of nickel aluminium bronze produced via laser powder bed fusion","volume":"54","author":[{"family":"Barr","given":"Cameron"},{"family":"Pateras","given":"Aaron"},{"family":"Molotnikov","given":"Andrey"},{"family":"Clarke","given":"David"},{"family":"Brandt","given":"Milan"}],"issued":{"date-parts":[["2022"]]}}}],"schema":"https://github.com/citation-style-language/schema/raw/master/csl-citation.json"} </w:instrText>
      </w:r>
      <w:r>
        <w:fldChar w:fldCharType="separate"/>
      </w:r>
      <w:r w:rsidRPr="00826A79">
        <w:rPr>
          <w:rFonts w:cs="Calibri"/>
        </w:rPr>
        <w:t>(Barr et al. 2022)</w:t>
      </w:r>
      <w:r>
        <w:fldChar w:fldCharType="end"/>
      </w:r>
      <w:r>
        <w:t xml:space="preserve"> studied tension and corrosion properties of LPBF processed NAB alloys with two different feedstock powders. Stress strain behavior are shown in Fig. 10.21 for both AM processed and heat-treated conditions.</w:t>
      </w:r>
    </w:p>
    <w:p w14:paraId="09C1E288" w14:textId="77777777" w:rsidR="00E308E0" w:rsidRDefault="00E308E0"/>
    <w:p w14:paraId="34E6EBA1" w14:textId="77777777" w:rsidR="00E308E0" w:rsidRDefault="00E308E0"/>
    <w:p w14:paraId="40004CD5" w14:textId="332F19E6" w:rsidR="00E308E0" w:rsidRDefault="00E308E0" w:rsidP="00E308E0">
      <w:pPr>
        <w:spacing w:line="360" w:lineRule="auto"/>
        <w:jc w:val="both"/>
        <w:rPr>
          <w:b/>
          <w:bCs/>
          <w:spacing w:val="-3"/>
        </w:rPr>
      </w:pPr>
      <w:r>
        <w:rPr>
          <w:b/>
          <w:bCs/>
          <w:spacing w:val="-3"/>
        </w:rPr>
        <w:t>10.6.2 Ni a</w:t>
      </w:r>
      <w:r w:rsidRPr="00C90C8E">
        <w:rPr>
          <w:b/>
          <w:bCs/>
          <w:spacing w:val="-3"/>
        </w:rPr>
        <w:t>lloys</w:t>
      </w:r>
    </w:p>
    <w:p w14:paraId="66906D0E" w14:textId="77777777" w:rsidR="00E308E0" w:rsidRDefault="00E308E0" w:rsidP="00E308E0">
      <w:pPr>
        <w:spacing w:line="360" w:lineRule="auto"/>
        <w:jc w:val="both"/>
        <w:rPr>
          <w:rFonts w:eastAsiaTheme="minorEastAsia"/>
        </w:rPr>
      </w:pPr>
    </w:p>
    <w:p w14:paraId="1B85F76F" w14:textId="5C220CCF" w:rsidR="00E308E0" w:rsidRDefault="00E308E0" w:rsidP="00E308E0">
      <w:pPr>
        <w:spacing w:line="360" w:lineRule="auto"/>
        <w:ind w:firstLine="720"/>
      </w:pPr>
      <w:r>
        <w:lastRenderedPageBreak/>
        <w:t>LPBF processed Ni alloys face challenges from morphological defects and suboptimal microstructures. This is particularly exacerbated because of increased sensitivity of Ni base alloys to precipitate, phase, texture, and grain size. Fig. 10.22 shows the N</w:t>
      </w:r>
      <w:r w:rsidR="003F7C0A">
        <w:t>i</w:t>
      </w:r>
      <w:r>
        <w:t xml:space="preserve"> alloys that have been processed by LPBF process </w:t>
      </w:r>
      <w:r>
        <w:fldChar w:fldCharType="begin"/>
      </w:r>
      <w:r>
        <w:instrText xml:space="preserve"> ADDIN ZOTERO_ITEM CSL_CITATION {"citationID":"oRp3zyKc","properties":{"formattedCitation":"(Sanchez et al. 2021)","plainCitation":"(Sanchez et al. 2021)","noteIndex":0},"citationItems":[{"id":239,"uris":["http://zotero.org/users/9870952/items/5K6DPZQJ"],"itemData":{"id":239,"type":"article-journal","abstract":"Powder Bed Fusion (PBF) techniques constitute a family of Additive Manufacturing (AM) processes, which are characterised by high design flexibility and no tooling requirement. This makes PBF techniques attractive to many modern manufacturing sectors (e.g. aerospace, defence, energy and automotive) where some materials, such as Nickel-based superalloys, cannot be easily processed using conventional subtractive techniques. Nickel-based superalloys are crucial materials in modern engineering and underpin the performance of many advanced mechanical systems. Their physical properties (high mechanical integrity at high temperature) make them difficult to process via traditional techniques. Consequently, manufacture of nickel-based superalloys using PBF platforms has attracted significant attention. To permit a wider application, a deep understanding of their mechanical behaviour and relation to process needs to be achieved. The motivation for this paper is to provide a comprehensive review of the mechanical properties of PBF nickel-based superalloys and how process parameters affect these, and to aid practitioners in identifying the shortcomings and the opportunities in this field. Therefore, this paper aims to review research contributions regarding the microstructure and mechanical properties of nickel-based superalloys, manufactured using the two principle PBF techniques: Laser Powder Bed Fusion (LPBF) and Electron Beam Melting (EBM). The ‘target’ microstructures are introduced alongside the characteristics of those produced by PBF process, followed by an overview of the most used building processes, as well as build quality inspection techniques. A comprehensive evaluation of the mechanical properties, including tensile strength, hardness, shear strength, fatigue resistance, creep resistance and fracture toughness of PBF nickel-based superalloys are analysed. This work concludes with summary tables for data published on these properties serving as a quick reference to scholars. Characteristic process factors influencing functional performance are also discussed and compared throughout for the purpose of identifying research opportunities and directing the research community toward the end goal of achieving part integrity that extends beyond static components only.","container-title":"International Journal of Machine Tools and Manufacture","DOI":"10.1016/j.ijmachtools.2021.103729","ISSN":"0890-6955","journalAbbreviation":"International Journal of Machine Tools and Manufacture","page":"103729","source":"ScienceDirect","title":"Powder Bed Fusion of nickel-based superalloys: A review","title-short":"Powder Bed Fusion of nickel-based superalloys","volume":"165","author":[{"family":"Sanchez","given":"Salomé"},{"family":"Smith","given":"Peter"},{"family":"Xu","given":"Zhengkai"},{"family":"Gaspard","given":"Gabriele"},{"family":"Hyde","given":"Christopher J."},{"family":"Wits","given":"Wessel W."},{"family":"Ashcroft","given":"Ian A."},{"family":"Chen","given":"Hao"},{"family":"Clare","given":"Adam T."}],"issued":{"date-parts":[["2021",6,1]]}}}],"schema":"https://github.com/citation-style-language/schema/raw/master/csl-citation.json"} </w:instrText>
      </w:r>
      <w:r>
        <w:fldChar w:fldCharType="separate"/>
      </w:r>
      <w:r w:rsidRPr="00826A79">
        <w:rPr>
          <w:rFonts w:cs="Calibri"/>
        </w:rPr>
        <w:t>(Sanchez et al. 2021)</w:t>
      </w:r>
      <w:r>
        <w:fldChar w:fldCharType="end"/>
      </w:r>
      <w:r>
        <w:t xml:space="preserve">. Most mechanical properties studies have focused on tensile and hardness data than on shear, fatigue, and creep properties. Ref </w:t>
      </w:r>
      <w:r>
        <w:fldChar w:fldCharType="begin"/>
      </w:r>
      <w:r>
        <w:instrText xml:space="preserve"> ADDIN ZOTERO_ITEM CSL_CITATION {"citationID":"nrXaqb4H","properties":{"formattedCitation":"(Sanchez et al. 2021)","plainCitation":"(Sanchez et al. 2021)","noteIndex":0},"citationItems":[{"id":239,"uris":["http://zotero.org/users/9870952/items/5K6DPZQJ"],"itemData":{"id":239,"type":"article-journal","abstract":"Powder Bed Fusion (PBF) techniques constitute a family of Additive Manufacturing (AM) processes, which are characterised by high design flexibility and no tooling requirement. This makes PBF techniques attractive to many modern manufacturing sectors (e.g. aerospace, defence, energy and automotive) where some materials, such as Nickel-based superalloys, cannot be easily processed using conventional subtractive techniques. Nickel-based superalloys are crucial materials in modern engineering and underpin the performance of many advanced mechanical systems. Their physical properties (high mechanical integrity at high temperature) make them difficult to process via traditional techniques. Consequently, manufacture of nickel-based superalloys using PBF platforms has attracted significant attention. To permit a wider application, a deep understanding of their mechanical behaviour and relation to process needs to be achieved. The motivation for this paper is to provide a comprehensive review of the mechanical properties of PBF nickel-based superalloys and how process parameters affect these, and to aid practitioners in identifying the shortcomings and the opportunities in this field. Therefore, this paper aims to review research contributions regarding the microstructure and mechanical properties of nickel-based superalloys, manufactured using the two principle PBF techniques: Laser Powder Bed Fusion (LPBF) and Electron Beam Melting (EBM). The ‘target’ microstructures are introduced alongside the characteristics of those produced by PBF process, followed by an overview of the most used building processes, as well as build quality inspection techniques. A comprehensive evaluation of the mechanical properties, including tensile strength, hardness, shear strength, fatigue resistance, creep resistance and fracture toughness of PBF nickel-based superalloys are analysed. This work concludes with summary tables for data published on these properties serving as a quick reference to scholars. Characteristic process factors influencing functional performance are also discussed and compared throughout for the purpose of identifying research opportunities and directing the research community toward the end goal of achieving part integrity that extends beyond static components only.","container-title":"International Journal of Machine Tools and Manufacture","DOI":"10.1016/j.ijmachtools.2021.103729","ISSN":"0890-6955","journalAbbreviation":"International Journal of Machine Tools and Manufacture","page":"103729","source":"ScienceDirect","title":"Powder Bed Fusion of nickel-based superalloys: A review","title-short":"Powder Bed Fusion of nickel-based superalloys","volume":"165","author":[{"family":"Sanchez","given":"Salomé"},{"family":"Smith","given":"Peter"},{"family":"Xu","given":"Zhengkai"},{"family":"Gaspard","given":"Gabriele"},{"family":"Hyde","given":"Christopher J."},{"family":"Wits","given":"Wessel W."},{"family":"Ashcroft","given":"Ian A."},{"family":"Chen","given":"Hao"},{"family":"Clare","given":"Adam T."}],"issued":{"date-parts":[["2021",6,1]]}}}],"schema":"https://github.com/citation-style-language/schema/raw/master/csl-citation.json"} </w:instrText>
      </w:r>
      <w:r>
        <w:fldChar w:fldCharType="separate"/>
      </w:r>
      <w:r w:rsidRPr="00826A79">
        <w:rPr>
          <w:rFonts w:cs="Calibri"/>
        </w:rPr>
        <w:t>(Sanchez et al. 2021)</w:t>
      </w:r>
      <w:r>
        <w:fldChar w:fldCharType="end"/>
      </w:r>
      <w:r>
        <w:t xml:space="preserve"> lists the studies that were conducted to determine different mechanical properties. High-temperature tensile properties are needed for many applications for which Ni-base alloys are used. Ref. </w:t>
      </w:r>
      <w:r>
        <w:fldChar w:fldCharType="begin"/>
      </w:r>
      <w:r>
        <w:instrText xml:space="preserve"> ADDIN ZOTERO_ITEM CSL_CITATION {"citationID":"CY5mzqdx","properties":{"formattedCitation":"(Gonzalez et al. 2019)","plainCitation":"(Gonzalez et al. 2019)","noteIndex":0},"citationItems":[{"id":308,"uris":["http://zotero.org/users/9870952/items/5P3NGTLR"],"itemData":{"id":308,"type":"article-journal","container-title":"Journal of Materials Processing Technology","note":"publisher: Elsevier","page":"200–210","source":"Google Scholar","title":"Characterization of Inconel 625 fabricated using powder-bed-based additive manufacturing technologies","volume":"264","author":[{"family":"Gonzalez","given":"J. A."},{"family":"Mireles","given":"J."},{"family":"Stafford","given":"S. W."},{"family":"Perez","given":"M. A."},{"family":"Terrazas","given":"C. A."},{"family":"Wicker","given":"R. B."}],"issued":{"date-parts":[["2019"]]}}}],"schema":"https://github.com/citation-style-language/schema/raw/master/csl-citation.json"} </w:instrText>
      </w:r>
      <w:r>
        <w:fldChar w:fldCharType="separate"/>
      </w:r>
      <w:r w:rsidRPr="00826A79">
        <w:rPr>
          <w:rFonts w:cs="Calibri"/>
        </w:rPr>
        <w:t>(Gonzalez et al. 2019)</w:t>
      </w:r>
      <w:r>
        <w:fldChar w:fldCharType="end"/>
      </w:r>
      <w:r>
        <w:t xml:space="preserve"> reported that LPBF processed IN 625 alloys </w:t>
      </w:r>
      <w:r w:rsidR="0049689B">
        <w:t xml:space="preserve">after hot isostatic pressing (HIP) post-process </w:t>
      </w:r>
      <w:r>
        <w:t xml:space="preserve">exceeded ASTM F3056-14 mechanical property requirements. Detailed mechanical property data are provided in ref. </w:t>
      </w:r>
      <w:r>
        <w:fldChar w:fldCharType="begin"/>
      </w:r>
      <w:r>
        <w:instrText xml:space="preserve"> ADDIN ZOTERO_ITEM CSL_CITATION {"citationID":"AoZMbFoi","properties":{"formattedCitation":"(Sanchez et al. 2021)","plainCitation":"(Sanchez et al. 2021)","noteIndex":0},"citationItems":[{"id":239,"uris":["http://zotero.org/users/9870952/items/5K6DPZQJ"],"itemData":{"id":239,"type":"article-journal","abstract":"Powder Bed Fusion (PBF) techniques constitute a family of Additive Manufacturing (AM) processes, which are characterised by high design flexibility and no tooling requirement. This makes PBF techniques attractive to many modern manufacturing sectors (e.g. aerospace, defence, energy and automotive) where some materials, such as Nickel-based superalloys, cannot be easily processed using conventional subtractive techniques. Nickel-based superalloys are crucial materials in modern engineering and underpin the performance of many advanced mechanical systems. Their physical properties (high mechanical integrity at high temperature) make them difficult to process via traditional techniques. Consequently, manufacture of nickel-based superalloys using PBF platforms has attracted significant attention. To permit a wider application, a deep understanding of their mechanical behaviour and relation to process needs to be achieved. The motivation for this paper is to provide a comprehensive review of the mechanical properties of PBF nickel-based superalloys and how process parameters affect these, and to aid practitioners in identifying the shortcomings and the opportunities in this field. Therefore, this paper aims to review research contributions regarding the microstructure and mechanical properties of nickel-based superalloys, manufactured using the two principle PBF techniques: Laser Powder Bed Fusion (LPBF) and Electron Beam Melting (EBM). The ‘target’ microstructures are introduced alongside the characteristics of those produced by PBF process, followed by an overview of the most used building processes, as well as build quality inspection techniques. A comprehensive evaluation of the mechanical properties, including tensile strength, hardness, shear strength, fatigue resistance, creep resistance and fracture toughness of PBF nickel-based superalloys are analysed. This work concludes with summary tables for data published on these properties serving as a quick reference to scholars. Characteristic process factors influencing functional performance are also discussed and compared throughout for the purpose of identifying research opportunities and directing the research community toward the end goal of achieving part integrity that extends beyond static components only.","container-title":"International Journal of Machine Tools and Manufacture","DOI":"10.1016/j.ijmachtools.2021.103729","ISSN":"0890-6955","journalAbbreviation":"International Journal of Machine Tools and Manufacture","page":"103729","source":"ScienceDirect","title":"Powder Bed Fusion of nickel-based superalloys: A review","title-short":"Powder Bed Fusion of nickel-based superalloys","volume":"165","author":[{"family":"Sanchez","given":"Salomé"},{"family":"Smith","given":"Peter"},{"family":"Xu","given":"Zhengkai"},{"family":"Gaspard","given":"Gabriele"},{"family":"Hyde","given":"Christopher J."},{"family":"Wits","given":"Wessel W."},{"family":"Ashcroft","given":"Ian A."},{"family":"Chen","given":"Hao"},{"family":"Clare","given":"Adam T."}],"issued":{"date-parts":[["2021",6,1]]}}}],"schema":"https://github.com/citation-style-language/schema/raw/master/csl-citation.json"} </w:instrText>
      </w:r>
      <w:r>
        <w:fldChar w:fldCharType="separate"/>
      </w:r>
      <w:r w:rsidRPr="00826A79">
        <w:rPr>
          <w:rFonts w:cs="Calibri"/>
        </w:rPr>
        <w:t>(Sanchez et al. 2021)</w:t>
      </w:r>
      <w:r>
        <w:fldChar w:fldCharType="end"/>
      </w:r>
      <w:r>
        <w:t>. Property variation with respect to the build direction is common in these alloys. Fatigue properties of LPBF processe</w:t>
      </w:r>
      <w:r w:rsidR="006E2202">
        <w:t>d</w:t>
      </w:r>
      <w:r>
        <w:t xml:space="preserve"> Ni-alloys are inferior to those of forged materials (Fig. 10.23, </w:t>
      </w:r>
      <w:r>
        <w:fldChar w:fldCharType="begin"/>
      </w:r>
      <w:r>
        <w:instrText xml:space="preserve"> ADDIN ZOTERO_ITEM CSL_CITATION {"citationID":"WcA1HtYU","properties":{"formattedCitation":"(Pei, Zeng, and Yuan 2020)","plainCitation":"(Pei, Zeng, and Yuan 2020)","noteIndex":0},"citationItems":[{"id":310,"uris":["http://zotero.org/users/9870952/items/R62HPCF4"],"itemData":{"id":310,"type":"article-journal","container-title":"International Journal of Fatigue","note":"publisher: Elsevier","page":"105279","source":"Google Scholar","title":"A damage evolution model based on micro-structural characteristics for an additive manufactured superalloy under monotonic and cyclic loading conditions","volume":"131","author":[{"family":"Pei","given":"Changhao"},{"family":"Zeng","given":"Wu"},{"family":"Yuan","given":"Huang"}],"issued":{"date-parts":[["2020"]]}}}],"schema":"https://github.com/citation-style-language/schema/raw/master/csl-citation.json"} </w:instrText>
      </w:r>
      <w:r>
        <w:fldChar w:fldCharType="separate"/>
      </w:r>
      <w:r w:rsidRPr="00826A79">
        <w:rPr>
          <w:rFonts w:cs="Calibri"/>
        </w:rPr>
        <w:t>(Pei, Zeng, and Yuan 2020)</w:t>
      </w:r>
      <w:r>
        <w:fldChar w:fldCharType="end"/>
      </w:r>
      <w:r>
        <w:t>) and they also demonstrate inferior fatigue crack growth behavior compared to parts manufactured by conventional processes.</w:t>
      </w:r>
    </w:p>
    <w:p w14:paraId="58D2983F" w14:textId="77777777" w:rsidR="00E308E0" w:rsidRDefault="00E308E0" w:rsidP="00E308E0">
      <w:pPr>
        <w:spacing w:line="360" w:lineRule="auto"/>
      </w:pPr>
    </w:p>
    <w:p w14:paraId="758F755E" w14:textId="77777777" w:rsidR="00E308E0" w:rsidRDefault="00E308E0" w:rsidP="00E308E0">
      <w:pPr>
        <w:spacing w:line="360" w:lineRule="auto"/>
      </w:pPr>
    </w:p>
    <w:p w14:paraId="1375A032" w14:textId="53BBF580" w:rsidR="00E308E0" w:rsidRDefault="00E308E0" w:rsidP="00E308E0">
      <w:pPr>
        <w:spacing w:line="360" w:lineRule="auto"/>
        <w:jc w:val="both"/>
        <w:rPr>
          <w:b/>
          <w:bCs/>
          <w:spacing w:val="-3"/>
        </w:rPr>
      </w:pPr>
      <w:r>
        <w:rPr>
          <w:b/>
          <w:bCs/>
          <w:spacing w:val="-3"/>
        </w:rPr>
        <w:t xml:space="preserve">10.6.3 </w:t>
      </w:r>
      <w:r w:rsidR="000A7194">
        <w:rPr>
          <w:b/>
          <w:bCs/>
          <w:spacing w:val="-3"/>
        </w:rPr>
        <w:t>Al</w:t>
      </w:r>
      <w:r>
        <w:rPr>
          <w:b/>
          <w:bCs/>
          <w:spacing w:val="-3"/>
        </w:rPr>
        <w:t xml:space="preserve"> a</w:t>
      </w:r>
      <w:r w:rsidRPr="00C90C8E">
        <w:rPr>
          <w:b/>
          <w:bCs/>
          <w:spacing w:val="-3"/>
        </w:rPr>
        <w:t>lloys</w:t>
      </w:r>
    </w:p>
    <w:p w14:paraId="228F6679" w14:textId="77777777" w:rsidR="00E308E0" w:rsidRDefault="00E308E0" w:rsidP="00E308E0">
      <w:pPr>
        <w:spacing w:line="360" w:lineRule="auto"/>
        <w:jc w:val="both"/>
        <w:rPr>
          <w:rFonts w:eastAsiaTheme="minorEastAsia"/>
        </w:rPr>
      </w:pPr>
    </w:p>
    <w:p w14:paraId="6E8F77B1" w14:textId="6F2D8C92" w:rsidR="000A7194" w:rsidRDefault="000A7194" w:rsidP="003E0F31">
      <w:pPr>
        <w:spacing w:line="360" w:lineRule="auto"/>
        <w:ind w:firstLine="720"/>
      </w:pPr>
      <w:r>
        <w:t>Additive manufacturing of A</w:t>
      </w:r>
      <w:r w:rsidR="003F7C0A">
        <w:t>l</w:t>
      </w:r>
      <w:r>
        <w:t xml:space="preserve"> alloys is not widely popular because of poor weldability and low laser absorption of aluminum. Gas porosity due to increased solubility of hydrogen in melt pool is also another concern. Such defects adversely affect the mechanical properties of the AM parts. Solid-state based AM techniques such as friction-based AM techniques are becoming popular for Al alloys. SLM (Selective laser melting), a powder-based AM technique, has been successfully used to produce parts of AlSi10Mg (a traditional cast alloy) </w:t>
      </w:r>
      <w:r>
        <w:fldChar w:fldCharType="begin"/>
      </w:r>
      <w:r>
        <w:instrText xml:space="preserve"> ADDIN ZOTERO_ITEM CSL_CITATION {"citationID":"fSyfsQHd","properties":{"formattedCitation":"(Buchbinder et al. 2015)","plainCitation":"(Buchbinder et al. 2015)","noteIndex":0},"citationItems":[{"id":312,"uris":["http://zotero.org/users/9870952/items/FSNYRPAB"],"itemData":{"id":312,"type":"article-journal","container-title":"Journal of Laser Applications","issue":"S2","note":"publisher: AIP Publishing","source":"Google Scholar","title":"Selective laser melting of aluminum die-cast alloy—Correlations between process parameters, solidification conditions, and resulting mechanical properties","URL":"https://pubs.aip.org/lia/jla/article/27/S2/S29205/313998","volume":"27","author":[{"family":"Buchbinder","given":"D."},{"family":"Meiners","given":"W."},{"family":"Wissenbach","given":"K."},{"family":"Poprawe","given":"R."}],"accessed":{"date-parts":[["2024",4,12]]},"issued":{"date-parts":[["2015"]]}}}],"schema":"https://github.com/citation-style-language/schema/raw/master/csl-citation.json"} </w:instrText>
      </w:r>
      <w:r>
        <w:fldChar w:fldCharType="separate"/>
      </w:r>
      <w:r w:rsidRPr="00826A79">
        <w:rPr>
          <w:rFonts w:cs="Calibri"/>
        </w:rPr>
        <w:t>(Buchbinder et al. 2015)</w:t>
      </w:r>
      <w:r>
        <w:fldChar w:fldCharType="end"/>
      </w:r>
      <w:r>
        <w:t xml:space="preserve">. Ref. </w:t>
      </w:r>
      <w:r>
        <w:fldChar w:fldCharType="begin"/>
      </w:r>
      <w:r>
        <w:instrText xml:space="preserve"> ADDIN ZOTERO_ITEM CSL_CITATION {"citationID":"EobbaDQO","properties":{"formattedCitation":"(Buchbinder et al. 2015)","plainCitation":"(Buchbinder et al. 2015)","noteIndex":0},"citationItems":[{"id":312,"uris":["http://zotero.org/users/9870952/items/FSNYRPAB"],"itemData":{"id":312,"type":"article-journal","container-title":"Journal of Laser Applications","issue":"S2","note":"publisher: AIP Publishing","source":"Google Scholar","title":"Selective laser melting of aluminum die-cast alloy—Correlations between process parameters, solidification conditions, and resulting mechanical properties","URL":"https://pubs.aip.org/lia/jla/article/27/S2/S29205/313998","volume":"27","author":[{"family":"Buchbinder","given":"D."},{"family":"Meiners","given":"W."},{"family":"Wissenbach","given":"K."},{"family":"Poprawe","given":"R."}],"accessed":{"date-parts":[["2024",4,12]]},"issued":{"date-parts":[["2015"]]}}}],"schema":"https://github.com/citation-style-language/schema/raw/master/csl-citation.json"} </w:instrText>
      </w:r>
      <w:r>
        <w:fldChar w:fldCharType="separate"/>
      </w:r>
      <w:r w:rsidRPr="00826A79">
        <w:rPr>
          <w:rFonts w:cs="Calibri"/>
        </w:rPr>
        <w:t>(Buchbinder et al. 2015)</w:t>
      </w:r>
      <w:r>
        <w:fldChar w:fldCharType="end"/>
      </w:r>
      <w:r>
        <w:t xml:space="preserve"> reported achievement of mechanical properties comparable to those of the cast Al alloys. They found that the tensile and yield strengths of the AM specimens were not influenced by the build direction. This is true for different laser powers. Tensile strength was between 400 MPa and 450 MPa and the 0.2</w:t>
      </w:r>
      <w:r w:rsidR="00196E17">
        <w:t xml:space="preserve"> </w:t>
      </w:r>
      <w:r>
        <w:t>% offset yield strengths were within 210</w:t>
      </w:r>
      <w:r w:rsidR="003F7C0A">
        <w:t xml:space="preserve"> </w:t>
      </w:r>
      <w:r>
        <w:t xml:space="preserve">MPa and 240 MPa (see Fig. 10.24). Larger elongation was achieved with higher laser </w:t>
      </w:r>
      <w:r>
        <w:lastRenderedPageBreak/>
        <w:t>power. They found that the overall mechanical properties of the SLM AlSi10Mg samples had similar or better mechanical properties than the die-cast AlSi10Mg components according to the DIN EN 1706 specifications.</w:t>
      </w:r>
    </w:p>
    <w:p w14:paraId="426625DC" w14:textId="77777777" w:rsidR="000A7194" w:rsidRDefault="000A7194" w:rsidP="000A7194"/>
    <w:p w14:paraId="10EFA14A" w14:textId="4176BDFE" w:rsidR="000A7194" w:rsidRDefault="000A7194" w:rsidP="003E0F31">
      <w:pPr>
        <w:spacing w:line="360" w:lineRule="auto"/>
        <w:ind w:firstLine="720"/>
      </w:pPr>
      <w:r>
        <w:t xml:space="preserve">Wire arc additive manufacturing (WAAM) of aluminum alloys has been used to produce medium to large scale components for the automotive sector. However, there are challenges with WAAM of Al alloys, such as inferior mechanical properties and large residual stresses </w:t>
      </w:r>
      <w:r w:rsidR="006E55FF">
        <w:t>(</w:t>
      </w:r>
      <w:r>
        <w:t xml:space="preserve">post-deposition operations are needed to alleviate these problems). Solidification cracking is a problem with welding of aluminum alloys. Generally, the mechanical properties of WAAM Al components are inferior to those of </w:t>
      </w:r>
      <w:r w:rsidR="006E55FF">
        <w:t xml:space="preserve">the </w:t>
      </w:r>
      <w:r>
        <w:t xml:space="preserve">wrought products without any post-treatment operations. Tensile properties of several Al alloys under different testing conditions are listed in the following table </w:t>
      </w:r>
      <w:r>
        <w:fldChar w:fldCharType="begin"/>
      </w:r>
      <w:r>
        <w:instrText xml:space="preserve"> ADDIN ZOTERO_ITEM CSL_CITATION {"citationID":"T2MhAcPb","properties":{"formattedCitation":"(Derekar 2018)","plainCitation":"(Derekar 2018)","noteIndex":0},"citationItems":[{"id":275,"uris":["http://zotero.org/users/9870952/items/2RAJQDTU"],"itemData":{"id":275,"type":"article-journal","abstract":"Although wire arc additive manufacturing (WAAM) has proven its capability of fulfilling demands of production of medium-to-large-scale components for automotive and allied sectors made up of aluminium, at present, WAAM cannot be applied as a fully fledged manufacturing process because of practical challenges such as under-matched mechanical properties, the presence of large residual stresses and mandatory post-deposition operation for the formed component. This paper is a review of WAAM technology including a brief of WAAM history, status, advantages and constraints of the WAAM field. A focus is provided including the efforts directed towards the reduction of porosity, tensile properties, microstructural investigations and other valuable advancements in the field of WAAM of aluminium.\n            This review was submitted as part of the 2018 Materials Literature Review Prize of the Institute of Materials, Minerals and Mining run by the Editorial Board of MST. Sponsorship of the prize by TWI Ltd is gratefully acknowledged.","container-title":"Materials Science and Technology","DOI":"10.1080/02670836.2018.1455012","ISSN":"0267-0836, 1743-2847","issue":"8","journalAbbreviation":"Materials Science and Technology","language":"en","page":"895-916","source":"DOI.org (Crossref)","title":"A review of wire arc additive manufacturing and advances in wire arc additive manufacturing of aluminium","volume":"34","author":[{"family":"Derekar","given":"K. S."}],"issued":{"date-parts":[["2018",5]]}}}],"schema":"https://github.com/citation-style-language/schema/raw/master/csl-citation.json"} </w:instrText>
      </w:r>
      <w:r>
        <w:fldChar w:fldCharType="separate"/>
      </w:r>
      <w:r w:rsidRPr="00826A79">
        <w:rPr>
          <w:rFonts w:cs="Calibri"/>
        </w:rPr>
        <w:t>(Derekar 2018)</w:t>
      </w:r>
      <w:r>
        <w:fldChar w:fldCharType="end"/>
      </w:r>
      <w:r>
        <w:t>:</w:t>
      </w:r>
    </w:p>
    <w:p w14:paraId="5FC87188" w14:textId="77777777" w:rsidR="000A7194" w:rsidRDefault="000A7194" w:rsidP="000A7194"/>
    <w:p w14:paraId="540B3B38" w14:textId="4FC55130" w:rsidR="000A7194" w:rsidRDefault="000A7194" w:rsidP="000A7194">
      <w:r>
        <w:t xml:space="preserve">Table 3: Tensile properties of WAAM processed Al alloys </w:t>
      </w:r>
      <w:r>
        <w:fldChar w:fldCharType="begin"/>
      </w:r>
      <w:r>
        <w:instrText xml:space="preserve"> ADDIN ZOTERO_ITEM CSL_CITATION {"citationID":"n1pWX53K","properties":{"formattedCitation":"(Derekar 2018)","plainCitation":"(Derekar 2018)","noteIndex":0},"citationItems":[{"id":275,"uris":["http://zotero.org/users/9870952/items/2RAJQDTU"],"itemData":{"id":275,"type":"article-journal","abstract":"Although wire arc additive manufacturing (WAAM) has proven its capability of fulfilling demands of production of medium-to-large-scale components for automotive and allied sectors made up of aluminium, at present, WAAM cannot be applied as a fully fledged manufacturing process because of practical challenges such as under-matched mechanical properties, the presence of large residual stresses and mandatory post-deposition operation for the formed component. This paper is a review of WAAM technology including a brief of WAAM history, status, advantages and constraints of the WAAM field. A focus is provided including the efforts directed towards the reduction of porosity, tensile properties, microstructural investigations and other valuable advancements in the field of WAAM of aluminium.\n            This review was submitted as part of the 2018 Materials Literature Review Prize of the Institute of Materials, Minerals and Mining run by the Editorial Board of MST. Sponsorship of the prize by TWI Ltd is gratefully acknowledged.","container-title":"Materials Science and Technology","DOI":"10.1080/02670836.2018.1455012","ISSN":"0267-0836, 1743-2847","issue":"8","journalAbbreviation":"Materials Science and Technology","language":"en","page":"895-916","source":"DOI.org (Crossref)","title":"A review of wire arc additive manufacturing and advances in wire arc additive manufacturing of aluminium","volume":"34","author":[{"family":"Derekar","given":"K. S."}],"issued":{"date-parts":[["2018",5]]}}}],"schema":"https://github.com/citation-style-language/schema/raw/master/csl-citation.json"} </w:instrText>
      </w:r>
      <w:r>
        <w:fldChar w:fldCharType="separate"/>
      </w:r>
      <w:r w:rsidRPr="00826A79">
        <w:rPr>
          <w:rFonts w:cs="Calibri"/>
        </w:rPr>
        <w:t>(Derekar 2018)</w:t>
      </w:r>
      <w:r>
        <w:fldChar w:fldCharType="end"/>
      </w:r>
      <w:r>
        <w:t>.</w:t>
      </w:r>
    </w:p>
    <w:p w14:paraId="313E3543" w14:textId="77777777" w:rsidR="000A7194" w:rsidRDefault="000A7194" w:rsidP="000A7194"/>
    <w:p w14:paraId="4DEBBB0B" w14:textId="77777777" w:rsidR="000A7194" w:rsidRDefault="000A7194" w:rsidP="000A7194">
      <w:r>
        <w:rPr>
          <w:noProof/>
        </w:rPr>
        <w:drawing>
          <wp:inline distT="0" distB="0" distL="0" distR="0" wp14:anchorId="54AEBF8C" wp14:editId="4EF74B08">
            <wp:extent cx="4515485" cy="2695341"/>
            <wp:effectExtent l="0" t="0" r="0" b="0"/>
            <wp:docPr id="2104467594" name="Picture 2104467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66"/>
                    <a:srcRect l="9134" t="15495" r="55769" b="47293"/>
                    <a:stretch/>
                  </pic:blipFill>
                  <pic:spPr bwMode="auto">
                    <a:xfrm>
                      <a:off x="0" y="0"/>
                      <a:ext cx="4517136" cy="2696326"/>
                    </a:xfrm>
                    <a:prstGeom prst="rect">
                      <a:avLst/>
                    </a:prstGeom>
                    <a:ln>
                      <a:noFill/>
                    </a:ln>
                    <a:extLst>
                      <a:ext uri="{53640926-AAD7-44D8-BBD7-CCE9431645EC}">
                        <a14:shadowObscured xmlns:a14="http://schemas.microsoft.com/office/drawing/2010/main"/>
                      </a:ext>
                    </a:extLst>
                  </pic:spPr>
                </pic:pic>
              </a:graphicData>
            </a:graphic>
          </wp:inline>
        </w:drawing>
      </w:r>
    </w:p>
    <w:p w14:paraId="447E33D7" w14:textId="77777777" w:rsidR="000A7194" w:rsidRDefault="000A7194" w:rsidP="000A7194"/>
    <w:p w14:paraId="67737DD2" w14:textId="77777777" w:rsidR="000A7194" w:rsidRDefault="000A7194" w:rsidP="003E0F31">
      <w:pPr>
        <w:spacing w:line="360" w:lineRule="auto"/>
        <w:ind w:firstLine="720"/>
      </w:pPr>
      <w:r>
        <w:t>WAAM processed parts of Al alloys with proper post-operation can match or exceed the mechanical properties of the equivalent wrought products.</w:t>
      </w:r>
    </w:p>
    <w:p w14:paraId="5CA17DA8" w14:textId="77777777" w:rsidR="000A7194" w:rsidRDefault="000A7194" w:rsidP="00E308E0">
      <w:pPr>
        <w:spacing w:line="360" w:lineRule="auto"/>
        <w:jc w:val="both"/>
        <w:rPr>
          <w:rFonts w:eastAsiaTheme="minorEastAsia"/>
        </w:rPr>
      </w:pPr>
    </w:p>
    <w:p w14:paraId="2D321F1B" w14:textId="77777777" w:rsidR="000A7194" w:rsidRDefault="000A7194" w:rsidP="00E308E0">
      <w:pPr>
        <w:spacing w:line="360" w:lineRule="auto"/>
        <w:jc w:val="both"/>
        <w:rPr>
          <w:rFonts w:eastAsiaTheme="minorEastAsia"/>
        </w:rPr>
      </w:pPr>
    </w:p>
    <w:p w14:paraId="53F651CB" w14:textId="04068059" w:rsidR="000A7194" w:rsidRDefault="000A7194" w:rsidP="000A7194">
      <w:pPr>
        <w:spacing w:line="360" w:lineRule="auto"/>
        <w:jc w:val="both"/>
        <w:rPr>
          <w:b/>
          <w:bCs/>
          <w:spacing w:val="-3"/>
        </w:rPr>
      </w:pPr>
      <w:r>
        <w:rPr>
          <w:b/>
          <w:bCs/>
          <w:spacing w:val="-3"/>
        </w:rPr>
        <w:t>10.6.4 Ti a</w:t>
      </w:r>
      <w:r w:rsidRPr="00C90C8E">
        <w:rPr>
          <w:b/>
          <w:bCs/>
          <w:spacing w:val="-3"/>
        </w:rPr>
        <w:t>lloys</w:t>
      </w:r>
    </w:p>
    <w:p w14:paraId="2BACB489" w14:textId="77777777" w:rsidR="000A7194" w:rsidRDefault="000A7194" w:rsidP="000A7194">
      <w:pPr>
        <w:spacing w:line="360" w:lineRule="auto"/>
        <w:jc w:val="both"/>
        <w:rPr>
          <w:rFonts w:eastAsiaTheme="minorEastAsia"/>
        </w:rPr>
      </w:pPr>
    </w:p>
    <w:p w14:paraId="6E2F9753" w14:textId="036383FB" w:rsidR="000A7194" w:rsidRDefault="000A7194" w:rsidP="003E0F31">
      <w:pPr>
        <w:spacing w:line="360" w:lineRule="auto"/>
        <w:ind w:firstLine="720"/>
      </w:pPr>
      <w:r>
        <w:lastRenderedPageBreak/>
        <w:t>Ti-alloys possess good high temperature strength, fracture resistance, and corrosion resistance while having low specific gravity. They find widespread use in aerospace and biomedical applications. Among the Ti-alloys, T</w:t>
      </w:r>
      <w:r w:rsidR="003F7C0A">
        <w:t>i</w:t>
      </w:r>
      <w:r>
        <w:t xml:space="preserve">-6Al-4V is the most well-known alloy used in AM processing. Ref. </w:t>
      </w:r>
      <w:r>
        <w:fldChar w:fldCharType="begin"/>
      </w:r>
      <w:r>
        <w:instrText xml:space="preserve"> ADDIN ZOTERO_ITEM CSL_CITATION {"citationID":"FITOOBRi","properties":{"formattedCitation":"(\\uc0\\u8220{}AMS4999: Titanium Alloy Laser Deposited Products - 6al - 4v - Annealed - SAE International,\\uc0\\u8221{} n.d.)","plainCitation":"(“AMS4999: Titanium Alloy Laser Deposited Products - 6al - 4v - Annealed - SAE International,” n.d.)","noteIndex":0},"citationItems":[{"id":314,"uris":["http://zotero.org/users/9870952/items/F4P7XUDZ"],"itemData":{"id":314,"type":"webpage","abstract":"1.1 Form:  This specification covers metal products  fabricated by laser deposition. 1.2 Application:  This product has been used typically for  machining and forging preforms in applications that require  static mechanical properties similar to wrought mill and  recrystallized annealed products, bu","title":"AMS4999: Titanium Alloy Laser Deposited Products - 6al - 4v - Annealed - SAE International","title-short":"AMS4999","URL":"https://www.sae.org/standards/content/ams4999/","accessed":{"date-parts":[["2024",4,12]]}}}],"schema":"https://github.com/citation-style-language/schema/raw/master/csl-citation.json"} </w:instrText>
      </w:r>
      <w:r>
        <w:fldChar w:fldCharType="separate"/>
      </w:r>
      <w:r w:rsidRPr="00826A79">
        <w:rPr>
          <w:rFonts w:cs="Calibri"/>
        </w:rPr>
        <w:t>(“AMS4999: Titanium Alloy Laser Deposited Products - 6al - 4v - Annealed - SAE International,” n.d.)</w:t>
      </w:r>
      <w:r>
        <w:fldChar w:fldCharType="end"/>
      </w:r>
      <w:r>
        <w:t xml:space="preserve"> describes</w:t>
      </w:r>
      <w:r w:rsidR="006E55FF">
        <w:t xml:space="preserve"> the</w:t>
      </w:r>
      <w:r>
        <w:t xml:space="preserve"> minimum tensile property requirement of laser AM processed Ti-6Al-4V alloys. The </w:t>
      </w:r>
      <w:r w:rsidR="008A29DE">
        <w:t>ultimate tensile strength (</w:t>
      </w:r>
      <w:r>
        <w:t>UTS</w:t>
      </w:r>
      <w:r w:rsidR="008A29DE">
        <w:t>)</w:t>
      </w:r>
      <w:r>
        <w:t xml:space="preserve"> and </w:t>
      </w:r>
      <w:r w:rsidR="008A29DE">
        <w:t>yield strength (</w:t>
      </w:r>
      <w:r>
        <w:t>YS</w:t>
      </w:r>
      <w:r w:rsidR="008A29DE">
        <w:t>)</w:t>
      </w:r>
      <w:r>
        <w:t xml:space="preserve"> are as follows: a) UTS: 896 MPa, YS: 800 MPa (deposition direction) and b) UTS: 841 MPa, YS: 745 MPa (transverse and depth directions) </w:t>
      </w:r>
      <w:r>
        <w:fldChar w:fldCharType="begin"/>
      </w:r>
      <w:r>
        <w:instrText xml:space="preserve"> ADDIN ZOTERO_ITEM CSL_CITATION {"citationID":"5uxJ4Wva","properties":{"formattedCitation":"(\\uc0\\u8220{}AMS4999: Titanium Alloy Laser Deposited Products - 6al - 4v - Annealed - SAE International,\\uc0\\u8221{} n.d.)","plainCitation":"(“AMS4999: Titanium Alloy Laser Deposited Products - 6al - 4v - Annealed - SAE International,” n.d.)","noteIndex":0},"citationItems":[{"id":314,"uris":["http://zotero.org/users/9870952/items/F4P7XUDZ"],"itemData":{"id":314,"type":"webpage","abstract":"1.1 Form:  This specification covers metal products  fabricated by laser deposition. 1.2 Application:  This product has been used typically for  machining and forging preforms in applications that require  static mechanical properties similar to wrought mill and  recrystallized annealed products, bu","title":"AMS4999: Titanium Alloy Laser Deposited Products - 6al - 4v - Annealed - SAE International","title-short":"AMS4999","URL":"https://www.sae.org/standards/content/ams4999/","accessed":{"date-parts":[["2024",4,12]]}}}],"schema":"https://github.com/citation-style-language/schema/raw/master/csl-citation.json"} </w:instrText>
      </w:r>
      <w:r>
        <w:fldChar w:fldCharType="separate"/>
      </w:r>
      <w:r w:rsidRPr="00826A79">
        <w:rPr>
          <w:rFonts w:cs="Calibri"/>
        </w:rPr>
        <w:t>(“AMS4999: Titanium Alloy Laser Deposited Products - 6al - 4v - Annealed - SAE International,” n.d.)</w:t>
      </w:r>
      <w:r>
        <w:fldChar w:fldCharType="end"/>
      </w:r>
      <w:r>
        <w:t>. HIP post-treatment is generally recommended. While both UTS and YS of AM processed Ti-6Al-4V parts exceed those of wrought parts, the ductility of AM parts is slightly inferior. Additionally, there is anisotropy in mechanical properties of the build parts.</w:t>
      </w:r>
    </w:p>
    <w:p w14:paraId="55332080" w14:textId="77777777" w:rsidR="000A7194" w:rsidRDefault="000A7194" w:rsidP="000A7194"/>
    <w:p w14:paraId="32CD3481" w14:textId="77777777" w:rsidR="000A7194" w:rsidRDefault="000A7194" w:rsidP="003E0F31">
      <w:pPr>
        <w:spacing w:line="360" w:lineRule="auto"/>
        <w:ind w:firstLine="720"/>
      </w:pPr>
      <w:r>
        <w:t xml:space="preserve">Larger anisotropy in WAAM processed parts of machinal properties of Ti-6Al-4V were reported </w:t>
      </w:r>
      <w:r>
        <w:fldChar w:fldCharType="begin"/>
      </w:r>
      <w:r>
        <w:instrText xml:space="preserve"> ADDIN ZOTERO_ITEM CSL_CITATION {"citationID":"UNDCgaJq","properties":{"formattedCitation":"(Wang et al. 2013)","plainCitation":"(Wang et al. 2013)","noteIndex":0},"citationItems":[{"id":316,"uris":["http://zotero.org/users/9870952/items/HIUAEVW3"],"itemData":{"id":316,"type":"article-journal","container-title":"Metallurgical and Materials Transactions A","DOI":"10.1007/s11661-012-1444-6","ISSN":"1073-5623, 1543-1940","issue":"2","journalAbbreviation":"Metall Mater Trans A","language":"en","page":"968-977","source":"DOI.org (Crossref)","title":"Microstructure and Mechanical Properties of Wire and Arc Additive Manufactured Ti-6Al-4V","volume":"44","author":[{"family":"Wang","given":"Fude"},{"family":"Williams","given":"Stewart"},{"family":"Colegrove","given":"Paul"},{"family":"Antonysamy","given":"Alphons A."}],"issued":{"date-parts":[["2013",2]]}}}],"schema":"https://github.com/citation-style-language/schema/raw/master/csl-citation.json"} </w:instrText>
      </w:r>
      <w:r>
        <w:fldChar w:fldCharType="separate"/>
      </w:r>
      <w:r w:rsidRPr="00826A79">
        <w:rPr>
          <w:rFonts w:cs="Calibri"/>
        </w:rPr>
        <w:t>(Wang et al. 2013)</w:t>
      </w:r>
      <w:r>
        <w:fldChar w:fldCharType="end"/>
      </w:r>
      <w:r>
        <w:t>. They reported that the tensile properties in the build direction were lower than those in either the longitudinal or the transverse direction in the plane of the build. However, mean fatigue life was larger than that of forged alloys.</w:t>
      </w:r>
    </w:p>
    <w:p w14:paraId="7E73A7B7" w14:textId="77777777" w:rsidR="000A7194" w:rsidRDefault="000A7194" w:rsidP="000A7194"/>
    <w:p w14:paraId="0563FB54" w14:textId="15D7C7AF" w:rsidR="000A7194" w:rsidRDefault="000A7194" w:rsidP="003E0F31">
      <w:pPr>
        <w:spacing w:line="360" w:lineRule="auto"/>
        <w:ind w:firstLine="720"/>
      </w:pPr>
      <w:r>
        <w:t>Selective laser melting (SLM) of Ti-6Al-4V has resulted in specimens having tensile strength in excess of 1000 MPa, yield strength greater than 900 MPa, while having total elongation less than 8</w:t>
      </w:r>
      <w:r w:rsidR="00196E17">
        <w:t xml:space="preserve"> </w:t>
      </w:r>
      <w:r>
        <w:t xml:space="preserve">% </w:t>
      </w:r>
      <w:r>
        <w:fldChar w:fldCharType="begin"/>
      </w:r>
      <w:r>
        <w:instrText xml:space="preserve"> ADDIN ZOTERO_ITEM CSL_CITATION {"citationID":"B4ntouYi","properties":{"formattedCitation":"(Lewandowski and Seifi 2016)","plainCitation":"(Lewandowski and Seifi 2016)","noteIndex":0},"citationItems":[{"id":292,"uris":["http://zotero.org/users/9870952/items/Z35K4GPJ"],"itemData":{"id":292,"type":"article-journal","abstract":"This article reviews published data on the mechanical properties of additively manufactured metallic materials. The additive manufacturing techniques utilized to generate samples covered in this review include powder bed fusion (e.g., EBM, SLM, DMLS) and directed energy deposition (e.g., LENS, EBF\n              3\n              ). Although only a limited number of metallic alloy systems are currently available for additive manufacturing (e.g., Ti-6Al-4V, TiAl, stainless steel, Inconel 625/718, and Al-Si-10Mg), the bulk of the published mechanical properties information has been generated on Ti-6Al-4V. However, summary tables for published mechanical properties and/or key figures are included for each of the alloys listed above, grouped by the additive technique used to generate the data. Published values for mechanical properties obtained from hardness, tension/compression, fracture toughness, fatigue crack growth, and high cycle fatigue are included for as-built, heat-treated, and/or HIP conditions, when available. The effects of test orientation/build direction on properties, when available, are also provided, along with discussion of the potential source(s) (e.g., texture, microstructure changes, defects) of anisotropy in properties. Recommendations for additional work are also provided.","container-title":"Annual Review of Materials Research","DOI":"10.1146/annurev-matsci-070115-032024","ISSN":"1531-7331, 1545-4118","issue":"1","journalAbbreviation":"Annu. Rev. Mater. Res.","language":"en","page":"151-186","source":"DOI.org (Crossref)","title":"Metal Additive Manufacturing: A Review of Mechanical Properties","title-short":"Metal Additive Manufacturing","volume":"46","author":[{"family":"Lewandowski","given":"John J."},{"family":"Seifi","given":"Mohsen"}],"issued":{"date-parts":[["2016",7,1]]}}}],"schema":"https://github.com/citation-style-language/schema/raw/master/csl-citation.json"} </w:instrText>
      </w:r>
      <w:r>
        <w:fldChar w:fldCharType="separate"/>
      </w:r>
      <w:r w:rsidRPr="00826A79">
        <w:rPr>
          <w:rFonts w:cs="Calibri"/>
        </w:rPr>
        <w:t>(Lewandowski and Seifi 2016)</w:t>
      </w:r>
      <w:r>
        <w:fldChar w:fldCharType="end"/>
      </w:r>
      <w:r>
        <w:t xml:space="preserve">, </w:t>
      </w:r>
      <w:r>
        <w:fldChar w:fldCharType="begin"/>
      </w:r>
      <w:r>
        <w:instrText xml:space="preserve"> ADDIN ZOTERO_ITEM CSL_CITATION {"citationID":"8ZfeoZra","properties":{"formattedCitation":"(Rafi et al. 2013)","plainCitation":"(Rafi et al. 2013)","noteIndex":0},"citationItems":[{"id":318,"uris":["http://zotero.org/users/9870952/items/RFSNY483"],"itemData":{"id":318,"type":"article-journal","container-title":"Journal of Materials Engineering and Performance","DOI":"10.1007/s11665-013-0658-0","ISSN":"1059-9495, 1544-1024","issue":"12","journalAbbreviation":"J. of Materi Eng and Perform","language":"en","license":"http://www.springer.com/tdm","page":"3872-3883","source":"DOI.org (Crossref)","title":"Microstructures and Mechanical Properties of Ti6Al4V Parts Fabricated by Selective Laser Melting and Electron Beam Melting","volume":"22","author":[{"family":"Rafi","given":"H. K."},{"family":"Karthik","given":"N. V."},{"family":"Gong","given":"Haijun"},{"family":"Starr","given":"Thomas L."},{"family":"Stucker","given":"Brent E."}],"issued":{"date-parts":[["2013",12]]}}}],"schema":"https://github.com/citation-style-language/schema/raw/master/csl-citation.json"} </w:instrText>
      </w:r>
      <w:r>
        <w:fldChar w:fldCharType="separate"/>
      </w:r>
      <w:r w:rsidRPr="00826A79">
        <w:rPr>
          <w:rFonts w:cs="Calibri"/>
        </w:rPr>
        <w:t>(Rafi et al. 2013)</w:t>
      </w:r>
      <w:r>
        <w:fldChar w:fldCharType="end"/>
      </w:r>
      <w:r>
        <w:t xml:space="preserve">, </w:t>
      </w:r>
      <w:r>
        <w:fldChar w:fldCharType="begin"/>
      </w:r>
      <w:r>
        <w:instrText xml:space="preserve"> ADDIN ZOTERO_ITEM CSL_CITATION {"citationID":"n1AtPY9V","properties":{"formattedCitation":"(Qian et al. 2016)","plainCitation":"(Qian et al. 2016)","noteIndex":0},"citationItems":[{"id":320,"uris":["http://zotero.org/users/9870952/items/P5WJ3XDJ"],"itemData":{"id":320,"type":"article-journal","container-title":"Mrs Bulletin","issue":"10","note":"publisher: Cambridge University Press","page":"775–784","source":"Google Scholar","title":"Additive manufacturing and postprocessing of Ti-6Al-4V for superior mechanical properties","volume":"41","author":[{"family":"Qian","given":"M. A."},{"family":"Xu","given":"Wei"},{"family":"Brandt","given":"Milan"},{"family":"Tang","given":"H. P."}],"issued":{"date-parts":[["2016"]]}}}],"schema":"https://github.com/citation-style-language/schema/raw/master/csl-citation.json"} </w:instrText>
      </w:r>
      <w:r>
        <w:fldChar w:fldCharType="separate"/>
      </w:r>
      <w:r w:rsidRPr="00826A79">
        <w:rPr>
          <w:rFonts w:cs="Calibri"/>
        </w:rPr>
        <w:t>(Qian et al. 2016)</w:t>
      </w:r>
      <w:r>
        <w:fldChar w:fldCharType="end"/>
      </w:r>
      <w:r>
        <w:t xml:space="preserve">. This is possibly due to a fine, martensitic (alpha prime) structure that forms due to rapid cooling. The improvement in ductility requires some post-build heat treatment. However, ref. </w:t>
      </w:r>
      <w:r>
        <w:fldChar w:fldCharType="begin"/>
      </w:r>
      <w:r>
        <w:instrText xml:space="preserve"> ADDIN ZOTERO_ITEM CSL_CITATION {"citationID":"dscxeMGD","properties":{"formattedCitation":"(Xu et al. 2015)","plainCitation":"(Xu et al. 2015)","noteIndex":0},"citationItems":[{"id":322,"uris":["http://zotero.org/users/9870952/items/FFZHG3F9"],"itemData":{"id":322,"type":"article-journal","container-title":"Acta Materialia","note":"publisher: Elsevier","page":"74–84","source":"Google Scholar","title":"Additive manufacturing of strong and ductile Ti–6Al–4V by selective laser melting via in situ martensite decomposition","volume":"85","author":[{"family":"Xu","given":"Wei"},{"family":"Brandt","given":"M."},{"family":"Sun","given":"S."},{"family":"Elambasseril","given":"J."},{"family":"Liu","given":"Q."},{"family":"Latham","given":"K."},{"family":"Xia","given":"K."},{"family":"Qian","given":"M."}],"issued":{"date-parts":[["2015"]]}}}],"schema":"https://github.com/citation-style-language/schema/raw/master/csl-citation.json"} </w:instrText>
      </w:r>
      <w:r>
        <w:fldChar w:fldCharType="separate"/>
      </w:r>
      <w:r w:rsidRPr="00826A79">
        <w:rPr>
          <w:rFonts w:cs="Calibri"/>
        </w:rPr>
        <w:t>(Xu et al. 2015)</w:t>
      </w:r>
      <w:r>
        <w:fldChar w:fldCharType="end"/>
      </w:r>
      <w:r>
        <w:t xml:space="preserve"> reported achieving an alpha+beta lamellar structure from decomposition of the alpha prime martensite during the SLM process itself. This decomposition was found to be dependent on the energy level. They achieved elongation of 11.4</w:t>
      </w:r>
      <w:r w:rsidR="00196E17">
        <w:t xml:space="preserve"> </w:t>
      </w:r>
      <w:r>
        <w:t xml:space="preserve">%, while reaching a yield strength over 1100 MPa. </w:t>
      </w:r>
    </w:p>
    <w:p w14:paraId="1CDDD5ED" w14:textId="77777777" w:rsidR="00E308E0" w:rsidRDefault="00E308E0" w:rsidP="003E0F31">
      <w:pPr>
        <w:spacing w:line="360" w:lineRule="auto"/>
      </w:pPr>
    </w:p>
    <w:p w14:paraId="259F964C" w14:textId="77777777" w:rsidR="000A7194" w:rsidRDefault="000A7194"/>
    <w:p w14:paraId="60393862" w14:textId="1B41E42B" w:rsidR="000A7194" w:rsidRDefault="000A7194" w:rsidP="000A7194">
      <w:pPr>
        <w:spacing w:line="360" w:lineRule="auto"/>
        <w:jc w:val="both"/>
        <w:rPr>
          <w:b/>
          <w:bCs/>
          <w:spacing w:val="-3"/>
        </w:rPr>
      </w:pPr>
      <w:r>
        <w:rPr>
          <w:b/>
          <w:bCs/>
          <w:spacing w:val="-3"/>
        </w:rPr>
        <w:t xml:space="preserve">10.6.5 </w:t>
      </w:r>
      <w:r w:rsidR="0032016C">
        <w:rPr>
          <w:b/>
          <w:bCs/>
          <w:spacing w:val="-3"/>
        </w:rPr>
        <w:t>Fe alloys</w:t>
      </w:r>
    </w:p>
    <w:p w14:paraId="0E34E63D" w14:textId="77777777" w:rsidR="000A7194" w:rsidRDefault="000A7194" w:rsidP="000A7194">
      <w:pPr>
        <w:spacing w:line="360" w:lineRule="auto"/>
        <w:jc w:val="both"/>
        <w:rPr>
          <w:rFonts w:eastAsiaTheme="minorEastAsia"/>
        </w:rPr>
      </w:pPr>
    </w:p>
    <w:p w14:paraId="490D9BD6" w14:textId="1237BB19" w:rsidR="000A7194" w:rsidRDefault="000A7194" w:rsidP="003E0F31">
      <w:pPr>
        <w:autoSpaceDE w:val="0"/>
        <w:autoSpaceDN w:val="0"/>
        <w:adjustRightInd w:val="0"/>
        <w:spacing w:line="360" w:lineRule="auto"/>
        <w:ind w:firstLine="720"/>
      </w:pPr>
      <w:r>
        <w:lastRenderedPageBreak/>
        <w:t xml:space="preserve">Among all varieties of steels, precipitation hardening (PH) and austenitic stainless are most commonly used for AM applications. However, certain low alloy steels, tool steels, and maraging steels are also used in AM applications. Fig. 10.25 </w:t>
      </w:r>
      <w:r>
        <w:fldChar w:fldCharType="begin"/>
      </w:r>
      <w:r>
        <w:instrText xml:space="preserve"> ADDIN ZOTERO_ITEM CSL_CITATION {"citationID":"R8G0MBBb","properties":{"formattedCitation":"(Gorsse et al. 2017)","plainCitation":"(Gorsse et al. 2017)","noteIndex":0},"citationItems":[{"id":324,"uris":["http://zotero.org/users/9870952/items/NYCH8H9P"],"itemData":{"id":324,"type":"article-journal","container-title":"Science and Technology of Advanced Materials","DOI":"10.1080/14686996.2017.1361305","ISSN":"1468-6996, 1878-5514","issue":"1","journalAbbreviation":"Science and Technology of Advanced Materials","language":"en","page":"584-610","source":"DOI.org (Crossref)","title":"Additive manufacturing of metals: a brief review of the characteristic microstructures and properties of steels, Ti-6Al-4V and high-entropy alloys","title-short":"Additive manufacturing of metals","volume":"18","author":[{"family":"Gorsse","given":"Stéphane"},{"family":"Hutchinson","given":"Christopher"},{"family":"Gouné","given":"Mohamed"},{"family":"Banerjee","given":"Rajarshi"}],"issued":{"date-parts":[["2017",12,31]]}}}],"schema":"https://github.com/citation-style-language/schema/raw/master/csl-citation.json"} </w:instrText>
      </w:r>
      <w:r>
        <w:fldChar w:fldCharType="separate"/>
      </w:r>
      <w:r w:rsidRPr="00826A79">
        <w:rPr>
          <w:rFonts w:cs="Calibri"/>
        </w:rPr>
        <w:t>(Gorsse et al. 2017)</w:t>
      </w:r>
      <w:r>
        <w:fldChar w:fldCharType="end"/>
      </w:r>
      <w:r>
        <w:t xml:space="preserve"> shows a comparison of engineering stress vs. engineering strain curves from SLM built 316L austenitic stainless steel specimens (in different directions) and wrought specimens. The 0.2</w:t>
      </w:r>
      <w:r w:rsidR="00780105">
        <w:t xml:space="preserve"> </w:t>
      </w:r>
      <w:r>
        <w:t>% offset yield stress (YS) of the sample built along vertical directions is about 510 MPa compared to a value of 0.2</w:t>
      </w:r>
      <w:r w:rsidR="00780105">
        <w:t xml:space="preserve"> </w:t>
      </w:r>
      <w:r>
        <w:t>% offset YS of 290 MPa for the wrought specimen. Cast equivalent material also has a similar 0.2</w:t>
      </w:r>
      <w:r w:rsidR="00780105">
        <w:t xml:space="preserve"> </w:t>
      </w:r>
      <w:r>
        <w:t xml:space="preserve">% YS values as that of the wrought material. Ref. </w:t>
      </w:r>
      <w:r>
        <w:fldChar w:fldCharType="begin"/>
      </w:r>
      <w:r>
        <w:instrText xml:space="preserve"> ADDIN ZOTERO_ITEM CSL_CITATION {"citationID":"bmrl30J0","properties":{"formattedCitation":"(Gorsse et al. 2017)","plainCitation":"(Gorsse et al. 2017)","noteIndex":0},"citationItems":[{"id":324,"uris":["http://zotero.org/users/9870952/items/NYCH8H9P"],"itemData":{"id":324,"type":"article-journal","container-title":"Science and Technology of Advanced Materials","DOI":"10.1080/14686996.2017.1361305","ISSN":"1468-6996, 1878-5514","issue":"1","journalAbbreviation":"Science and Technology of Advanced Materials","language":"en","page":"584-610","source":"DOI.org (Crossref)","title":"Additive manufacturing of metals: a brief review of the characteristic microstructures and properties of steels, Ti-6Al-4V and high-entropy alloys","title-short":"Additive manufacturing of metals","volume":"18","author":[{"family":"Gorsse","given":"Stéphane"},{"family":"Hutchinson","given":"Christopher"},{"family":"Gouné","given":"Mohamed"},{"family":"Banerjee","given":"Rajarshi"}],"issued":{"date-parts":[["2017",12,31]]}}}],"schema":"https://github.com/citation-style-language/schema/raw/master/csl-citation.json"} </w:instrText>
      </w:r>
      <w:r>
        <w:fldChar w:fldCharType="separate"/>
      </w:r>
      <w:r w:rsidRPr="00826A79">
        <w:rPr>
          <w:rFonts w:cs="Calibri"/>
        </w:rPr>
        <w:t>(Gorsse et al. 2017)</w:t>
      </w:r>
      <w:r>
        <w:fldChar w:fldCharType="end"/>
      </w:r>
      <w:r>
        <w:t xml:space="preserve"> contends that such increases in yield strength for the AM specimens is due much higher dislocation densities in the AM specimens due to thermal contraction strains the specimen encounters due to rapid cooling from 2000 K to 300 K. Grain refinement associated with the SLM process also helps in having increased YS. Fig. 10.25 shows that samples oriented horizontally has the largest 0.2</w:t>
      </w:r>
      <w:r w:rsidR="00780105">
        <w:t xml:space="preserve"> </w:t>
      </w:r>
      <w:r>
        <w:t xml:space="preserve">% YS since finer grain structures are oriented normal to the tensile axis </w:t>
      </w:r>
      <w:r>
        <w:fldChar w:fldCharType="begin"/>
      </w:r>
      <w:r>
        <w:instrText xml:space="preserve"> ADDIN ZOTERO_ITEM CSL_CITATION {"citationID":"GGcMlUeu","properties":{"formattedCitation":"(Gorsse et al. 2017)","plainCitation":"(Gorsse et al. 2017)","noteIndex":0},"citationItems":[{"id":324,"uris":["http://zotero.org/users/9870952/items/NYCH8H9P"],"itemData":{"id":324,"type":"article-journal","container-title":"Science and Technology of Advanced Materials","DOI":"10.1080/14686996.2017.1361305","ISSN":"1468-6996, 1878-5514","issue":"1","journalAbbreviation":"Science and Technology of Advanced Materials","language":"en","page":"584-610","source":"DOI.org (Crossref)","title":"Additive manufacturing of metals: a brief review of the characteristic microstructures and properties of steels, Ti-6Al-4V and high-entropy alloys","title-short":"Additive manufacturing of metals","volume":"18","author":[{"family":"Gorsse","given":"Stéphane"},{"family":"Hutchinson","given":"Christopher"},{"family":"Gouné","given":"Mohamed"},{"family":"Banerjee","given":"Rajarshi"}],"issued":{"date-parts":[["2017",12,31]]}}}],"schema":"https://github.com/citation-style-language/schema/raw/master/csl-citation.json"} </w:instrText>
      </w:r>
      <w:r>
        <w:fldChar w:fldCharType="separate"/>
      </w:r>
      <w:r w:rsidRPr="00826A79">
        <w:rPr>
          <w:rFonts w:cs="Calibri"/>
        </w:rPr>
        <w:t>(Gorsse et al. 2017)</w:t>
      </w:r>
      <w:r>
        <w:fldChar w:fldCharType="end"/>
      </w:r>
      <w:r>
        <w:t>. Anisotropic behavior is evident in Fig. 10.25, although the difference in values of 0.2</w:t>
      </w:r>
      <w:r w:rsidR="00780105">
        <w:t xml:space="preserve"> </w:t>
      </w:r>
      <w:r>
        <w:t xml:space="preserve">% offset YS is only about 50 MPa. The fatigue behavior of the AM processed specimens showed similar behavior as the wrought specimens despite the fact that the AM specimens are much stronger </w:t>
      </w:r>
      <w:r>
        <w:fldChar w:fldCharType="begin"/>
      </w:r>
      <w:r>
        <w:instrText xml:space="preserve"> ADDIN ZOTERO_ITEM CSL_CITATION {"citationID":"n8eGNfKG","properties":{"formattedCitation":"(Gorsse et al. 2017)","plainCitation":"(Gorsse et al. 2017)","noteIndex":0},"citationItems":[{"id":324,"uris":["http://zotero.org/users/9870952/items/NYCH8H9P"],"itemData":{"id":324,"type":"article-journal","container-title":"Science and Technology of Advanced Materials","DOI":"10.1080/14686996.2017.1361305","ISSN":"1468-6996, 1878-5514","issue":"1","journalAbbreviation":"Science and Technology of Advanced Materials","language":"en","page":"584-610","source":"DOI.org (Crossref)","title":"Additive manufacturing of metals: a brief review of the characteristic microstructures and properties of steels, Ti-6Al-4V and high-entropy alloys","title-short":"Additive manufacturing of metals","volume":"18","author":[{"family":"Gorsse","given":"Stéphane"},{"family":"Hutchinson","given":"Christopher"},{"family":"Gouné","given":"Mohamed"},{"family":"Banerjee","given":"Rajarshi"}],"issued":{"date-parts":[["2017",12,31]]}}}],"schema":"https://github.com/citation-style-language/schema/raw/master/csl-citation.json"} </w:instrText>
      </w:r>
      <w:r>
        <w:fldChar w:fldCharType="separate"/>
      </w:r>
      <w:r w:rsidRPr="00826A79">
        <w:rPr>
          <w:rFonts w:cs="Calibri"/>
        </w:rPr>
        <w:t>(Gorsse et al. 2017)</w:t>
      </w:r>
      <w:r>
        <w:fldChar w:fldCharType="end"/>
      </w:r>
      <w:r>
        <w:t>.</w:t>
      </w:r>
    </w:p>
    <w:p w14:paraId="2A203A6F" w14:textId="77777777" w:rsidR="000A7194" w:rsidRDefault="000A7194" w:rsidP="000A7194">
      <w:pPr>
        <w:autoSpaceDE w:val="0"/>
        <w:autoSpaceDN w:val="0"/>
        <w:adjustRightInd w:val="0"/>
      </w:pPr>
    </w:p>
    <w:p w14:paraId="316E7810" w14:textId="77777777" w:rsidR="000A7194" w:rsidRDefault="000A7194" w:rsidP="003E0F31">
      <w:pPr>
        <w:autoSpaceDE w:val="0"/>
        <w:autoSpaceDN w:val="0"/>
        <w:adjustRightInd w:val="0"/>
        <w:spacing w:line="360" w:lineRule="auto"/>
        <w:ind w:firstLine="720"/>
      </w:pPr>
      <w:r>
        <w:t>The following table provides a summary of tensile properties of commonly used steels through AM route. Also shown are the properties of a few titanium and nickel alloys.</w:t>
      </w:r>
    </w:p>
    <w:p w14:paraId="7600B914" w14:textId="77777777" w:rsidR="000A7194" w:rsidRDefault="000A7194" w:rsidP="000A7194">
      <w:pPr>
        <w:autoSpaceDE w:val="0"/>
        <w:autoSpaceDN w:val="0"/>
        <w:adjustRightInd w:val="0"/>
      </w:pPr>
    </w:p>
    <w:p w14:paraId="14C9281C" w14:textId="77777777" w:rsidR="000A7194" w:rsidRDefault="000A7194" w:rsidP="000A7194">
      <w:r>
        <w:t xml:space="preserve">Table 4: Comparison of room temperature tensile properties of commonly used steels, nickel, and Ti alloy parts processed by direct laser deposition </w:t>
      </w:r>
      <w:r>
        <w:fldChar w:fldCharType="begin"/>
      </w:r>
      <w:r>
        <w:instrText xml:space="preserve"> ADDIN ZOTERO_ITEM CSL_CITATION {"citationID":"j5VtzqgD","properties":{"formattedCitation":"(Raghupatruni and Kumar 2023)","plainCitation":"(Raghupatruni and Kumar 2023)","noteIndex":0},"citationItems":[{"id":326,"uris":["http://zotero.org/users/9870952/items/XGG7EZZ9"],"itemData":{"id":326,"type":"article-journal","container-title":"Advances in Metal Additive Manufacturing","note":"publisher: Elsevier","page":"161–178","source":"Google Scholar","title":"Review of Microstructure and Mechanical properties of materials manufactured by direct energy deposition","author":[{"family":"Raghupatruni","given":"Prasad"},{"family":"Kumar","given":"S. Anand"}],"issued":{"date-parts":[["2023"]]}}}],"schema":"https://github.com/citation-style-language/schema/raw/master/csl-citation.json"} </w:instrText>
      </w:r>
      <w:r>
        <w:fldChar w:fldCharType="separate"/>
      </w:r>
      <w:r w:rsidRPr="00826A79">
        <w:rPr>
          <w:rFonts w:cs="Calibri"/>
        </w:rPr>
        <w:t>(Raghupatruni and Kumar 2023)</w:t>
      </w:r>
      <w:r>
        <w:fldChar w:fldCharType="end"/>
      </w:r>
      <w:r>
        <w:t>.</w:t>
      </w:r>
    </w:p>
    <w:p w14:paraId="51A16179" w14:textId="77777777" w:rsidR="000A7194" w:rsidRDefault="000A7194" w:rsidP="000A7194"/>
    <w:p w14:paraId="041466C2" w14:textId="77777777" w:rsidR="000A7194" w:rsidRDefault="000A7194" w:rsidP="000A7194">
      <w:pPr>
        <w:autoSpaceDE w:val="0"/>
        <w:autoSpaceDN w:val="0"/>
        <w:adjustRightInd w:val="0"/>
      </w:pPr>
      <w:r>
        <w:rPr>
          <w:noProof/>
        </w:rPr>
        <w:lastRenderedPageBreak/>
        <w:drawing>
          <wp:inline distT="0" distB="0" distL="0" distR="0" wp14:anchorId="0A5E2446" wp14:editId="58A23D30">
            <wp:extent cx="5760920" cy="2294890"/>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67"/>
                    <a:srcRect l="22490" t="25858" r="25915" b="37607"/>
                    <a:stretch/>
                  </pic:blipFill>
                  <pic:spPr bwMode="auto">
                    <a:xfrm>
                      <a:off x="0" y="0"/>
                      <a:ext cx="5763656" cy="2295980"/>
                    </a:xfrm>
                    <a:prstGeom prst="rect">
                      <a:avLst/>
                    </a:prstGeom>
                    <a:ln>
                      <a:noFill/>
                    </a:ln>
                    <a:extLst>
                      <a:ext uri="{53640926-AAD7-44D8-BBD7-CCE9431645EC}">
                        <a14:shadowObscured xmlns:a14="http://schemas.microsoft.com/office/drawing/2010/main"/>
                      </a:ext>
                    </a:extLst>
                  </pic:spPr>
                </pic:pic>
              </a:graphicData>
            </a:graphic>
          </wp:inline>
        </w:drawing>
      </w:r>
    </w:p>
    <w:p w14:paraId="1DB6D6E0" w14:textId="77777777" w:rsidR="000A7194" w:rsidRDefault="000A7194" w:rsidP="000A7194">
      <w:pPr>
        <w:autoSpaceDE w:val="0"/>
        <w:autoSpaceDN w:val="0"/>
        <w:adjustRightInd w:val="0"/>
      </w:pPr>
    </w:p>
    <w:p w14:paraId="4E534C48" w14:textId="77777777" w:rsidR="000A7194" w:rsidRDefault="000A7194" w:rsidP="000A7194">
      <w:pPr>
        <w:spacing w:line="360" w:lineRule="auto"/>
        <w:jc w:val="both"/>
        <w:rPr>
          <w:rFonts w:eastAsiaTheme="minorEastAsia"/>
        </w:rPr>
      </w:pPr>
    </w:p>
    <w:p w14:paraId="76491EFF" w14:textId="2E61C34F" w:rsidR="000A7194" w:rsidRDefault="000A7194" w:rsidP="000A7194">
      <w:pPr>
        <w:spacing w:line="360" w:lineRule="auto"/>
        <w:jc w:val="both"/>
        <w:rPr>
          <w:b/>
          <w:bCs/>
          <w:spacing w:val="-3"/>
        </w:rPr>
      </w:pPr>
      <w:r>
        <w:rPr>
          <w:b/>
          <w:bCs/>
          <w:spacing w:val="-3"/>
        </w:rPr>
        <w:t>10.6.6 Co alloys</w:t>
      </w:r>
    </w:p>
    <w:p w14:paraId="6E3718DE" w14:textId="77777777" w:rsidR="000A7194" w:rsidRDefault="000A7194" w:rsidP="000A7194">
      <w:pPr>
        <w:spacing w:line="360" w:lineRule="auto"/>
        <w:jc w:val="both"/>
        <w:rPr>
          <w:rFonts w:eastAsiaTheme="minorEastAsia"/>
        </w:rPr>
      </w:pPr>
    </w:p>
    <w:p w14:paraId="6A69BB7E" w14:textId="1BCAEB55" w:rsidR="000A7194" w:rsidRDefault="000A7194" w:rsidP="003E0F31">
      <w:pPr>
        <w:spacing w:line="360" w:lineRule="auto"/>
        <w:ind w:firstLine="720"/>
      </w:pPr>
      <w:r>
        <w:t xml:space="preserve">Co-Cr alloys are widely used in many applications such as in marine, medical, and automotive industries. This is because these alloys possess excellent strength, biocompatibility, and corrosion resistance among others. In AM space, Co alloys are printed either by fusion techniques or by non-melting processes such as the binder jet printing or extrusion process. Co alloys are known to show some anisotropy in mechanical behavior depending on the microstructure of the AM material (i.e., equiaxed </w:t>
      </w:r>
      <w:r w:rsidR="003F7C0A">
        <w:t>v</w:t>
      </w:r>
      <w:r>
        <w:t>s. columnar grains). Both Co-Cr-Mo and Co-Cr-W alloys have bee</w:t>
      </w:r>
      <w:r w:rsidR="00780105">
        <w:t>n</w:t>
      </w:r>
      <w:r>
        <w:t xml:space="preserve"> produced through AM processes. Like most alloys, the particular choice of the fusion technique can influence the mechanical behavior of the built parts of Co alloys. Ref. </w:t>
      </w:r>
      <w:r>
        <w:fldChar w:fldCharType="begin"/>
      </w:r>
      <w:r>
        <w:instrText xml:space="preserve"> ADDIN ZOTERO_ITEM CSL_CITATION {"citationID":"8ErBkuck","properties":{"formattedCitation":"(Kircher, Christensen, and Wurth 2009)","plainCitation":"(Kircher, Christensen, and Wurth 2009)","noteIndex":0},"citationItems":[{"id":328,"uris":["http://zotero.org/users/9870952/items/Z68TUN9P"],"itemData":{"id":328,"type":"article-journal","note":"publisher: University of Texas at Austin","source":"Google Scholar","title":"Electron beam melted (EBM) Co-Cr-Mo alloy for orthopaedic implant applications","URL":"https://repositories.lib.utexas.edu/items/7967af60-58ce-46ab-b054-adf9e92fb8bf","author":[{"family":"Kircher","given":"R. S."},{"family":"Christensen","given":"A. M."},{"family":"Wurth","given":"K. W."}],"accessed":{"date-parts":[["2024",4,17]]},"issued":{"date-parts":[["2009"]]}}}],"schema":"https://github.com/citation-style-language/schema/raw/master/csl-citation.json"} </w:instrText>
      </w:r>
      <w:r>
        <w:fldChar w:fldCharType="separate"/>
      </w:r>
      <w:r w:rsidRPr="00826A79">
        <w:rPr>
          <w:rFonts w:cs="Calibri"/>
        </w:rPr>
        <w:t>(Kircher, Christensen, and Wurth 2009)</w:t>
      </w:r>
      <w:r>
        <w:fldChar w:fldCharType="end"/>
      </w:r>
      <w:r>
        <w:t xml:space="preserve"> reported </w:t>
      </w:r>
      <w:r w:rsidR="00780105">
        <w:t>(</w:t>
      </w:r>
      <w:r>
        <w:t>807 +/- 8.4</w:t>
      </w:r>
      <w:r w:rsidR="00780105">
        <w:t>)</w:t>
      </w:r>
      <w:r>
        <w:t xml:space="preserve"> MPa YS, </w:t>
      </w:r>
      <w:r w:rsidRPr="0094443E">
        <w:t>902 +/-8.7</w:t>
      </w:r>
      <w:r>
        <w:t xml:space="preserve"> MPa tensile strength, and </w:t>
      </w:r>
      <w:r w:rsidRPr="0094443E">
        <w:t>14.8 +/- 0.5</w:t>
      </w:r>
      <w:r w:rsidR="00780105">
        <w:t xml:space="preserve"> </w:t>
      </w:r>
      <w:r>
        <w:t>% elongation to failure for Co-Cr-Mo specimens tested along vertically oriented built condition with an Arcam EBM system</w:t>
      </w:r>
      <w:r w:rsidR="0094443E">
        <w:t xml:space="preserve"> (Note that +/- x represents error bar, where x is the amount of variation from the mean value)</w:t>
      </w:r>
      <w:r>
        <w:t xml:space="preserve">. Ref. </w:t>
      </w:r>
      <w:r>
        <w:fldChar w:fldCharType="begin"/>
      </w:r>
      <w:r>
        <w:instrText xml:space="preserve"> ADDIN ZOTERO_ITEM CSL_CITATION {"citationID":"EUbSR4PO","properties":{"formattedCitation":"(Song et al. 2014)","plainCitation":"(Song et al. 2014)","noteIndex":0},"citationItems":[{"id":330,"uris":["http://zotero.org/users/9870952/items/SQ6FPQSD"],"itemData":{"id":330,"type":"article-journal","container-title":"The International Journal of Advanced Manufacturing Technology","DOI":"10.1007/s00170-014-6150-7","ISSN":"0268-3768, 1433-3015","issue":"1-4","journalAbbreviation":"Int J Adv Manuf Technol","language":"en","page":"445-453","source":"DOI.org (Crossref)","title":"Research on rapid manufacturing of CoCrMo alloy femoral component based on selective laser melting","volume":"75","author":[{"family":"Song","given":"Changhui"},{"family":"Yang","given":"Yongqiang"},{"family":"Wang","given":"Yunda"},{"family":"Wang","given":"Di"},{"family":"Yu","given":"Jiakuo"}],"issued":{"date-parts":[["2014",10]]}}}],"schema":"https://github.com/citation-style-language/schema/raw/master/csl-citation.json"} </w:instrText>
      </w:r>
      <w:r>
        <w:fldChar w:fldCharType="separate"/>
      </w:r>
      <w:r w:rsidRPr="00826A79">
        <w:rPr>
          <w:rFonts w:cs="Calibri"/>
        </w:rPr>
        <w:t>(Song et al. 2014)</w:t>
      </w:r>
      <w:r>
        <w:fldChar w:fldCharType="end"/>
      </w:r>
      <w:r>
        <w:t xml:space="preserve"> reported the following values for LPBF (Dimetal-100 system) processed Co-Cr-Mo alloys (for vertical directions</w:t>
      </w:r>
      <w:r w:rsidRPr="0094443E">
        <w:t>): 685.3 +/- 10.5 MPa YS, 970 +/- 9.8 MPa</w:t>
      </w:r>
      <w:r>
        <w:t xml:space="preserve"> tensile strength, and </w:t>
      </w:r>
      <w:r w:rsidRPr="0094443E">
        <w:t>3.9 +/- 0.2</w:t>
      </w:r>
      <w:r w:rsidR="00780105">
        <w:t xml:space="preserve"> </w:t>
      </w:r>
      <w:r>
        <w:t>% elongation. It can be noticed that higher strengths and substantially lower ductility are achieved using LPBF process when compared to values from the EBM system for the same material.</w:t>
      </w:r>
    </w:p>
    <w:p w14:paraId="2DE9DAA0" w14:textId="77777777" w:rsidR="000A7194" w:rsidRDefault="000A7194" w:rsidP="003E0F31">
      <w:pPr>
        <w:ind w:firstLine="720"/>
      </w:pPr>
    </w:p>
    <w:p w14:paraId="2D5A0A72" w14:textId="415E6FB6" w:rsidR="00860A37" w:rsidRDefault="000A7194" w:rsidP="003E0F31">
      <w:pPr>
        <w:spacing w:line="360" w:lineRule="auto"/>
        <w:ind w:firstLine="720"/>
      </w:pPr>
      <w:r>
        <w:lastRenderedPageBreak/>
        <w:t xml:space="preserve">Strength values from both LPBF and EBM processed specimens are higher than those from as-cast </w:t>
      </w:r>
      <w:r>
        <w:fldChar w:fldCharType="begin"/>
      </w:r>
      <w:r>
        <w:instrText xml:space="preserve"> ADDIN ZOTERO_ITEM CSL_CITATION {"citationID":"5uHqNC83","properties":{"formattedCitation":"(ASTM 2007)","plainCitation":"(ASTM 2007)","noteIndex":0},"citationItems":[{"id":332,"uris":["http://zotero.org/users/9870952/items/YL7LZZWN"],"itemData":{"id":332,"type":"article-journal","container-title":"West Conshohocken: ASTM International","source":"Google Scholar","title":"F75: Standard specification for cobalt-28 chromium-6 molybdenum alloy castings and casting alloy for surgical implants (uns r30075)","title-short":"F75","author":[{"family":"ASTM","given":"ASTM"}],"issued":{"date-parts":[["2007"]]}}}],"schema":"https://github.com/citation-style-language/schema/raw/master/csl-citation.json"} </w:instrText>
      </w:r>
      <w:r>
        <w:fldChar w:fldCharType="separate"/>
      </w:r>
      <w:r w:rsidRPr="00826A79">
        <w:rPr>
          <w:rFonts w:cs="Calibri"/>
        </w:rPr>
        <w:t>(ASTM 2007)</w:t>
      </w:r>
      <w:r>
        <w:fldChar w:fldCharType="end"/>
      </w:r>
      <w:r>
        <w:t xml:space="preserve"> and wrought </w:t>
      </w:r>
      <w:r>
        <w:fldChar w:fldCharType="begin"/>
      </w:r>
      <w:r>
        <w:instrText xml:space="preserve"> ADDIN ZOTERO_ITEM CSL_CITATION {"citationID":"U8J30VpZ","properties":{"formattedCitation":"(F1537-11 2011)","plainCitation":"(F1537-11 2011)","noteIndex":0},"citationItems":[{"id":333,"uris":["http://zotero.org/users/9870952/items/CBMUQ7VM"],"itemData":{"id":333,"type":"document","publisher":"ASTM International West Conshohocken, PA","source":"Google Scholar","title":"Standard Specification for Wrought Cobalt-28Chromium-6Molybdenum Alloys for Surgical Implants (UNS R31537, UNS R31538, and UNS R31539)","author":[{"family":"F1537-11","given":"ASTM"}],"issued":{"date-parts":[["2011"]]}}}],"schema":"https://github.com/citation-style-language/schema/raw/master/csl-citation.json"} </w:instrText>
      </w:r>
      <w:r>
        <w:fldChar w:fldCharType="separate"/>
      </w:r>
      <w:r w:rsidRPr="00826A79">
        <w:rPr>
          <w:rFonts w:cs="Calibri"/>
        </w:rPr>
        <w:t>(F1537-11 2011)</w:t>
      </w:r>
      <w:r>
        <w:fldChar w:fldCharType="end"/>
      </w:r>
      <w:r>
        <w:t xml:space="preserve"> specimens. However, while the ductility values of the EBM specimens exceed the ASTM requirements for as-cast specimens, the ductility values of the LPBF specimens of Co-Cr-Mo alloys are lower than the values for wrought specimens specified by the ASTM F1537 guidelines. Post-build HIP and heat treatments can substantially improve the ductility of the LPBF specimens with minimum loss of strength values </w:t>
      </w:r>
      <w:r>
        <w:fldChar w:fldCharType="begin"/>
      </w:r>
      <w:r>
        <w:instrText xml:space="preserve"> ADDIN ZOTERO_ITEM CSL_CITATION {"citationID":"H3Dh0HeE","properties":{"formattedCitation":"(Song et al. 2014)","plainCitation":"(Song et al. 2014)","noteIndex":0},"citationItems":[{"id":330,"uris":["http://zotero.org/users/9870952/items/SQ6FPQSD"],"itemData":{"id":330,"type":"article-journal","container-title":"The International Journal of Advanced Manufacturing Technology","DOI":"10.1007/s00170-014-6150-7","ISSN":"0268-3768, 1433-3015","issue":"1-4","journalAbbreviation":"Int J Adv Manuf Technol","language":"en","page":"445-453","source":"DOI.org (Crossref)","title":"Research on rapid manufacturing of CoCrMo alloy femoral component based on selective laser melting","volume":"75","author":[{"family":"Song","given":"Changhui"},{"family":"Yang","given":"Yongqiang"},{"family":"Wang","given":"Yunda"},{"family":"Wang","given":"Di"},{"family":"Yu","given":"Jiakuo"}],"issued":{"date-parts":[["2014",10]]}}}],"schema":"https://github.com/citation-style-language/schema/raw/master/csl-citation.json"} </w:instrText>
      </w:r>
      <w:r>
        <w:fldChar w:fldCharType="separate"/>
      </w:r>
      <w:r w:rsidRPr="00826A79">
        <w:rPr>
          <w:rFonts w:cs="Calibri"/>
        </w:rPr>
        <w:t>(Song et al. 2014)</w:t>
      </w:r>
      <w:r>
        <w:fldChar w:fldCharType="end"/>
      </w:r>
      <w:r>
        <w:t xml:space="preserve">. The fatigue behavior of as-cast, SLM built, and SLM with post-built HIP treatment is discussed in ref. </w:t>
      </w:r>
      <w:r>
        <w:fldChar w:fldCharType="begin"/>
      </w:r>
      <w:r>
        <w:instrText xml:space="preserve"> ADDIN ZOTERO_ITEM CSL_CITATION {"citationID":"8rUcB8gE","properties":{"formattedCitation":"(Mostafaei, Gordon, and Rollett 2020)","plainCitation":"(Mostafaei, Gordon, and Rollett 2020)","noteIndex":0},"citationItems":[{"id":327,"uris":["http://zotero.org/users/9870952/items/N7QDEBX3"],"itemData":{"id":327,"type":"article-journal","source":"Google Scholar","title":"Additive Manufacturing of Cobalt Alloys","URL":"https://dl.asminternational.org/handbooks/edited-volume/119/chapter-abstract/2350206/Additive-Manufacturing-of-Cobalt-Alloys","author":[{"family":"Mostafaei","given":"Amir"},{"family":"Gordon","given":"Jerard V."},{"family":"Rollett","given":"Anthony D."}],"accessed":{"date-parts":[["2024",4,17]]},"issued":{"date-parts":[["2020"]]}}}],"schema":"https://github.com/citation-style-language/schema/raw/master/csl-citation.json"} </w:instrText>
      </w:r>
      <w:r>
        <w:fldChar w:fldCharType="separate"/>
      </w:r>
      <w:r w:rsidRPr="00826A79">
        <w:rPr>
          <w:rFonts w:cs="Calibri"/>
        </w:rPr>
        <w:t>(Mostafaei, Gordon, and Rollett 2020)</w:t>
      </w:r>
      <w:r>
        <w:fldChar w:fldCharType="end"/>
      </w:r>
      <w:r>
        <w:t>. It is shown that the fatigue properties of as-built SLM specimens is inferior (56 % lower at the high cycle value of 10</w:t>
      </w:r>
      <w:r w:rsidRPr="00960B89">
        <w:rPr>
          <w:vertAlign w:val="superscript"/>
        </w:rPr>
        <w:t>7</w:t>
      </w:r>
      <w:r w:rsidR="003F7C0A">
        <w:t xml:space="preserve"> cycles</w:t>
      </w:r>
      <w:r>
        <w:t>) to that of the as-cast specimens. However, the fatigue properties of SLM+HIP specimens are superior (40 % higher at the high cycle value of 10</w:t>
      </w:r>
      <w:r w:rsidRPr="00960B89">
        <w:rPr>
          <w:vertAlign w:val="superscript"/>
        </w:rPr>
        <w:t>7</w:t>
      </w:r>
      <w:r w:rsidR="003F7C0A">
        <w:t xml:space="preserve"> cycles</w:t>
      </w:r>
      <w:r>
        <w:t>) to that of the as-cast specimens. Overall, the mechanical properties (tensile strengths, ductility, fatigue life etc.) of Co-alloys processed by fusion based AM techniques are strongly dependent on AM process parameters and post-build HIP and/or heat treatments.</w:t>
      </w:r>
      <w:r w:rsidR="00860A37">
        <w:br w:type="page"/>
      </w:r>
    </w:p>
    <w:p w14:paraId="18A96E05" w14:textId="709BA55D" w:rsidR="00F7556C" w:rsidRDefault="00F7556C" w:rsidP="00F7556C">
      <w:pPr>
        <w:tabs>
          <w:tab w:val="left" w:pos="-720"/>
          <w:tab w:val="left" w:pos="0"/>
        </w:tabs>
        <w:suppressAutoHyphens/>
        <w:ind w:left="720" w:hanging="720"/>
        <w:rPr>
          <w:b/>
          <w:i/>
          <w:spacing w:val="-3"/>
          <w:sz w:val="28"/>
          <w:szCs w:val="28"/>
        </w:rPr>
      </w:pPr>
      <w:r w:rsidRPr="00C401BA">
        <w:rPr>
          <w:b/>
          <w:i/>
          <w:spacing w:val="-3"/>
          <w:sz w:val="28"/>
          <w:szCs w:val="28"/>
        </w:rPr>
        <w:lastRenderedPageBreak/>
        <w:t>References</w:t>
      </w:r>
      <w:r w:rsidR="002E5F49">
        <w:rPr>
          <w:b/>
          <w:i/>
          <w:spacing w:val="-3"/>
          <w:sz w:val="28"/>
          <w:szCs w:val="28"/>
        </w:rPr>
        <w:t xml:space="preserve"> (Chapter 1 to 9)</w:t>
      </w:r>
    </w:p>
    <w:p w14:paraId="36EE7D4D" w14:textId="77777777" w:rsidR="0059051C" w:rsidRPr="00C401BA" w:rsidRDefault="0059051C" w:rsidP="00F7556C">
      <w:pPr>
        <w:tabs>
          <w:tab w:val="left" w:pos="-720"/>
          <w:tab w:val="left" w:pos="0"/>
        </w:tabs>
        <w:suppressAutoHyphens/>
        <w:ind w:left="720" w:hanging="720"/>
        <w:rPr>
          <w:b/>
          <w:i/>
          <w:spacing w:val="-3"/>
          <w:sz w:val="28"/>
          <w:szCs w:val="28"/>
        </w:rPr>
      </w:pPr>
    </w:p>
    <w:p w14:paraId="7649B163" w14:textId="77777777" w:rsidR="00F7556C" w:rsidRDefault="00F7556C" w:rsidP="00F7556C">
      <w:pPr>
        <w:tabs>
          <w:tab w:val="left" w:pos="-720"/>
          <w:tab w:val="left" w:pos="0"/>
        </w:tabs>
        <w:suppressAutoHyphens/>
        <w:ind w:left="720" w:hanging="720"/>
        <w:rPr>
          <w:spacing w:val="-3"/>
        </w:rPr>
      </w:pPr>
    </w:p>
    <w:p w14:paraId="04270892" w14:textId="77777777" w:rsidR="00F7556C" w:rsidRPr="002A32D0" w:rsidRDefault="00F7556C" w:rsidP="00F7556C">
      <w:pPr>
        <w:tabs>
          <w:tab w:val="left" w:pos="-720"/>
          <w:tab w:val="left" w:pos="0"/>
        </w:tabs>
        <w:suppressAutoHyphens/>
        <w:ind w:left="720" w:hanging="720"/>
        <w:rPr>
          <w:spacing w:val="-3"/>
        </w:rPr>
      </w:pPr>
      <w:r w:rsidRPr="002A32D0">
        <w:rPr>
          <w:spacing w:val="-3"/>
        </w:rPr>
        <w:t xml:space="preserve">Aagesen, L.K.  Fife J.L.  Lauridsen E.M. and Voorhees P.W. (2010),The evolution of interfacial morphology during coarsening: A comparison between 4D experiments and phase-field simulations, Scripta Materialia </w:t>
      </w:r>
      <w:r w:rsidRPr="002A32D0">
        <w:rPr>
          <w:b/>
          <w:spacing w:val="-3"/>
        </w:rPr>
        <w:t>64</w:t>
      </w:r>
      <w:r w:rsidRPr="002A32D0">
        <w:rPr>
          <w:spacing w:val="-3"/>
        </w:rPr>
        <w:t xml:space="preserve"> 394-397.</w:t>
      </w:r>
    </w:p>
    <w:p w14:paraId="68808834" w14:textId="77777777" w:rsidR="00F7556C" w:rsidRPr="002A32D0" w:rsidRDefault="00F7556C" w:rsidP="00F7556C">
      <w:pPr>
        <w:tabs>
          <w:tab w:val="left" w:pos="-720"/>
          <w:tab w:val="left" w:pos="0"/>
        </w:tabs>
        <w:suppressAutoHyphens/>
        <w:ind w:left="720" w:hanging="720"/>
        <w:rPr>
          <w:spacing w:val="-3"/>
        </w:rPr>
      </w:pPr>
    </w:p>
    <w:p w14:paraId="25F61174" w14:textId="77777777" w:rsidR="00F7556C" w:rsidRPr="002A32D0" w:rsidRDefault="00F7556C" w:rsidP="00F7556C">
      <w:pPr>
        <w:tabs>
          <w:tab w:val="left" w:pos="-720"/>
          <w:tab w:val="left" w:pos="0"/>
        </w:tabs>
        <w:suppressAutoHyphens/>
        <w:ind w:left="720" w:hanging="720"/>
        <w:rPr>
          <w:spacing w:val="-3"/>
        </w:rPr>
      </w:pPr>
      <w:r w:rsidRPr="002A32D0">
        <w:rPr>
          <w:spacing w:val="-3"/>
        </w:rPr>
        <w:t xml:space="preserve">Adam, C.M. and Hogan, L.M. (1972), J. Australian Inst. of Metals </w:t>
      </w:r>
      <w:r w:rsidRPr="002A32D0">
        <w:rPr>
          <w:b/>
          <w:bCs/>
          <w:spacing w:val="-3"/>
        </w:rPr>
        <w:t>17</w:t>
      </w:r>
      <w:r w:rsidRPr="002A32D0">
        <w:rPr>
          <w:spacing w:val="-3"/>
        </w:rPr>
        <w:t>, 81.</w:t>
      </w:r>
    </w:p>
    <w:p w14:paraId="6C084B75" w14:textId="77777777" w:rsidR="00F7556C" w:rsidRPr="002A32D0" w:rsidRDefault="00F7556C" w:rsidP="00F7556C">
      <w:pPr>
        <w:tabs>
          <w:tab w:val="left" w:pos="-720"/>
          <w:tab w:val="left" w:pos="0"/>
        </w:tabs>
        <w:suppressAutoHyphens/>
        <w:ind w:left="720" w:hanging="720"/>
        <w:rPr>
          <w:spacing w:val="-3"/>
        </w:rPr>
      </w:pPr>
    </w:p>
    <w:p w14:paraId="1543A9D0"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Ahmad A.,Wheeler A. A., Boettinger W. J. and McFaddden G. B (1998). Solute trapping and solute drag in a phase field model of rapid solidification. Phys. Rev. E, 58. 3436-3450.</w:t>
      </w:r>
    </w:p>
    <w:p w14:paraId="5FD65006"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3BC8F09D" w14:textId="77777777" w:rsidR="00F7556C" w:rsidRPr="003E0F31" w:rsidRDefault="00F7556C" w:rsidP="00F7556C">
      <w:pPr>
        <w:tabs>
          <w:tab w:val="left" w:pos="-1172"/>
          <w:tab w:val="left" w:pos="-720"/>
          <w:tab w:val="left" w:pos="0"/>
          <w:tab w:val="left" w:pos="714"/>
          <w:tab w:val="left" w:pos="2160"/>
        </w:tabs>
        <w:suppressAutoHyphens/>
      </w:pPr>
      <w:r w:rsidRPr="003E0F31">
        <w:t>Akamatsu S, Perrut M, Bottin-Rousseau S, and Faivre G, 2010, Spiral Two-Phase Dendrites, Phys. Rev. Lett 104, 056101.</w:t>
      </w:r>
    </w:p>
    <w:p w14:paraId="26C3893C"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3674803D" w14:textId="77777777" w:rsidR="00F7556C" w:rsidRPr="002A32D0" w:rsidRDefault="00F7556C" w:rsidP="00F7556C">
      <w:pPr>
        <w:tabs>
          <w:tab w:val="left" w:pos="-720"/>
        </w:tabs>
        <w:suppressAutoHyphens/>
        <w:rPr>
          <w:spacing w:val="-3"/>
        </w:rPr>
      </w:pPr>
      <w:r w:rsidRPr="002A32D0">
        <w:rPr>
          <w:spacing w:val="-3"/>
        </w:rPr>
        <w:t>Allen S. M. and Cahn, J. W. 1979, Acta metall. 27, 1085.</w:t>
      </w:r>
    </w:p>
    <w:p w14:paraId="2E687BE7" w14:textId="77777777" w:rsidR="00F7556C" w:rsidRPr="002A32D0" w:rsidRDefault="00F7556C" w:rsidP="00F7556C">
      <w:pPr>
        <w:tabs>
          <w:tab w:val="left" w:pos="-720"/>
        </w:tabs>
        <w:suppressAutoHyphens/>
        <w:rPr>
          <w:spacing w:val="-3"/>
        </w:rPr>
      </w:pPr>
    </w:p>
    <w:p w14:paraId="79661B4A"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Andersson JO, Helander T, Höglund L, Shi P, Sundman B (2002),  Thermo-Calc and DICTRA,</w:t>
      </w:r>
    </w:p>
    <w:p w14:paraId="5D31E5EF"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Computational tools for materials science. Calphad 26, 273-312.</w:t>
      </w:r>
    </w:p>
    <w:p w14:paraId="5E4EEBFF"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14C07E3D" w14:textId="77777777" w:rsidR="00F7556C" w:rsidRPr="002A32D0" w:rsidRDefault="00F7556C" w:rsidP="00F7556C">
      <w:pPr>
        <w:tabs>
          <w:tab w:val="left" w:pos="-720"/>
          <w:tab w:val="left" w:pos="0"/>
        </w:tabs>
        <w:suppressAutoHyphens/>
        <w:ind w:left="720" w:hanging="720"/>
        <w:rPr>
          <w:spacing w:val="-3"/>
        </w:rPr>
      </w:pPr>
      <w:r w:rsidRPr="002A32D0">
        <w:rPr>
          <w:spacing w:val="-3"/>
        </w:rPr>
        <w:t xml:space="preserve">Andrews, J. B., A.L. Schmale, and A. C. Sandlin, 1992, J. Cryst. Growth </w:t>
      </w:r>
      <w:r w:rsidRPr="002A32D0">
        <w:rPr>
          <w:b/>
          <w:bCs/>
          <w:spacing w:val="-3"/>
        </w:rPr>
        <w:t>119</w:t>
      </w:r>
      <w:r w:rsidRPr="002A32D0">
        <w:rPr>
          <w:spacing w:val="-3"/>
        </w:rPr>
        <w:t>, 152.</w:t>
      </w:r>
    </w:p>
    <w:p w14:paraId="37B7B384" w14:textId="77777777" w:rsidR="00F7556C" w:rsidRPr="002A32D0" w:rsidRDefault="00F7556C" w:rsidP="00F7556C">
      <w:pPr>
        <w:tabs>
          <w:tab w:val="left" w:pos="-720"/>
          <w:tab w:val="left" w:pos="0"/>
        </w:tabs>
        <w:suppressAutoHyphens/>
        <w:ind w:left="720" w:hanging="720"/>
        <w:rPr>
          <w:spacing w:val="-3"/>
        </w:rPr>
      </w:pPr>
    </w:p>
    <w:p w14:paraId="1D6EA220"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Ansara I, Dupin N, Joubert JM, Latroche M, Percheron-Guégan A, J. (1998) Phase Equilibria 19, 6-10; errata 19, 98-98.</w:t>
      </w:r>
    </w:p>
    <w:p w14:paraId="384E70EE"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344F22FE" w14:textId="77777777" w:rsidR="00F7556C" w:rsidRPr="002A32D0" w:rsidRDefault="00F7556C" w:rsidP="00F7556C">
      <w:pPr>
        <w:tabs>
          <w:tab w:val="left" w:pos="-720"/>
          <w:tab w:val="left" w:pos="0"/>
        </w:tabs>
        <w:suppressAutoHyphens/>
        <w:ind w:left="720" w:hanging="720"/>
        <w:rPr>
          <w:spacing w:val="-3"/>
        </w:rPr>
      </w:pPr>
      <w:r w:rsidRPr="002A32D0">
        <w:rPr>
          <w:spacing w:val="-3"/>
        </w:rPr>
        <w:t>Apelian, D., 1982, in: Aluminum Transformation Technology and Applications 1981, eds.C.A.Pampillo, H.Biloni, L.Mondolfo and F.Sacchi (ASM , Metals Park, OH) p.423.</w:t>
      </w:r>
    </w:p>
    <w:p w14:paraId="5AFE3D84" w14:textId="77777777" w:rsidR="00F7556C" w:rsidRPr="002A32D0" w:rsidRDefault="00F7556C" w:rsidP="00F7556C">
      <w:pPr>
        <w:tabs>
          <w:tab w:val="left" w:pos="-720"/>
          <w:tab w:val="left" w:pos="0"/>
        </w:tabs>
        <w:suppressAutoHyphens/>
        <w:ind w:left="720" w:hanging="720"/>
        <w:rPr>
          <w:spacing w:val="-3"/>
        </w:rPr>
      </w:pPr>
    </w:p>
    <w:p w14:paraId="668AE996" w14:textId="77777777" w:rsidR="00F7556C" w:rsidRPr="002A32D0" w:rsidRDefault="00F7556C" w:rsidP="00F7556C">
      <w:pPr>
        <w:tabs>
          <w:tab w:val="left" w:pos="-720"/>
        </w:tabs>
        <w:suppressAutoHyphens/>
        <w:rPr>
          <w:spacing w:val="-3"/>
        </w:rPr>
      </w:pPr>
      <w:r w:rsidRPr="002A32D0">
        <w:rPr>
          <w:spacing w:val="-3"/>
        </w:rPr>
        <w:t>Aptekar, J.L. and D.S.Kamenetskaya, 1962, Fiz Metal, Metalloved,</w:t>
      </w:r>
      <w:r w:rsidRPr="002A32D0">
        <w:rPr>
          <w:b/>
          <w:bCs/>
          <w:spacing w:val="-3"/>
        </w:rPr>
        <w:t xml:space="preserve"> 14</w:t>
      </w:r>
      <w:r w:rsidRPr="002A32D0">
        <w:rPr>
          <w:spacing w:val="-3"/>
        </w:rPr>
        <w:t>,  123.</w:t>
      </w:r>
    </w:p>
    <w:p w14:paraId="7A300A43" w14:textId="77777777" w:rsidR="00F7556C" w:rsidRPr="002A32D0" w:rsidRDefault="00F7556C" w:rsidP="00F7556C">
      <w:pPr>
        <w:tabs>
          <w:tab w:val="left" w:pos="-720"/>
        </w:tabs>
        <w:suppressAutoHyphens/>
        <w:rPr>
          <w:spacing w:val="-3"/>
        </w:rPr>
      </w:pPr>
    </w:p>
    <w:p w14:paraId="2006A653" w14:textId="77777777" w:rsidR="00175701" w:rsidRPr="002A32D0" w:rsidRDefault="00175701" w:rsidP="00175701">
      <w:pPr>
        <w:tabs>
          <w:tab w:val="left" w:pos="-720"/>
        </w:tabs>
        <w:suppressAutoHyphens/>
        <w:rPr>
          <w:spacing w:val="-3"/>
        </w:rPr>
      </w:pPr>
      <w:r w:rsidRPr="002A32D0">
        <w:rPr>
          <w:spacing w:val="-3"/>
        </w:rPr>
        <w:t>ASHOLT P., 1999, Proc. Int. Conf. Bremen, Germany, June 14–16, J. Banhart, M.F. Ashby, N. Fleck (Eds.), MIT Press-Verlag, p. 133.</w:t>
      </w:r>
    </w:p>
    <w:p w14:paraId="3A278CE7" w14:textId="77777777" w:rsidR="00175701" w:rsidRPr="002A32D0" w:rsidRDefault="00175701" w:rsidP="00F7556C">
      <w:pPr>
        <w:tabs>
          <w:tab w:val="left" w:pos="-720"/>
        </w:tabs>
        <w:suppressAutoHyphens/>
        <w:rPr>
          <w:spacing w:val="-3"/>
        </w:rPr>
      </w:pPr>
    </w:p>
    <w:p w14:paraId="1A555017"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Assadi H., Barth M., Greer A. L. and Herlach D.M. (1998). Acta Materialia   46, 491-500.</w:t>
      </w:r>
    </w:p>
    <w:p w14:paraId="55EE317C"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2DED458E"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Asta M., Beckermann C., Karma A., Kurz W., Napolitano R., Plapp M., Purdy G., Rappaz M. and Trived, R. (2009). Solidification microstructures and solid-state parallels: Recent developments, future directions, Acta Materialia 57, 941–971.</w:t>
      </w:r>
    </w:p>
    <w:p w14:paraId="02921475"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39278500"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Asta M, Ozolins, V and Woodward  C, (2001), A First-Principles Approach to Modeling Alloy Phase Equilibria, Jour. of Metals 16-21.</w:t>
      </w:r>
    </w:p>
    <w:p w14:paraId="3C262932"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1F0725A1"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Atwood, R.C. and Lee, P.D., 2003, Acta Mater., 51, 5447-5466.</w:t>
      </w:r>
    </w:p>
    <w:p w14:paraId="703B4962"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2D7B21C6" w14:textId="77777777" w:rsidR="00F7556C" w:rsidRPr="002A32D0" w:rsidRDefault="00F7556C" w:rsidP="00F7556C">
      <w:pPr>
        <w:tabs>
          <w:tab w:val="left" w:pos="-720"/>
        </w:tabs>
        <w:suppressAutoHyphens/>
        <w:rPr>
          <w:spacing w:val="-3"/>
        </w:rPr>
      </w:pPr>
      <w:r w:rsidRPr="002A32D0">
        <w:rPr>
          <w:spacing w:val="-3"/>
        </w:rPr>
        <w:lastRenderedPageBreak/>
        <w:t xml:space="preserve">Audero, M.A. and H.Biloni, 1973, J.Cryst. Growth </w:t>
      </w:r>
      <w:r w:rsidRPr="002A32D0">
        <w:rPr>
          <w:b/>
          <w:bCs/>
          <w:spacing w:val="-3"/>
        </w:rPr>
        <w:t>18</w:t>
      </w:r>
      <w:r w:rsidRPr="002A32D0">
        <w:rPr>
          <w:spacing w:val="-3"/>
        </w:rPr>
        <w:t>, 257.</w:t>
      </w:r>
    </w:p>
    <w:p w14:paraId="67CB756E" w14:textId="77777777" w:rsidR="00F7556C" w:rsidRPr="002A32D0" w:rsidRDefault="00F7556C" w:rsidP="00F7556C">
      <w:pPr>
        <w:tabs>
          <w:tab w:val="left" w:pos="-720"/>
        </w:tabs>
        <w:suppressAutoHyphens/>
        <w:rPr>
          <w:spacing w:val="-3"/>
        </w:rPr>
      </w:pPr>
    </w:p>
    <w:p w14:paraId="0364E843"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lang w:val="fr-FR"/>
        </w:rPr>
        <w:t xml:space="preserve">Aziz M. J. (1982). J. Appl. </w:t>
      </w:r>
      <w:r w:rsidRPr="002A32D0">
        <w:rPr>
          <w:spacing w:val="-3"/>
        </w:rPr>
        <w:t>Phys. 53, 1158-?.</w:t>
      </w:r>
    </w:p>
    <w:p w14:paraId="512F0A03"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149FED5C" w14:textId="77777777" w:rsidR="00F7556C" w:rsidRPr="002A32D0" w:rsidRDefault="00F7556C" w:rsidP="00F7556C">
      <w:pPr>
        <w:tabs>
          <w:tab w:val="left" w:pos="-720"/>
        </w:tabs>
        <w:suppressAutoHyphens/>
        <w:rPr>
          <w:spacing w:val="-3"/>
        </w:rPr>
      </w:pPr>
      <w:r w:rsidRPr="002A32D0">
        <w:rPr>
          <w:spacing w:val="-3"/>
        </w:rPr>
        <w:t xml:space="preserve">Aziz, M. J. and T. Kaplan, 1988, Acta Metall. Mater. </w:t>
      </w:r>
      <w:r w:rsidRPr="002A32D0">
        <w:rPr>
          <w:b/>
          <w:bCs/>
          <w:spacing w:val="-3"/>
        </w:rPr>
        <w:t>36</w:t>
      </w:r>
      <w:r w:rsidRPr="002A32D0">
        <w:rPr>
          <w:spacing w:val="-3"/>
        </w:rPr>
        <w:t>, 2335.</w:t>
      </w:r>
    </w:p>
    <w:p w14:paraId="566194D9" w14:textId="77777777" w:rsidR="00F7556C" w:rsidRPr="002A32D0" w:rsidRDefault="00F7556C" w:rsidP="00F7556C">
      <w:pPr>
        <w:tabs>
          <w:tab w:val="left" w:pos="-720"/>
        </w:tabs>
        <w:suppressAutoHyphens/>
        <w:rPr>
          <w:spacing w:val="-3"/>
        </w:rPr>
      </w:pPr>
    </w:p>
    <w:p w14:paraId="78982C09"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Aziz M. J. and Boettinger W. J. (1994). Acta Metall. Mater., 42, 527-?.</w:t>
      </w:r>
    </w:p>
    <w:p w14:paraId="00DE41FF"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69967654"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Aziz M. J. (1996). Metall. Mater. Trans A 27, 671-?.</w:t>
      </w:r>
    </w:p>
    <w:p w14:paraId="4C46522D"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40CB6F99" w14:textId="77777777" w:rsidR="00F7556C" w:rsidRPr="002A32D0" w:rsidRDefault="00F7556C" w:rsidP="00F7556C">
      <w:pPr>
        <w:tabs>
          <w:tab w:val="left" w:pos="-720"/>
          <w:tab w:val="left" w:pos="0"/>
        </w:tabs>
        <w:suppressAutoHyphens/>
        <w:ind w:left="720" w:hanging="720"/>
        <w:rPr>
          <w:spacing w:val="-3"/>
        </w:rPr>
      </w:pPr>
      <w:r w:rsidRPr="002A32D0">
        <w:rPr>
          <w:spacing w:val="-3"/>
        </w:rPr>
        <w:t>Baker, J. C. and  J. W. Cahn, 1971, in: Solidification (ASM, Metals Park, OH), p. 23.</w:t>
      </w:r>
    </w:p>
    <w:p w14:paraId="578525F5" w14:textId="77777777" w:rsidR="00F7556C" w:rsidRPr="002A32D0" w:rsidRDefault="00F7556C" w:rsidP="00F7556C">
      <w:pPr>
        <w:tabs>
          <w:tab w:val="left" w:pos="-720"/>
          <w:tab w:val="left" w:pos="0"/>
        </w:tabs>
        <w:suppressAutoHyphens/>
        <w:ind w:left="720" w:hanging="720"/>
        <w:rPr>
          <w:spacing w:val="-3"/>
        </w:rPr>
      </w:pPr>
    </w:p>
    <w:p w14:paraId="2A0E1EFE" w14:textId="77777777" w:rsidR="00F7556C" w:rsidRPr="002A32D0" w:rsidRDefault="00F7556C" w:rsidP="00F7556C">
      <w:pPr>
        <w:tabs>
          <w:tab w:val="left" w:pos="-720"/>
          <w:tab w:val="left" w:pos="0"/>
        </w:tabs>
        <w:suppressAutoHyphens/>
        <w:ind w:left="720" w:hanging="720"/>
        <w:rPr>
          <w:spacing w:val="-3"/>
        </w:rPr>
      </w:pPr>
      <w:r w:rsidRPr="002A32D0">
        <w:rPr>
          <w:spacing w:val="-3"/>
        </w:rPr>
        <w:t>Baker, J. C., 1970, Interfacial Partitioning During Solidification, Ph.D. Thesis, Massachusetts Institute of Technology, Chapter V, (see also CAHN et al. [1980]).</w:t>
      </w:r>
    </w:p>
    <w:p w14:paraId="5B575EEF" w14:textId="77777777" w:rsidR="00F7556C" w:rsidRPr="002A32D0" w:rsidRDefault="00F7556C" w:rsidP="00711A4E">
      <w:pPr>
        <w:tabs>
          <w:tab w:val="left" w:pos="-720"/>
          <w:tab w:val="left" w:pos="0"/>
        </w:tabs>
        <w:suppressAutoHyphens/>
        <w:rPr>
          <w:spacing w:val="-3"/>
        </w:rPr>
      </w:pPr>
    </w:p>
    <w:p w14:paraId="41E1E3D8"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Banerjee, D.K. and Stefanescu, D.M., 1991, “Structural Transitions and Solidification Kinetics of SG Cast Iron during Directional Solidification Experiments”, AFS Transactions, 104, pp. 747-759.</w:t>
      </w:r>
    </w:p>
    <w:p w14:paraId="11EEBA53"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0E6EC85D" w14:textId="5E8A22C8" w:rsidR="00711A4E" w:rsidRPr="002A32D0" w:rsidRDefault="00711A4E" w:rsidP="00F7556C">
      <w:pPr>
        <w:tabs>
          <w:tab w:val="left" w:pos="-1172"/>
          <w:tab w:val="left" w:pos="-720"/>
          <w:tab w:val="left" w:pos="0"/>
          <w:tab w:val="left" w:pos="714"/>
          <w:tab w:val="left" w:pos="2160"/>
        </w:tabs>
        <w:suppressAutoHyphens/>
        <w:rPr>
          <w:spacing w:val="-3"/>
        </w:rPr>
      </w:pPr>
      <w:r w:rsidRPr="002A32D0">
        <w:rPr>
          <w:spacing w:val="-3"/>
        </w:rPr>
        <w:t>Bandyopadhyay (Banerjee),</w:t>
      </w:r>
      <w:r w:rsidR="002A32D0">
        <w:rPr>
          <w:spacing w:val="-3"/>
        </w:rPr>
        <w:t xml:space="preserve"> D.K.,</w:t>
      </w:r>
      <w:r w:rsidRPr="002A32D0">
        <w:rPr>
          <w:spacing w:val="-3"/>
        </w:rPr>
        <w:t xml:space="preserve"> Stefanescu,</w:t>
      </w:r>
      <w:r w:rsidR="002A32D0">
        <w:rPr>
          <w:spacing w:val="-3"/>
        </w:rPr>
        <w:t xml:space="preserve"> </w:t>
      </w:r>
      <w:r w:rsidR="002A32D0" w:rsidRPr="002A32D0">
        <w:rPr>
          <w:spacing w:val="-3"/>
        </w:rPr>
        <w:t>D.M.</w:t>
      </w:r>
      <w:r w:rsidR="002A32D0">
        <w:rPr>
          <w:spacing w:val="-3"/>
        </w:rPr>
        <w:t xml:space="preserve">, </w:t>
      </w:r>
      <w:r w:rsidRPr="002A32D0">
        <w:rPr>
          <w:spacing w:val="-3"/>
        </w:rPr>
        <w:t xml:space="preserve">Minkoff, </w:t>
      </w:r>
      <w:r w:rsidR="002A32D0">
        <w:rPr>
          <w:spacing w:val="-3"/>
        </w:rPr>
        <w:t>I, and</w:t>
      </w:r>
      <w:r w:rsidRPr="002A32D0">
        <w:rPr>
          <w:spacing w:val="-3"/>
        </w:rPr>
        <w:t xml:space="preserve"> Biswal, </w:t>
      </w:r>
      <w:r w:rsidR="002A32D0">
        <w:rPr>
          <w:spacing w:val="-3"/>
        </w:rPr>
        <w:t xml:space="preserve">S.K, </w:t>
      </w:r>
      <w:r w:rsidRPr="002A32D0">
        <w:rPr>
          <w:spacing w:val="-3"/>
        </w:rPr>
        <w:t>1990, “Structural Transitions in Directionally Solidified Spheroidal Graphite Cast Iron”, Proceedings of Fourth International Symposium on the Physical Metallurgy of Cast Iron, Materials Research Society, pp. 27-34.</w:t>
      </w:r>
    </w:p>
    <w:p w14:paraId="0F87ADAB"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631E3B95" w14:textId="29DE2722" w:rsidR="00F7556C" w:rsidRPr="002A32D0" w:rsidRDefault="00F7556C" w:rsidP="00F7556C">
      <w:pPr>
        <w:tabs>
          <w:tab w:val="left" w:pos="-720"/>
          <w:tab w:val="left" w:pos="0"/>
        </w:tabs>
        <w:suppressAutoHyphens/>
        <w:ind w:left="720" w:hanging="720"/>
        <w:rPr>
          <w:spacing w:val="-3"/>
        </w:rPr>
      </w:pPr>
      <w:r w:rsidRPr="002A32D0">
        <w:rPr>
          <w:spacing w:val="-3"/>
          <w:lang w:val="sv-SE"/>
        </w:rPr>
        <w:t xml:space="preserve">Baskaran, V. and W. R. Wilcox, 1984, J. Cryst. </w:t>
      </w:r>
      <w:r w:rsidRPr="002A32D0">
        <w:rPr>
          <w:spacing w:val="-3"/>
        </w:rPr>
        <w:t>Growth</w:t>
      </w:r>
      <w:r w:rsidRPr="002A32D0">
        <w:rPr>
          <w:b/>
          <w:bCs/>
          <w:spacing w:val="-3"/>
        </w:rPr>
        <w:t xml:space="preserve"> 67</w:t>
      </w:r>
      <w:r w:rsidRPr="002A32D0">
        <w:rPr>
          <w:spacing w:val="-3"/>
        </w:rPr>
        <w:t>, 343.</w:t>
      </w:r>
    </w:p>
    <w:p w14:paraId="19E0A164" w14:textId="77777777" w:rsidR="00F7556C" w:rsidRPr="002A32D0" w:rsidRDefault="00F7556C" w:rsidP="00F7556C">
      <w:pPr>
        <w:tabs>
          <w:tab w:val="left" w:pos="-720"/>
          <w:tab w:val="left" w:pos="0"/>
        </w:tabs>
        <w:suppressAutoHyphens/>
        <w:ind w:left="720" w:hanging="720"/>
        <w:rPr>
          <w:spacing w:val="-3"/>
        </w:rPr>
      </w:pPr>
    </w:p>
    <w:p w14:paraId="599C4022"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 xml:space="preserve">Battle, T.P., 1992, Int. Mat. Rev. </w:t>
      </w:r>
      <w:r w:rsidRPr="002A32D0">
        <w:rPr>
          <w:bCs/>
          <w:spacing w:val="-3"/>
          <w:u w:val="single"/>
        </w:rPr>
        <w:t>37</w:t>
      </w:r>
      <w:r w:rsidRPr="002A32D0">
        <w:rPr>
          <w:spacing w:val="-3"/>
        </w:rPr>
        <w:t>, 249.</w:t>
      </w:r>
    </w:p>
    <w:p w14:paraId="5A554B24"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15308869"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Beckermann C., Diepers H.-J., Steinbach I., Karma A. and Tong X. (1999), Modeling melt convection in phase-field simulations of solidification,  J. Comp Phy 154, 468-496.</w:t>
      </w:r>
    </w:p>
    <w:p w14:paraId="01EDDFF1"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1DB4D215"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Beckermann C., Gu J. P., and Boettinger W. J. (2000). Development of a freckle predictor via Rayleigh number method for single-crystal nickel-base superalloy castings. Metall. and Mater. Trans. 31A, 2545-2557.</w:t>
      </w:r>
    </w:p>
    <w:p w14:paraId="3CEC2595"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4A6A8737" w14:textId="77777777" w:rsidR="00F7556C" w:rsidRPr="002A32D0" w:rsidRDefault="00F7556C" w:rsidP="00F7556C">
      <w:pPr>
        <w:tabs>
          <w:tab w:val="left" w:pos="-720"/>
        </w:tabs>
        <w:suppressAutoHyphens/>
        <w:rPr>
          <w:spacing w:val="-3"/>
        </w:rPr>
      </w:pPr>
      <w:r w:rsidRPr="002A32D0">
        <w:rPr>
          <w:spacing w:val="-3"/>
        </w:rPr>
        <w:t>Beckermann C (2002), Modelling of macrosegregation: applications and future needs, Int. Matl. Rev.</w:t>
      </w:r>
      <w:r w:rsidRPr="002A32D0">
        <w:rPr>
          <w:b/>
          <w:spacing w:val="-3"/>
        </w:rPr>
        <w:t xml:space="preserve"> 47</w:t>
      </w:r>
      <w:r w:rsidRPr="002A32D0">
        <w:rPr>
          <w:spacing w:val="-3"/>
        </w:rPr>
        <w:t xml:space="preserve">  243-261.</w:t>
      </w:r>
    </w:p>
    <w:p w14:paraId="73D22AC2" w14:textId="77777777" w:rsidR="00F7556C" w:rsidRPr="002A32D0" w:rsidRDefault="00F7556C" w:rsidP="00F7556C">
      <w:pPr>
        <w:tabs>
          <w:tab w:val="left" w:pos="-720"/>
        </w:tabs>
        <w:suppressAutoHyphens/>
        <w:rPr>
          <w:spacing w:val="-3"/>
        </w:rPr>
      </w:pPr>
    </w:p>
    <w:p w14:paraId="60BF5640"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 xml:space="preserve">Beech, J., Barkhudarov, M., Chang, K., Chin, S.B. (1998) in: Modeling of Casting, Welding, and Advanced Solidification Processes VIII, eds. B.G. Thomas and C. Beckermann (The Minerals, Metals, and Materials Soc., Warrendale, PA), p. 1071. </w:t>
      </w:r>
    </w:p>
    <w:p w14:paraId="275CC62B"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2D2B2F32" w14:textId="77777777" w:rsidR="00F7556C" w:rsidRPr="002A32D0" w:rsidRDefault="00F7556C" w:rsidP="00F7556C">
      <w:pPr>
        <w:tabs>
          <w:tab w:val="left" w:pos="-720"/>
          <w:tab w:val="left" w:pos="0"/>
        </w:tabs>
        <w:suppressAutoHyphens/>
        <w:ind w:left="720" w:hanging="720"/>
        <w:rPr>
          <w:spacing w:val="-3"/>
        </w:rPr>
      </w:pPr>
      <w:r w:rsidRPr="002A32D0">
        <w:rPr>
          <w:spacing w:val="-3"/>
        </w:rPr>
        <w:t>Bendersky LA and Boettinger WJ, 1985, Cellular Microsegregation in Rapidly Solidified Ag-15 wt% Cu Alloys,", in Rapidly Quenched Metals, S. Steeb and H. Warlimont, eds, Elsevier Science  Publishers, B.V., 887-890.</w:t>
      </w:r>
    </w:p>
    <w:p w14:paraId="6CBE6741" w14:textId="77777777" w:rsidR="00F7556C" w:rsidRPr="002A32D0" w:rsidRDefault="00F7556C" w:rsidP="00F7556C">
      <w:pPr>
        <w:tabs>
          <w:tab w:val="left" w:pos="-720"/>
          <w:tab w:val="left" w:pos="0"/>
        </w:tabs>
        <w:suppressAutoHyphens/>
        <w:ind w:left="720" w:hanging="720"/>
        <w:rPr>
          <w:spacing w:val="-3"/>
        </w:rPr>
      </w:pPr>
    </w:p>
    <w:p w14:paraId="5F8C1D80" w14:textId="77777777" w:rsidR="00F7556C" w:rsidRPr="002A32D0" w:rsidRDefault="00F7556C" w:rsidP="00F7556C">
      <w:pPr>
        <w:tabs>
          <w:tab w:val="left" w:pos="-720"/>
          <w:tab w:val="left" w:pos="0"/>
        </w:tabs>
        <w:suppressAutoHyphens/>
        <w:ind w:left="720" w:hanging="720"/>
        <w:rPr>
          <w:spacing w:val="-3"/>
        </w:rPr>
      </w:pPr>
      <w:r w:rsidRPr="002A32D0">
        <w:rPr>
          <w:spacing w:val="-3"/>
        </w:rPr>
        <w:lastRenderedPageBreak/>
        <w:t xml:space="preserve">Bennon, W.D. and Incropera, F.P, 1987a), Int.J.Heat Mass Transfer, </w:t>
      </w:r>
      <w:r w:rsidRPr="002A32D0">
        <w:rPr>
          <w:b/>
          <w:bCs/>
          <w:spacing w:val="-3"/>
        </w:rPr>
        <w:t>30</w:t>
      </w:r>
      <w:r w:rsidRPr="002A32D0">
        <w:rPr>
          <w:spacing w:val="-3"/>
        </w:rPr>
        <w:t>,    2161-2170.</w:t>
      </w:r>
    </w:p>
    <w:p w14:paraId="1D549F21" w14:textId="77777777" w:rsidR="00F7556C" w:rsidRPr="002A32D0" w:rsidRDefault="00F7556C" w:rsidP="00F7556C">
      <w:pPr>
        <w:tabs>
          <w:tab w:val="left" w:pos="-720"/>
          <w:tab w:val="left" w:pos="0"/>
        </w:tabs>
        <w:suppressAutoHyphens/>
        <w:ind w:left="720" w:hanging="720"/>
        <w:rPr>
          <w:spacing w:val="-3"/>
        </w:rPr>
      </w:pPr>
    </w:p>
    <w:p w14:paraId="5269707B" w14:textId="77777777" w:rsidR="00F7556C" w:rsidRPr="002A32D0" w:rsidRDefault="00F7556C" w:rsidP="00F7556C">
      <w:pPr>
        <w:tabs>
          <w:tab w:val="left" w:pos="-720"/>
          <w:tab w:val="left" w:pos="0"/>
        </w:tabs>
        <w:suppressAutoHyphens/>
        <w:ind w:left="720" w:hanging="720"/>
        <w:rPr>
          <w:spacing w:val="-3"/>
        </w:rPr>
      </w:pPr>
      <w:r w:rsidRPr="002A32D0">
        <w:rPr>
          <w:spacing w:val="-3"/>
        </w:rPr>
        <w:t xml:space="preserve">Bennon, W.D. and Incropera, F.P., 1987b), Int.J.Heat Mass Transfer, </w:t>
      </w:r>
      <w:r w:rsidRPr="002A32D0">
        <w:rPr>
          <w:b/>
          <w:bCs/>
          <w:spacing w:val="-3"/>
        </w:rPr>
        <w:t>30</w:t>
      </w:r>
      <w:r w:rsidRPr="002A32D0">
        <w:rPr>
          <w:spacing w:val="-3"/>
        </w:rPr>
        <w:t>,    2171-2187.</w:t>
      </w:r>
    </w:p>
    <w:p w14:paraId="320D0111" w14:textId="77777777" w:rsidR="00F7556C" w:rsidRPr="002A32D0" w:rsidRDefault="00F7556C" w:rsidP="00F7556C">
      <w:pPr>
        <w:tabs>
          <w:tab w:val="left" w:pos="-720"/>
          <w:tab w:val="left" w:pos="0"/>
        </w:tabs>
        <w:suppressAutoHyphens/>
        <w:ind w:left="720" w:hanging="720"/>
        <w:rPr>
          <w:spacing w:val="-3"/>
        </w:rPr>
      </w:pPr>
    </w:p>
    <w:p w14:paraId="37EEAF9C" w14:textId="77777777" w:rsidR="00F7556C" w:rsidRPr="002A32D0" w:rsidRDefault="00F7556C" w:rsidP="00F7556C">
      <w:pPr>
        <w:tabs>
          <w:tab w:val="left" w:pos="-720"/>
          <w:tab w:val="left" w:pos="0"/>
        </w:tabs>
        <w:suppressAutoHyphens/>
        <w:ind w:left="720" w:hanging="720"/>
        <w:rPr>
          <w:spacing w:val="-3"/>
        </w:rPr>
      </w:pPr>
      <w:r w:rsidRPr="002A32D0">
        <w:rPr>
          <w:spacing w:val="-3"/>
        </w:rPr>
        <w:t xml:space="preserve">Berry, J.T. and R.D. Pehlke, 1988, in: Metals Handbook, ninth ed., </w:t>
      </w:r>
      <w:r w:rsidRPr="002A32D0">
        <w:rPr>
          <w:b/>
          <w:bCs/>
          <w:spacing w:val="-3"/>
        </w:rPr>
        <w:t>15</w:t>
      </w:r>
      <w:r w:rsidRPr="002A32D0">
        <w:rPr>
          <w:spacing w:val="-3"/>
        </w:rPr>
        <w:t>: Casting, 850 (ASM, Metals Park, OH).</w:t>
      </w:r>
    </w:p>
    <w:p w14:paraId="5AD3C39E" w14:textId="77777777" w:rsidR="00F7556C" w:rsidRPr="002A32D0" w:rsidRDefault="00F7556C" w:rsidP="00F7556C">
      <w:pPr>
        <w:tabs>
          <w:tab w:val="left" w:pos="-720"/>
          <w:tab w:val="left" w:pos="0"/>
        </w:tabs>
        <w:suppressAutoHyphens/>
        <w:ind w:left="720" w:hanging="720"/>
        <w:rPr>
          <w:spacing w:val="-3"/>
        </w:rPr>
      </w:pPr>
    </w:p>
    <w:p w14:paraId="09047D56" w14:textId="77777777" w:rsidR="00F7556C" w:rsidRPr="002A32D0" w:rsidRDefault="00F7556C" w:rsidP="00F7556C">
      <w:pPr>
        <w:tabs>
          <w:tab w:val="left" w:pos="-720"/>
          <w:tab w:val="left" w:pos="0"/>
        </w:tabs>
        <w:suppressAutoHyphens/>
        <w:ind w:left="720" w:hanging="720"/>
        <w:rPr>
          <w:spacing w:val="-3"/>
        </w:rPr>
      </w:pPr>
      <w:r w:rsidRPr="002A32D0">
        <w:rPr>
          <w:spacing w:val="-3"/>
        </w:rPr>
        <w:t xml:space="preserve">Bertorello, H. R., and H. Biloni, 1969, Trans. Met. Soc. AIME </w:t>
      </w:r>
      <w:r w:rsidRPr="002A32D0">
        <w:rPr>
          <w:b/>
          <w:bCs/>
          <w:spacing w:val="-3"/>
        </w:rPr>
        <w:t>245,</w:t>
      </w:r>
      <w:r w:rsidRPr="002A32D0">
        <w:rPr>
          <w:spacing w:val="-3"/>
        </w:rPr>
        <w:t xml:space="preserve"> 1375.</w:t>
      </w:r>
    </w:p>
    <w:p w14:paraId="4DDFBEF0" w14:textId="77777777" w:rsidR="00F7556C" w:rsidRPr="002A32D0" w:rsidRDefault="00F7556C" w:rsidP="00F7556C">
      <w:pPr>
        <w:tabs>
          <w:tab w:val="left" w:pos="-720"/>
          <w:tab w:val="left" w:pos="0"/>
        </w:tabs>
        <w:suppressAutoHyphens/>
        <w:ind w:left="720" w:hanging="720"/>
        <w:rPr>
          <w:spacing w:val="-3"/>
        </w:rPr>
      </w:pPr>
    </w:p>
    <w:p w14:paraId="1BACEBA2"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Bi Z. and Sekerka R. F. (1998). Physica A261, 95-?.</w:t>
      </w:r>
    </w:p>
    <w:p w14:paraId="53D875A6"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32264C4E" w14:textId="77777777" w:rsidR="00F7556C" w:rsidRPr="002A32D0" w:rsidRDefault="00F7556C" w:rsidP="00F7556C">
      <w:pPr>
        <w:tabs>
          <w:tab w:val="left" w:pos="-720"/>
          <w:tab w:val="left" w:pos="0"/>
        </w:tabs>
        <w:suppressAutoHyphens/>
        <w:ind w:left="720" w:hanging="720"/>
        <w:rPr>
          <w:spacing w:val="-3"/>
        </w:rPr>
      </w:pPr>
      <w:r w:rsidRPr="002A32D0">
        <w:rPr>
          <w:spacing w:val="-3"/>
        </w:rPr>
        <w:t>Billia, B., and R. Trivedi, 1993, in: Handbook of Crystal Growth 1B: Fundamentals, Transport and Stability, D.T.J. Hurle, ed., (North-Holland, Amsterdam) p. 899.</w:t>
      </w:r>
    </w:p>
    <w:p w14:paraId="024A0E80" w14:textId="77777777" w:rsidR="00F7556C" w:rsidRPr="002A32D0" w:rsidRDefault="00F7556C" w:rsidP="00F7556C">
      <w:pPr>
        <w:tabs>
          <w:tab w:val="left" w:pos="-720"/>
          <w:tab w:val="left" w:pos="0"/>
        </w:tabs>
        <w:suppressAutoHyphens/>
        <w:ind w:left="720" w:hanging="720"/>
        <w:rPr>
          <w:spacing w:val="-3"/>
        </w:rPr>
      </w:pPr>
    </w:p>
    <w:p w14:paraId="6E1B06E2" w14:textId="77777777" w:rsidR="00F7556C" w:rsidRPr="002A32D0" w:rsidRDefault="00F7556C" w:rsidP="00F7556C">
      <w:pPr>
        <w:tabs>
          <w:tab w:val="left" w:pos="-720"/>
        </w:tabs>
        <w:suppressAutoHyphens/>
        <w:rPr>
          <w:spacing w:val="-3"/>
        </w:rPr>
      </w:pPr>
      <w:r w:rsidRPr="002A32D0">
        <w:rPr>
          <w:spacing w:val="-3"/>
        </w:rPr>
        <w:t xml:space="preserve">Biloni, H. and B.Chalmers, 1965, Trans.Met.Soc. AIME, </w:t>
      </w:r>
      <w:r w:rsidRPr="002A32D0">
        <w:rPr>
          <w:b/>
          <w:bCs/>
          <w:spacing w:val="-3"/>
        </w:rPr>
        <w:t>233</w:t>
      </w:r>
      <w:r w:rsidRPr="002A32D0">
        <w:rPr>
          <w:spacing w:val="-3"/>
        </w:rPr>
        <w:t>, 373.</w:t>
      </w:r>
    </w:p>
    <w:p w14:paraId="1DE409C3" w14:textId="77777777" w:rsidR="00F7556C" w:rsidRPr="002A32D0" w:rsidRDefault="00F7556C" w:rsidP="00F7556C">
      <w:pPr>
        <w:tabs>
          <w:tab w:val="left" w:pos="-720"/>
        </w:tabs>
        <w:suppressAutoHyphens/>
        <w:rPr>
          <w:spacing w:val="-3"/>
        </w:rPr>
      </w:pPr>
    </w:p>
    <w:p w14:paraId="50573968" w14:textId="77777777" w:rsidR="00F7556C" w:rsidRPr="002A32D0" w:rsidRDefault="00F7556C" w:rsidP="00F7556C">
      <w:pPr>
        <w:tabs>
          <w:tab w:val="left" w:pos="-720"/>
          <w:tab w:val="left" w:pos="0"/>
        </w:tabs>
        <w:suppressAutoHyphens/>
        <w:ind w:left="720" w:hanging="720"/>
        <w:rPr>
          <w:spacing w:val="-3"/>
        </w:rPr>
      </w:pPr>
      <w:r w:rsidRPr="002A32D0">
        <w:rPr>
          <w:spacing w:val="-3"/>
        </w:rPr>
        <w:t xml:space="preserve">Biloni, H., G.F.Bolling and H.A.Domian, 1965a, Trans. Met.Soc.  AIME </w:t>
      </w:r>
      <w:r w:rsidRPr="002A32D0">
        <w:rPr>
          <w:b/>
          <w:bCs/>
          <w:spacing w:val="-3"/>
        </w:rPr>
        <w:t>233</w:t>
      </w:r>
      <w:r w:rsidRPr="002A32D0">
        <w:rPr>
          <w:spacing w:val="-3"/>
        </w:rPr>
        <w:t>, 1926.</w:t>
      </w:r>
    </w:p>
    <w:p w14:paraId="3D423422" w14:textId="77777777" w:rsidR="00F7556C" w:rsidRPr="002A32D0" w:rsidRDefault="00F7556C" w:rsidP="00F7556C">
      <w:pPr>
        <w:tabs>
          <w:tab w:val="left" w:pos="-720"/>
          <w:tab w:val="left" w:pos="0"/>
        </w:tabs>
        <w:suppressAutoHyphens/>
        <w:ind w:left="720" w:hanging="720"/>
        <w:rPr>
          <w:spacing w:val="-3"/>
        </w:rPr>
      </w:pPr>
    </w:p>
    <w:p w14:paraId="2FD6BEAA" w14:textId="77777777" w:rsidR="00F7556C" w:rsidRPr="002A32D0" w:rsidRDefault="00F7556C" w:rsidP="00F7556C">
      <w:pPr>
        <w:tabs>
          <w:tab w:val="left" w:pos="-720"/>
        </w:tabs>
        <w:suppressAutoHyphens/>
        <w:rPr>
          <w:spacing w:val="-3"/>
        </w:rPr>
      </w:pPr>
      <w:r w:rsidRPr="002A32D0">
        <w:rPr>
          <w:spacing w:val="-3"/>
        </w:rPr>
        <w:t>Biloni,H., G.F.Bolling and G.S.Cole, 1965 b), Trans.Met. Soc. AIME</w:t>
      </w:r>
      <w:r w:rsidRPr="002A32D0">
        <w:rPr>
          <w:b/>
          <w:bCs/>
          <w:spacing w:val="-3"/>
        </w:rPr>
        <w:t xml:space="preserve">  233,</w:t>
      </w:r>
      <w:r w:rsidRPr="002A32D0">
        <w:rPr>
          <w:spacing w:val="-3"/>
        </w:rPr>
        <w:t xml:space="preserve"> 251.</w:t>
      </w:r>
    </w:p>
    <w:p w14:paraId="5C5D5014" w14:textId="77777777" w:rsidR="00F7556C" w:rsidRPr="002A32D0" w:rsidRDefault="00F7556C" w:rsidP="00F7556C">
      <w:pPr>
        <w:tabs>
          <w:tab w:val="left" w:pos="-720"/>
        </w:tabs>
        <w:suppressAutoHyphens/>
        <w:rPr>
          <w:spacing w:val="-3"/>
        </w:rPr>
      </w:pPr>
    </w:p>
    <w:p w14:paraId="02D604AF" w14:textId="77777777" w:rsidR="00F7556C" w:rsidRPr="002A32D0" w:rsidRDefault="00F7556C" w:rsidP="00F7556C">
      <w:pPr>
        <w:tabs>
          <w:tab w:val="left" w:pos="-720"/>
        </w:tabs>
        <w:suppressAutoHyphens/>
        <w:rPr>
          <w:spacing w:val="-3"/>
        </w:rPr>
      </w:pPr>
      <w:r w:rsidRPr="002A32D0">
        <w:rPr>
          <w:spacing w:val="-3"/>
        </w:rPr>
        <w:t xml:space="preserve">Biloni,H., G.F.Bolling, and G.S.Cole, 1966, Trans. Met.Soc. AIME </w:t>
      </w:r>
      <w:r w:rsidRPr="002A32D0">
        <w:rPr>
          <w:b/>
          <w:bCs/>
          <w:spacing w:val="-3"/>
        </w:rPr>
        <w:t xml:space="preserve">236, </w:t>
      </w:r>
      <w:r w:rsidRPr="002A32D0">
        <w:rPr>
          <w:spacing w:val="-3"/>
        </w:rPr>
        <w:t>930.</w:t>
      </w:r>
    </w:p>
    <w:p w14:paraId="677E52E3" w14:textId="77777777" w:rsidR="00F7556C" w:rsidRPr="002A32D0" w:rsidRDefault="00F7556C" w:rsidP="00F7556C">
      <w:pPr>
        <w:tabs>
          <w:tab w:val="left" w:pos="-720"/>
        </w:tabs>
        <w:suppressAutoHyphens/>
        <w:rPr>
          <w:spacing w:val="-3"/>
        </w:rPr>
      </w:pPr>
    </w:p>
    <w:p w14:paraId="743EB9D6" w14:textId="77777777" w:rsidR="00F7556C" w:rsidRPr="002A32D0" w:rsidRDefault="00F7556C" w:rsidP="00F7556C">
      <w:pPr>
        <w:tabs>
          <w:tab w:val="left" w:pos="-720"/>
        </w:tabs>
        <w:suppressAutoHyphens/>
        <w:rPr>
          <w:spacing w:val="-3"/>
        </w:rPr>
      </w:pPr>
      <w:r w:rsidRPr="002A32D0">
        <w:rPr>
          <w:spacing w:val="-3"/>
        </w:rPr>
        <w:t>Biloni,H., R.Di Bella and G.F.Bolling, 1967, Trans. Met. Soc. AIME</w:t>
      </w:r>
      <w:r w:rsidRPr="002A32D0">
        <w:rPr>
          <w:b/>
          <w:bCs/>
          <w:spacing w:val="-3"/>
        </w:rPr>
        <w:t xml:space="preserve">  239</w:t>
      </w:r>
      <w:r w:rsidRPr="002A32D0">
        <w:rPr>
          <w:spacing w:val="-3"/>
        </w:rPr>
        <w:t>, 2012.</w:t>
      </w:r>
    </w:p>
    <w:p w14:paraId="256C42C0" w14:textId="77777777" w:rsidR="00F7556C" w:rsidRPr="002A32D0" w:rsidRDefault="00F7556C" w:rsidP="00F7556C">
      <w:pPr>
        <w:tabs>
          <w:tab w:val="left" w:pos="-720"/>
        </w:tabs>
        <w:suppressAutoHyphens/>
        <w:rPr>
          <w:spacing w:val="-3"/>
        </w:rPr>
      </w:pPr>
    </w:p>
    <w:p w14:paraId="45498AE7" w14:textId="77777777" w:rsidR="00F7556C" w:rsidRPr="002A32D0" w:rsidRDefault="00F7556C" w:rsidP="00F7556C">
      <w:pPr>
        <w:tabs>
          <w:tab w:val="left" w:pos="-720"/>
        </w:tabs>
        <w:suppressAutoHyphens/>
        <w:rPr>
          <w:spacing w:val="-3"/>
        </w:rPr>
      </w:pPr>
      <w:r w:rsidRPr="002A32D0">
        <w:rPr>
          <w:spacing w:val="-3"/>
        </w:rPr>
        <w:t xml:space="preserve">Biloni,H. and R.Morando, 1968, Trans.Met.Soc.AIME </w:t>
      </w:r>
      <w:r w:rsidRPr="002A32D0">
        <w:rPr>
          <w:b/>
          <w:bCs/>
          <w:spacing w:val="-3"/>
        </w:rPr>
        <w:t>242,</w:t>
      </w:r>
      <w:r w:rsidRPr="002A32D0">
        <w:rPr>
          <w:spacing w:val="-3"/>
        </w:rPr>
        <w:t>1121.</w:t>
      </w:r>
    </w:p>
    <w:p w14:paraId="3162A0E0" w14:textId="77777777" w:rsidR="00F7556C" w:rsidRPr="002A32D0" w:rsidRDefault="00F7556C" w:rsidP="00F7556C">
      <w:pPr>
        <w:tabs>
          <w:tab w:val="left" w:pos="-720"/>
        </w:tabs>
        <w:suppressAutoHyphens/>
        <w:rPr>
          <w:spacing w:val="-3"/>
        </w:rPr>
      </w:pPr>
    </w:p>
    <w:p w14:paraId="2FC28CDD" w14:textId="77777777" w:rsidR="00742CE6" w:rsidRPr="002A32D0" w:rsidRDefault="00742CE6" w:rsidP="00742CE6">
      <w:pPr>
        <w:tabs>
          <w:tab w:val="left" w:pos="-720"/>
          <w:tab w:val="left" w:pos="0"/>
        </w:tabs>
        <w:suppressAutoHyphens/>
        <w:spacing w:line="240" w:lineRule="atLeast"/>
        <w:ind w:left="720" w:hanging="720"/>
        <w:jc w:val="both"/>
        <w:rPr>
          <w:spacing w:val="-3"/>
          <w:lang w:val="fr-FR"/>
        </w:rPr>
      </w:pPr>
      <w:r w:rsidRPr="002A32D0">
        <w:rPr>
          <w:spacing w:val="-3"/>
        </w:rPr>
        <w:t xml:space="preserve">BILONI, H., 1970, Metallurgia ABM (Ass. </w:t>
      </w:r>
      <w:r w:rsidRPr="002A32D0">
        <w:rPr>
          <w:spacing w:val="-3"/>
          <w:lang w:val="fr-FR"/>
        </w:rPr>
        <w:t xml:space="preserve">Brasilera de Metais) </w:t>
      </w:r>
      <w:r w:rsidRPr="002A32D0">
        <w:rPr>
          <w:b/>
          <w:bCs/>
          <w:spacing w:val="-3"/>
          <w:lang w:val="fr-FR"/>
        </w:rPr>
        <w:t>26</w:t>
      </w:r>
      <w:r w:rsidRPr="002A32D0">
        <w:rPr>
          <w:spacing w:val="-3"/>
          <w:lang w:val="fr-FR"/>
        </w:rPr>
        <w:t>, 803.</w:t>
      </w:r>
    </w:p>
    <w:p w14:paraId="55A2CBCE" w14:textId="77777777" w:rsidR="00742CE6" w:rsidRPr="002A32D0" w:rsidRDefault="00742CE6" w:rsidP="00F7556C">
      <w:pPr>
        <w:tabs>
          <w:tab w:val="left" w:pos="-720"/>
        </w:tabs>
        <w:suppressAutoHyphens/>
        <w:rPr>
          <w:spacing w:val="-3"/>
          <w:lang w:val="fr-FR"/>
        </w:rPr>
      </w:pPr>
    </w:p>
    <w:p w14:paraId="61718FA6" w14:textId="77777777" w:rsidR="00F7556C" w:rsidRPr="002A32D0" w:rsidRDefault="00F7556C" w:rsidP="00F7556C">
      <w:pPr>
        <w:tabs>
          <w:tab w:val="left" w:pos="-720"/>
          <w:tab w:val="left" w:pos="0"/>
        </w:tabs>
        <w:suppressAutoHyphens/>
        <w:ind w:left="720" w:hanging="720"/>
        <w:rPr>
          <w:spacing w:val="-3"/>
          <w:lang w:val="fr-FR"/>
        </w:rPr>
      </w:pPr>
      <w:r w:rsidRPr="002A32D0">
        <w:rPr>
          <w:spacing w:val="-3"/>
          <w:lang w:val="fr-FR"/>
        </w:rPr>
        <w:t xml:space="preserve">Biloni,H., 1977, Ciencia Interamericana </w:t>
      </w:r>
      <w:r w:rsidRPr="002A32D0">
        <w:rPr>
          <w:b/>
          <w:bCs/>
          <w:spacing w:val="-3"/>
          <w:lang w:val="fr-FR"/>
        </w:rPr>
        <w:t>18</w:t>
      </w:r>
      <w:r w:rsidRPr="002A32D0">
        <w:rPr>
          <w:spacing w:val="-3"/>
          <w:lang w:val="fr-FR"/>
        </w:rPr>
        <w:t xml:space="preserve"> (3-4),3.</w:t>
      </w:r>
    </w:p>
    <w:p w14:paraId="5CA0D022" w14:textId="77777777" w:rsidR="00F7556C" w:rsidRPr="002A32D0" w:rsidRDefault="00F7556C" w:rsidP="00F7556C">
      <w:pPr>
        <w:tabs>
          <w:tab w:val="left" w:pos="-720"/>
        </w:tabs>
        <w:suppressAutoHyphens/>
        <w:rPr>
          <w:spacing w:val="-3"/>
          <w:lang w:val="fr-FR"/>
        </w:rPr>
      </w:pPr>
    </w:p>
    <w:p w14:paraId="205D99B8" w14:textId="77777777" w:rsidR="00F7556C" w:rsidRPr="002A32D0" w:rsidRDefault="00F7556C" w:rsidP="00F7556C">
      <w:pPr>
        <w:tabs>
          <w:tab w:val="left" w:pos="-720"/>
          <w:tab w:val="left" w:pos="0"/>
        </w:tabs>
        <w:suppressAutoHyphens/>
        <w:ind w:left="720" w:hanging="720"/>
        <w:rPr>
          <w:spacing w:val="-3"/>
        </w:rPr>
      </w:pPr>
      <w:r w:rsidRPr="002A32D0">
        <w:rPr>
          <w:spacing w:val="-3"/>
        </w:rPr>
        <w:t>Biloni, H., 1980, in: Aluminum Transformation Technology and  Applications 1979, eds. C.A.Pampillo, H.Biloni and D.E.Embury (ASM,Metals Park,OH) p.1.</w:t>
      </w:r>
    </w:p>
    <w:p w14:paraId="41DEFADD" w14:textId="77777777" w:rsidR="00F7556C" w:rsidRPr="002A32D0" w:rsidRDefault="00F7556C" w:rsidP="00F7556C">
      <w:pPr>
        <w:tabs>
          <w:tab w:val="left" w:pos="-720"/>
          <w:tab w:val="left" w:pos="0"/>
        </w:tabs>
        <w:suppressAutoHyphens/>
        <w:ind w:left="720" w:hanging="720"/>
        <w:rPr>
          <w:spacing w:val="-3"/>
        </w:rPr>
      </w:pPr>
    </w:p>
    <w:p w14:paraId="224AD404" w14:textId="77777777" w:rsidR="00F7556C" w:rsidRDefault="00F7556C" w:rsidP="00F7556C">
      <w:pPr>
        <w:tabs>
          <w:tab w:val="left" w:pos="-720"/>
          <w:tab w:val="left" w:pos="0"/>
        </w:tabs>
        <w:suppressAutoHyphens/>
        <w:ind w:left="720" w:hanging="720"/>
        <w:rPr>
          <w:spacing w:val="-3"/>
        </w:rPr>
      </w:pPr>
      <w:r w:rsidRPr="002A32D0">
        <w:rPr>
          <w:spacing w:val="-3"/>
        </w:rPr>
        <w:t>Biloni, H., 1983, Solidification, in: Physical Metallurgy, 3rd.ed, Ed.R.W.Cahn and P.Haasen (North Holland, Amsterdam), p. 478.</w:t>
      </w:r>
    </w:p>
    <w:p w14:paraId="7EF4461B" w14:textId="77777777" w:rsidR="001219C0" w:rsidRDefault="001219C0" w:rsidP="00F7556C">
      <w:pPr>
        <w:tabs>
          <w:tab w:val="left" w:pos="-720"/>
          <w:tab w:val="left" w:pos="0"/>
        </w:tabs>
        <w:suppressAutoHyphens/>
        <w:ind w:left="720" w:hanging="720"/>
        <w:rPr>
          <w:spacing w:val="-3"/>
        </w:rPr>
      </w:pPr>
    </w:p>
    <w:p w14:paraId="3B4588FE" w14:textId="53C556E0" w:rsidR="00F7556C" w:rsidRPr="002A32D0" w:rsidRDefault="001219C0" w:rsidP="00F7556C">
      <w:pPr>
        <w:tabs>
          <w:tab w:val="left" w:pos="-720"/>
        </w:tabs>
        <w:suppressAutoHyphens/>
        <w:rPr>
          <w:spacing w:val="-3"/>
        </w:rPr>
      </w:pPr>
      <w:r>
        <w:rPr>
          <w:spacing w:val="-3"/>
        </w:rPr>
        <w:t>Biloni, H. and Boettinger, W.J.</w:t>
      </w:r>
      <w:r w:rsidR="004C4362">
        <w:rPr>
          <w:spacing w:val="-3"/>
        </w:rPr>
        <w:t xml:space="preserve"> (1996)</w:t>
      </w:r>
      <w:r>
        <w:rPr>
          <w:spacing w:val="-3"/>
        </w:rPr>
        <w:t>, “Solidification”, in: Physical Metallurgy, 4</w:t>
      </w:r>
      <w:r w:rsidRPr="001B068D">
        <w:rPr>
          <w:spacing w:val="-3"/>
          <w:vertAlign w:val="superscript"/>
        </w:rPr>
        <w:t>th</w:t>
      </w:r>
      <w:r>
        <w:rPr>
          <w:spacing w:val="-3"/>
        </w:rPr>
        <w:t xml:space="preserve"> ed, </w:t>
      </w:r>
      <w:r w:rsidRPr="002A32D0">
        <w:rPr>
          <w:spacing w:val="-3"/>
        </w:rPr>
        <w:t>Ed.</w:t>
      </w:r>
      <w:r>
        <w:rPr>
          <w:spacing w:val="-3"/>
        </w:rPr>
        <w:t xml:space="preserve"> </w:t>
      </w:r>
      <w:r w:rsidRPr="002A32D0">
        <w:rPr>
          <w:spacing w:val="-3"/>
        </w:rPr>
        <w:t>R.W.Cahn and P.Haas</w:t>
      </w:r>
      <w:r>
        <w:rPr>
          <w:spacing w:val="-3"/>
        </w:rPr>
        <w:t xml:space="preserve">en </w:t>
      </w:r>
      <w:r w:rsidRPr="002A32D0">
        <w:rPr>
          <w:spacing w:val="-3"/>
        </w:rPr>
        <w:t>(North Holland, Amsterdam),</w:t>
      </w:r>
      <w:r>
        <w:rPr>
          <w:spacing w:val="-3"/>
        </w:rPr>
        <w:t xml:space="preserve"> 669-842.</w:t>
      </w:r>
    </w:p>
    <w:p w14:paraId="75A53F87" w14:textId="77777777" w:rsidR="00F7556C" w:rsidRPr="002A32D0" w:rsidRDefault="00F7556C" w:rsidP="00F7556C">
      <w:pPr>
        <w:tabs>
          <w:tab w:val="left" w:pos="-720"/>
          <w:tab w:val="left" w:pos="0"/>
        </w:tabs>
        <w:suppressAutoHyphens/>
        <w:ind w:left="720" w:hanging="720"/>
        <w:rPr>
          <w:spacing w:val="-3"/>
        </w:rPr>
      </w:pPr>
      <w:r w:rsidRPr="002A32D0">
        <w:rPr>
          <w:spacing w:val="-3"/>
        </w:rPr>
        <w:t>Blodgett, J. A., R. J. Schaefer, and M. E. Glicksman, 1974, M.E., Metallography</w:t>
      </w:r>
      <w:r w:rsidRPr="002A32D0">
        <w:rPr>
          <w:b/>
          <w:bCs/>
          <w:spacing w:val="-3"/>
        </w:rPr>
        <w:t xml:space="preserve"> 7,</w:t>
      </w:r>
      <w:r w:rsidRPr="002A32D0">
        <w:rPr>
          <w:spacing w:val="-3"/>
        </w:rPr>
        <w:t xml:space="preserve"> 453.</w:t>
      </w:r>
    </w:p>
    <w:p w14:paraId="5F831447" w14:textId="77777777" w:rsidR="00F7556C" w:rsidRPr="002A32D0" w:rsidRDefault="00F7556C" w:rsidP="00F7556C">
      <w:pPr>
        <w:tabs>
          <w:tab w:val="left" w:pos="-720"/>
          <w:tab w:val="left" w:pos="0"/>
        </w:tabs>
        <w:suppressAutoHyphens/>
        <w:ind w:left="720" w:hanging="720"/>
        <w:rPr>
          <w:spacing w:val="-3"/>
        </w:rPr>
      </w:pPr>
    </w:p>
    <w:p w14:paraId="42ADD9E9" w14:textId="77777777" w:rsidR="00F7556C" w:rsidRPr="002A32D0" w:rsidRDefault="00F7556C" w:rsidP="00F7556C">
      <w:pPr>
        <w:tabs>
          <w:tab w:val="left" w:pos="-720"/>
          <w:tab w:val="left" w:pos="0"/>
        </w:tabs>
        <w:suppressAutoHyphens/>
        <w:ind w:left="720" w:hanging="720"/>
        <w:jc w:val="both"/>
        <w:rPr>
          <w:spacing w:val="-3"/>
        </w:rPr>
      </w:pPr>
      <w:r w:rsidRPr="002A32D0">
        <w:rPr>
          <w:spacing w:val="-3"/>
        </w:rPr>
        <w:t xml:space="preserve">BOBADILLA, M., J. LACAZE, G. J. LESOULT, 1989, J. Cryst. Growth </w:t>
      </w:r>
      <w:r w:rsidRPr="002A32D0">
        <w:rPr>
          <w:b/>
          <w:bCs/>
          <w:spacing w:val="-3"/>
        </w:rPr>
        <w:t>89</w:t>
      </w:r>
      <w:r w:rsidRPr="002A32D0">
        <w:rPr>
          <w:spacing w:val="-3"/>
        </w:rPr>
        <w:t>, 531.</w:t>
      </w:r>
    </w:p>
    <w:p w14:paraId="228D8BA0" w14:textId="77777777" w:rsidR="00F7556C" w:rsidRPr="002A32D0" w:rsidRDefault="00F7556C" w:rsidP="00F7556C">
      <w:pPr>
        <w:tabs>
          <w:tab w:val="left" w:pos="-720"/>
          <w:tab w:val="left" w:pos="0"/>
        </w:tabs>
        <w:suppressAutoHyphens/>
        <w:ind w:left="720" w:hanging="720"/>
        <w:rPr>
          <w:spacing w:val="-3"/>
        </w:rPr>
      </w:pPr>
    </w:p>
    <w:p w14:paraId="2B3233A5"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Bobadilla, M., Jolivet, J.M., Lamant, J.Y., and Larrecq, M., 1993, Mat. Sci. and Eng. A, 173, 275.</w:t>
      </w:r>
    </w:p>
    <w:p w14:paraId="3FF41576"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11E82583"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Boettinger WJ (1973) NBS Gaithersburg, MD unpublished research.</w:t>
      </w:r>
    </w:p>
    <w:p w14:paraId="11F3DDAC"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538BC31C" w14:textId="77777777" w:rsidR="00F7556C" w:rsidRDefault="00F7556C" w:rsidP="00F7556C">
      <w:pPr>
        <w:tabs>
          <w:tab w:val="left" w:pos="-1172"/>
          <w:tab w:val="left" w:pos="-720"/>
          <w:tab w:val="left" w:pos="0"/>
          <w:tab w:val="left" w:pos="714"/>
          <w:tab w:val="left" w:pos="2160"/>
        </w:tabs>
        <w:suppressAutoHyphens/>
        <w:rPr>
          <w:spacing w:val="-3"/>
        </w:rPr>
      </w:pPr>
      <w:r w:rsidRPr="002A32D0">
        <w:rPr>
          <w:spacing w:val="-3"/>
        </w:rPr>
        <w:t>Boettinger, W. J., (1974), Metall. Trans.</w:t>
      </w:r>
      <w:r w:rsidRPr="002A32D0">
        <w:rPr>
          <w:b/>
          <w:bCs/>
          <w:spacing w:val="-3"/>
        </w:rPr>
        <w:t xml:space="preserve"> 5, </w:t>
      </w:r>
      <w:r w:rsidRPr="002A32D0">
        <w:rPr>
          <w:spacing w:val="-3"/>
        </w:rPr>
        <w:t>2023.</w:t>
      </w:r>
    </w:p>
    <w:p w14:paraId="61DCF48B" w14:textId="77777777" w:rsidR="00530CAE" w:rsidRDefault="00530CAE" w:rsidP="00F7556C">
      <w:pPr>
        <w:tabs>
          <w:tab w:val="left" w:pos="-1172"/>
          <w:tab w:val="left" w:pos="-720"/>
          <w:tab w:val="left" w:pos="0"/>
          <w:tab w:val="left" w:pos="714"/>
          <w:tab w:val="left" w:pos="2160"/>
        </w:tabs>
        <w:suppressAutoHyphens/>
        <w:rPr>
          <w:spacing w:val="-3"/>
        </w:rPr>
      </w:pPr>
    </w:p>
    <w:p w14:paraId="496536D7" w14:textId="2994E9D6" w:rsidR="00530CAE" w:rsidRPr="002A32D0" w:rsidRDefault="00530CAE" w:rsidP="00F7556C">
      <w:pPr>
        <w:tabs>
          <w:tab w:val="left" w:pos="-1172"/>
          <w:tab w:val="left" w:pos="-720"/>
          <w:tab w:val="left" w:pos="0"/>
          <w:tab w:val="left" w:pos="714"/>
          <w:tab w:val="left" w:pos="2160"/>
        </w:tabs>
        <w:suppressAutoHyphens/>
        <w:rPr>
          <w:spacing w:val="-3"/>
        </w:rPr>
      </w:pPr>
      <w:r w:rsidRPr="00530CAE">
        <w:rPr>
          <w:spacing w:val="-3"/>
        </w:rPr>
        <w:t>Boettinger, W</w:t>
      </w:r>
      <w:r>
        <w:rPr>
          <w:spacing w:val="-3"/>
        </w:rPr>
        <w:t>.</w:t>
      </w:r>
      <w:r w:rsidRPr="00530CAE">
        <w:rPr>
          <w:spacing w:val="-3"/>
        </w:rPr>
        <w:t>J. and Banerjee</w:t>
      </w:r>
      <w:r>
        <w:rPr>
          <w:spacing w:val="-3"/>
        </w:rPr>
        <w:t>, D.K. (2014)</w:t>
      </w:r>
      <w:r w:rsidRPr="00530CAE">
        <w:rPr>
          <w:spacing w:val="-3"/>
        </w:rPr>
        <w:t xml:space="preserve"> "Solidification." Physical metallurgy. Elsevier,</w:t>
      </w:r>
      <w:r w:rsidR="001219C0">
        <w:rPr>
          <w:spacing w:val="-3"/>
        </w:rPr>
        <w:t xml:space="preserve"> </w:t>
      </w:r>
      <w:r w:rsidRPr="00530CAE">
        <w:rPr>
          <w:spacing w:val="-3"/>
        </w:rPr>
        <w:t xml:space="preserve"> 639-850.</w:t>
      </w:r>
    </w:p>
    <w:p w14:paraId="33C8E8C8"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3D9711CE" w14:textId="77777777" w:rsidR="00F7556C" w:rsidRPr="002A32D0" w:rsidRDefault="00F7556C" w:rsidP="00F7556C">
      <w:pPr>
        <w:tabs>
          <w:tab w:val="left" w:pos="-1172"/>
          <w:tab w:val="left" w:pos="-720"/>
          <w:tab w:val="left" w:pos="714"/>
          <w:tab w:val="left" w:pos="810"/>
          <w:tab w:val="left" w:pos="2160"/>
        </w:tabs>
        <w:suppressAutoHyphens/>
        <w:rPr>
          <w:spacing w:val="-3"/>
        </w:rPr>
      </w:pPr>
      <w:r w:rsidRPr="002A32D0">
        <w:rPr>
          <w:spacing w:val="-3"/>
        </w:rPr>
        <w:t>Boettinger, W. J., Biancaniello, F. S.,  Kalonji G. M., and Cahn, J. W.  (1980) "Eutectic Solidification and the Formation of Metallic Glasses,", Rapid  Solidification Processing:  Principles and Technologies, Vol. 2,  Claitor's, Baton Rouge, R. Mehrabian, B. H. Kear and M. Cohen, eds. , p. 50.</w:t>
      </w:r>
    </w:p>
    <w:p w14:paraId="6792DACF" w14:textId="77777777" w:rsidR="00F7556C" w:rsidRPr="002A32D0" w:rsidRDefault="00F7556C" w:rsidP="00F7556C">
      <w:pPr>
        <w:tabs>
          <w:tab w:val="left" w:pos="-1172"/>
          <w:tab w:val="left" w:pos="-720"/>
          <w:tab w:val="left" w:pos="714"/>
          <w:tab w:val="left" w:pos="810"/>
          <w:tab w:val="left" w:pos="2160"/>
        </w:tabs>
        <w:suppressAutoHyphens/>
        <w:rPr>
          <w:spacing w:val="-3"/>
        </w:rPr>
      </w:pPr>
    </w:p>
    <w:p w14:paraId="07E12247" w14:textId="77777777" w:rsidR="00F7556C" w:rsidRPr="002A32D0" w:rsidRDefault="00F7556C" w:rsidP="00F7556C">
      <w:pPr>
        <w:tabs>
          <w:tab w:val="left" w:pos="-1172"/>
          <w:tab w:val="left" w:pos="-720"/>
          <w:tab w:val="left" w:pos="714"/>
          <w:tab w:val="left" w:pos="810"/>
          <w:tab w:val="left" w:pos="2160"/>
        </w:tabs>
        <w:suppressAutoHyphens/>
        <w:rPr>
          <w:spacing w:val="-3"/>
        </w:rPr>
      </w:pPr>
      <w:r w:rsidRPr="002A32D0">
        <w:rPr>
          <w:spacing w:val="-3"/>
        </w:rPr>
        <w:t>Boettinger, W.J, Biancaniello, F.S. and Coriell S.R. (1981),"Solutal convection induced macrosegregation and the dendrite to composite transition in off-eutectic alloys," Met. Trans. A 12A, 321-327.</w:t>
      </w:r>
    </w:p>
    <w:p w14:paraId="62ECA08F" w14:textId="77777777" w:rsidR="00F7556C" w:rsidRPr="002A32D0" w:rsidRDefault="00F7556C" w:rsidP="00F7556C">
      <w:pPr>
        <w:tabs>
          <w:tab w:val="left" w:pos="-1172"/>
          <w:tab w:val="left" w:pos="-720"/>
          <w:tab w:val="left" w:pos="714"/>
          <w:tab w:val="left" w:pos="810"/>
          <w:tab w:val="left" w:pos="2160"/>
        </w:tabs>
        <w:suppressAutoHyphens/>
        <w:rPr>
          <w:spacing w:val="-3"/>
        </w:rPr>
      </w:pPr>
    </w:p>
    <w:p w14:paraId="2AD87294" w14:textId="77777777" w:rsidR="00F7556C" w:rsidRPr="002A32D0" w:rsidRDefault="00F7556C" w:rsidP="00F7556C">
      <w:pPr>
        <w:tabs>
          <w:tab w:val="left" w:pos="-1172"/>
          <w:tab w:val="left" w:pos="-720"/>
          <w:tab w:val="left" w:pos="714"/>
          <w:tab w:val="left" w:pos="810"/>
          <w:tab w:val="left" w:pos="2160"/>
        </w:tabs>
        <w:suppressAutoHyphens/>
        <w:rPr>
          <w:spacing w:val="-3"/>
        </w:rPr>
      </w:pPr>
      <w:r w:rsidRPr="002A32D0">
        <w:rPr>
          <w:spacing w:val="-3"/>
        </w:rPr>
        <w:t>Boettinger WJ (1981) unpublished research.</w:t>
      </w:r>
    </w:p>
    <w:p w14:paraId="4CB06F6E"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27AFBCBC" w14:textId="77777777" w:rsidR="00F7556C" w:rsidRPr="002A32D0" w:rsidRDefault="00F7556C" w:rsidP="00F7556C">
      <w:pPr>
        <w:tabs>
          <w:tab w:val="left" w:pos="-720"/>
          <w:tab w:val="left" w:pos="0"/>
        </w:tabs>
        <w:suppressAutoHyphens/>
        <w:ind w:left="720" w:hanging="720"/>
        <w:rPr>
          <w:spacing w:val="-3"/>
        </w:rPr>
      </w:pPr>
      <w:r w:rsidRPr="002A32D0">
        <w:rPr>
          <w:spacing w:val="-3"/>
        </w:rPr>
        <w:t>Boettinger, W. J.,1982, in: Rapidly Solidified Crystal line and Amorphous Alloys, B. H. Kear and B. C. Giessen, eds., (Elsevier North Holland, NY), p. 15.</w:t>
      </w:r>
    </w:p>
    <w:p w14:paraId="1BE82FBF"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357C75C0" w14:textId="77777777" w:rsidR="00F7556C" w:rsidRPr="002A32D0" w:rsidRDefault="00F7556C" w:rsidP="00F7556C">
      <w:pPr>
        <w:tabs>
          <w:tab w:val="left" w:pos="-1172"/>
          <w:tab w:val="left" w:pos="-720"/>
          <w:tab w:val="left" w:pos="720"/>
          <w:tab w:val="left" w:pos="2160"/>
        </w:tabs>
        <w:suppressAutoHyphens/>
        <w:ind w:left="720" w:hanging="720"/>
        <w:rPr>
          <w:spacing w:val="-3"/>
        </w:rPr>
      </w:pPr>
      <w:r w:rsidRPr="002A32D0">
        <w:rPr>
          <w:spacing w:val="-3"/>
        </w:rPr>
        <w:t xml:space="preserve">Boettinger WJ (1982), The effect of alloy constitution and crystallization kinetics on the formation of metallic glass, in Rapidly Quenched Metals IV, T. Masumoto and K. Suzuki, eds., The Japan Inst. of Metals, 99-. </w:t>
      </w:r>
    </w:p>
    <w:p w14:paraId="02BE058B" w14:textId="77777777" w:rsidR="00F7556C" w:rsidRPr="002A32D0" w:rsidRDefault="00F7556C" w:rsidP="00F7556C">
      <w:pPr>
        <w:tabs>
          <w:tab w:val="left" w:pos="-1172"/>
          <w:tab w:val="left" w:pos="-720"/>
          <w:tab w:val="left" w:pos="0"/>
          <w:tab w:val="left" w:pos="714"/>
          <w:tab w:val="left" w:pos="2160"/>
        </w:tabs>
        <w:suppressAutoHyphens/>
        <w:ind w:left="720" w:hanging="720"/>
        <w:rPr>
          <w:spacing w:val="-3"/>
        </w:rPr>
      </w:pPr>
    </w:p>
    <w:p w14:paraId="4EE76137"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 xml:space="preserve">Boettinger WJ, Coriell SR, Sekerka RF (1984), Mechanisms of microsegregation-free solidification,  Materials Science and Engineering </w:t>
      </w:r>
      <w:r w:rsidRPr="002A32D0">
        <w:rPr>
          <w:b/>
          <w:bCs/>
          <w:spacing w:val="-3"/>
        </w:rPr>
        <w:t>65</w:t>
      </w:r>
      <w:r w:rsidRPr="002A32D0">
        <w:rPr>
          <w:spacing w:val="-3"/>
        </w:rPr>
        <w:t xml:space="preserve"> ,</w:t>
      </w:r>
      <w:r w:rsidRPr="002A32D0">
        <w:rPr>
          <w:bCs/>
          <w:spacing w:val="-3"/>
        </w:rPr>
        <w:t>27-36.</w:t>
      </w:r>
    </w:p>
    <w:p w14:paraId="1D894BE8" w14:textId="77777777" w:rsidR="00F7556C" w:rsidRPr="002A32D0" w:rsidRDefault="00F7556C" w:rsidP="00F7556C">
      <w:pPr>
        <w:tabs>
          <w:tab w:val="left" w:pos="-720"/>
          <w:tab w:val="left" w:pos="0"/>
        </w:tabs>
        <w:suppressAutoHyphens/>
        <w:ind w:left="720" w:hanging="720"/>
        <w:rPr>
          <w:spacing w:val="-3"/>
        </w:rPr>
      </w:pPr>
    </w:p>
    <w:p w14:paraId="3731D45B" w14:textId="77777777" w:rsidR="00F7556C" w:rsidRPr="002A32D0" w:rsidRDefault="00F7556C" w:rsidP="00F7556C">
      <w:pPr>
        <w:tabs>
          <w:tab w:val="left" w:pos="-720"/>
          <w:tab w:val="left" w:pos="0"/>
        </w:tabs>
        <w:suppressAutoHyphens/>
        <w:ind w:left="720" w:hanging="720"/>
        <w:rPr>
          <w:spacing w:val="-3"/>
        </w:rPr>
      </w:pPr>
      <w:r w:rsidRPr="002A32D0">
        <w:rPr>
          <w:spacing w:val="-3"/>
        </w:rPr>
        <w:t>Boettinger, W. J., D. Shechtman, R. J. Schaefer, and F. S. Biancaniello, 1984</w:t>
      </w:r>
      <w:r w:rsidR="001F68B4" w:rsidRPr="002A32D0">
        <w:rPr>
          <w:spacing w:val="-3"/>
        </w:rPr>
        <w:t>a)</w:t>
      </w:r>
      <w:r w:rsidRPr="002A32D0">
        <w:rPr>
          <w:spacing w:val="-3"/>
        </w:rPr>
        <w:t xml:space="preserve">, Metall. Trans. </w:t>
      </w:r>
      <w:r w:rsidRPr="002A32D0">
        <w:rPr>
          <w:b/>
          <w:bCs/>
          <w:spacing w:val="-3"/>
        </w:rPr>
        <w:t>15A</w:t>
      </w:r>
      <w:r w:rsidRPr="002A32D0">
        <w:rPr>
          <w:b/>
          <w:bCs/>
          <w:spacing w:val="-3"/>
          <w:u w:val="single"/>
        </w:rPr>
        <w:t>,</w:t>
      </w:r>
      <w:r w:rsidRPr="002A32D0">
        <w:rPr>
          <w:spacing w:val="-3"/>
        </w:rPr>
        <w:t xml:space="preserve"> 55.</w:t>
      </w:r>
    </w:p>
    <w:p w14:paraId="0DAC6F11" w14:textId="77777777" w:rsidR="00F7556C" w:rsidRPr="002A32D0" w:rsidRDefault="00F7556C" w:rsidP="00F7556C">
      <w:pPr>
        <w:tabs>
          <w:tab w:val="left" w:pos="-720"/>
          <w:tab w:val="left" w:pos="0"/>
        </w:tabs>
        <w:suppressAutoHyphens/>
        <w:ind w:left="720" w:hanging="720"/>
        <w:rPr>
          <w:spacing w:val="-3"/>
        </w:rPr>
      </w:pPr>
    </w:p>
    <w:p w14:paraId="2B2DA802" w14:textId="77777777" w:rsidR="00F7556C" w:rsidRPr="002A32D0" w:rsidRDefault="00F7556C" w:rsidP="00F7556C">
      <w:pPr>
        <w:tabs>
          <w:tab w:val="left" w:pos="-720"/>
          <w:tab w:val="left" w:pos="0"/>
        </w:tabs>
        <w:suppressAutoHyphens/>
        <w:ind w:left="720" w:hanging="720"/>
        <w:rPr>
          <w:spacing w:val="-3"/>
        </w:rPr>
      </w:pPr>
      <w:r w:rsidRPr="002A32D0">
        <w:rPr>
          <w:spacing w:val="-3"/>
        </w:rPr>
        <w:t>Boettinger,W.J. and J.H.Perepezko,1985, in: Rapidly Solidified Crystalline Alloys, S. K. Das, B. H. Kear, C. M. Adam, eds., (TMS-AIME),.21-.</w:t>
      </w:r>
    </w:p>
    <w:p w14:paraId="11931D7C" w14:textId="77777777" w:rsidR="00F7556C" w:rsidRPr="002A32D0" w:rsidRDefault="00F7556C" w:rsidP="00F7556C">
      <w:pPr>
        <w:tabs>
          <w:tab w:val="left" w:pos="-720"/>
          <w:tab w:val="left" w:pos="0"/>
        </w:tabs>
        <w:suppressAutoHyphens/>
        <w:ind w:left="720" w:hanging="720"/>
        <w:rPr>
          <w:spacing w:val="-3"/>
        </w:rPr>
      </w:pPr>
    </w:p>
    <w:p w14:paraId="53DEDFD5" w14:textId="77777777" w:rsidR="00F7556C" w:rsidRPr="002A32D0" w:rsidRDefault="00F7556C" w:rsidP="00F7556C">
      <w:pPr>
        <w:tabs>
          <w:tab w:val="left" w:pos="-720"/>
        </w:tabs>
        <w:suppressAutoHyphens/>
        <w:rPr>
          <w:spacing w:val="-3"/>
        </w:rPr>
      </w:pPr>
      <w:r w:rsidRPr="002A32D0">
        <w:rPr>
          <w:spacing w:val="-3"/>
        </w:rPr>
        <w:t xml:space="preserve">Boettinger, W. J., L. A. Bendersky and J. G. Early, 1986, Metall. Trans. </w:t>
      </w:r>
      <w:r w:rsidRPr="002A32D0">
        <w:rPr>
          <w:b/>
          <w:bCs/>
          <w:spacing w:val="-3"/>
        </w:rPr>
        <w:t>17A</w:t>
      </w:r>
      <w:r w:rsidRPr="002A32D0">
        <w:rPr>
          <w:spacing w:val="-3"/>
        </w:rPr>
        <w:t>, 781.</w:t>
      </w:r>
    </w:p>
    <w:p w14:paraId="283DDAA7" w14:textId="77777777" w:rsidR="00F7556C" w:rsidRPr="002A32D0" w:rsidRDefault="00F7556C" w:rsidP="00F7556C">
      <w:pPr>
        <w:tabs>
          <w:tab w:val="left" w:pos="-720"/>
        </w:tabs>
        <w:suppressAutoHyphens/>
        <w:rPr>
          <w:spacing w:val="-3"/>
        </w:rPr>
      </w:pPr>
    </w:p>
    <w:p w14:paraId="67F9FE33" w14:textId="77777777" w:rsidR="00F7556C" w:rsidRPr="002A32D0" w:rsidRDefault="00F7556C" w:rsidP="00F7556C">
      <w:pPr>
        <w:tabs>
          <w:tab w:val="left" w:pos="-720"/>
          <w:tab w:val="left" w:pos="0"/>
        </w:tabs>
        <w:suppressAutoHyphens/>
        <w:ind w:left="720" w:hanging="720"/>
        <w:rPr>
          <w:spacing w:val="-3"/>
        </w:rPr>
      </w:pPr>
      <w:r w:rsidRPr="002A32D0">
        <w:rPr>
          <w:spacing w:val="-3"/>
        </w:rPr>
        <w:t>Boettinger, W. J., and S. R. Coriell, 1986, in: Science and Technology of the Supercooled Melt, P. R. Sahm, H. Jones and C. M. Adam, eds., (NATO  ASI Series E-No. 114, Martinus Nijhoff, Dodrecht), p. 81.</w:t>
      </w:r>
    </w:p>
    <w:p w14:paraId="7C99D9F1" w14:textId="77777777" w:rsidR="00F7556C" w:rsidRPr="002A32D0" w:rsidRDefault="00F7556C" w:rsidP="00F7556C">
      <w:pPr>
        <w:tabs>
          <w:tab w:val="left" w:pos="-720"/>
          <w:tab w:val="left" w:pos="0"/>
        </w:tabs>
        <w:suppressAutoHyphens/>
        <w:ind w:left="720" w:hanging="720"/>
        <w:rPr>
          <w:spacing w:val="-3"/>
        </w:rPr>
      </w:pPr>
    </w:p>
    <w:p w14:paraId="354AF693"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Boettinger W. J., Bendersky L. A., Coriell S. R., Schaefer R. J. and Biancaniello F. S. (1987). J. Cryst. Growth 80 17-25.</w:t>
      </w:r>
    </w:p>
    <w:p w14:paraId="17E24158"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5DF17B93" w14:textId="77777777" w:rsidR="00F7556C" w:rsidRPr="002A32D0" w:rsidRDefault="00F7556C" w:rsidP="00F7556C">
      <w:pPr>
        <w:tabs>
          <w:tab w:val="left" w:pos="-720"/>
          <w:tab w:val="left" w:pos="0"/>
        </w:tabs>
        <w:suppressAutoHyphens/>
        <w:ind w:left="720" w:hanging="720"/>
        <w:rPr>
          <w:spacing w:val="-3"/>
        </w:rPr>
      </w:pPr>
      <w:r w:rsidRPr="002A32D0">
        <w:rPr>
          <w:spacing w:val="-3"/>
        </w:rPr>
        <w:t xml:space="preserve">Boettinger, W. J., L. A. Bendersky, F. S. Biancaniello and J. W. Cahn, 1988a), Mater. Sci. Eng. </w:t>
      </w:r>
      <w:r w:rsidRPr="002A32D0">
        <w:rPr>
          <w:b/>
          <w:bCs/>
          <w:spacing w:val="-3"/>
        </w:rPr>
        <w:t>8</w:t>
      </w:r>
      <w:r w:rsidRPr="002A32D0">
        <w:rPr>
          <w:spacing w:val="-3"/>
        </w:rPr>
        <w:t>, 273.</w:t>
      </w:r>
    </w:p>
    <w:p w14:paraId="141E8F7F" w14:textId="77777777" w:rsidR="00F7556C" w:rsidRPr="002A32D0" w:rsidRDefault="00F7556C" w:rsidP="00F7556C">
      <w:pPr>
        <w:tabs>
          <w:tab w:val="left" w:pos="-720"/>
          <w:tab w:val="left" w:pos="0"/>
        </w:tabs>
        <w:suppressAutoHyphens/>
        <w:ind w:left="720" w:hanging="720"/>
        <w:rPr>
          <w:spacing w:val="-3"/>
        </w:rPr>
      </w:pPr>
    </w:p>
    <w:p w14:paraId="7373AD7C" w14:textId="77777777" w:rsidR="00F7556C" w:rsidRPr="002A32D0" w:rsidRDefault="00F7556C" w:rsidP="00F7556C">
      <w:pPr>
        <w:tabs>
          <w:tab w:val="left" w:pos="-720"/>
          <w:tab w:val="left" w:pos="0"/>
        </w:tabs>
        <w:suppressAutoHyphens/>
        <w:ind w:left="720" w:hanging="720"/>
        <w:rPr>
          <w:spacing w:val="-3"/>
        </w:rPr>
      </w:pPr>
      <w:r w:rsidRPr="002A32D0">
        <w:rPr>
          <w:spacing w:val="-3"/>
        </w:rPr>
        <w:lastRenderedPageBreak/>
        <w:t>Boettinger, W. J., S. R. Coriell, and R. Trivedi, 1988b), in: Rapid Solidification Processing: Principles and Technologies R. Mehrabian and P. A. Parrish, eds., (Claitor's Publishing, Baton Rouge), p. 13.</w:t>
      </w:r>
    </w:p>
    <w:p w14:paraId="37D370A6" w14:textId="77777777" w:rsidR="00F7556C" w:rsidRPr="002A32D0" w:rsidRDefault="00F7556C" w:rsidP="00F7556C">
      <w:pPr>
        <w:tabs>
          <w:tab w:val="left" w:pos="-720"/>
          <w:tab w:val="left" w:pos="0"/>
        </w:tabs>
        <w:suppressAutoHyphens/>
        <w:ind w:left="720" w:hanging="720"/>
        <w:rPr>
          <w:spacing w:val="-3"/>
        </w:rPr>
      </w:pPr>
    </w:p>
    <w:p w14:paraId="45955ADC" w14:textId="77777777" w:rsidR="00F7556C" w:rsidRPr="002A32D0" w:rsidRDefault="00F7556C" w:rsidP="00F7556C">
      <w:pPr>
        <w:tabs>
          <w:tab w:val="left" w:pos="-720"/>
          <w:tab w:val="left" w:pos="0"/>
        </w:tabs>
        <w:suppressAutoHyphens/>
        <w:ind w:left="720" w:hanging="720"/>
        <w:rPr>
          <w:spacing w:val="-3"/>
        </w:rPr>
      </w:pPr>
      <w:r w:rsidRPr="002A32D0">
        <w:rPr>
          <w:spacing w:val="-3"/>
        </w:rPr>
        <w:t>Boettinger, W. J.  1988, unpublished research, NIST, Gaithersburg, MD.</w:t>
      </w:r>
    </w:p>
    <w:p w14:paraId="0DCB7980" w14:textId="77777777" w:rsidR="00F7556C" w:rsidRPr="002A32D0" w:rsidRDefault="00F7556C" w:rsidP="00F7556C">
      <w:pPr>
        <w:tabs>
          <w:tab w:val="left" w:pos="-720"/>
          <w:tab w:val="left" w:pos="0"/>
        </w:tabs>
        <w:suppressAutoHyphens/>
        <w:ind w:left="720" w:hanging="720"/>
        <w:rPr>
          <w:spacing w:val="-3"/>
        </w:rPr>
      </w:pPr>
    </w:p>
    <w:p w14:paraId="5200D33B" w14:textId="77777777" w:rsidR="00F7556C" w:rsidRPr="002A32D0" w:rsidRDefault="00F7556C" w:rsidP="00F7556C">
      <w:pPr>
        <w:tabs>
          <w:tab w:val="left" w:pos="-720"/>
          <w:tab w:val="left" w:pos="0"/>
        </w:tabs>
        <w:suppressAutoHyphens/>
        <w:ind w:left="720" w:hanging="720"/>
        <w:rPr>
          <w:spacing w:val="-3"/>
        </w:rPr>
      </w:pPr>
      <w:r w:rsidRPr="002A32D0">
        <w:rPr>
          <w:spacing w:val="-3"/>
        </w:rPr>
        <w:t xml:space="preserve">Boettinger,W.J., L.A.Bendersky, R.J.Schaefer and F.S.Biancaniello, 1988c,  On the formation of dispersoids during rapid solidification of an al-fe-ni alloy Metall.Trans., </w:t>
      </w:r>
      <w:r w:rsidRPr="002A32D0">
        <w:rPr>
          <w:b/>
          <w:bCs/>
          <w:spacing w:val="-3"/>
        </w:rPr>
        <w:t>19A</w:t>
      </w:r>
      <w:r w:rsidRPr="002A32D0">
        <w:rPr>
          <w:spacing w:val="-3"/>
        </w:rPr>
        <w:t>, 1101-1107.</w:t>
      </w:r>
    </w:p>
    <w:p w14:paraId="04B44CF6" w14:textId="77777777" w:rsidR="00F7556C" w:rsidRPr="002A32D0" w:rsidRDefault="00F7556C" w:rsidP="00F7556C">
      <w:pPr>
        <w:tabs>
          <w:tab w:val="left" w:pos="-720"/>
          <w:tab w:val="left" w:pos="0"/>
        </w:tabs>
        <w:suppressAutoHyphens/>
        <w:ind w:left="720" w:hanging="720"/>
        <w:rPr>
          <w:spacing w:val="-3"/>
        </w:rPr>
      </w:pPr>
    </w:p>
    <w:p w14:paraId="13F93AA2" w14:textId="77777777" w:rsidR="00F7556C" w:rsidRPr="002A32D0" w:rsidRDefault="00F7556C" w:rsidP="00F7556C">
      <w:pPr>
        <w:tabs>
          <w:tab w:val="left" w:pos="-720"/>
        </w:tabs>
        <w:suppressAutoHyphens/>
        <w:rPr>
          <w:spacing w:val="-3"/>
        </w:rPr>
      </w:pPr>
      <w:r w:rsidRPr="002A32D0">
        <w:rPr>
          <w:spacing w:val="-3"/>
        </w:rPr>
        <w:t xml:space="preserve">Boettinger, W. J., and M. J. Aziz, 1989, Acta Metall. </w:t>
      </w:r>
      <w:r w:rsidRPr="002A32D0">
        <w:rPr>
          <w:b/>
          <w:bCs/>
          <w:spacing w:val="-3"/>
        </w:rPr>
        <w:t>37</w:t>
      </w:r>
      <w:r w:rsidRPr="002A32D0">
        <w:rPr>
          <w:spacing w:val="-3"/>
        </w:rPr>
        <w:t>, 3379.</w:t>
      </w:r>
    </w:p>
    <w:p w14:paraId="5B4B1458" w14:textId="77777777" w:rsidR="00F7556C" w:rsidRPr="002A32D0" w:rsidRDefault="00F7556C" w:rsidP="00F7556C">
      <w:pPr>
        <w:tabs>
          <w:tab w:val="left" w:pos="-720"/>
          <w:tab w:val="left" w:pos="0"/>
        </w:tabs>
        <w:suppressAutoHyphens/>
        <w:ind w:left="720" w:hanging="720"/>
        <w:rPr>
          <w:spacing w:val="-3"/>
        </w:rPr>
      </w:pPr>
    </w:p>
    <w:p w14:paraId="6A585659"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Boettinger WJ and Warren JA, 1996, The phase-field method: simulation of alloy dendritic solidification during recalescence, Metall and Matls. Trans. 2 7A 657-669.</w:t>
      </w:r>
    </w:p>
    <w:p w14:paraId="59F58120"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3A679EF0" w14:textId="77777777" w:rsidR="00F7556C" w:rsidRPr="002A32D0" w:rsidRDefault="00F7556C" w:rsidP="00F7556C">
      <w:pPr>
        <w:tabs>
          <w:tab w:val="left" w:pos="-720"/>
        </w:tabs>
        <w:suppressAutoHyphens/>
        <w:rPr>
          <w:spacing w:val="-3"/>
        </w:rPr>
      </w:pPr>
      <w:r w:rsidRPr="002A32D0">
        <w:rPr>
          <w:spacing w:val="-3"/>
        </w:rPr>
        <w:t>Boettinger W. J., Kattner U. R. and Banerjee D. K. (1998).  Analysis of solidification path and microsegregation in multicomponent alloys.  In Thomas B. and Beckermann C. (eds.) Modeling of casting, welding and advanced solidification processes, VIII, Warrendale, PA: TMS, 159-170.</w:t>
      </w:r>
    </w:p>
    <w:p w14:paraId="34492FC2"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76BA05C2"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Boettinger W. J., Coriell S. R., Greer A. L., Karma A., Kurz W., Rappaz M. and Trivedi R., (2000). Solidification microstructures: recent developments, future directions.  Acta Mat. 48, 43-70.</w:t>
      </w:r>
    </w:p>
    <w:p w14:paraId="597BCCF9"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7D736311"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Boettinger W. J. and Kattner U. R. (2002), On DTA curves for the melting and freezing of alloys. Metall. and Matls. Trans. 33A, 1779-</w:t>
      </w:r>
      <w:r w:rsidR="00F9122D" w:rsidRPr="002A32D0">
        <w:rPr>
          <w:spacing w:val="-3"/>
        </w:rPr>
        <w:t>1794</w:t>
      </w:r>
      <w:r w:rsidRPr="002A32D0">
        <w:rPr>
          <w:spacing w:val="-3"/>
        </w:rPr>
        <w:t>.</w:t>
      </w:r>
    </w:p>
    <w:p w14:paraId="4EAC719F"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488FB0B6"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Boettinger W. J., Warren J. A., Beckermann C. and Karma A. (2002). Phase-field simulation of solidification. Ann. Rev. Mater. Res. 32, 163-194.</w:t>
      </w:r>
    </w:p>
    <w:p w14:paraId="4B7B08B0"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4A092838" w14:textId="77777777" w:rsidR="00F7556C" w:rsidRPr="002A32D0" w:rsidRDefault="00F7556C" w:rsidP="00F7556C">
      <w:pPr>
        <w:tabs>
          <w:tab w:val="left" w:pos="-720"/>
          <w:tab w:val="left" w:pos="0"/>
        </w:tabs>
        <w:suppressAutoHyphens/>
        <w:ind w:left="720" w:hanging="720"/>
        <w:rPr>
          <w:spacing w:val="-3"/>
        </w:rPr>
      </w:pPr>
      <w:r w:rsidRPr="002A32D0">
        <w:rPr>
          <w:spacing w:val="-3"/>
        </w:rPr>
        <w:t>Boettinger W. J., Newbury D. E., Wang K., Bendersky L. A., Chiu C., Kattner U.R., Young K., and Chao B. (2010), Examination of Multiphase (Zr,Ti)(V,Cr,Mn,Ni)2 Ni-MH Electrode Alloys. Part 1: Dendritic Solidification Structure, Metallurgical and Materials Transactions A, 41A, 2033-2047.</w:t>
      </w:r>
    </w:p>
    <w:p w14:paraId="5C58D5D7" w14:textId="77777777" w:rsidR="00F7556C" w:rsidRPr="002A32D0" w:rsidRDefault="00F7556C" w:rsidP="00F7556C">
      <w:pPr>
        <w:tabs>
          <w:tab w:val="left" w:pos="-720"/>
          <w:tab w:val="left" w:pos="0"/>
        </w:tabs>
        <w:suppressAutoHyphens/>
        <w:ind w:left="720" w:hanging="720"/>
        <w:rPr>
          <w:spacing w:val="-3"/>
        </w:rPr>
      </w:pPr>
    </w:p>
    <w:p w14:paraId="57108FB7"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 xml:space="preserve">Bower, T.F. and M.C.Flemings, 1967, Trans.Met.Soc.AIME </w:t>
      </w:r>
      <w:r w:rsidRPr="002A32D0">
        <w:rPr>
          <w:b/>
          <w:bCs/>
          <w:spacing w:val="-3"/>
        </w:rPr>
        <w:t>239</w:t>
      </w:r>
      <w:r w:rsidRPr="002A32D0">
        <w:rPr>
          <w:spacing w:val="-3"/>
        </w:rPr>
        <w:t>, 1629</w:t>
      </w:r>
    </w:p>
    <w:p w14:paraId="31664DED"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3CC84CE6" w14:textId="77777777" w:rsidR="00F7556C" w:rsidRPr="002A32D0" w:rsidRDefault="00F7556C" w:rsidP="00F7556C">
      <w:pPr>
        <w:tabs>
          <w:tab w:val="left" w:pos="-720"/>
          <w:tab w:val="left" w:pos="0"/>
        </w:tabs>
        <w:suppressAutoHyphens/>
        <w:ind w:left="720" w:hanging="720"/>
        <w:rPr>
          <w:spacing w:val="-3"/>
        </w:rPr>
      </w:pPr>
      <w:r w:rsidRPr="002A32D0">
        <w:rPr>
          <w:spacing w:val="-3"/>
        </w:rPr>
        <w:t xml:space="preserve">Braun, R. J., and  S. H. Davis, 1991, J. Cryst. Growth </w:t>
      </w:r>
      <w:r w:rsidRPr="002A32D0">
        <w:rPr>
          <w:b/>
          <w:bCs/>
          <w:spacing w:val="-3"/>
        </w:rPr>
        <w:t>112,</w:t>
      </w:r>
      <w:r w:rsidRPr="002A32D0">
        <w:rPr>
          <w:spacing w:val="-3"/>
        </w:rPr>
        <w:t xml:space="preserve"> 670.</w:t>
      </w:r>
    </w:p>
    <w:p w14:paraId="6B3AD830" w14:textId="77777777" w:rsidR="00F7556C" w:rsidRPr="002A32D0" w:rsidRDefault="00F7556C" w:rsidP="00F7556C">
      <w:pPr>
        <w:tabs>
          <w:tab w:val="left" w:pos="-720"/>
          <w:tab w:val="left" w:pos="0"/>
        </w:tabs>
        <w:suppressAutoHyphens/>
        <w:ind w:left="720" w:hanging="720"/>
        <w:rPr>
          <w:spacing w:val="-3"/>
        </w:rPr>
      </w:pPr>
    </w:p>
    <w:p w14:paraId="38AFFD10" w14:textId="77777777" w:rsidR="00F7556C" w:rsidRPr="002A32D0" w:rsidRDefault="00F7556C" w:rsidP="00F7556C">
      <w:pPr>
        <w:tabs>
          <w:tab w:val="left" w:pos="-720"/>
        </w:tabs>
        <w:suppressAutoHyphens/>
        <w:rPr>
          <w:spacing w:val="-3"/>
        </w:rPr>
      </w:pPr>
      <w:r w:rsidRPr="002A32D0">
        <w:rPr>
          <w:spacing w:val="-3"/>
        </w:rPr>
        <w:t>Brice, J.C., 1973, in: The Growth of Crystals from Liquids (North Holland, Amsterdam), p. 120</w:t>
      </w:r>
    </w:p>
    <w:p w14:paraId="4D9FB2C4"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0299EB5D" w14:textId="77777777" w:rsidR="00F7556C" w:rsidRPr="002A32D0" w:rsidRDefault="00F7556C" w:rsidP="00F7556C">
      <w:pPr>
        <w:tabs>
          <w:tab w:val="left" w:pos="-720"/>
          <w:tab w:val="left" w:pos="0"/>
        </w:tabs>
        <w:suppressAutoHyphens/>
        <w:ind w:left="720" w:hanging="720"/>
        <w:rPr>
          <w:spacing w:val="-3"/>
        </w:rPr>
      </w:pPr>
      <w:r w:rsidRPr="002A32D0">
        <w:rPr>
          <w:spacing w:val="-3"/>
        </w:rPr>
        <w:t xml:space="preserve">Brody, H. D. and  Flemings,M.C., 1966, Trans. Met. Soc. AIME </w:t>
      </w:r>
      <w:r w:rsidRPr="002A32D0">
        <w:rPr>
          <w:b/>
          <w:bCs/>
          <w:spacing w:val="-3"/>
        </w:rPr>
        <w:t>236</w:t>
      </w:r>
      <w:r w:rsidRPr="002A32D0">
        <w:rPr>
          <w:spacing w:val="-3"/>
        </w:rPr>
        <w:t>, 615.</w:t>
      </w:r>
    </w:p>
    <w:p w14:paraId="65E70050" w14:textId="77777777" w:rsidR="00F7556C" w:rsidRPr="002A32D0" w:rsidRDefault="00F7556C" w:rsidP="00F7556C">
      <w:pPr>
        <w:tabs>
          <w:tab w:val="left" w:pos="-720"/>
          <w:tab w:val="left" w:pos="0"/>
        </w:tabs>
        <w:suppressAutoHyphens/>
        <w:ind w:left="720" w:hanging="720"/>
        <w:rPr>
          <w:spacing w:val="-3"/>
        </w:rPr>
      </w:pPr>
    </w:p>
    <w:p w14:paraId="6A03D960" w14:textId="77777777" w:rsidR="00F7556C" w:rsidRPr="002A32D0" w:rsidRDefault="00F7556C" w:rsidP="00F7556C">
      <w:pPr>
        <w:tabs>
          <w:tab w:val="left" w:pos="-720"/>
          <w:tab w:val="left" w:pos="0"/>
        </w:tabs>
        <w:suppressAutoHyphens/>
        <w:ind w:left="720" w:hanging="720"/>
        <w:rPr>
          <w:spacing w:val="-3"/>
        </w:rPr>
      </w:pPr>
      <w:r w:rsidRPr="002A32D0">
        <w:rPr>
          <w:spacing w:val="-3"/>
        </w:rPr>
        <w:t>Brody, H.D., 1974, in: Solidification Technology, eds. J.J.Burke, M.C.Flemings and A.E.Quorum (Brook Hill Pub., Chenut Hills, MA) p. 53.</w:t>
      </w:r>
    </w:p>
    <w:p w14:paraId="30B72054" w14:textId="77777777" w:rsidR="00F7556C" w:rsidRPr="002A32D0" w:rsidRDefault="00F7556C" w:rsidP="00F7556C">
      <w:pPr>
        <w:tabs>
          <w:tab w:val="left" w:pos="-720"/>
          <w:tab w:val="left" w:pos="0"/>
        </w:tabs>
        <w:suppressAutoHyphens/>
        <w:ind w:left="720" w:hanging="720"/>
        <w:rPr>
          <w:spacing w:val="-3"/>
        </w:rPr>
      </w:pPr>
    </w:p>
    <w:p w14:paraId="7C5FF1EE" w14:textId="77777777" w:rsidR="00F7556C" w:rsidRPr="002A32D0" w:rsidRDefault="00F7556C" w:rsidP="00F7556C">
      <w:pPr>
        <w:tabs>
          <w:tab w:val="left" w:pos="-720"/>
          <w:tab w:val="left" w:pos="0"/>
        </w:tabs>
        <w:suppressAutoHyphens/>
        <w:ind w:left="720" w:hanging="720"/>
        <w:rPr>
          <w:spacing w:val="-3"/>
        </w:rPr>
      </w:pPr>
      <w:r w:rsidRPr="002A32D0">
        <w:rPr>
          <w:spacing w:val="-3"/>
        </w:rPr>
        <w:t>Brody, H. D., and S. A. David, 1979, in: Solidification and Casting of Metals (The Metals Society, London) p. 144.</w:t>
      </w:r>
    </w:p>
    <w:p w14:paraId="07D1393E" w14:textId="77777777" w:rsidR="00F7556C" w:rsidRPr="002A32D0" w:rsidRDefault="00F7556C" w:rsidP="00F7556C">
      <w:pPr>
        <w:tabs>
          <w:tab w:val="left" w:pos="-720"/>
          <w:tab w:val="left" w:pos="0"/>
        </w:tabs>
        <w:suppressAutoHyphens/>
        <w:ind w:left="720" w:hanging="720"/>
        <w:rPr>
          <w:spacing w:val="-3"/>
        </w:rPr>
      </w:pPr>
    </w:p>
    <w:p w14:paraId="008DA3B8" w14:textId="77777777" w:rsidR="00F7556C" w:rsidRPr="002A32D0" w:rsidRDefault="00F7556C" w:rsidP="00F7556C">
      <w:pPr>
        <w:tabs>
          <w:tab w:val="left" w:pos="-720"/>
        </w:tabs>
        <w:suppressAutoHyphens/>
        <w:rPr>
          <w:spacing w:val="-3"/>
        </w:rPr>
      </w:pPr>
      <w:r w:rsidRPr="002A32D0">
        <w:rPr>
          <w:spacing w:val="-3"/>
        </w:rPr>
        <w:t xml:space="preserve">Broughton, J.Q., A. Bonissent, and F. F. Abraham, 1981, J. Chem Phys. </w:t>
      </w:r>
      <w:r w:rsidRPr="002A32D0">
        <w:rPr>
          <w:b/>
          <w:bCs/>
          <w:spacing w:val="-3"/>
        </w:rPr>
        <w:t>74</w:t>
      </w:r>
      <w:r w:rsidRPr="002A32D0">
        <w:rPr>
          <w:spacing w:val="-3"/>
        </w:rPr>
        <w:t>, 4029.</w:t>
      </w:r>
    </w:p>
    <w:p w14:paraId="54CE730E" w14:textId="77777777" w:rsidR="00F7556C" w:rsidRPr="002A32D0" w:rsidRDefault="00F7556C" w:rsidP="00F7556C">
      <w:pPr>
        <w:tabs>
          <w:tab w:val="left" w:pos="-720"/>
        </w:tabs>
        <w:suppressAutoHyphens/>
        <w:rPr>
          <w:spacing w:val="-3"/>
        </w:rPr>
      </w:pPr>
    </w:p>
    <w:p w14:paraId="0F20B62F" w14:textId="77777777" w:rsidR="00F7556C" w:rsidRPr="002A32D0" w:rsidRDefault="00F7556C" w:rsidP="00F7556C">
      <w:pPr>
        <w:tabs>
          <w:tab w:val="left" w:pos="-720"/>
          <w:tab w:val="left" w:pos="0"/>
        </w:tabs>
        <w:suppressAutoHyphens/>
        <w:ind w:left="720" w:hanging="720"/>
        <w:rPr>
          <w:spacing w:val="-3"/>
          <w:lang w:val="sv-SE"/>
        </w:rPr>
      </w:pPr>
      <w:r w:rsidRPr="002A32D0">
        <w:rPr>
          <w:spacing w:val="-3"/>
        </w:rPr>
        <w:t xml:space="preserve">Broughton, J.Q., G. H. Gilmer, and K. A. Jackson, 1982, Phys. </w:t>
      </w:r>
      <w:r w:rsidRPr="002A32D0">
        <w:rPr>
          <w:spacing w:val="-3"/>
          <w:lang w:val="sv-SE"/>
        </w:rPr>
        <w:t>Rev. Lett.</w:t>
      </w:r>
      <w:r w:rsidRPr="002A32D0">
        <w:rPr>
          <w:b/>
          <w:bCs/>
          <w:spacing w:val="-3"/>
          <w:lang w:val="sv-SE"/>
        </w:rPr>
        <w:t xml:space="preserve"> 49</w:t>
      </w:r>
      <w:r w:rsidRPr="002A32D0">
        <w:rPr>
          <w:spacing w:val="-3"/>
          <w:lang w:val="sv-SE"/>
        </w:rPr>
        <w:t>, 1496.</w:t>
      </w:r>
    </w:p>
    <w:p w14:paraId="5096A45D" w14:textId="77777777" w:rsidR="00F7556C" w:rsidRPr="002A32D0" w:rsidRDefault="00F7556C" w:rsidP="00F7556C">
      <w:pPr>
        <w:tabs>
          <w:tab w:val="left" w:pos="-720"/>
          <w:tab w:val="left" w:pos="0"/>
        </w:tabs>
        <w:suppressAutoHyphens/>
        <w:ind w:left="720" w:hanging="720"/>
        <w:rPr>
          <w:spacing w:val="-3"/>
          <w:lang w:val="sv-SE"/>
        </w:rPr>
      </w:pPr>
    </w:p>
    <w:p w14:paraId="3E2C52C3" w14:textId="77777777" w:rsidR="00F7556C" w:rsidRPr="002A32D0" w:rsidRDefault="00F7556C" w:rsidP="00F7556C">
      <w:pPr>
        <w:tabs>
          <w:tab w:val="left" w:pos="-720"/>
        </w:tabs>
        <w:suppressAutoHyphens/>
        <w:rPr>
          <w:spacing w:val="-3"/>
          <w:lang w:val="sv-SE"/>
        </w:rPr>
      </w:pPr>
      <w:r w:rsidRPr="002A32D0">
        <w:rPr>
          <w:spacing w:val="-3"/>
          <w:lang w:val="sv-SE"/>
        </w:rPr>
        <w:t xml:space="preserve">Brown, R. A., 1988,  Theory of transport processes in single crystal growth from the melt, J. AICHE,  </w:t>
      </w:r>
      <w:r w:rsidRPr="002A32D0">
        <w:rPr>
          <w:b/>
          <w:bCs/>
          <w:spacing w:val="-3"/>
          <w:lang w:val="sv-SE"/>
        </w:rPr>
        <w:t>34</w:t>
      </w:r>
      <w:r w:rsidRPr="002A32D0">
        <w:rPr>
          <w:spacing w:val="-3"/>
          <w:lang w:val="sv-SE"/>
        </w:rPr>
        <w:t>, 881-911.</w:t>
      </w:r>
    </w:p>
    <w:p w14:paraId="456FC78D" w14:textId="77777777" w:rsidR="00F7556C" w:rsidRPr="002A32D0" w:rsidRDefault="00F7556C" w:rsidP="00F7556C">
      <w:pPr>
        <w:tabs>
          <w:tab w:val="left" w:pos="-720"/>
        </w:tabs>
        <w:suppressAutoHyphens/>
        <w:rPr>
          <w:spacing w:val="-3"/>
          <w:lang w:val="sv-SE"/>
        </w:rPr>
      </w:pPr>
    </w:p>
    <w:p w14:paraId="6C47355A" w14:textId="77777777" w:rsidR="00F7556C" w:rsidRPr="002A32D0" w:rsidRDefault="00F7556C" w:rsidP="00F7556C">
      <w:pPr>
        <w:tabs>
          <w:tab w:val="left" w:pos="-720"/>
          <w:tab w:val="left" w:pos="0"/>
        </w:tabs>
        <w:suppressAutoHyphens/>
        <w:ind w:left="720" w:hanging="720"/>
        <w:rPr>
          <w:spacing w:val="-3"/>
        </w:rPr>
      </w:pPr>
      <w:r w:rsidRPr="002A32D0">
        <w:rPr>
          <w:spacing w:val="-3"/>
        </w:rPr>
        <w:t xml:space="preserve">Burden,M.H., D.J.Hebditch and J.D.Hunt, 1973, J.Cryst.Growth, </w:t>
      </w:r>
      <w:r w:rsidRPr="002A32D0">
        <w:rPr>
          <w:b/>
          <w:bCs/>
          <w:spacing w:val="-3"/>
        </w:rPr>
        <w:t>20</w:t>
      </w:r>
      <w:r w:rsidRPr="002A32D0">
        <w:rPr>
          <w:spacing w:val="-3"/>
        </w:rPr>
        <w:t>, 121.</w:t>
      </w:r>
    </w:p>
    <w:p w14:paraId="02D6A254" w14:textId="77777777" w:rsidR="00F7556C" w:rsidRPr="002A32D0" w:rsidRDefault="00F7556C" w:rsidP="00F7556C">
      <w:pPr>
        <w:tabs>
          <w:tab w:val="left" w:pos="-720"/>
        </w:tabs>
        <w:suppressAutoHyphens/>
        <w:rPr>
          <w:spacing w:val="-3"/>
        </w:rPr>
      </w:pPr>
    </w:p>
    <w:p w14:paraId="7F1E21E4" w14:textId="77777777" w:rsidR="00F7556C" w:rsidRPr="002A32D0" w:rsidRDefault="00F7556C" w:rsidP="00F7556C">
      <w:pPr>
        <w:tabs>
          <w:tab w:val="left" w:pos="-720"/>
        </w:tabs>
        <w:suppressAutoHyphens/>
        <w:rPr>
          <w:spacing w:val="-3"/>
        </w:rPr>
      </w:pPr>
      <w:r w:rsidRPr="002A32D0">
        <w:rPr>
          <w:spacing w:val="-3"/>
        </w:rPr>
        <w:t xml:space="preserve">Burden, M. H. and J.D.Hunt, (1974a), J.Cryst. Growth, </w:t>
      </w:r>
      <w:r w:rsidRPr="002A32D0">
        <w:rPr>
          <w:b/>
          <w:bCs/>
          <w:spacing w:val="-3"/>
        </w:rPr>
        <w:t>22</w:t>
      </w:r>
      <w:r w:rsidRPr="002A32D0">
        <w:rPr>
          <w:spacing w:val="-3"/>
        </w:rPr>
        <w:t>, 99.</w:t>
      </w:r>
    </w:p>
    <w:p w14:paraId="42071C92" w14:textId="77777777" w:rsidR="00F7556C" w:rsidRPr="002A32D0" w:rsidRDefault="00F7556C" w:rsidP="00F7556C">
      <w:pPr>
        <w:tabs>
          <w:tab w:val="left" w:pos="-720"/>
        </w:tabs>
        <w:suppressAutoHyphens/>
        <w:rPr>
          <w:spacing w:val="-3"/>
        </w:rPr>
      </w:pPr>
    </w:p>
    <w:p w14:paraId="25DFD772" w14:textId="77777777" w:rsidR="00F7556C" w:rsidRPr="002A32D0" w:rsidRDefault="00F7556C" w:rsidP="00F7556C">
      <w:pPr>
        <w:tabs>
          <w:tab w:val="left" w:pos="-720"/>
        </w:tabs>
        <w:suppressAutoHyphens/>
        <w:rPr>
          <w:spacing w:val="-3"/>
        </w:rPr>
      </w:pPr>
      <w:r w:rsidRPr="002A32D0">
        <w:rPr>
          <w:spacing w:val="-3"/>
        </w:rPr>
        <w:t xml:space="preserve">Burden, M. H., and J. D. Hunt, 1974b), J. Cryst. Growth </w:t>
      </w:r>
      <w:r w:rsidRPr="002A32D0">
        <w:rPr>
          <w:b/>
          <w:bCs/>
          <w:spacing w:val="-3"/>
        </w:rPr>
        <w:t>22</w:t>
      </w:r>
      <w:r w:rsidRPr="002A32D0">
        <w:rPr>
          <w:spacing w:val="-3"/>
        </w:rPr>
        <w:t>, 109.</w:t>
      </w:r>
    </w:p>
    <w:p w14:paraId="1758F20E" w14:textId="77777777" w:rsidR="00F7556C" w:rsidRPr="002A32D0" w:rsidRDefault="00F7556C" w:rsidP="00F7556C">
      <w:pPr>
        <w:tabs>
          <w:tab w:val="left" w:pos="-720"/>
        </w:tabs>
        <w:suppressAutoHyphens/>
        <w:rPr>
          <w:spacing w:val="-3"/>
        </w:rPr>
      </w:pPr>
    </w:p>
    <w:p w14:paraId="4A4ABB0F" w14:textId="77777777" w:rsidR="00F7556C" w:rsidRPr="002A32D0" w:rsidRDefault="00F7556C" w:rsidP="00F7556C">
      <w:pPr>
        <w:tabs>
          <w:tab w:val="left" w:pos="-720"/>
        </w:tabs>
        <w:suppressAutoHyphens/>
        <w:rPr>
          <w:spacing w:val="-3"/>
        </w:rPr>
      </w:pPr>
      <w:r w:rsidRPr="002A32D0">
        <w:rPr>
          <w:spacing w:val="-3"/>
        </w:rPr>
        <w:t>Burden, M. H., and J. D. Hunt, 1974c), J. Cryst. Growth</w:t>
      </w:r>
      <w:r w:rsidRPr="002A32D0">
        <w:rPr>
          <w:b/>
          <w:bCs/>
          <w:spacing w:val="-3"/>
        </w:rPr>
        <w:t xml:space="preserve"> 22</w:t>
      </w:r>
      <w:r w:rsidRPr="002A32D0">
        <w:rPr>
          <w:spacing w:val="-3"/>
        </w:rPr>
        <w:t xml:space="preserve"> 328.</w:t>
      </w:r>
    </w:p>
    <w:p w14:paraId="2FF6FC3A" w14:textId="77777777" w:rsidR="00F7556C" w:rsidRPr="002A32D0" w:rsidRDefault="00F7556C" w:rsidP="00F7556C">
      <w:pPr>
        <w:tabs>
          <w:tab w:val="left" w:pos="-720"/>
        </w:tabs>
        <w:suppressAutoHyphens/>
        <w:rPr>
          <w:spacing w:val="-3"/>
        </w:rPr>
      </w:pPr>
    </w:p>
    <w:p w14:paraId="31370561" w14:textId="77777777" w:rsidR="00F7556C" w:rsidRPr="002A32D0" w:rsidRDefault="00F7556C" w:rsidP="00F7556C">
      <w:pPr>
        <w:tabs>
          <w:tab w:val="left" w:pos="-720"/>
          <w:tab w:val="left" w:pos="0"/>
        </w:tabs>
        <w:suppressAutoHyphens/>
        <w:ind w:left="720" w:hanging="720"/>
        <w:rPr>
          <w:spacing w:val="-3"/>
        </w:rPr>
      </w:pPr>
      <w:r w:rsidRPr="002A32D0">
        <w:rPr>
          <w:spacing w:val="-3"/>
        </w:rPr>
        <w:t xml:space="preserve">Burton, J.A., R.C.Prim and W.P.Schlichter, 1953, J.Chem.Phys. </w:t>
      </w:r>
      <w:r w:rsidRPr="002A32D0">
        <w:rPr>
          <w:b/>
          <w:bCs/>
          <w:spacing w:val="-3"/>
        </w:rPr>
        <w:t>21</w:t>
      </w:r>
      <w:r w:rsidRPr="002A32D0">
        <w:rPr>
          <w:spacing w:val="-3"/>
        </w:rPr>
        <w:t>, 1987.</w:t>
      </w:r>
    </w:p>
    <w:p w14:paraId="26D61895" w14:textId="77777777" w:rsidR="00F7556C" w:rsidRPr="002A32D0" w:rsidRDefault="00F7556C" w:rsidP="00F7556C">
      <w:pPr>
        <w:tabs>
          <w:tab w:val="left" w:pos="-720"/>
          <w:tab w:val="left" w:pos="0"/>
        </w:tabs>
        <w:suppressAutoHyphens/>
        <w:ind w:left="720" w:hanging="720"/>
        <w:rPr>
          <w:spacing w:val="-3"/>
        </w:rPr>
      </w:pPr>
    </w:p>
    <w:p w14:paraId="7E79C466" w14:textId="77777777" w:rsidR="00F7556C" w:rsidRPr="002A32D0" w:rsidRDefault="00F7556C" w:rsidP="00F7556C">
      <w:pPr>
        <w:tabs>
          <w:tab w:val="left" w:pos="-720"/>
        </w:tabs>
        <w:suppressAutoHyphens/>
        <w:rPr>
          <w:spacing w:val="-3"/>
        </w:rPr>
      </w:pPr>
      <w:r w:rsidRPr="002A32D0">
        <w:rPr>
          <w:spacing w:val="-3"/>
          <w:lang w:val="de-DE"/>
        </w:rPr>
        <w:t>Cahn, J. W., 1960, Acta Metall.</w:t>
      </w:r>
      <w:r w:rsidRPr="002A32D0">
        <w:rPr>
          <w:b/>
          <w:bCs/>
          <w:spacing w:val="-3"/>
          <w:lang w:val="de-DE"/>
        </w:rPr>
        <w:t xml:space="preserve"> </w:t>
      </w:r>
      <w:r w:rsidRPr="002A32D0">
        <w:rPr>
          <w:b/>
          <w:bCs/>
          <w:spacing w:val="-3"/>
        </w:rPr>
        <w:t>8,</w:t>
      </w:r>
      <w:r w:rsidRPr="002A32D0">
        <w:rPr>
          <w:spacing w:val="-3"/>
        </w:rPr>
        <w:t xml:space="preserve"> 554.</w:t>
      </w:r>
    </w:p>
    <w:p w14:paraId="207066B5" w14:textId="77777777" w:rsidR="00F7556C" w:rsidRPr="002A32D0" w:rsidRDefault="00F7556C" w:rsidP="00F7556C">
      <w:pPr>
        <w:tabs>
          <w:tab w:val="left" w:pos="-720"/>
        </w:tabs>
        <w:suppressAutoHyphens/>
        <w:rPr>
          <w:spacing w:val="-3"/>
        </w:rPr>
      </w:pPr>
    </w:p>
    <w:p w14:paraId="1320E5BA" w14:textId="77777777" w:rsidR="00F7556C" w:rsidRPr="002A32D0" w:rsidRDefault="00F7556C" w:rsidP="00F7556C">
      <w:pPr>
        <w:tabs>
          <w:tab w:val="left" w:pos="-720"/>
          <w:tab w:val="left" w:pos="0"/>
        </w:tabs>
        <w:suppressAutoHyphens/>
        <w:ind w:left="720" w:hanging="720"/>
        <w:rPr>
          <w:spacing w:val="-3"/>
        </w:rPr>
      </w:pPr>
      <w:r w:rsidRPr="002A32D0">
        <w:rPr>
          <w:spacing w:val="-3"/>
        </w:rPr>
        <w:t xml:space="preserve">Cahn, J. W., W. B. Hillig, and G. W. Sears, 1964, Acta Metall. </w:t>
      </w:r>
      <w:r w:rsidRPr="002A32D0">
        <w:rPr>
          <w:b/>
          <w:bCs/>
          <w:spacing w:val="-3"/>
        </w:rPr>
        <w:t>12</w:t>
      </w:r>
      <w:r w:rsidRPr="002A32D0">
        <w:rPr>
          <w:spacing w:val="-3"/>
        </w:rPr>
        <w:t>, 1421.</w:t>
      </w:r>
    </w:p>
    <w:p w14:paraId="7019DE58" w14:textId="77777777" w:rsidR="00F7556C" w:rsidRPr="002A32D0" w:rsidRDefault="00F7556C" w:rsidP="00F7556C">
      <w:pPr>
        <w:tabs>
          <w:tab w:val="left" w:pos="-720"/>
          <w:tab w:val="left" w:pos="0"/>
        </w:tabs>
        <w:suppressAutoHyphens/>
        <w:ind w:left="720" w:hanging="720"/>
        <w:rPr>
          <w:spacing w:val="-3"/>
        </w:rPr>
      </w:pPr>
    </w:p>
    <w:p w14:paraId="2B73C4A4" w14:textId="77777777" w:rsidR="00F7556C" w:rsidRPr="002A32D0" w:rsidRDefault="00F7556C" w:rsidP="00F7556C">
      <w:pPr>
        <w:tabs>
          <w:tab w:val="left" w:pos="-720"/>
          <w:tab w:val="left" w:pos="0"/>
        </w:tabs>
        <w:suppressAutoHyphens/>
        <w:ind w:left="720" w:hanging="720"/>
        <w:rPr>
          <w:spacing w:val="-3"/>
        </w:rPr>
      </w:pPr>
      <w:r w:rsidRPr="002A32D0">
        <w:rPr>
          <w:spacing w:val="-3"/>
        </w:rPr>
        <w:t>Cahn, J.W., 1967, in: Crystal Growth, ed.H.S.Peiser (Pergamon Press,Oxford) p.681.</w:t>
      </w:r>
    </w:p>
    <w:p w14:paraId="134B85FF" w14:textId="77777777" w:rsidR="00F7556C" w:rsidRPr="002A32D0" w:rsidRDefault="00F7556C" w:rsidP="00F7556C">
      <w:pPr>
        <w:tabs>
          <w:tab w:val="left" w:pos="-720"/>
          <w:tab w:val="left" w:pos="0"/>
        </w:tabs>
        <w:suppressAutoHyphens/>
        <w:ind w:left="720" w:hanging="720"/>
        <w:rPr>
          <w:spacing w:val="-3"/>
        </w:rPr>
      </w:pPr>
    </w:p>
    <w:p w14:paraId="536046E0" w14:textId="77777777" w:rsidR="00F7556C" w:rsidRPr="002A32D0" w:rsidRDefault="00F7556C" w:rsidP="00F7556C">
      <w:pPr>
        <w:tabs>
          <w:tab w:val="left" w:pos="-720"/>
        </w:tabs>
        <w:suppressAutoHyphens/>
        <w:rPr>
          <w:spacing w:val="-3"/>
        </w:rPr>
      </w:pPr>
      <w:r w:rsidRPr="002A32D0">
        <w:rPr>
          <w:spacing w:val="-3"/>
        </w:rPr>
        <w:t xml:space="preserve">Cahn, J. W., 1979, Metall. Trans. </w:t>
      </w:r>
      <w:r w:rsidRPr="002A32D0">
        <w:rPr>
          <w:b/>
          <w:bCs/>
          <w:spacing w:val="-3"/>
        </w:rPr>
        <w:t>10A,</w:t>
      </w:r>
      <w:r w:rsidRPr="002A32D0">
        <w:rPr>
          <w:spacing w:val="-3"/>
        </w:rPr>
        <w:t xml:space="preserve"> 119.</w:t>
      </w:r>
    </w:p>
    <w:p w14:paraId="2F8BE4E7" w14:textId="77777777" w:rsidR="00F7556C" w:rsidRPr="002A32D0" w:rsidRDefault="00F7556C" w:rsidP="00F7556C">
      <w:pPr>
        <w:tabs>
          <w:tab w:val="left" w:pos="-720"/>
          <w:tab w:val="left" w:pos="0"/>
        </w:tabs>
        <w:suppressAutoHyphens/>
        <w:ind w:left="720" w:hanging="720"/>
        <w:rPr>
          <w:spacing w:val="-3"/>
        </w:rPr>
      </w:pPr>
    </w:p>
    <w:p w14:paraId="24D9507B" w14:textId="77777777" w:rsidR="00F7556C" w:rsidRPr="002A32D0" w:rsidRDefault="00F7556C" w:rsidP="00F7556C">
      <w:pPr>
        <w:tabs>
          <w:tab w:val="left" w:pos="-720"/>
          <w:tab w:val="left" w:pos="0"/>
        </w:tabs>
        <w:suppressAutoHyphens/>
        <w:ind w:left="720" w:hanging="720"/>
        <w:rPr>
          <w:spacing w:val="-3"/>
        </w:rPr>
      </w:pPr>
      <w:r w:rsidRPr="002A32D0">
        <w:rPr>
          <w:spacing w:val="-3"/>
        </w:rPr>
        <w:t>Cahn, J.W.,S.R.Coriell and W.J.Boettinger, 1980, in: Laser and Electron Beam Processing of Materials,  C. W. White and P. S. Peercy eds.(Academic Press, NY,), p. 89.</w:t>
      </w:r>
    </w:p>
    <w:p w14:paraId="3FF13B00" w14:textId="77777777" w:rsidR="00F7556C" w:rsidRPr="002A32D0" w:rsidRDefault="00F7556C" w:rsidP="00F7556C">
      <w:pPr>
        <w:tabs>
          <w:tab w:val="left" w:pos="-720"/>
          <w:tab w:val="left" w:pos="0"/>
        </w:tabs>
        <w:suppressAutoHyphens/>
        <w:ind w:left="720" w:hanging="720"/>
        <w:rPr>
          <w:spacing w:val="-3"/>
        </w:rPr>
      </w:pPr>
    </w:p>
    <w:p w14:paraId="2471514F" w14:textId="77777777" w:rsidR="00F7556C" w:rsidRPr="002A32D0" w:rsidRDefault="00F7556C" w:rsidP="00F7556C">
      <w:pPr>
        <w:tabs>
          <w:tab w:val="left" w:pos="-720"/>
        </w:tabs>
        <w:suppressAutoHyphens/>
        <w:rPr>
          <w:spacing w:val="-3"/>
        </w:rPr>
      </w:pPr>
      <w:r w:rsidRPr="002A32D0">
        <w:rPr>
          <w:spacing w:val="-3"/>
        </w:rPr>
        <w:t xml:space="preserve">Calginalp, G., 1986, Arch. Rational Mech. Anal. </w:t>
      </w:r>
      <w:r w:rsidRPr="002A32D0">
        <w:rPr>
          <w:b/>
          <w:bCs/>
          <w:spacing w:val="-3"/>
        </w:rPr>
        <w:t>92</w:t>
      </w:r>
      <w:r w:rsidRPr="002A32D0">
        <w:rPr>
          <w:spacing w:val="-3"/>
        </w:rPr>
        <w:t>, 205.</w:t>
      </w:r>
    </w:p>
    <w:p w14:paraId="2A49032A" w14:textId="77777777" w:rsidR="00F7556C" w:rsidRPr="002A32D0" w:rsidRDefault="00F7556C" w:rsidP="00F7556C">
      <w:pPr>
        <w:tabs>
          <w:tab w:val="left" w:pos="-720"/>
          <w:tab w:val="left" w:pos="0"/>
        </w:tabs>
        <w:suppressAutoHyphens/>
        <w:ind w:left="720" w:hanging="720"/>
        <w:rPr>
          <w:spacing w:val="-3"/>
        </w:rPr>
      </w:pPr>
    </w:p>
    <w:p w14:paraId="4E0B3654"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Calginalp G. and Xie W. (1993), Phase-field and sharp-interface alloy models,  Phys. Rev. E48 1897-1909.</w:t>
      </w:r>
    </w:p>
    <w:p w14:paraId="1F3006B7" w14:textId="77777777" w:rsidR="00F7556C" w:rsidRPr="002A32D0" w:rsidRDefault="00F7556C" w:rsidP="00F7556C">
      <w:pPr>
        <w:tabs>
          <w:tab w:val="left" w:pos="-720"/>
        </w:tabs>
        <w:suppressAutoHyphens/>
        <w:rPr>
          <w:spacing w:val="-3"/>
        </w:rPr>
      </w:pPr>
    </w:p>
    <w:p w14:paraId="107E57ED" w14:textId="77777777" w:rsidR="00F7556C" w:rsidRPr="002A32D0" w:rsidRDefault="00F7556C" w:rsidP="00F7556C">
      <w:pPr>
        <w:tabs>
          <w:tab w:val="left" w:pos="-720"/>
        </w:tabs>
        <w:suppressAutoHyphens/>
        <w:rPr>
          <w:spacing w:val="-3"/>
        </w:rPr>
      </w:pPr>
      <w:r w:rsidRPr="002A32D0">
        <w:rPr>
          <w:spacing w:val="-3"/>
        </w:rPr>
        <w:t xml:space="preserve">Camel, D. and J.J. Favier 1984 a), J.Cryst. Growth </w:t>
      </w:r>
      <w:r w:rsidRPr="002A32D0">
        <w:rPr>
          <w:b/>
          <w:bCs/>
          <w:spacing w:val="-3"/>
        </w:rPr>
        <w:t>67</w:t>
      </w:r>
      <w:r w:rsidRPr="002A32D0">
        <w:rPr>
          <w:spacing w:val="-3"/>
        </w:rPr>
        <w:t>, 42.</w:t>
      </w:r>
    </w:p>
    <w:p w14:paraId="59FFD079" w14:textId="77777777" w:rsidR="00F7556C" w:rsidRPr="002A32D0" w:rsidRDefault="00F7556C" w:rsidP="00F7556C">
      <w:pPr>
        <w:tabs>
          <w:tab w:val="left" w:pos="-720"/>
        </w:tabs>
        <w:suppressAutoHyphens/>
        <w:rPr>
          <w:spacing w:val="-3"/>
        </w:rPr>
      </w:pPr>
    </w:p>
    <w:p w14:paraId="45EDA6B2" w14:textId="77777777" w:rsidR="00F7556C" w:rsidRPr="002A32D0" w:rsidRDefault="00F7556C" w:rsidP="00F7556C">
      <w:pPr>
        <w:tabs>
          <w:tab w:val="left" w:pos="-720"/>
        </w:tabs>
        <w:suppressAutoHyphens/>
        <w:rPr>
          <w:spacing w:val="-3"/>
        </w:rPr>
      </w:pPr>
      <w:r w:rsidRPr="002A32D0">
        <w:rPr>
          <w:spacing w:val="-3"/>
        </w:rPr>
        <w:t xml:space="preserve">Camel,D. and J.J. Favier, 1984 b), J.Cryst. Growth </w:t>
      </w:r>
      <w:r w:rsidRPr="002A32D0">
        <w:rPr>
          <w:b/>
          <w:bCs/>
          <w:spacing w:val="-3"/>
        </w:rPr>
        <w:t>67</w:t>
      </w:r>
      <w:r w:rsidRPr="002A32D0">
        <w:rPr>
          <w:spacing w:val="-3"/>
        </w:rPr>
        <w:t>, 57.</w:t>
      </w:r>
    </w:p>
    <w:p w14:paraId="4920D45A" w14:textId="77777777" w:rsidR="00F7556C" w:rsidRPr="002A32D0" w:rsidRDefault="00F7556C" w:rsidP="00F7556C">
      <w:pPr>
        <w:tabs>
          <w:tab w:val="left" w:pos="-720"/>
        </w:tabs>
        <w:suppressAutoHyphens/>
        <w:rPr>
          <w:spacing w:val="-3"/>
        </w:rPr>
      </w:pPr>
    </w:p>
    <w:p w14:paraId="0B7F6ACC" w14:textId="77777777" w:rsidR="00F7556C" w:rsidRPr="002A32D0" w:rsidRDefault="00F7556C" w:rsidP="00F7556C">
      <w:pPr>
        <w:tabs>
          <w:tab w:val="left" w:pos="-720"/>
          <w:tab w:val="left" w:pos="0"/>
        </w:tabs>
        <w:suppressAutoHyphens/>
        <w:ind w:left="720" w:hanging="720"/>
        <w:rPr>
          <w:spacing w:val="-3"/>
        </w:rPr>
      </w:pPr>
      <w:r w:rsidRPr="002A32D0">
        <w:rPr>
          <w:spacing w:val="-3"/>
        </w:rPr>
        <w:t xml:space="preserve">Campbell, J. and I.D. Olliff, 1971, AFS Cast Metals Research J. (ASM Metals Park, OH), </w:t>
      </w:r>
      <w:r w:rsidRPr="002A32D0">
        <w:rPr>
          <w:b/>
          <w:bCs/>
          <w:spacing w:val="-3"/>
        </w:rPr>
        <w:t>May</w:t>
      </w:r>
      <w:r w:rsidRPr="002A32D0">
        <w:rPr>
          <w:spacing w:val="-3"/>
        </w:rPr>
        <w:t>, 55.</w:t>
      </w:r>
    </w:p>
    <w:p w14:paraId="3230CF61" w14:textId="77777777" w:rsidR="001205B6" w:rsidRPr="002A32D0" w:rsidRDefault="001205B6" w:rsidP="00F7556C">
      <w:pPr>
        <w:tabs>
          <w:tab w:val="left" w:pos="-720"/>
        </w:tabs>
        <w:suppressAutoHyphens/>
        <w:rPr>
          <w:spacing w:val="-3"/>
        </w:rPr>
      </w:pPr>
    </w:p>
    <w:p w14:paraId="159089B8" w14:textId="77777777" w:rsidR="00F7556C" w:rsidRPr="002A32D0" w:rsidRDefault="00F7556C" w:rsidP="00F7556C">
      <w:pPr>
        <w:tabs>
          <w:tab w:val="left" w:pos="-720"/>
        </w:tabs>
        <w:suppressAutoHyphens/>
        <w:rPr>
          <w:spacing w:val="-3"/>
        </w:rPr>
      </w:pPr>
      <w:r w:rsidRPr="002A32D0">
        <w:rPr>
          <w:spacing w:val="-3"/>
        </w:rPr>
        <w:t xml:space="preserve">Campbell, J., </w:t>
      </w:r>
      <w:r w:rsidR="00C02CE7" w:rsidRPr="002A32D0">
        <w:rPr>
          <w:spacing w:val="-3"/>
        </w:rPr>
        <w:t>(2003</w:t>
      </w:r>
      <w:r w:rsidRPr="002A32D0">
        <w:rPr>
          <w:spacing w:val="-3"/>
        </w:rPr>
        <w:t>), Castings</w:t>
      </w:r>
      <w:r w:rsidR="00C02CE7" w:rsidRPr="002A32D0">
        <w:rPr>
          <w:spacing w:val="-3"/>
        </w:rPr>
        <w:t xml:space="preserve"> (Second Edition), </w:t>
      </w:r>
      <w:r w:rsidRPr="002A32D0">
        <w:rPr>
          <w:spacing w:val="-3"/>
        </w:rPr>
        <w:t>Butterworth-Heinemann, London</w:t>
      </w:r>
      <w:r w:rsidR="00C02CE7" w:rsidRPr="002A32D0">
        <w:rPr>
          <w:spacing w:val="-3"/>
        </w:rPr>
        <w:t>, p. 32.</w:t>
      </w:r>
    </w:p>
    <w:p w14:paraId="65000446" w14:textId="77777777" w:rsidR="001205B6" w:rsidRPr="002A32D0" w:rsidRDefault="001205B6" w:rsidP="00F7556C">
      <w:pPr>
        <w:tabs>
          <w:tab w:val="left" w:pos="-720"/>
          <w:tab w:val="left" w:pos="0"/>
        </w:tabs>
        <w:suppressAutoHyphens/>
        <w:ind w:left="720" w:hanging="720"/>
        <w:rPr>
          <w:spacing w:val="-3"/>
        </w:rPr>
      </w:pPr>
    </w:p>
    <w:p w14:paraId="4CB0E69E" w14:textId="77777777" w:rsidR="00F7556C" w:rsidRPr="002A32D0" w:rsidRDefault="00C02CE7" w:rsidP="00F7556C">
      <w:pPr>
        <w:tabs>
          <w:tab w:val="left" w:pos="-720"/>
          <w:tab w:val="left" w:pos="0"/>
        </w:tabs>
        <w:suppressAutoHyphens/>
        <w:ind w:left="720" w:hanging="720"/>
        <w:rPr>
          <w:spacing w:val="-3"/>
        </w:rPr>
      </w:pPr>
      <w:r w:rsidRPr="002A32D0">
        <w:rPr>
          <w:spacing w:val="-3"/>
        </w:rPr>
        <w:lastRenderedPageBreak/>
        <w:t>Campbell, J., 1991 a), Castings, -Heinemann, London.</w:t>
      </w:r>
    </w:p>
    <w:p w14:paraId="398C1889" w14:textId="77777777" w:rsidR="00C02CE7" w:rsidRPr="002A32D0" w:rsidRDefault="00C02CE7" w:rsidP="00F7556C">
      <w:pPr>
        <w:tabs>
          <w:tab w:val="left" w:pos="-720"/>
        </w:tabs>
        <w:suppressAutoHyphens/>
        <w:rPr>
          <w:spacing w:val="-3"/>
        </w:rPr>
      </w:pPr>
    </w:p>
    <w:p w14:paraId="4E961124" w14:textId="77777777" w:rsidR="00F7556C" w:rsidRPr="002A32D0" w:rsidRDefault="00F7556C" w:rsidP="00F7556C">
      <w:pPr>
        <w:tabs>
          <w:tab w:val="left" w:pos="-720"/>
        </w:tabs>
        <w:suppressAutoHyphens/>
        <w:rPr>
          <w:spacing w:val="-3"/>
        </w:rPr>
      </w:pPr>
      <w:r w:rsidRPr="002A32D0">
        <w:rPr>
          <w:spacing w:val="-3"/>
        </w:rPr>
        <w:t>Campbell, J., 1991 b), Mat.Sc. and Tech.</w:t>
      </w:r>
      <w:r w:rsidRPr="002A32D0">
        <w:rPr>
          <w:b/>
          <w:bCs/>
          <w:spacing w:val="-3"/>
        </w:rPr>
        <w:t xml:space="preserve"> 7</w:t>
      </w:r>
      <w:r w:rsidRPr="002A32D0">
        <w:rPr>
          <w:spacing w:val="-3"/>
        </w:rPr>
        <w:t>, 885.</w:t>
      </w:r>
    </w:p>
    <w:p w14:paraId="6E1C75F4" w14:textId="77777777" w:rsidR="00F7556C" w:rsidRPr="002A32D0" w:rsidRDefault="00F7556C" w:rsidP="00F7556C">
      <w:pPr>
        <w:tabs>
          <w:tab w:val="left" w:pos="-720"/>
        </w:tabs>
        <w:suppressAutoHyphens/>
        <w:rPr>
          <w:spacing w:val="-3"/>
        </w:rPr>
      </w:pPr>
    </w:p>
    <w:p w14:paraId="54E616B6" w14:textId="77777777" w:rsidR="00F7556C" w:rsidRPr="002A32D0" w:rsidRDefault="00F7556C" w:rsidP="00F7556C">
      <w:pPr>
        <w:tabs>
          <w:tab w:val="left" w:pos="-720"/>
        </w:tabs>
        <w:suppressAutoHyphens/>
        <w:rPr>
          <w:spacing w:val="-3"/>
          <w:lang w:val="fr-FR"/>
        </w:rPr>
      </w:pPr>
      <w:r w:rsidRPr="002A32D0">
        <w:rPr>
          <w:spacing w:val="-3"/>
          <w:lang w:val="fr-FR"/>
        </w:rPr>
        <w:t>Caroli,B., C.Caroli and B.Roulet, 1982, J.Physique,</w:t>
      </w:r>
      <w:r w:rsidRPr="002A32D0">
        <w:rPr>
          <w:b/>
          <w:bCs/>
          <w:spacing w:val="-3"/>
          <w:lang w:val="fr-FR"/>
        </w:rPr>
        <w:t xml:space="preserve"> 43</w:t>
      </w:r>
      <w:r w:rsidRPr="002A32D0">
        <w:rPr>
          <w:spacing w:val="-3"/>
          <w:lang w:val="fr-FR"/>
        </w:rPr>
        <w:t>,1767.</w:t>
      </w:r>
    </w:p>
    <w:p w14:paraId="1A0234BD" w14:textId="77777777" w:rsidR="00F7556C" w:rsidRPr="002A32D0" w:rsidRDefault="00F7556C" w:rsidP="00F7556C">
      <w:pPr>
        <w:tabs>
          <w:tab w:val="left" w:pos="-720"/>
        </w:tabs>
        <w:suppressAutoHyphens/>
        <w:rPr>
          <w:spacing w:val="-3"/>
          <w:lang w:val="fr-FR"/>
        </w:rPr>
      </w:pPr>
    </w:p>
    <w:p w14:paraId="61ADEA5C" w14:textId="77777777" w:rsidR="00F7556C" w:rsidRPr="002A32D0" w:rsidRDefault="00F7556C" w:rsidP="00F7556C">
      <w:pPr>
        <w:tabs>
          <w:tab w:val="left" w:pos="-720"/>
          <w:tab w:val="left" w:pos="0"/>
        </w:tabs>
        <w:suppressAutoHyphens/>
        <w:ind w:left="720" w:hanging="720"/>
        <w:rPr>
          <w:spacing w:val="-3"/>
        </w:rPr>
      </w:pPr>
      <w:r w:rsidRPr="002A32D0">
        <w:rPr>
          <w:spacing w:val="-3"/>
        </w:rPr>
        <w:t>Carrad, M., M. Gremaud, M. Zimmermann, and W. Kurz, 1992, Acta Metall. Mater.</w:t>
      </w:r>
      <w:r w:rsidRPr="002A32D0">
        <w:rPr>
          <w:b/>
          <w:bCs/>
          <w:spacing w:val="-3"/>
        </w:rPr>
        <w:t xml:space="preserve"> 40,</w:t>
      </w:r>
      <w:r w:rsidRPr="002A32D0">
        <w:rPr>
          <w:spacing w:val="-3"/>
        </w:rPr>
        <w:t xml:space="preserve"> 983.</w:t>
      </w:r>
    </w:p>
    <w:p w14:paraId="6804B1FF" w14:textId="77777777" w:rsidR="00F7556C" w:rsidRPr="002A32D0" w:rsidRDefault="00F7556C" w:rsidP="00F7556C">
      <w:pPr>
        <w:tabs>
          <w:tab w:val="left" w:pos="-720"/>
          <w:tab w:val="left" w:pos="0"/>
        </w:tabs>
        <w:suppressAutoHyphens/>
        <w:ind w:left="720" w:hanging="720"/>
        <w:rPr>
          <w:spacing w:val="-3"/>
        </w:rPr>
      </w:pPr>
    </w:p>
    <w:p w14:paraId="172D7707" w14:textId="77777777" w:rsidR="00F7556C" w:rsidRPr="002A32D0" w:rsidRDefault="00F7556C" w:rsidP="00F7556C">
      <w:pPr>
        <w:tabs>
          <w:tab w:val="left" w:pos="-720"/>
          <w:tab w:val="left" w:pos="0"/>
        </w:tabs>
        <w:suppressAutoHyphens/>
        <w:ind w:left="720" w:hanging="720"/>
        <w:rPr>
          <w:spacing w:val="-3"/>
        </w:rPr>
      </w:pPr>
      <w:r w:rsidRPr="002A32D0">
        <w:rPr>
          <w:spacing w:val="-3"/>
        </w:rPr>
        <w:t>Carruthers, J.R., 1976, Thermal Convection Instabilities Relevant to Crystal Growth from Liquids in: Preparation and Properties of Solid State Materials, vol.2 (Marcel Recker, N.Y.)</w:t>
      </w:r>
    </w:p>
    <w:p w14:paraId="634C3420"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7D789620" w14:textId="77777777" w:rsidR="00F7556C" w:rsidRPr="002A32D0" w:rsidRDefault="00F7556C" w:rsidP="00F7556C">
      <w:pPr>
        <w:tabs>
          <w:tab w:val="left" w:pos="-720"/>
        </w:tabs>
        <w:suppressAutoHyphens/>
        <w:rPr>
          <w:spacing w:val="-3"/>
        </w:rPr>
      </w:pPr>
      <w:r w:rsidRPr="002A32D0">
        <w:rPr>
          <w:spacing w:val="-3"/>
        </w:rPr>
        <w:t xml:space="preserve">Cech, R. E., 1956, Trans. Met.Soc. AIME </w:t>
      </w:r>
      <w:r w:rsidRPr="002A32D0">
        <w:rPr>
          <w:b/>
          <w:bCs/>
          <w:spacing w:val="-3"/>
        </w:rPr>
        <w:t>206</w:t>
      </w:r>
      <w:r w:rsidRPr="002A32D0">
        <w:rPr>
          <w:spacing w:val="-3"/>
        </w:rPr>
        <w:t>, 585.</w:t>
      </w:r>
    </w:p>
    <w:p w14:paraId="1624360D" w14:textId="77777777" w:rsidR="00F7556C" w:rsidRPr="002A32D0" w:rsidRDefault="00F7556C" w:rsidP="00F7556C">
      <w:pPr>
        <w:tabs>
          <w:tab w:val="left" w:pos="-720"/>
        </w:tabs>
        <w:suppressAutoHyphens/>
        <w:rPr>
          <w:spacing w:val="-3"/>
        </w:rPr>
      </w:pPr>
    </w:p>
    <w:p w14:paraId="063A3DE9" w14:textId="77777777" w:rsidR="00F7556C" w:rsidRPr="002A32D0" w:rsidRDefault="00F7556C" w:rsidP="00F7556C">
      <w:pPr>
        <w:tabs>
          <w:tab w:val="left" w:pos="-720"/>
          <w:tab w:val="left" w:pos="0"/>
        </w:tabs>
        <w:suppressAutoHyphens/>
        <w:ind w:left="720" w:hanging="720"/>
        <w:rPr>
          <w:spacing w:val="-3"/>
        </w:rPr>
      </w:pPr>
      <w:r w:rsidRPr="002A32D0">
        <w:rPr>
          <w:spacing w:val="-3"/>
        </w:rPr>
        <w:t>Chadwick, G. A., 1963, in Progress in Materials Science, Vol.12, Pergamon Press, Oxford, edited by B. Chalmers, p.97.</w:t>
      </w:r>
    </w:p>
    <w:p w14:paraId="0365B511" w14:textId="77777777" w:rsidR="00F7556C" w:rsidRPr="002A32D0" w:rsidRDefault="00F7556C" w:rsidP="00F7556C">
      <w:pPr>
        <w:tabs>
          <w:tab w:val="left" w:pos="-720"/>
          <w:tab w:val="left" w:pos="0"/>
        </w:tabs>
        <w:suppressAutoHyphens/>
        <w:ind w:left="720" w:hanging="720"/>
        <w:rPr>
          <w:spacing w:val="-3"/>
        </w:rPr>
      </w:pPr>
    </w:p>
    <w:p w14:paraId="6FE00119" w14:textId="77777777" w:rsidR="00F7556C" w:rsidRPr="002A32D0" w:rsidRDefault="00F7556C" w:rsidP="00F7556C">
      <w:pPr>
        <w:tabs>
          <w:tab w:val="left" w:pos="-720"/>
        </w:tabs>
        <w:suppressAutoHyphens/>
        <w:rPr>
          <w:spacing w:val="-3"/>
        </w:rPr>
      </w:pPr>
      <w:r w:rsidRPr="002A32D0">
        <w:rPr>
          <w:spacing w:val="-3"/>
        </w:rPr>
        <w:t xml:space="preserve">Chadwick, G.A., 1963, Prog.Mater.Sci., </w:t>
      </w:r>
      <w:r w:rsidRPr="002A32D0">
        <w:rPr>
          <w:b/>
          <w:bCs/>
          <w:spacing w:val="-3"/>
        </w:rPr>
        <w:t>12</w:t>
      </w:r>
      <w:r w:rsidRPr="002A32D0">
        <w:rPr>
          <w:spacing w:val="-3"/>
        </w:rPr>
        <w:t>, 2.</w:t>
      </w:r>
    </w:p>
    <w:p w14:paraId="7F97178F" w14:textId="77777777" w:rsidR="00F7556C" w:rsidRPr="002A32D0" w:rsidRDefault="00F7556C" w:rsidP="00F7556C">
      <w:pPr>
        <w:tabs>
          <w:tab w:val="left" w:pos="-720"/>
          <w:tab w:val="left" w:pos="0"/>
        </w:tabs>
        <w:suppressAutoHyphens/>
        <w:ind w:left="720" w:hanging="720"/>
        <w:rPr>
          <w:spacing w:val="-3"/>
        </w:rPr>
      </w:pPr>
    </w:p>
    <w:p w14:paraId="626FD656" w14:textId="77777777" w:rsidR="00F7556C" w:rsidRPr="002A32D0" w:rsidRDefault="00F7556C" w:rsidP="00F7556C">
      <w:pPr>
        <w:tabs>
          <w:tab w:val="left" w:pos="-720"/>
        </w:tabs>
        <w:suppressAutoHyphens/>
        <w:rPr>
          <w:spacing w:val="-3"/>
        </w:rPr>
      </w:pPr>
      <w:r w:rsidRPr="002A32D0">
        <w:rPr>
          <w:spacing w:val="-3"/>
        </w:rPr>
        <w:t>Chadwick, G. A., 1965, Brit. J. Appl. Phys.</w:t>
      </w:r>
      <w:r w:rsidRPr="002A32D0">
        <w:rPr>
          <w:b/>
          <w:bCs/>
          <w:spacing w:val="-3"/>
        </w:rPr>
        <w:t xml:space="preserve"> 16</w:t>
      </w:r>
      <w:r w:rsidRPr="002A32D0">
        <w:rPr>
          <w:spacing w:val="-3"/>
        </w:rPr>
        <w:t>, 1095.</w:t>
      </w:r>
    </w:p>
    <w:p w14:paraId="777E9826" w14:textId="77777777" w:rsidR="00F7556C" w:rsidRPr="002A32D0" w:rsidRDefault="00F7556C" w:rsidP="00F7556C">
      <w:pPr>
        <w:tabs>
          <w:tab w:val="left" w:pos="-720"/>
        </w:tabs>
        <w:suppressAutoHyphens/>
        <w:rPr>
          <w:spacing w:val="-3"/>
        </w:rPr>
      </w:pPr>
    </w:p>
    <w:p w14:paraId="4E9FF41F" w14:textId="77777777" w:rsidR="00F7556C" w:rsidRPr="002A32D0" w:rsidRDefault="00F7556C" w:rsidP="00F7556C">
      <w:pPr>
        <w:tabs>
          <w:tab w:val="left" w:pos="-720"/>
        </w:tabs>
        <w:suppressAutoHyphens/>
        <w:rPr>
          <w:spacing w:val="-3"/>
        </w:rPr>
      </w:pPr>
      <w:r w:rsidRPr="002A32D0">
        <w:rPr>
          <w:spacing w:val="-3"/>
        </w:rPr>
        <w:t>Chalmers, B., 1964, Principles of Solidification (Wiley, N.Y.).</w:t>
      </w:r>
    </w:p>
    <w:p w14:paraId="69652F16" w14:textId="77777777" w:rsidR="00F7556C" w:rsidRPr="002A32D0" w:rsidRDefault="00F7556C" w:rsidP="00F7556C">
      <w:pPr>
        <w:tabs>
          <w:tab w:val="left" w:pos="-720"/>
        </w:tabs>
        <w:suppressAutoHyphens/>
        <w:rPr>
          <w:spacing w:val="-3"/>
        </w:rPr>
      </w:pPr>
    </w:p>
    <w:p w14:paraId="69CC596C" w14:textId="77777777" w:rsidR="00F7556C" w:rsidRPr="002A32D0" w:rsidRDefault="00F7556C" w:rsidP="00F7556C">
      <w:pPr>
        <w:tabs>
          <w:tab w:val="left" w:pos="-720"/>
          <w:tab w:val="left" w:pos="0"/>
        </w:tabs>
        <w:suppressAutoHyphens/>
        <w:ind w:left="720" w:hanging="720"/>
        <w:rPr>
          <w:spacing w:val="-3"/>
        </w:rPr>
      </w:pPr>
      <w:r w:rsidRPr="002A32D0">
        <w:rPr>
          <w:spacing w:val="-3"/>
        </w:rPr>
        <w:t>Chalmers, B., 1971, in: Solidification (American Society for Metals, ASM, Metals Park, OH) p.295.</w:t>
      </w:r>
    </w:p>
    <w:p w14:paraId="5F8F7CCB" w14:textId="77777777" w:rsidR="00F7556C" w:rsidRPr="002A32D0" w:rsidRDefault="00F7556C" w:rsidP="00F7556C">
      <w:pPr>
        <w:tabs>
          <w:tab w:val="left" w:pos="-720"/>
          <w:tab w:val="left" w:pos="0"/>
        </w:tabs>
        <w:suppressAutoHyphens/>
        <w:ind w:left="720" w:hanging="720"/>
        <w:rPr>
          <w:spacing w:val="-3"/>
        </w:rPr>
      </w:pPr>
    </w:p>
    <w:p w14:paraId="1EB35B8E"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 xml:space="preserve">Chang, Ch.J. and R.A.Brown, 1983, J. Cryst. Growth </w:t>
      </w:r>
      <w:r w:rsidRPr="002A32D0">
        <w:rPr>
          <w:b/>
          <w:bCs/>
          <w:spacing w:val="-3"/>
        </w:rPr>
        <w:t>63</w:t>
      </w:r>
      <w:r w:rsidRPr="002A32D0">
        <w:rPr>
          <w:spacing w:val="-3"/>
        </w:rPr>
        <w:t>, 343.</w:t>
      </w:r>
    </w:p>
    <w:p w14:paraId="61CC07F6"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6B5A5D1A"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Chen L. Q. (1995). Scripta Met. et Mat. 32, 115-?.</w:t>
      </w:r>
    </w:p>
    <w:p w14:paraId="04B2AE80"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55DD284F"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Chen SW and Chang YA, 1992, Microsegregation in solidification for ternary alloys,  Metallurgical and Materials Transactions A  23, 1038-1043</w:t>
      </w:r>
    </w:p>
    <w:p w14:paraId="2060474D"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289C1E54"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r w:rsidRPr="002A32D0">
        <w:rPr>
          <w:spacing w:val="-3"/>
        </w:rPr>
        <w:t>Chernov, A. A., 1984, Modern Crystallography III: Crystal Growth Springer-Verlag, Berlin.</w:t>
      </w:r>
    </w:p>
    <w:p w14:paraId="08444FB1"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p>
    <w:p w14:paraId="3FB1DE3E"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r w:rsidRPr="002A32D0">
        <w:rPr>
          <w:spacing w:val="-3"/>
        </w:rPr>
        <w:t xml:space="preserve">Chernov, A.A, 2004, Notes on interface growth kinetics 50 years after Burton, Cabrera and Frank, J. Cryst. Growth </w:t>
      </w:r>
      <w:r w:rsidRPr="002A32D0">
        <w:rPr>
          <w:b/>
          <w:spacing w:val="-3"/>
        </w:rPr>
        <w:t>264</w:t>
      </w:r>
      <w:r w:rsidRPr="002A32D0">
        <w:rPr>
          <w:spacing w:val="-3"/>
        </w:rPr>
        <w:t xml:space="preserve"> 499-518.</w:t>
      </w:r>
    </w:p>
    <w:p w14:paraId="25A7B90E"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p>
    <w:p w14:paraId="2E732155"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r w:rsidRPr="002A32D0">
        <w:rPr>
          <w:spacing w:val="-3"/>
        </w:rPr>
        <w:t xml:space="preserve">Cheveigne De, S., C.Guthmann, P.Kuroski, E.Vicente and H.Biloni, 1988, J. Cryst. Growth, </w:t>
      </w:r>
      <w:r w:rsidRPr="002A32D0">
        <w:rPr>
          <w:b/>
          <w:bCs/>
          <w:spacing w:val="-3"/>
        </w:rPr>
        <w:t>92</w:t>
      </w:r>
      <w:r w:rsidRPr="002A32D0">
        <w:rPr>
          <w:spacing w:val="-3"/>
        </w:rPr>
        <w:t>, 616.</w:t>
      </w:r>
    </w:p>
    <w:p w14:paraId="11D28C27"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p>
    <w:p w14:paraId="55577894"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r w:rsidRPr="002A32D0">
        <w:rPr>
          <w:spacing w:val="-3"/>
        </w:rPr>
        <w:t xml:space="preserve">Chopra, M. A., M. E. Glicksman, and N. B. Singh, N. B., 1988, Metall. Trans </w:t>
      </w:r>
      <w:r w:rsidRPr="002A32D0">
        <w:rPr>
          <w:b/>
          <w:bCs/>
          <w:spacing w:val="-3"/>
        </w:rPr>
        <w:t>19A</w:t>
      </w:r>
      <w:r w:rsidRPr="002A32D0">
        <w:rPr>
          <w:spacing w:val="-3"/>
        </w:rPr>
        <w:t>, 3087.</w:t>
      </w:r>
    </w:p>
    <w:p w14:paraId="17B99963"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p>
    <w:p w14:paraId="463E39B7"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Choudhary, S.K. and Gosh, A.: ISIJ Int., 1994, 34, 338–345.</w:t>
      </w:r>
    </w:p>
    <w:p w14:paraId="5C38F7A6"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108170CD" w14:textId="4C39EA09" w:rsidR="00F7556C" w:rsidRPr="002A32D0" w:rsidRDefault="002A32D0" w:rsidP="00F7556C">
      <w:pPr>
        <w:tabs>
          <w:tab w:val="left" w:pos="-1172"/>
          <w:tab w:val="left" w:pos="-720"/>
          <w:tab w:val="left" w:pos="0"/>
          <w:tab w:val="left" w:pos="714"/>
          <w:tab w:val="left" w:pos="2160"/>
        </w:tabs>
        <w:suppressAutoHyphens/>
        <w:jc w:val="both"/>
        <w:rPr>
          <w:spacing w:val="-3"/>
        </w:rPr>
      </w:pPr>
      <w:r w:rsidRPr="002A32D0">
        <w:rPr>
          <w:spacing w:val="-3"/>
        </w:rPr>
        <w:lastRenderedPageBreak/>
        <w:t>Clapham</w:t>
      </w:r>
      <w:r w:rsidR="00F7556C" w:rsidRPr="002A32D0">
        <w:rPr>
          <w:spacing w:val="-3"/>
        </w:rPr>
        <w:t xml:space="preserve">, L. and </w:t>
      </w:r>
      <w:r>
        <w:rPr>
          <w:spacing w:val="-3"/>
        </w:rPr>
        <w:t xml:space="preserve">Smith, </w:t>
      </w:r>
      <w:r w:rsidR="00F7556C" w:rsidRPr="002A32D0">
        <w:rPr>
          <w:spacing w:val="-3"/>
        </w:rPr>
        <w:t>R.W</w:t>
      </w:r>
      <w:r>
        <w:rPr>
          <w:spacing w:val="-3"/>
        </w:rPr>
        <w:t>.</w:t>
      </w:r>
      <w:r w:rsidR="00F7556C" w:rsidRPr="002A32D0">
        <w:rPr>
          <w:spacing w:val="-3"/>
        </w:rPr>
        <w:t xml:space="preserve">, 1988, J. Cryst.Growth, </w:t>
      </w:r>
      <w:r w:rsidR="00F7556C" w:rsidRPr="002A32D0">
        <w:rPr>
          <w:b/>
          <w:bCs/>
          <w:spacing w:val="-3"/>
        </w:rPr>
        <w:t>92</w:t>
      </w:r>
      <w:r w:rsidR="00F7556C" w:rsidRPr="002A32D0">
        <w:rPr>
          <w:spacing w:val="-3"/>
        </w:rPr>
        <w:t>, 263.</w:t>
      </w:r>
    </w:p>
    <w:p w14:paraId="50D1259D" w14:textId="77777777" w:rsidR="00F7556C" w:rsidRPr="002A32D0" w:rsidRDefault="00F7556C" w:rsidP="00F7556C">
      <w:pPr>
        <w:tabs>
          <w:tab w:val="left" w:pos="-1172"/>
          <w:tab w:val="left" w:pos="-720"/>
          <w:tab w:val="left" w:pos="0"/>
          <w:tab w:val="left" w:pos="714"/>
          <w:tab w:val="left" w:pos="2160"/>
        </w:tabs>
        <w:suppressAutoHyphens/>
        <w:jc w:val="both"/>
        <w:rPr>
          <w:spacing w:val="-3"/>
        </w:rPr>
      </w:pPr>
    </w:p>
    <w:p w14:paraId="029CDA45"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r w:rsidRPr="002A32D0">
        <w:rPr>
          <w:spacing w:val="-3"/>
        </w:rPr>
        <w:t xml:space="preserve">Clyne, T.W. and A. García, 1980, Int.J.Heat and Mass Transfer </w:t>
      </w:r>
      <w:r w:rsidRPr="002A32D0">
        <w:rPr>
          <w:b/>
          <w:bCs/>
          <w:spacing w:val="-3"/>
        </w:rPr>
        <w:t>23</w:t>
      </w:r>
      <w:r w:rsidRPr="002A32D0">
        <w:rPr>
          <w:spacing w:val="-3"/>
        </w:rPr>
        <w:t>, 773.</w:t>
      </w:r>
    </w:p>
    <w:p w14:paraId="566E4190"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p>
    <w:p w14:paraId="5ED60981"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 xml:space="preserve">Clyne,T.W., 1980 a), J. Cryst. Growth </w:t>
      </w:r>
      <w:r w:rsidRPr="002A32D0">
        <w:rPr>
          <w:b/>
          <w:bCs/>
          <w:spacing w:val="-3"/>
        </w:rPr>
        <w:t>50</w:t>
      </w:r>
      <w:r w:rsidRPr="002A32D0">
        <w:rPr>
          <w:spacing w:val="-3"/>
        </w:rPr>
        <w:t>, 684.</w:t>
      </w:r>
    </w:p>
    <w:p w14:paraId="543782B0"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709D7832"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 xml:space="preserve">Clyne,T.W., 1980 b), J. Cryst. Growth </w:t>
      </w:r>
      <w:r w:rsidRPr="002A32D0">
        <w:rPr>
          <w:b/>
          <w:bCs/>
          <w:spacing w:val="-3"/>
        </w:rPr>
        <w:t>50</w:t>
      </w:r>
      <w:r w:rsidRPr="002A32D0">
        <w:rPr>
          <w:spacing w:val="-3"/>
        </w:rPr>
        <w:t xml:space="preserve">, 691. </w:t>
      </w:r>
    </w:p>
    <w:p w14:paraId="64190355"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2EA1C6BF"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Clyne,T.W. and A. Garcia, 1981, J. Mat.Sc.</w:t>
      </w:r>
      <w:r w:rsidRPr="002A32D0">
        <w:rPr>
          <w:b/>
          <w:bCs/>
          <w:spacing w:val="-3"/>
        </w:rPr>
        <w:t xml:space="preserve"> 16</w:t>
      </w:r>
      <w:r w:rsidRPr="002A32D0">
        <w:rPr>
          <w:spacing w:val="-3"/>
        </w:rPr>
        <w:t>, 1643.</w:t>
      </w:r>
    </w:p>
    <w:p w14:paraId="0F525253"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642CF1D2"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 xml:space="preserve">Clyne,T.W., 1984, Metall.Trans. </w:t>
      </w:r>
      <w:r w:rsidRPr="002A32D0">
        <w:rPr>
          <w:b/>
          <w:bCs/>
          <w:spacing w:val="-3"/>
        </w:rPr>
        <w:t>15B</w:t>
      </w:r>
      <w:r w:rsidRPr="002A32D0">
        <w:rPr>
          <w:spacing w:val="-3"/>
        </w:rPr>
        <w:t>, 369.</w:t>
      </w:r>
    </w:p>
    <w:p w14:paraId="2B4603EB"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38112729"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Cole, G.S., 1971, in: Solidification (ASM Metals Park, OH), p. 201.</w:t>
      </w:r>
    </w:p>
    <w:p w14:paraId="5442D1D1"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2278159F"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r w:rsidRPr="002A32D0">
        <w:rPr>
          <w:spacing w:val="-3"/>
        </w:rPr>
        <w:t xml:space="preserve">Coriell, S.R. D.T.J.Hurle and R.F.Sekerka, 1976, J. Cryst. Growth, </w:t>
      </w:r>
      <w:r w:rsidRPr="002A32D0">
        <w:rPr>
          <w:b/>
          <w:bCs/>
          <w:spacing w:val="-3"/>
        </w:rPr>
        <w:t>32</w:t>
      </w:r>
      <w:r w:rsidRPr="002A32D0">
        <w:rPr>
          <w:spacing w:val="-3"/>
        </w:rPr>
        <w:t>, 1.</w:t>
      </w:r>
    </w:p>
    <w:p w14:paraId="73E22E4E"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p>
    <w:p w14:paraId="4717535B"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Coriell, S.R. and R.F.Sekerka,1979, J.Cryst. Growth</w:t>
      </w:r>
      <w:r w:rsidRPr="002A32D0">
        <w:rPr>
          <w:b/>
          <w:bCs/>
          <w:spacing w:val="-3"/>
        </w:rPr>
        <w:t xml:space="preserve"> 46</w:t>
      </w:r>
      <w:r w:rsidRPr="002A32D0">
        <w:rPr>
          <w:spacing w:val="-3"/>
        </w:rPr>
        <w:t>,   479.</w:t>
      </w:r>
    </w:p>
    <w:p w14:paraId="64E5AEFC"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5A76ED16"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r w:rsidRPr="002A32D0">
        <w:rPr>
          <w:spacing w:val="-3"/>
        </w:rPr>
        <w:t xml:space="preserve">Coriell, S.R., R.F.Boisvert, R.G.Rehm and R.F.Sekerka, 1981,  J.Cryst. Growth </w:t>
      </w:r>
      <w:r w:rsidRPr="002A32D0">
        <w:rPr>
          <w:b/>
          <w:bCs/>
          <w:spacing w:val="-3"/>
        </w:rPr>
        <w:t>54</w:t>
      </w:r>
      <w:r w:rsidRPr="002A32D0">
        <w:rPr>
          <w:spacing w:val="-3"/>
        </w:rPr>
        <w:t>, 167.</w:t>
      </w:r>
    </w:p>
    <w:p w14:paraId="1F724248"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p>
    <w:p w14:paraId="7D657D19"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 xml:space="preserve">Coriell,  S.R. and D. Turnbull, 1982, Acta Metall. </w:t>
      </w:r>
      <w:r w:rsidRPr="002A32D0">
        <w:rPr>
          <w:b/>
          <w:bCs/>
          <w:spacing w:val="-3"/>
        </w:rPr>
        <w:t>30</w:t>
      </w:r>
      <w:r w:rsidRPr="002A32D0">
        <w:rPr>
          <w:spacing w:val="-3"/>
        </w:rPr>
        <w:t>, 2135.</w:t>
      </w:r>
    </w:p>
    <w:p w14:paraId="397D2A15"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11C4472A"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 xml:space="preserve">Coriell, S.R. and R.F.Sekerka, 1983, J.Cryst.Growth, </w:t>
      </w:r>
      <w:r w:rsidRPr="002A32D0">
        <w:rPr>
          <w:b/>
          <w:bCs/>
          <w:spacing w:val="-3"/>
        </w:rPr>
        <w:t>61</w:t>
      </w:r>
      <w:r w:rsidRPr="002A32D0">
        <w:rPr>
          <w:spacing w:val="-3"/>
        </w:rPr>
        <w:t>, 499.</w:t>
      </w:r>
    </w:p>
    <w:p w14:paraId="31EAE070"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1AB0FBC9" w14:textId="7CA7C1EC" w:rsidR="00F7556C" w:rsidRPr="002A32D0" w:rsidRDefault="002A32D0" w:rsidP="00F7556C">
      <w:pPr>
        <w:tabs>
          <w:tab w:val="left" w:pos="-1172"/>
          <w:tab w:val="left" w:pos="-720"/>
          <w:tab w:val="left" w:pos="0"/>
          <w:tab w:val="left" w:pos="714"/>
          <w:tab w:val="left" w:pos="2160"/>
        </w:tabs>
        <w:suppressAutoHyphens/>
        <w:rPr>
          <w:spacing w:val="-3"/>
        </w:rPr>
      </w:pPr>
      <w:r w:rsidRPr="002A32D0">
        <w:rPr>
          <w:spacing w:val="-3"/>
        </w:rPr>
        <w:t>Coriell</w:t>
      </w:r>
      <w:r w:rsidR="00F7556C" w:rsidRPr="002A32D0">
        <w:rPr>
          <w:spacing w:val="-3"/>
        </w:rPr>
        <w:t>, S.R., Mcfadden</w:t>
      </w:r>
      <w:r>
        <w:rPr>
          <w:spacing w:val="-3"/>
        </w:rPr>
        <w:t>, G.B.,</w:t>
      </w:r>
      <w:r w:rsidR="00F7556C" w:rsidRPr="002A32D0">
        <w:rPr>
          <w:spacing w:val="-3"/>
        </w:rPr>
        <w:t xml:space="preserve"> and </w:t>
      </w:r>
      <w:r w:rsidRPr="002A32D0">
        <w:rPr>
          <w:spacing w:val="-3"/>
        </w:rPr>
        <w:t>Sekerka</w:t>
      </w:r>
      <w:r w:rsidR="00F7556C" w:rsidRPr="002A32D0">
        <w:rPr>
          <w:spacing w:val="-3"/>
        </w:rPr>
        <w:t>,</w:t>
      </w:r>
      <w:r>
        <w:rPr>
          <w:spacing w:val="-3"/>
        </w:rPr>
        <w:t xml:space="preserve"> R.F.,</w:t>
      </w:r>
      <w:r w:rsidR="00F7556C" w:rsidRPr="002A32D0">
        <w:rPr>
          <w:spacing w:val="-3"/>
        </w:rPr>
        <w:t xml:space="preserve"> 1985, Ann Rev.Mat.Sci, </w:t>
      </w:r>
      <w:r w:rsidR="00F7556C" w:rsidRPr="002A32D0">
        <w:rPr>
          <w:b/>
          <w:bCs/>
          <w:spacing w:val="-3"/>
        </w:rPr>
        <w:t>15</w:t>
      </w:r>
      <w:r w:rsidR="00F7556C" w:rsidRPr="002A32D0">
        <w:rPr>
          <w:spacing w:val="-3"/>
        </w:rPr>
        <w:t>, 119.</w:t>
      </w:r>
    </w:p>
    <w:p w14:paraId="12B8125B"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3AA4F9B6"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r w:rsidRPr="002A32D0">
        <w:rPr>
          <w:spacing w:val="-3"/>
        </w:rPr>
        <w:t xml:space="preserve">Coriell,  S.R., G.B. McFadden, P.W.Voorhees and R.F.Sekerka, 1987, J.Cryst.Growth, </w:t>
      </w:r>
      <w:r w:rsidRPr="002A32D0">
        <w:rPr>
          <w:b/>
          <w:bCs/>
          <w:spacing w:val="-3"/>
        </w:rPr>
        <w:t>82</w:t>
      </w:r>
      <w:r w:rsidRPr="002A32D0">
        <w:rPr>
          <w:spacing w:val="-3"/>
        </w:rPr>
        <w:t>, 295.</w:t>
      </w:r>
    </w:p>
    <w:p w14:paraId="660C8DFC"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0AAFF8B5" w14:textId="4AC78666"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 xml:space="preserve">Coriell, S.R., and </w:t>
      </w:r>
      <w:r w:rsidR="002A32D0" w:rsidRPr="002A32D0">
        <w:rPr>
          <w:spacing w:val="-3"/>
        </w:rPr>
        <w:t>Mcfadden</w:t>
      </w:r>
      <w:r w:rsidR="002A32D0">
        <w:rPr>
          <w:spacing w:val="-3"/>
        </w:rPr>
        <w:t>, G.B.,</w:t>
      </w:r>
      <w:r w:rsidR="002A32D0" w:rsidRPr="002A32D0">
        <w:rPr>
          <w:spacing w:val="-3"/>
        </w:rPr>
        <w:t xml:space="preserve"> </w:t>
      </w:r>
      <w:r w:rsidRPr="002A32D0">
        <w:rPr>
          <w:spacing w:val="-3"/>
        </w:rPr>
        <w:t>1989, J. Cryst. Growth</w:t>
      </w:r>
      <w:r w:rsidRPr="002A32D0">
        <w:rPr>
          <w:b/>
          <w:bCs/>
          <w:spacing w:val="-3"/>
        </w:rPr>
        <w:t xml:space="preserve"> 94</w:t>
      </w:r>
      <w:r w:rsidRPr="002A32D0">
        <w:rPr>
          <w:spacing w:val="-3"/>
        </w:rPr>
        <w:t>, 513.</w:t>
      </w:r>
    </w:p>
    <w:p w14:paraId="1BE4EA68"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p>
    <w:p w14:paraId="38016987" w14:textId="637BE712" w:rsidR="00F7556C" w:rsidRPr="002A32D0" w:rsidRDefault="00194AF6" w:rsidP="00F7556C">
      <w:pPr>
        <w:tabs>
          <w:tab w:val="left" w:pos="-1172"/>
          <w:tab w:val="left" w:pos="-720"/>
          <w:tab w:val="left" w:pos="0"/>
          <w:tab w:val="left" w:pos="714"/>
          <w:tab w:val="left" w:pos="2160"/>
        </w:tabs>
        <w:suppressAutoHyphens/>
        <w:ind w:left="714" w:hanging="714"/>
        <w:rPr>
          <w:spacing w:val="-3"/>
        </w:rPr>
      </w:pPr>
      <w:r w:rsidRPr="002A32D0">
        <w:rPr>
          <w:spacing w:val="-3"/>
        </w:rPr>
        <w:t>Coriell</w:t>
      </w:r>
      <w:r w:rsidR="00F7556C" w:rsidRPr="002A32D0">
        <w:rPr>
          <w:spacing w:val="-3"/>
        </w:rPr>
        <w:t xml:space="preserve">, S.R., </w:t>
      </w:r>
      <w:r w:rsidR="002A32D0" w:rsidRPr="002A32D0">
        <w:rPr>
          <w:spacing w:val="-3"/>
        </w:rPr>
        <w:t>Mcfadden</w:t>
      </w:r>
      <w:r w:rsidR="002A32D0">
        <w:rPr>
          <w:spacing w:val="-3"/>
        </w:rPr>
        <w:t>, G.B.,</w:t>
      </w:r>
      <w:r w:rsidR="002A32D0" w:rsidRPr="002A32D0">
        <w:rPr>
          <w:spacing w:val="-3"/>
        </w:rPr>
        <w:t xml:space="preserve"> </w:t>
      </w:r>
      <w:r w:rsidR="00F7556C" w:rsidRPr="002A32D0">
        <w:rPr>
          <w:spacing w:val="-3"/>
        </w:rPr>
        <w:t xml:space="preserve">and R.F.SEKERKA, 1990, J.Cryst.Growth, </w:t>
      </w:r>
      <w:r w:rsidR="00F7556C" w:rsidRPr="002A32D0">
        <w:rPr>
          <w:b/>
          <w:bCs/>
          <w:spacing w:val="-3"/>
        </w:rPr>
        <w:t>100</w:t>
      </w:r>
      <w:r w:rsidR="00F7556C" w:rsidRPr="002A32D0">
        <w:rPr>
          <w:spacing w:val="-3"/>
        </w:rPr>
        <w:t>, 459.</w:t>
      </w:r>
    </w:p>
    <w:p w14:paraId="293A4067"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p>
    <w:p w14:paraId="3AC57986" w14:textId="235C8C96" w:rsidR="00F7556C" w:rsidRPr="002A32D0" w:rsidRDefault="00194AF6" w:rsidP="00F7556C">
      <w:pPr>
        <w:tabs>
          <w:tab w:val="left" w:pos="-1172"/>
          <w:tab w:val="left" w:pos="-720"/>
          <w:tab w:val="left" w:pos="0"/>
          <w:tab w:val="left" w:pos="714"/>
          <w:tab w:val="left" w:pos="2160"/>
        </w:tabs>
        <w:suppressAutoHyphens/>
        <w:ind w:left="714" w:hanging="714"/>
        <w:rPr>
          <w:spacing w:val="-3"/>
        </w:rPr>
      </w:pPr>
      <w:r w:rsidRPr="002A32D0">
        <w:rPr>
          <w:spacing w:val="-3"/>
        </w:rPr>
        <w:t>Coriell</w:t>
      </w:r>
      <w:r w:rsidR="00F7556C" w:rsidRPr="002A32D0">
        <w:rPr>
          <w:spacing w:val="-3"/>
        </w:rPr>
        <w:t xml:space="preserve">, S.R., and </w:t>
      </w:r>
      <w:r w:rsidRPr="002A32D0">
        <w:rPr>
          <w:spacing w:val="-3"/>
        </w:rPr>
        <w:t>Mcfadden</w:t>
      </w:r>
      <w:r>
        <w:rPr>
          <w:spacing w:val="-3"/>
        </w:rPr>
        <w:t>, G.B.,</w:t>
      </w:r>
      <w:r w:rsidRPr="002A32D0">
        <w:rPr>
          <w:spacing w:val="-3"/>
        </w:rPr>
        <w:t xml:space="preserve"> </w:t>
      </w:r>
      <w:r w:rsidR="00F7556C" w:rsidRPr="002A32D0">
        <w:rPr>
          <w:spacing w:val="-3"/>
        </w:rPr>
        <w:t>1990, in: Low Gravity Fluid Dynamics and Transport Phenomena, eds. J. N. Koster and R.L.Sani, vol.130 of Progress in Astronautics and Aeronautics AIAA, Washington D.C., p. 369.</w:t>
      </w:r>
    </w:p>
    <w:p w14:paraId="44D3D5CF"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p>
    <w:p w14:paraId="0DBE2EA9" w14:textId="3BC6F418" w:rsidR="00F7556C" w:rsidRPr="002A32D0" w:rsidRDefault="00194AF6" w:rsidP="00F7556C">
      <w:pPr>
        <w:tabs>
          <w:tab w:val="left" w:pos="-1172"/>
          <w:tab w:val="left" w:pos="-720"/>
          <w:tab w:val="left" w:pos="0"/>
          <w:tab w:val="left" w:pos="714"/>
          <w:tab w:val="left" w:pos="2160"/>
        </w:tabs>
        <w:suppressAutoHyphens/>
        <w:ind w:left="714" w:hanging="714"/>
        <w:rPr>
          <w:spacing w:val="-3"/>
        </w:rPr>
      </w:pPr>
      <w:r w:rsidRPr="002A32D0">
        <w:rPr>
          <w:spacing w:val="-3"/>
        </w:rPr>
        <w:t>Coriell</w:t>
      </w:r>
      <w:r w:rsidR="00F7556C" w:rsidRPr="002A32D0">
        <w:rPr>
          <w:spacing w:val="-3"/>
        </w:rPr>
        <w:t xml:space="preserve">, S.R. and </w:t>
      </w:r>
      <w:r w:rsidRPr="002A32D0">
        <w:rPr>
          <w:spacing w:val="-3"/>
        </w:rPr>
        <w:t>Mcfadden</w:t>
      </w:r>
      <w:r>
        <w:rPr>
          <w:spacing w:val="-3"/>
        </w:rPr>
        <w:t>, G.B.,</w:t>
      </w:r>
      <w:r w:rsidRPr="002A32D0">
        <w:rPr>
          <w:spacing w:val="-3"/>
        </w:rPr>
        <w:t xml:space="preserve"> </w:t>
      </w:r>
      <w:r w:rsidR="00F7556C" w:rsidRPr="002A32D0">
        <w:rPr>
          <w:spacing w:val="-3"/>
        </w:rPr>
        <w:t xml:space="preserve">1993, in: Handbook of Crystal Growth, ed. D.T.J.Hurle (Elsevier Science Publishers) vol.1, p. 785. </w:t>
      </w:r>
    </w:p>
    <w:p w14:paraId="5410AF4F" w14:textId="77777777" w:rsidR="0051677B" w:rsidRPr="002A32D0" w:rsidRDefault="0051677B" w:rsidP="00F7556C">
      <w:pPr>
        <w:tabs>
          <w:tab w:val="left" w:pos="-1172"/>
          <w:tab w:val="left" w:pos="-720"/>
          <w:tab w:val="left" w:pos="0"/>
          <w:tab w:val="left" w:pos="714"/>
          <w:tab w:val="left" w:pos="2160"/>
        </w:tabs>
        <w:suppressAutoHyphens/>
        <w:ind w:left="714" w:hanging="714"/>
        <w:rPr>
          <w:spacing w:val="-3"/>
        </w:rPr>
      </w:pPr>
    </w:p>
    <w:p w14:paraId="1F224018" w14:textId="77777777" w:rsidR="00F7556C" w:rsidRPr="002A32D0" w:rsidRDefault="0051677B" w:rsidP="00F7556C">
      <w:pPr>
        <w:tabs>
          <w:tab w:val="left" w:pos="-1172"/>
          <w:tab w:val="left" w:pos="-720"/>
          <w:tab w:val="left" w:pos="0"/>
          <w:tab w:val="left" w:pos="714"/>
          <w:tab w:val="left" w:pos="2160"/>
        </w:tabs>
        <w:suppressAutoHyphens/>
        <w:ind w:left="714" w:hanging="714"/>
        <w:rPr>
          <w:spacing w:val="-3"/>
        </w:rPr>
      </w:pPr>
      <w:r w:rsidRPr="002A32D0">
        <w:rPr>
          <w:spacing w:val="-3"/>
        </w:rPr>
        <w:t>Coriell, S.R. and Boettinger, W.J., 1994, NIST, Unpublished Results.</w:t>
      </w:r>
    </w:p>
    <w:p w14:paraId="00019CC2" w14:textId="77777777" w:rsidR="0051677B" w:rsidRPr="002A32D0" w:rsidRDefault="0051677B" w:rsidP="00F7556C">
      <w:pPr>
        <w:tabs>
          <w:tab w:val="left" w:pos="-1172"/>
          <w:tab w:val="left" w:pos="-720"/>
          <w:tab w:val="left" w:pos="0"/>
          <w:tab w:val="left" w:pos="714"/>
          <w:tab w:val="left" w:pos="2160"/>
        </w:tabs>
        <w:suppressAutoHyphens/>
        <w:ind w:left="714" w:hanging="714"/>
        <w:rPr>
          <w:spacing w:val="-3"/>
        </w:rPr>
      </w:pPr>
    </w:p>
    <w:p w14:paraId="58E76F41"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r w:rsidRPr="002A32D0">
        <w:rPr>
          <w:spacing w:val="-3"/>
        </w:rPr>
        <w:t xml:space="preserve">Craig,D.B., M.J.Nornung and T.K.Cluhan, 1988, Metals Handbook, 9th.ed., (ASM, Metals Park, OH) </w:t>
      </w:r>
      <w:r w:rsidRPr="002A32D0">
        <w:rPr>
          <w:b/>
          <w:bCs/>
          <w:spacing w:val="-3"/>
        </w:rPr>
        <w:t>15 "Casting"</w:t>
      </w:r>
      <w:r w:rsidRPr="002A32D0">
        <w:rPr>
          <w:spacing w:val="-3"/>
        </w:rPr>
        <w:t>, 629.</w:t>
      </w:r>
    </w:p>
    <w:p w14:paraId="41A3F3F8"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p>
    <w:p w14:paraId="49D35340"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r w:rsidRPr="002A32D0">
        <w:rPr>
          <w:spacing w:val="-3"/>
        </w:rPr>
        <w:t xml:space="preserve">Croker, M. N., R. S. Fidler, and R. W. Smith, 1973, Proc. Roy. Soc. London, </w:t>
      </w:r>
      <w:r w:rsidRPr="002A32D0">
        <w:rPr>
          <w:b/>
          <w:bCs/>
          <w:spacing w:val="-3"/>
        </w:rPr>
        <w:t>A133,</w:t>
      </w:r>
      <w:r w:rsidRPr="002A32D0">
        <w:rPr>
          <w:spacing w:val="-3"/>
        </w:rPr>
        <w:t xml:space="preserve"> 15.</w:t>
      </w:r>
    </w:p>
    <w:p w14:paraId="4B2D9624" w14:textId="77777777" w:rsidR="00027D14" w:rsidRPr="002A32D0" w:rsidRDefault="00027D14" w:rsidP="00F7556C">
      <w:pPr>
        <w:tabs>
          <w:tab w:val="left" w:pos="-1172"/>
          <w:tab w:val="left" w:pos="-720"/>
          <w:tab w:val="left" w:pos="0"/>
          <w:tab w:val="left" w:pos="714"/>
          <w:tab w:val="left" w:pos="2160"/>
        </w:tabs>
        <w:suppressAutoHyphens/>
        <w:ind w:left="714" w:hanging="714"/>
        <w:rPr>
          <w:spacing w:val="-3"/>
        </w:rPr>
      </w:pPr>
    </w:p>
    <w:p w14:paraId="2EE5BF64" w14:textId="77777777" w:rsidR="00027D14" w:rsidRPr="002A32D0" w:rsidRDefault="00027D14" w:rsidP="00F7556C">
      <w:pPr>
        <w:tabs>
          <w:tab w:val="left" w:pos="-1172"/>
          <w:tab w:val="left" w:pos="-720"/>
          <w:tab w:val="left" w:pos="0"/>
          <w:tab w:val="left" w:pos="714"/>
          <w:tab w:val="left" w:pos="2160"/>
        </w:tabs>
        <w:suppressAutoHyphens/>
        <w:ind w:left="714" w:hanging="714"/>
        <w:rPr>
          <w:spacing w:val="-3"/>
        </w:rPr>
      </w:pPr>
      <w:r w:rsidRPr="002A32D0">
        <w:rPr>
          <w:spacing w:val="-3"/>
        </w:rPr>
        <w:t xml:space="preserve">Cross, M., Pericleous, K., Croft, T.N., McBride, D., Lawrence, J.A., and Williams, A. J. (2006), </w:t>
      </w:r>
      <w:r w:rsidR="004A01AE" w:rsidRPr="002A32D0">
        <w:rPr>
          <w:spacing w:val="-3"/>
        </w:rPr>
        <w:t>Metall. Mat. Trans., 37B, pp. 879-885.</w:t>
      </w:r>
    </w:p>
    <w:p w14:paraId="3EEC30C7"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p>
    <w:p w14:paraId="061806C8" w14:textId="5A8F01E0" w:rsidR="00DC1C75" w:rsidRPr="002A32D0" w:rsidRDefault="00194AF6" w:rsidP="00F7556C">
      <w:pPr>
        <w:tabs>
          <w:tab w:val="left" w:pos="-1172"/>
          <w:tab w:val="left" w:pos="-720"/>
          <w:tab w:val="left" w:pos="0"/>
          <w:tab w:val="left" w:pos="714"/>
          <w:tab w:val="left" w:pos="2160"/>
        </w:tabs>
        <w:suppressAutoHyphens/>
        <w:ind w:left="714" w:hanging="714"/>
        <w:rPr>
          <w:spacing w:val="-3"/>
        </w:rPr>
      </w:pPr>
      <w:r w:rsidRPr="002A32D0">
        <w:rPr>
          <w:spacing w:val="-3"/>
        </w:rPr>
        <w:t>Crossley</w:t>
      </w:r>
      <w:r w:rsidR="00DC1C75" w:rsidRPr="002A32D0">
        <w:rPr>
          <w:spacing w:val="-3"/>
        </w:rPr>
        <w:t>,</w:t>
      </w:r>
      <w:r>
        <w:rPr>
          <w:spacing w:val="-3"/>
        </w:rPr>
        <w:t xml:space="preserve"> </w:t>
      </w:r>
      <w:r w:rsidR="00DC1C75" w:rsidRPr="002A32D0">
        <w:rPr>
          <w:spacing w:val="-3"/>
        </w:rPr>
        <w:t xml:space="preserve">P.A. and </w:t>
      </w:r>
      <w:r w:rsidRPr="002A32D0">
        <w:rPr>
          <w:spacing w:val="-3"/>
        </w:rPr>
        <w:t>Mondolfo</w:t>
      </w:r>
      <w:r w:rsidR="00DC1C75" w:rsidRPr="002A32D0">
        <w:rPr>
          <w:spacing w:val="-3"/>
        </w:rPr>
        <w:t xml:space="preserve">, </w:t>
      </w:r>
      <w:r>
        <w:rPr>
          <w:spacing w:val="-3"/>
        </w:rPr>
        <w:t xml:space="preserve">L.F., </w:t>
      </w:r>
      <w:r w:rsidR="00DC1C75" w:rsidRPr="002A32D0">
        <w:rPr>
          <w:spacing w:val="-3"/>
        </w:rPr>
        <w:t>1966, Modern Casting,49, 89.</w:t>
      </w:r>
    </w:p>
    <w:p w14:paraId="62C8DAE1" w14:textId="77777777" w:rsidR="00DC1C75" w:rsidRPr="002A32D0" w:rsidRDefault="00DC1C75" w:rsidP="00F7556C">
      <w:pPr>
        <w:tabs>
          <w:tab w:val="left" w:pos="-1172"/>
          <w:tab w:val="left" w:pos="-720"/>
          <w:tab w:val="left" w:pos="0"/>
          <w:tab w:val="left" w:pos="714"/>
          <w:tab w:val="left" w:pos="2160"/>
        </w:tabs>
        <w:suppressAutoHyphens/>
        <w:ind w:left="714" w:hanging="714"/>
        <w:rPr>
          <w:spacing w:val="-3"/>
        </w:rPr>
      </w:pPr>
    </w:p>
    <w:p w14:paraId="4E81DABB" w14:textId="46A609CE" w:rsidR="00F7556C" w:rsidRPr="002A32D0" w:rsidRDefault="004C4362" w:rsidP="00F7556C">
      <w:pPr>
        <w:tabs>
          <w:tab w:val="left" w:pos="-1172"/>
          <w:tab w:val="left" w:pos="-720"/>
          <w:tab w:val="left" w:pos="0"/>
          <w:tab w:val="left" w:pos="714"/>
          <w:tab w:val="left" w:pos="2160"/>
        </w:tabs>
        <w:suppressAutoHyphens/>
        <w:rPr>
          <w:spacing w:val="-3"/>
        </w:rPr>
      </w:pPr>
      <w:r w:rsidRPr="004C4362">
        <w:rPr>
          <w:spacing w:val="-3"/>
        </w:rPr>
        <w:t>Dantzig, J.A. and Rappaz, M.</w:t>
      </w:r>
      <w:r>
        <w:rPr>
          <w:spacing w:val="-3"/>
        </w:rPr>
        <w:t xml:space="preserve"> (</w:t>
      </w:r>
      <w:r w:rsidRPr="004C4362">
        <w:rPr>
          <w:spacing w:val="-3"/>
        </w:rPr>
        <w:t>2016</w:t>
      </w:r>
      <w:r>
        <w:rPr>
          <w:spacing w:val="-3"/>
        </w:rPr>
        <w:t>)</w:t>
      </w:r>
      <w:r w:rsidRPr="004C4362">
        <w:rPr>
          <w:spacing w:val="-3"/>
        </w:rPr>
        <w:t xml:space="preserve"> </w:t>
      </w:r>
      <w:r>
        <w:rPr>
          <w:spacing w:val="-3"/>
        </w:rPr>
        <w:t>“</w:t>
      </w:r>
      <w:r w:rsidRPr="004C4362">
        <w:rPr>
          <w:spacing w:val="-3"/>
        </w:rPr>
        <w:t>Solidification: -Revised &amp; Expanded</w:t>
      </w:r>
      <w:r>
        <w:rPr>
          <w:spacing w:val="-3"/>
        </w:rPr>
        <w:t>”</w:t>
      </w:r>
      <w:r w:rsidRPr="004C4362">
        <w:rPr>
          <w:spacing w:val="-3"/>
        </w:rPr>
        <w:t>. EPFL press</w:t>
      </w:r>
      <w:r>
        <w:rPr>
          <w:spacing w:val="-3"/>
        </w:rPr>
        <w:t xml:space="preserve"> </w:t>
      </w:r>
      <w:r w:rsidR="00F7556C" w:rsidRPr="002A32D0">
        <w:rPr>
          <w:spacing w:val="-3"/>
        </w:rPr>
        <w:t xml:space="preserve"> (CRC Press Taylor &amp; Francis Group)</w:t>
      </w:r>
      <w:r>
        <w:rPr>
          <w:spacing w:val="-3"/>
        </w:rPr>
        <w:t>.</w:t>
      </w:r>
    </w:p>
    <w:p w14:paraId="5D9A7C25"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0A997B8D"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 xml:space="preserve">Das, S, and  Paul, A.J., 1993, Metall.Trans. </w:t>
      </w:r>
      <w:r w:rsidRPr="002A32D0">
        <w:rPr>
          <w:b/>
          <w:bCs/>
          <w:spacing w:val="-3"/>
        </w:rPr>
        <w:t>24B</w:t>
      </w:r>
      <w:r w:rsidRPr="002A32D0">
        <w:rPr>
          <w:spacing w:val="-3"/>
        </w:rPr>
        <w:t>, 1073.</w:t>
      </w:r>
    </w:p>
    <w:p w14:paraId="3D25771C"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6157516D"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 xml:space="preserve">Daws M.S. and Baskes M.I. (1984), Embedded-atom method - derivation and application to impurities, surfaces, and other defects in metals  Phys. Rev. Lett. </w:t>
      </w:r>
      <w:r w:rsidRPr="002A32D0">
        <w:rPr>
          <w:b/>
          <w:spacing w:val="-3"/>
        </w:rPr>
        <w:t>B29</w:t>
      </w:r>
      <w:r w:rsidRPr="002A32D0">
        <w:rPr>
          <w:spacing w:val="-3"/>
        </w:rPr>
        <w:t>, 6443-6453.</w:t>
      </w:r>
    </w:p>
    <w:p w14:paraId="6DDB9DC8"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1D410409"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Day, M.G. and Hellawell, A., 1968, Proc. R. Soc. (London) A., Vol. 305, p. 473.</w:t>
      </w:r>
    </w:p>
    <w:p w14:paraId="624482D7"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795C6D6F" w14:textId="7D311099" w:rsidR="00F7556C" w:rsidRPr="002A32D0" w:rsidRDefault="00194AF6" w:rsidP="00F7556C">
      <w:pPr>
        <w:tabs>
          <w:tab w:val="left" w:pos="-1172"/>
          <w:tab w:val="left" w:pos="-720"/>
          <w:tab w:val="left" w:pos="0"/>
          <w:tab w:val="left" w:pos="714"/>
          <w:tab w:val="left" w:pos="2160"/>
        </w:tabs>
        <w:suppressAutoHyphens/>
        <w:ind w:left="714" w:hanging="714"/>
        <w:rPr>
          <w:spacing w:val="-3"/>
        </w:rPr>
      </w:pPr>
      <w:r w:rsidRPr="002A32D0">
        <w:rPr>
          <w:spacing w:val="-3"/>
        </w:rPr>
        <w:t>Dayte</w:t>
      </w:r>
      <w:r w:rsidR="00F7556C" w:rsidRPr="002A32D0">
        <w:rPr>
          <w:spacing w:val="-3"/>
        </w:rPr>
        <w:t xml:space="preserve">, V. and </w:t>
      </w:r>
      <w:r w:rsidRPr="002A32D0">
        <w:rPr>
          <w:spacing w:val="-3"/>
        </w:rPr>
        <w:t>Langer</w:t>
      </w:r>
      <w:r w:rsidR="00F7556C" w:rsidRPr="002A32D0">
        <w:rPr>
          <w:spacing w:val="-3"/>
        </w:rPr>
        <w:t xml:space="preserve">, </w:t>
      </w:r>
      <w:r>
        <w:rPr>
          <w:spacing w:val="-3"/>
        </w:rPr>
        <w:t xml:space="preserve">J.S., </w:t>
      </w:r>
      <w:r w:rsidR="00F7556C" w:rsidRPr="002A32D0">
        <w:rPr>
          <w:spacing w:val="-3"/>
        </w:rPr>
        <w:t xml:space="preserve">1981, Phys. Rev. B </w:t>
      </w:r>
      <w:r w:rsidR="00F7556C" w:rsidRPr="002A32D0">
        <w:rPr>
          <w:b/>
          <w:bCs/>
          <w:spacing w:val="-3"/>
        </w:rPr>
        <w:t>24</w:t>
      </w:r>
      <w:r w:rsidR="00F7556C" w:rsidRPr="002A32D0">
        <w:rPr>
          <w:spacing w:val="-3"/>
        </w:rPr>
        <w:t>, 4155.</w:t>
      </w:r>
    </w:p>
    <w:p w14:paraId="69DF3AC6"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p>
    <w:p w14:paraId="33DEBD16" w14:textId="77777777" w:rsidR="00F7556C" w:rsidRPr="002A32D0" w:rsidRDefault="00F7556C" w:rsidP="00F7556C">
      <w:pPr>
        <w:tabs>
          <w:tab w:val="left" w:pos="-1172"/>
          <w:tab w:val="left" w:pos="-720"/>
          <w:tab w:val="left" w:pos="0"/>
          <w:tab w:val="left" w:pos="714"/>
          <w:tab w:val="left" w:pos="2160"/>
        </w:tabs>
        <w:suppressAutoHyphens/>
        <w:ind w:left="714" w:hanging="714"/>
        <w:rPr>
          <w:b/>
          <w:bCs/>
          <w:spacing w:val="-3"/>
        </w:rPr>
      </w:pPr>
      <w:r w:rsidRPr="002A32D0">
        <w:rPr>
          <w:spacing w:val="-3"/>
        </w:rPr>
        <w:t xml:space="preserve">DAYTE, V., R. MATHUR and J. S. LANGER, 1982, J. Stat. Phys. </w:t>
      </w:r>
      <w:r w:rsidRPr="002A32D0">
        <w:rPr>
          <w:b/>
          <w:bCs/>
          <w:spacing w:val="-3"/>
        </w:rPr>
        <w:t xml:space="preserve">29, </w:t>
      </w:r>
      <w:r w:rsidRPr="002A32D0">
        <w:rPr>
          <w:spacing w:val="-3"/>
        </w:rPr>
        <w:t>1</w:t>
      </w:r>
      <w:r w:rsidRPr="002A32D0">
        <w:rPr>
          <w:b/>
          <w:bCs/>
          <w:spacing w:val="-3"/>
        </w:rPr>
        <w:t>.</w:t>
      </w:r>
    </w:p>
    <w:p w14:paraId="0308B1D7" w14:textId="77777777" w:rsidR="00F7556C" w:rsidRPr="002A32D0" w:rsidRDefault="00F7556C" w:rsidP="00F7556C">
      <w:pPr>
        <w:tabs>
          <w:tab w:val="left" w:pos="-1172"/>
          <w:tab w:val="left" w:pos="-720"/>
          <w:tab w:val="left" w:pos="0"/>
          <w:tab w:val="left" w:pos="714"/>
          <w:tab w:val="left" w:pos="2160"/>
        </w:tabs>
        <w:suppressAutoHyphens/>
        <w:ind w:left="714" w:hanging="714"/>
        <w:rPr>
          <w:b/>
          <w:bCs/>
          <w:spacing w:val="-3"/>
        </w:rPr>
      </w:pPr>
    </w:p>
    <w:p w14:paraId="7F9B2519"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 xml:space="preserve">Degand, C., Stefanescu, D.M., and Laslaz, G., 1996 in: </w:t>
      </w:r>
      <w:r w:rsidRPr="002A32D0">
        <w:rPr>
          <w:i/>
          <w:spacing w:val="-3"/>
        </w:rPr>
        <w:t>Solidification Science and Processing</w:t>
      </w:r>
      <w:r w:rsidRPr="002A32D0">
        <w:rPr>
          <w:spacing w:val="-3"/>
        </w:rPr>
        <w:t>, I.Ohnaka and D.M. Stefanescu eds., TMS, Warrendale, Pa, p. 55.</w:t>
      </w:r>
    </w:p>
    <w:p w14:paraId="7DEB1F6D"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4021865E" w14:textId="3142791A" w:rsidR="00F7556C" w:rsidRPr="002A32D0" w:rsidRDefault="00F7556C" w:rsidP="00F7556C">
      <w:pPr>
        <w:tabs>
          <w:tab w:val="left" w:pos="-1172"/>
          <w:tab w:val="left" w:pos="-720"/>
          <w:tab w:val="left" w:pos="0"/>
          <w:tab w:val="left" w:pos="714"/>
          <w:tab w:val="left" w:pos="2160"/>
        </w:tabs>
        <w:suppressAutoHyphens/>
        <w:jc w:val="both"/>
        <w:rPr>
          <w:spacing w:val="-3"/>
        </w:rPr>
      </w:pPr>
      <w:r w:rsidRPr="002A32D0">
        <w:rPr>
          <w:spacing w:val="-3"/>
        </w:rPr>
        <w:t>D</w:t>
      </w:r>
      <w:r w:rsidR="00194AF6">
        <w:rPr>
          <w:spacing w:val="-3"/>
        </w:rPr>
        <w:t>erby</w:t>
      </w:r>
      <w:r w:rsidRPr="002A32D0">
        <w:rPr>
          <w:spacing w:val="-3"/>
        </w:rPr>
        <w:t xml:space="preserve">, B., and </w:t>
      </w:r>
      <w:r w:rsidR="00194AF6" w:rsidRPr="002A32D0">
        <w:rPr>
          <w:spacing w:val="-3"/>
        </w:rPr>
        <w:t>Favier</w:t>
      </w:r>
      <w:r w:rsidRPr="002A32D0">
        <w:rPr>
          <w:spacing w:val="-3"/>
        </w:rPr>
        <w:t>,</w:t>
      </w:r>
      <w:r w:rsidR="00194AF6">
        <w:rPr>
          <w:spacing w:val="-3"/>
        </w:rPr>
        <w:t xml:space="preserve"> J.J.,</w:t>
      </w:r>
      <w:r w:rsidRPr="002A32D0">
        <w:rPr>
          <w:spacing w:val="-3"/>
        </w:rPr>
        <w:t xml:space="preserve"> 1983, Acta Metall.</w:t>
      </w:r>
      <w:r w:rsidRPr="002A32D0">
        <w:rPr>
          <w:b/>
          <w:bCs/>
          <w:spacing w:val="-3"/>
        </w:rPr>
        <w:t xml:space="preserve"> 31</w:t>
      </w:r>
      <w:r w:rsidRPr="002A32D0">
        <w:rPr>
          <w:spacing w:val="-3"/>
        </w:rPr>
        <w:t xml:space="preserve"> 1123.</w:t>
      </w:r>
    </w:p>
    <w:p w14:paraId="612CA208"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7028B014" w14:textId="77777777" w:rsidR="00F7556C" w:rsidRPr="002A32D0" w:rsidRDefault="00F7556C" w:rsidP="00F7556C">
      <w:pPr>
        <w:suppressAutoHyphens/>
        <w:jc w:val="both"/>
        <w:rPr>
          <w:spacing w:val="-3"/>
        </w:rPr>
      </w:pPr>
      <w:r w:rsidRPr="002A32D0">
        <w:rPr>
          <w:spacing w:val="-3"/>
        </w:rPr>
        <w:t xml:space="preserve">Dobler S. and Kurz W., (2004), Phase and microstructure selection in peritectic alloys under high G-V ratio, Zeitschrift fur Metallkunde  </w:t>
      </w:r>
      <w:r w:rsidRPr="002A32D0">
        <w:rPr>
          <w:b/>
          <w:spacing w:val="-3"/>
        </w:rPr>
        <w:t>7</w:t>
      </w:r>
      <w:r w:rsidRPr="002A32D0">
        <w:rPr>
          <w:spacing w:val="-3"/>
        </w:rPr>
        <w:t xml:space="preserve"> ,592-595.     </w:t>
      </w:r>
    </w:p>
    <w:p w14:paraId="63F7F17D" w14:textId="77777777" w:rsidR="00F7556C" w:rsidRPr="002A32D0" w:rsidRDefault="00F7556C" w:rsidP="00F7556C">
      <w:pPr>
        <w:suppressAutoHyphens/>
        <w:jc w:val="both"/>
        <w:rPr>
          <w:spacing w:val="-3"/>
        </w:rPr>
      </w:pPr>
    </w:p>
    <w:p w14:paraId="39F83CED" w14:textId="77777777" w:rsidR="00F7556C" w:rsidRPr="002A32D0" w:rsidRDefault="00F7556C" w:rsidP="00F7556C">
      <w:pPr>
        <w:suppressAutoHyphens/>
        <w:jc w:val="both"/>
        <w:rPr>
          <w:spacing w:val="-3"/>
        </w:rPr>
      </w:pPr>
      <w:r w:rsidRPr="002A32D0">
        <w:rPr>
          <w:spacing w:val="-3"/>
        </w:rPr>
        <w:t xml:space="preserve">Dobler S., Lo T.S., Plapp M. et al., (2004), Peritectic coupled growth, Acta Materialia </w:t>
      </w:r>
      <w:r w:rsidRPr="002A32D0">
        <w:rPr>
          <w:b/>
          <w:spacing w:val="-3"/>
        </w:rPr>
        <w:t>52</w:t>
      </w:r>
      <w:r w:rsidRPr="002A32D0">
        <w:rPr>
          <w:spacing w:val="-3"/>
        </w:rPr>
        <w:t xml:space="preserve">   2795-2808.</w:t>
      </w:r>
    </w:p>
    <w:p w14:paraId="23A76F0A" w14:textId="77777777" w:rsidR="00F7556C" w:rsidRPr="002A32D0" w:rsidRDefault="00F7556C" w:rsidP="00F7556C">
      <w:pPr>
        <w:suppressAutoHyphens/>
        <w:jc w:val="both"/>
        <w:rPr>
          <w:spacing w:val="-3"/>
        </w:rPr>
      </w:pPr>
    </w:p>
    <w:p w14:paraId="695B9B50"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 xml:space="preserve">Dupouy M.D., Camel, D., Favier, J.J. (1989) Acta Mater. </w:t>
      </w:r>
      <w:r w:rsidRPr="002A32D0">
        <w:rPr>
          <w:b/>
          <w:spacing w:val="-3"/>
        </w:rPr>
        <w:t>37</w:t>
      </w:r>
      <w:r w:rsidRPr="002A32D0">
        <w:rPr>
          <w:spacing w:val="-3"/>
        </w:rPr>
        <w:t>, 1143-1157.</w:t>
      </w:r>
    </w:p>
    <w:p w14:paraId="7A622D3E"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236E93EB" w14:textId="32A6D029"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Echebarria B., Karma A. and Gurevich S.</w:t>
      </w:r>
      <w:r w:rsidR="00194AF6">
        <w:rPr>
          <w:spacing w:val="-3"/>
        </w:rPr>
        <w:t xml:space="preserve"> </w:t>
      </w:r>
      <w:r w:rsidRPr="002A32D0">
        <w:rPr>
          <w:spacing w:val="-3"/>
        </w:rPr>
        <w:t>(2010) Onset of sidebranching in directional solidification, Physical Review E 81, 021608.</w:t>
      </w:r>
    </w:p>
    <w:p w14:paraId="642D6387"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3C5024FC" w14:textId="2800F0F8" w:rsidR="00F7556C" w:rsidRPr="002A32D0" w:rsidRDefault="00194AF6" w:rsidP="00F7556C">
      <w:pPr>
        <w:tabs>
          <w:tab w:val="left" w:pos="-1172"/>
          <w:tab w:val="left" w:pos="-720"/>
          <w:tab w:val="left" w:pos="0"/>
          <w:tab w:val="left" w:pos="714"/>
          <w:tab w:val="left" w:pos="2160"/>
        </w:tabs>
        <w:suppressAutoHyphens/>
        <w:ind w:left="714" w:hanging="714"/>
        <w:rPr>
          <w:spacing w:val="-3"/>
          <w:lang w:val="de-DE"/>
        </w:rPr>
      </w:pPr>
      <w:r w:rsidRPr="002A32D0">
        <w:rPr>
          <w:spacing w:val="-3"/>
          <w:lang w:val="de-DE"/>
        </w:rPr>
        <w:t>Eckler</w:t>
      </w:r>
      <w:r w:rsidR="00F7556C" w:rsidRPr="002A32D0">
        <w:rPr>
          <w:spacing w:val="-3"/>
          <w:lang w:val="de-DE"/>
        </w:rPr>
        <w:t xml:space="preserve">, K., </w:t>
      </w:r>
      <w:r w:rsidRPr="002A32D0">
        <w:rPr>
          <w:spacing w:val="-3"/>
          <w:lang w:val="de-DE"/>
        </w:rPr>
        <w:t>Cochran</w:t>
      </w:r>
      <w:r w:rsidR="00F7556C" w:rsidRPr="002A32D0">
        <w:rPr>
          <w:spacing w:val="-3"/>
          <w:lang w:val="de-DE"/>
        </w:rPr>
        <w:t>,</w:t>
      </w:r>
      <w:r>
        <w:rPr>
          <w:spacing w:val="-3"/>
          <w:lang w:val="de-DE"/>
        </w:rPr>
        <w:t xml:space="preserve"> R.F.,</w:t>
      </w:r>
      <w:r w:rsidR="00F7556C" w:rsidRPr="002A32D0">
        <w:rPr>
          <w:spacing w:val="-3"/>
          <w:lang w:val="de-DE"/>
        </w:rPr>
        <w:t xml:space="preserve"> </w:t>
      </w:r>
      <w:r w:rsidRPr="002A32D0">
        <w:rPr>
          <w:spacing w:val="-3"/>
          <w:lang w:val="de-DE"/>
        </w:rPr>
        <w:t>Herlach</w:t>
      </w:r>
      <w:r w:rsidR="00F7556C" w:rsidRPr="002A32D0">
        <w:rPr>
          <w:spacing w:val="-3"/>
          <w:lang w:val="de-DE"/>
        </w:rPr>
        <w:t xml:space="preserve">, </w:t>
      </w:r>
      <w:r>
        <w:rPr>
          <w:spacing w:val="-3"/>
          <w:lang w:val="de-DE"/>
        </w:rPr>
        <w:t xml:space="preserve">D.M., </w:t>
      </w:r>
      <w:r w:rsidRPr="002A32D0">
        <w:rPr>
          <w:spacing w:val="-3"/>
          <w:lang w:val="de-DE"/>
        </w:rPr>
        <w:t>Feuerbacher</w:t>
      </w:r>
      <w:r w:rsidR="00F7556C" w:rsidRPr="002A32D0">
        <w:rPr>
          <w:spacing w:val="-3"/>
          <w:lang w:val="de-DE"/>
        </w:rPr>
        <w:t xml:space="preserve">, </w:t>
      </w:r>
      <w:r>
        <w:rPr>
          <w:spacing w:val="-3"/>
          <w:lang w:val="de-DE"/>
        </w:rPr>
        <w:t xml:space="preserve">B., </w:t>
      </w:r>
      <w:r w:rsidR="00F7556C" w:rsidRPr="002A32D0">
        <w:rPr>
          <w:spacing w:val="-3"/>
          <w:lang w:val="de-DE"/>
        </w:rPr>
        <w:t xml:space="preserve">and </w:t>
      </w:r>
      <w:r w:rsidRPr="002A32D0">
        <w:rPr>
          <w:spacing w:val="-3"/>
          <w:lang w:val="de-DE"/>
        </w:rPr>
        <w:t>Jurisch</w:t>
      </w:r>
      <w:r w:rsidR="00F7556C" w:rsidRPr="002A32D0">
        <w:rPr>
          <w:spacing w:val="-3"/>
          <w:lang w:val="de-DE"/>
        </w:rPr>
        <w:t>,</w:t>
      </w:r>
      <w:r>
        <w:rPr>
          <w:spacing w:val="-3"/>
          <w:lang w:val="de-DE"/>
        </w:rPr>
        <w:t xml:space="preserve"> M.,</w:t>
      </w:r>
      <w:r w:rsidR="00F7556C" w:rsidRPr="002A32D0">
        <w:rPr>
          <w:spacing w:val="-3"/>
          <w:lang w:val="de-DE"/>
        </w:rPr>
        <w:t xml:space="preserve"> 1992, Phys. Rev. B </w:t>
      </w:r>
      <w:r w:rsidR="00F7556C" w:rsidRPr="002A32D0">
        <w:rPr>
          <w:b/>
          <w:bCs/>
          <w:spacing w:val="-3"/>
          <w:lang w:val="de-DE"/>
        </w:rPr>
        <w:t>45</w:t>
      </w:r>
      <w:r w:rsidR="00F7556C" w:rsidRPr="002A32D0">
        <w:rPr>
          <w:spacing w:val="-3"/>
          <w:lang w:val="de-DE"/>
        </w:rPr>
        <w:t>, 5019.</w:t>
      </w:r>
    </w:p>
    <w:p w14:paraId="69A7A372"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lang w:val="de-DE"/>
        </w:rPr>
      </w:pPr>
    </w:p>
    <w:p w14:paraId="5F364CB1"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Elder K. R., Drolet F., Kosterlitz J. M. and Grant M. (1994).  Phys. Rev. Lett. 72, 677-?.</w:t>
      </w:r>
    </w:p>
    <w:p w14:paraId="4128FAF1"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5C2FC4D1" w14:textId="472920E7" w:rsidR="00F7556C" w:rsidRPr="002A32D0" w:rsidRDefault="00F7556C" w:rsidP="00F7556C">
      <w:pPr>
        <w:tabs>
          <w:tab w:val="left" w:pos="-1172"/>
          <w:tab w:val="left" w:pos="-720"/>
          <w:tab w:val="left" w:pos="0"/>
          <w:tab w:val="left" w:pos="714"/>
          <w:tab w:val="left" w:pos="2160"/>
        </w:tabs>
        <w:suppressAutoHyphens/>
        <w:jc w:val="both"/>
        <w:rPr>
          <w:spacing w:val="-3"/>
        </w:rPr>
      </w:pPr>
      <w:r w:rsidRPr="002A32D0">
        <w:rPr>
          <w:spacing w:val="-3"/>
        </w:rPr>
        <w:t>E</w:t>
      </w:r>
      <w:r w:rsidR="00194AF6">
        <w:rPr>
          <w:spacing w:val="-3"/>
        </w:rPr>
        <w:t>lliot</w:t>
      </w:r>
      <w:r w:rsidRPr="002A32D0">
        <w:rPr>
          <w:spacing w:val="-3"/>
        </w:rPr>
        <w:t>, R., 1988, in: Cast Iron Technology (Butterworths)</w:t>
      </w:r>
    </w:p>
    <w:p w14:paraId="2F9E7AE4"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6DDD450E" w14:textId="26A02B08" w:rsidR="00F7556C" w:rsidRPr="002A32D0" w:rsidRDefault="00194AF6" w:rsidP="00F7556C">
      <w:pPr>
        <w:tabs>
          <w:tab w:val="left" w:pos="-1172"/>
          <w:tab w:val="left" w:pos="-720"/>
          <w:tab w:val="left" w:pos="0"/>
          <w:tab w:val="left" w:pos="714"/>
          <w:tab w:val="left" w:pos="2160"/>
        </w:tabs>
        <w:suppressAutoHyphens/>
        <w:ind w:left="714" w:hanging="714"/>
        <w:rPr>
          <w:spacing w:val="-3"/>
        </w:rPr>
      </w:pPr>
      <w:r w:rsidRPr="002A32D0">
        <w:rPr>
          <w:spacing w:val="-3"/>
          <w:lang w:val="de-DE"/>
        </w:rPr>
        <w:t>Elmer</w:t>
      </w:r>
      <w:r w:rsidR="00F7556C" w:rsidRPr="002A32D0">
        <w:rPr>
          <w:spacing w:val="-3"/>
          <w:lang w:val="de-DE"/>
        </w:rPr>
        <w:t xml:space="preserve">, J. W., </w:t>
      </w:r>
      <w:r w:rsidRPr="002A32D0">
        <w:rPr>
          <w:spacing w:val="-3"/>
          <w:lang w:val="de-DE"/>
        </w:rPr>
        <w:t>Aziz</w:t>
      </w:r>
      <w:r w:rsidR="00F7556C" w:rsidRPr="002A32D0">
        <w:rPr>
          <w:spacing w:val="-3"/>
          <w:lang w:val="de-DE"/>
        </w:rPr>
        <w:t xml:space="preserve">, </w:t>
      </w:r>
      <w:r>
        <w:rPr>
          <w:spacing w:val="-3"/>
          <w:lang w:val="de-DE"/>
        </w:rPr>
        <w:t xml:space="preserve">M.J., </w:t>
      </w:r>
      <w:r w:rsidRPr="002A32D0">
        <w:rPr>
          <w:spacing w:val="-3"/>
          <w:lang w:val="de-DE"/>
        </w:rPr>
        <w:t>Tanner</w:t>
      </w:r>
      <w:r w:rsidR="00F7556C" w:rsidRPr="002A32D0">
        <w:rPr>
          <w:spacing w:val="-3"/>
          <w:lang w:val="de-DE"/>
        </w:rPr>
        <w:t xml:space="preserve">, </w:t>
      </w:r>
      <w:r>
        <w:rPr>
          <w:spacing w:val="-3"/>
          <w:lang w:val="de-DE"/>
        </w:rPr>
        <w:t xml:space="preserve">L.E., </w:t>
      </w:r>
      <w:r w:rsidRPr="002A32D0">
        <w:rPr>
          <w:spacing w:val="-3"/>
          <w:lang w:val="de-DE"/>
        </w:rPr>
        <w:t>Smith</w:t>
      </w:r>
      <w:r w:rsidR="00F7556C" w:rsidRPr="002A32D0">
        <w:rPr>
          <w:spacing w:val="-3"/>
          <w:lang w:val="de-DE"/>
        </w:rPr>
        <w:t>,</w:t>
      </w:r>
      <w:r>
        <w:rPr>
          <w:spacing w:val="-3"/>
          <w:lang w:val="de-DE"/>
        </w:rPr>
        <w:t xml:space="preserve">P.M., </w:t>
      </w:r>
      <w:r w:rsidR="00F7556C" w:rsidRPr="002A32D0">
        <w:rPr>
          <w:spacing w:val="-3"/>
          <w:lang w:val="de-DE"/>
        </w:rPr>
        <w:t xml:space="preserve">and </w:t>
      </w:r>
      <w:r w:rsidRPr="002A32D0">
        <w:rPr>
          <w:spacing w:val="-3"/>
          <w:lang w:val="de-DE"/>
        </w:rPr>
        <w:t>Wall</w:t>
      </w:r>
      <w:r w:rsidR="00F7556C" w:rsidRPr="002A32D0">
        <w:rPr>
          <w:spacing w:val="-3"/>
          <w:lang w:val="de-DE"/>
        </w:rPr>
        <w:t xml:space="preserve">, </w:t>
      </w:r>
      <w:r>
        <w:rPr>
          <w:spacing w:val="-3"/>
          <w:lang w:val="de-DE"/>
        </w:rPr>
        <w:t xml:space="preserve">M.A., </w:t>
      </w:r>
      <w:r w:rsidR="00F7556C" w:rsidRPr="002A32D0">
        <w:rPr>
          <w:spacing w:val="-3"/>
          <w:lang w:val="de-DE"/>
        </w:rPr>
        <w:t xml:space="preserve">1994, Acta Metall. </w:t>
      </w:r>
      <w:r w:rsidR="00F7556C" w:rsidRPr="002A32D0">
        <w:rPr>
          <w:spacing w:val="-3"/>
        </w:rPr>
        <w:t xml:space="preserve">Mater. </w:t>
      </w:r>
      <w:r w:rsidR="00F7556C" w:rsidRPr="002A32D0">
        <w:rPr>
          <w:b/>
          <w:bCs/>
          <w:spacing w:val="-3"/>
        </w:rPr>
        <w:t>42</w:t>
      </w:r>
      <w:r w:rsidR="00F7556C" w:rsidRPr="002A32D0">
        <w:rPr>
          <w:spacing w:val="-3"/>
        </w:rPr>
        <w:t>, 1065.</w:t>
      </w:r>
    </w:p>
    <w:p w14:paraId="5CAF2E2F"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p>
    <w:p w14:paraId="478BA3E8"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lastRenderedPageBreak/>
        <w:t>Erdmann, R.G.  Poirier, D.R. Hendrick, A.G.  2010, Permeability in the Mushy Zone, Materials Science Forum 649 399-408.</w:t>
      </w:r>
    </w:p>
    <w:p w14:paraId="531BC529"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6B67937A"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Esaka, H. (1999) in: Solidification and Casting, eds. B. Cantor and K.O’Reilly (Institute of Physics Publishing, Bristol.U.K.), p. 56.</w:t>
      </w:r>
    </w:p>
    <w:p w14:paraId="7F91AA80"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1246E205"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Esaka, H., Wakabayashi, T., Shinozuka, K., and Tamura, M., 2003, ISIJ Int.:43, 9, 1415-1420.</w:t>
      </w:r>
    </w:p>
    <w:p w14:paraId="4459947C"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3BA23B81" w14:textId="699FA35A" w:rsidR="00F7556C" w:rsidRPr="002A32D0" w:rsidRDefault="00C6394D" w:rsidP="00F7556C">
      <w:pPr>
        <w:tabs>
          <w:tab w:val="left" w:pos="-1172"/>
          <w:tab w:val="left" w:pos="-720"/>
          <w:tab w:val="left" w:pos="0"/>
          <w:tab w:val="left" w:pos="714"/>
          <w:tab w:val="left" w:pos="2160"/>
        </w:tabs>
        <w:suppressAutoHyphens/>
        <w:rPr>
          <w:spacing w:val="-3"/>
        </w:rPr>
      </w:pPr>
      <w:r w:rsidRPr="002A32D0">
        <w:rPr>
          <w:spacing w:val="-3"/>
        </w:rPr>
        <w:t>Eshelman</w:t>
      </w:r>
      <w:r w:rsidR="00F7556C" w:rsidRPr="002A32D0">
        <w:rPr>
          <w:spacing w:val="-3"/>
        </w:rPr>
        <w:t xml:space="preserve">, M. A., and </w:t>
      </w:r>
      <w:r w:rsidRPr="002A32D0">
        <w:rPr>
          <w:spacing w:val="-3"/>
        </w:rPr>
        <w:t>Trivedi</w:t>
      </w:r>
      <w:r w:rsidR="00F7556C" w:rsidRPr="002A32D0">
        <w:rPr>
          <w:spacing w:val="-3"/>
        </w:rPr>
        <w:t xml:space="preserve">, </w:t>
      </w:r>
      <w:r>
        <w:rPr>
          <w:spacing w:val="-3"/>
        </w:rPr>
        <w:t xml:space="preserve">R., </w:t>
      </w:r>
      <w:r w:rsidR="00F7556C" w:rsidRPr="002A32D0">
        <w:rPr>
          <w:spacing w:val="-3"/>
        </w:rPr>
        <w:t>1988, Scripta Metall.</w:t>
      </w:r>
      <w:r w:rsidR="00F7556C" w:rsidRPr="002A32D0">
        <w:rPr>
          <w:b/>
          <w:bCs/>
          <w:spacing w:val="-3"/>
        </w:rPr>
        <w:t xml:space="preserve"> 22,</w:t>
      </w:r>
      <w:r w:rsidR="00F7556C" w:rsidRPr="002A32D0">
        <w:rPr>
          <w:spacing w:val="-3"/>
        </w:rPr>
        <w:t xml:space="preserve"> 893.</w:t>
      </w:r>
    </w:p>
    <w:p w14:paraId="59D19143"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57BEA988" w14:textId="45B11516" w:rsidR="00F7556C" w:rsidRPr="002A32D0" w:rsidRDefault="00C6394D" w:rsidP="00F7556C">
      <w:pPr>
        <w:tabs>
          <w:tab w:val="left" w:pos="-1172"/>
          <w:tab w:val="left" w:pos="-720"/>
          <w:tab w:val="left" w:pos="0"/>
          <w:tab w:val="left" w:pos="714"/>
          <w:tab w:val="left" w:pos="2160"/>
        </w:tabs>
        <w:suppressAutoHyphens/>
        <w:rPr>
          <w:spacing w:val="-3"/>
        </w:rPr>
      </w:pPr>
      <w:r w:rsidRPr="002A32D0">
        <w:rPr>
          <w:spacing w:val="-3"/>
        </w:rPr>
        <w:t>Eshelman</w:t>
      </w:r>
      <w:r w:rsidR="00F7556C" w:rsidRPr="002A32D0">
        <w:rPr>
          <w:spacing w:val="-3"/>
        </w:rPr>
        <w:t xml:space="preserve">, M.A., </w:t>
      </w:r>
      <w:r w:rsidRPr="002A32D0">
        <w:rPr>
          <w:spacing w:val="-3"/>
        </w:rPr>
        <w:t>Seetharaman</w:t>
      </w:r>
      <w:r>
        <w:rPr>
          <w:spacing w:val="-3"/>
        </w:rPr>
        <w:t>, V.,</w:t>
      </w:r>
      <w:r w:rsidR="00F7556C" w:rsidRPr="002A32D0">
        <w:rPr>
          <w:spacing w:val="-3"/>
        </w:rPr>
        <w:t xml:space="preserve"> and </w:t>
      </w:r>
      <w:r w:rsidRPr="002A32D0">
        <w:rPr>
          <w:spacing w:val="-3"/>
        </w:rPr>
        <w:t>Trivedi</w:t>
      </w:r>
      <w:r w:rsidR="00F7556C" w:rsidRPr="002A32D0">
        <w:rPr>
          <w:spacing w:val="-3"/>
        </w:rPr>
        <w:t>,</w:t>
      </w:r>
      <w:r>
        <w:rPr>
          <w:spacing w:val="-3"/>
        </w:rPr>
        <w:t xml:space="preserve"> R.,</w:t>
      </w:r>
      <w:r w:rsidR="00F7556C" w:rsidRPr="002A32D0">
        <w:rPr>
          <w:spacing w:val="-3"/>
        </w:rPr>
        <w:t xml:space="preserve"> 1988, Acta Metall. </w:t>
      </w:r>
      <w:r w:rsidR="00F7556C" w:rsidRPr="002A32D0">
        <w:rPr>
          <w:b/>
          <w:bCs/>
          <w:spacing w:val="-3"/>
        </w:rPr>
        <w:t>36</w:t>
      </w:r>
      <w:r w:rsidR="00F7556C" w:rsidRPr="002A32D0">
        <w:rPr>
          <w:spacing w:val="-3"/>
        </w:rPr>
        <w:t>. 1165.</w:t>
      </w:r>
    </w:p>
    <w:p w14:paraId="1B45D031"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60509EA6" w14:textId="5BC24D28" w:rsidR="00F7556C" w:rsidRPr="002A32D0" w:rsidRDefault="00C6394D" w:rsidP="00F7556C">
      <w:pPr>
        <w:tabs>
          <w:tab w:val="left" w:pos="-1172"/>
          <w:tab w:val="left" w:pos="-720"/>
          <w:tab w:val="left" w:pos="0"/>
          <w:tab w:val="left" w:pos="714"/>
          <w:tab w:val="left" w:pos="2160"/>
        </w:tabs>
        <w:suppressAutoHyphens/>
        <w:rPr>
          <w:spacing w:val="-3"/>
        </w:rPr>
      </w:pPr>
      <w:r w:rsidRPr="002A32D0">
        <w:rPr>
          <w:spacing w:val="-3"/>
        </w:rPr>
        <w:t>Favier</w:t>
      </w:r>
      <w:r w:rsidR="00F7556C" w:rsidRPr="002A32D0">
        <w:rPr>
          <w:spacing w:val="-3"/>
        </w:rPr>
        <w:t xml:space="preserve">, J.J., 1981, Acta Metall. </w:t>
      </w:r>
      <w:r w:rsidR="00F7556C" w:rsidRPr="002A32D0">
        <w:rPr>
          <w:b/>
          <w:bCs/>
          <w:spacing w:val="-3"/>
        </w:rPr>
        <w:t>29</w:t>
      </w:r>
      <w:r w:rsidR="00F7556C" w:rsidRPr="002A32D0">
        <w:rPr>
          <w:spacing w:val="-3"/>
        </w:rPr>
        <w:t>, 197.</w:t>
      </w:r>
    </w:p>
    <w:p w14:paraId="0FE31EA6"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171B7FB4" w14:textId="1EB119D8" w:rsidR="00F37088" w:rsidRPr="002A32D0" w:rsidRDefault="00C6394D" w:rsidP="00F37088">
      <w:pPr>
        <w:tabs>
          <w:tab w:val="left" w:pos="-1172"/>
          <w:tab w:val="left" w:pos="-720"/>
          <w:tab w:val="left" w:pos="0"/>
          <w:tab w:val="left" w:pos="714"/>
          <w:tab w:val="left" w:pos="2160"/>
        </w:tabs>
        <w:suppressAutoHyphens/>
        <w:rPr>
          <w:spacing w:val="-3"/>
        </w:rPr>
      </w:pPr>
      <w:r w:rsidRPr="002A32D0">
        <w:rPr>
          <w:spacing w:val="-3"/>
        </w:rPr>
        <w:t xml:space="preserve">Favier, J.J., </w:t>
      </w:r>
      <w:r w:rsidR="00F37088" w:rsidRPr="002A32D0">
        <w:rPr>
          <w:spacing w:val="-3"/>
        </w:rPr>
        <w:t>1981a), Acta Metall. 29, 197.</w:t>
      </w:r>
    </w:p>
    <w:p w14:paraId="14FED51D" w14:textId="77777777" w:rsidR="00F37088" w:rsidRPr="002A32D0" w:rsidRDefault="00F37088" w:rsidP="00F37088">
      <w:pPr>
        <w:tabs>
          <w:tab w:val="left" w:pos="-1172"/>
          <w:tab w:val="left" w:pos="-720"/>
          <w:tab w:val="left" w:pos="0"/>
          <w:tab w:val="left" w:pos="714"/>
          <w:tab w:val="left" w:pos="2160"/>
        </w:tabs>
        <w:suppressAutoHyphens/>
        <w:rPr>
          <w:spacing w:val="-3"/>
        </w:rPr>
      </w:pPr>
    </w:p>
    <w:p w14:paraId="0F428045" w14:textId="0B392DFE" w:rsidR="00F37088" w:rsidRPr="002A32D0" w:rsidRDefault="00C6394D" w:rsidP="00F37088">
      <w:pPr>
        <w:tabs>
          <w:tab w:val="left" w:pos="-1172"/>
          <w:tab w:val="left" w:pos="-720"/>
          <w:tab w:val="left" w:pos="0"/>
          <w:tab w:val="left" w:pos="714"/>
          <w:tab w:val="left" w:pos="2160"/>
        </w:tabs>
        <w:suppressAutoHyphens/>
        <w:rPr>
          <w:spacing w:val="-3"/>
        </w:rPr>
      </w:pPr>
      <w:r w:rsidRPr="002A32D0">
        <w:rPr>
          <w:spacing w:val="-3"/>
        </w:rPr>
        <w:t xml:space="preserve">Favier, J.J., </w:t>
      </w:r>
      <w:r w:rsidR="00F37088" w:rsidRPr="002A32D0">
        <w:rPr>
          <w:spacing w:val="-3"/>
        </w:rPr>
        <w:t>1981b), Acta Metall. 29, 205.</w:t>
      </w:r>
    </w:p>
    <w:p w14:paraId="053F9C87"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7464A920" w14:textId="1DDDAC9B" w:rsidR="00F7556C" w:rsidRPr="002A32D0" w:rsidRDefault="00C6394D" w:rsidP="00F7556C">
      <w:pPr>
        <w:tabs>
          <w:tab w:val="left" w:pos="-1172"/>
          <w:tab w:val="left" w:pos="-720"/>
          <w:tab w:val="left" w:pos="0"/>
          <w:tab w:val="left" w:pos="714"/>
          <w:tab w:val="left" w:pos="2160"/>
        </w:tabs>
        <w:suppressAutoHyphens/>
        <w:rPr>
          <w:spacing w:val="-3"/>
        </w:rPr>
      </w:pPr>
      <w:r w:rsidRPr="002A32D0">
        <w:rPr>
          <w:spacing w:val="-3"/>
        </w:rPr>
        <w:t xml:space="preserve">Favier, J.J. </w:t>
      </w:r>
      <w:r w:rsidR="00F7556C" w:rsidRPr="002A32D0">
        <w:rPr>
          <w:spacing w:val="-3"/>
        </w:rPr>
        <w:t xml:space="preserve">and </w:t>
      </w:r>
      <w:r w:rsidR="00857DF4" w:rsidRPr="002A32D0">
        <w:rPr>
          <w:spacing w:val="-3"/>
        </w:rPr>
        <w:t>Wilson</w:t>
      </w:r>
      <w:r w:rsidR="00F7556C" w:rsidRPr="002A32D0">
        <w:rPr>
          <w:spacing w:val="-3"/>
        </w:rPr>
        <w:t xml:space="preserve">, </w:t>
      </w:r>
      <w:r w:rsidRPr="002A32D0">
        <w:rPr>
          <w:spacing w:val="-3"/>
        </w:rPr>
        <w:t>L.O.</w:t>
      </w:r>
      <w:r>
        <w:rPr>
          <w:spacing w:val="-3"/>
        </w:rPr>
        <w:t xml:space="preserve">, </w:t>
      </w:r>
      <w:r w:rsidR="00F7556C" w:rsidRPr="002A32D0">
        <w:rPr>
          <w:spacing w:val="-3"/>
        </w:rPr>
        <w:t xml:space="preserve">1982, J.Cryst. Growth </w:t>
      </w:r>
      <w:r w:rsidR="00F7556C" w:rsidRPr="002A32D0">
        <w:rPr>
          <w:b/>
          <w:bCs/>
          <w:spacing w:val="-3"/>
        </w:rPr>
        <w:t>58</w:t>
      </w:r>
      <w:r w:rsidR="00F7556C" w:rsidRPr="002A32D0">
        <w:rPr>
          <w:spacing w:val="-3"/>
        </w:rPr>
        <w:t>, 103.</w:t>
      </w:r>
    </w:p>
    <w:p w14:paraId="54B938C5"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60C3B90D" w14:textId="3EF78CF4" w:rsidR="00F7556C" w:rsidRPr="002A32D0" w:rsidRDefault="00C6394D" w:rsidP="00F7556C">
      <w:pPr>
        <w:tabs>
          <w:tab w:val="left" w:pos="-1172"/>
          <w:tab w:val="left" w:pos="-720"/>
          <w:tab w:val="left" w:pos="0"/>
          <w:tab w:val="left" w:pos="714"/>
          <w:tab w:val="left" w:pos="2160"/>
        </w:tabs>
        <w:suppressAutoHyphens/>
        <w:rPr>
          <w:spacing w:val="-3"/>
        </w:rPr>
      </w:pPr>
      <w:r w:rsidRPr="002A32D0">
        <w:rPr>
          <w:spacing w:val="-3"/>
        </w:rPr>
        <w:t>Favier, J.J.</w:t>
      </w:r>
      <w:r>
        <w:rPr>
          <w:spacing w:val="-3"/>
        </w:rPr>
        <w:t xml:space="preserve"> </w:t>
      </w:r>
      <w:r w:rsidR="00F7556C" w:rsidRPr="002A32D0">
        <w:rPr>
          <w:spacing w:val="-3"/>
        </w:rPr>
        <w:t xml:space="preserve">and </w:t>
      </w:r>
      <w:r w:rsidR="00857DF4" w:rsidRPr="002A32D0">
        <w:rPr>
          <w:spacing w:val="-3"/>
        </w:rPr>
        <w:t>Rouzaud</w:t>
      </w:r>
      <w:r w:rsidR="00F7556C" w:rsidRPr="002A32D0">
        <w:rPr>
          <w:spacing w:val="-3"/>
        </w:rPr>
        <w:t>,</w:t>
      </w:r>
      <w:r>
        <w:rPr>
          <w:spacing w:val="-3"/>
        </w:rPr>
        <w:t xml:space="preserve"> A.,</w:t>
      </w:r>
      <w:r w:rsidR="00F7556C" w:rsidRPr="002A32D0">
        <w:rPr>
          <w:spacing w:val="-3"/>
        </w:rPr>
        <w:t xml:space="preserve"> 1983, J.Cryst.Growth, </w:t>
      </w:r>
      <w:r w:rsidR="00F7556C" w:rsidRPr="002A32D0">
        <w:rPr>
          <w:b/>
          <w:bCs/>
          <w:spacing w:val="-3"/>
        </w:rPr>
        <w:t>64</w:t>
      </w:r>
      <w:r w:rsidR="00F7556C" w:rsidRPr="002A32D0">
        <w:rPr>
          <w:spacing w:val="-3"/>
        </w:rPr>
        <w:t>, 387.</w:t>
      </w:r>
    </w:p>
    <w:p w14:paraId="4F9F1F9B"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268C6F20" w14:textId="33668C08" w:rsidR="00F7556C" w:rsidRPr="002A32D0" w:rsidRDefault="00C6394D" w:rsidP="00F7556C">
      <w:pPr>
        <w:tabs>
          <w:tab w:val="left" w:pos="-1172"/>
          <w:tab w:val="left" w:pos="-720"/>
          <w:tab w:val="left" w:pos="0"/>
          <w:tab w:val="left" w:pos="714"/>
          <w:tab w:val="left" w:pos="2160"/>
        </w:tabs>
        <w:suppressAutoHyphens/>
        <w:rPr>
          <w:spacing w:val="-3"/>
        </w:rPr>
      </w:pPr>
      <w:r w:rsidRPr="002A32D0">
        <w:rPr>
          <w:spacing w:val="-3"/>
        </w:rPr>
        <w:t>Favier, J.J.</w:t>
      </w:r>
      <w:r w:rsidR="00F7556C" w:rsidRPr="002A32D0">
        <w:rPr>
          <w:spacing w:val="-3"/>
        </w:rPr>
        <w:t xml:space="preserve"> and </w:t>
      </w:r>
      <w:r w:rsidR="00857DF4" w:rsidRPr="002A32D0">
        <w:rPr>
          <w:spacing w:val="-3"/>
        </w:rPr>
        <w:t>Camel</w:t>
      </w:r>
      <w:r w:rsidR="00F7556C" w:rsidRPr="002A32D0">
        <w:rPr>
          <w:spacing w:val="-3"/>
        </w:rPr>
        <w:t xml:space="preserve">, </w:t>
      </w:r>
      <w:r>
        <w:rPr>
          <w:spacing w:val="-3"/>
        </w:rPr>
        <w:t xml:space="preserve">D., </w:t>
      </w:r>
      <w:r w:rsidR="00F7556C" w:rsidRPr="002A32D0">
        <w:rPr>
          <w:spacing w:val="-3"/>
        </w:rPr>
        <w:t>1986, J.Cryst.Growth,</w:t>
      </w:r>
      <w:r w:rsidR="00F7556C" w:rsidRPr="002A32D0">
        <w:rPr>
          <w:b/>
          <w:bCs/>
          <w:spacing w:val="-3"/>
        </w:rPr>
        <w:t>79</w:t>
      </w:r>
      <w:r w:rsidR="00F7556C" w:rsidRPr="002A32D0">
        <w:rPr>
          <w:spacing w:val="-3"/>
        </w:rPr>
        <w:t>,50.</w:t>
      </w:r>
    </w:p>
    <w:p w14:paraId="748FF517"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51BA64B9" w14:textId="06C6DD46" w:rsidR="00F7556C" w:rsidRPr="002A32D0" w:rsidRDefault="00C6394D" w:rsidP="00F7556C">
      <w:pPr>
        <w:tabs>
          <w:tab w:val="left" w:pos="-1172"/>
          <w:tab w:val="left" w:pos="-720"/>
          <w:tab w:val="left" w:pos="0"/>
          <w:tab w:val="left" w:pos="714"/>
          <w:tab w:val="left" w:pos="2160"/>
        </w:tabs>
        <w:suppressAutoHyphens/>
        <w:rPr>
          <w:spacing w:val="-3"/>
        </w:rPr>
      </w:pPr>
      <w:r w:rsidRPr="002A32D0">
        <w:rPr>
          <w:spacing w:val="-3"/>
        </w:rPr>
        <w:t xml:space="preserve">Favier, J.J., </w:t>
      </w:r>
      <w:r w:rsidR="00F7556C" w:rsidRPr="002A32D0">
        <w:rPr>
          <w:spacing w:val="-3"/>
        </w:rPr>
        <w:t xml:space="preserve">1990, J.Cryst. Growth </w:t>
      </w:r>
      <w:r w:rsidR="00F7556C" w:rsidRPr="002A32D0">
        <w:rPr>
          <w:b/>
          <w:bCs/>
          <w:spacing w:val="-3"/>
        </w:rPr>
        <w:t>99</w:t>
      </w:r>
      <w:r w:rsidR="00F7556C" w:rsidRPr="002A32D0">
        <w:rPr>
          <w:spacing w:val="-3"/>
        </w:rPr>
        <w:t>, 18.</w:t>
      </w:r>
    </w:p>
    <w:p w14:paraId="76B6E04D"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60C7D4AB" w14:textId="16237C75" w:rsidR="00F7556C" w:rsidRPr="002A32D0" w:rsidRDefault="00857DF4" w:rsidP="00F7556C">
      <w:pPr>
        <w:tabs>
          <w:tab w:val="left" w:pos="-1172"/>
          <w:tab w:val="left" w:pos="-720"/>
          <w:tab w:val="left" w:pos="0"/>
          <w:tab w:val="left" w:pos="714"/>
          <w:tab w:val="left" w:pos="2160"/>
        </w:tabs>
        <w:suppressAutoHyphens/>
        <w:ind w:left="714" w:hanging="714"/>
        <w:rPr>
          <w:spacing w:val="-3"/>
        </w:rPr>
      </w:pPr>
      <w:r w:rsidRPr="002A32D0">
        <w:rPr>
          <w:spacing w:val="-3"/>
        </w:rPr>
        <w:t>Fecht</w:t>
      </w:r>
      <w:r w:rsidR="00F7556C" w:rsidRPr="002A32D0">
        <w:rPr>
          <w:spacing w:val="-3"/>
        </w:rPr>
        <w:t xml:space="preserve">, H. J., and </w:t>
      </w:r>
      <w:r w:rsidRPr="002A32D0">
        <w:rPr>
          <w:spacing w:val="-3"/>
        </w:rPr>
        <w:t>Perepezko</w:t>
      </w:r>
      <w:r w:rsidR="00F7556C" w:rsidRPr="002A32D0">
        <w:rPr>
          <w:spacing w:val="-3"/>
        </w:rPr>
        <w:t xml:space="preserve">, </w:t>
      </w:r>
      <w:r>
        <w:rPr>
          <w:spacing w:val="-3"/>
        </w:rPr>
        <w:t xml:space="preserve">J.H., </w:t>
      </w:r>
      <w:r w:rsidR="00F7556C" w:rsidRPr="002A32D0">
        <w:rPr>
          <w:spacing w:val="-3"/>
        </w:rPr>
        <w:t xml:space="preserve">1989, Metall. Trans. </w:t>
      </w:r>
      <w:r w:rsidR="00F7556C" w:rsidRPr="002A32D0">
        <w:rPr>
          <w:b/>
          <w:bCs/>
          <w:spacing w:val="-3"/>
        </w:rPr>
        <w:t>20A</w:t>
      </w:r>
      <w:r w:rsidR="00F7556C" w:rsidRPr="002A32D0">
        <w:rPr>
          <w:spacing w:val="-3"/>
        </w:rPr>
        <w:t>, 785.</w:t>
      </w:r>
    </w:p>
    <w:p w14:paraId="6D369722"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p>
    <w:p w14:paraId="6250EC95"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Felice V., de, Jardy, A., and Combeau, H., (2009), In Lee P.D., Mitchell A., and. Williamson R (eds.) Int. symp. on liquid metal processing and casting.. Warrendale, PA: TMS publishing, 97-?.</w:t>
      </w:r>
    </w:p>
    <w:p w14:paraId="55910C6F"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3896E547" w14:textId="77777777" w:rsidR="00F7556C" w:rsidRPr="002A32D0" w:rsidRDefault="00F7556C" w:rsidP="00F7556C">
      <w:pPr>
        <w:tabs>
          <w:tab w:val="left" w:pos="-1172"/>
          <w:tab w:val="left" w:pos="-720"/>
          <w:tab w:val="left" w:pos="0"/>
          <w:tab w:val="left" w:pos="714"/>
          <w:tab w:val="left" w:pos="2160"/>
        </w:tabs>
        <w:suppressAutoHyphens/>
        <w:rPr>
          <w:spacing w:val="-3"/>
          <w:lang w:val="fr-FR"/>
        </w:rPr>
      </w:pPr>
      <w:r w:rsidRPr="002A32D0">
        <w:rPr>
          <w:spacing w:val="-3"/>
        </w:rPr>
        <w:t xml:space="preserve">Felicelli, S.D, Poirier, D.R, and Heinrich, J.C: Metall. </w:t>
      </w:r>
      <w:r w:rsidRPr="002A32D0">
        <w:rPr>
          <w:spacing w:val="-3"/>
          <w:lang w:val="fr-FR"/>
        </w:rPr>
        <w:t>Mater. T rans. B, 1998, 29B, 847–855.</w:t>
      </w:r>
    </w:p>
    <w:p w14:paraId="0FE69E4D" w14:textId="77777777" w:rsidR="00F7556C" w:rsidRPr="002A32D0" w:rsidRDefault="00F7556C" w:rsidP="00F7556C">
      <w:pPr>
        <w:tabs>
          <w:tab w:val="left" w:pos="-1172"/>
          <w:tab w:val="left" w:pos="-720"/>
          <w:tab w:val="left" w:pos="0"/>
          <w:tab w:val="left" w:pos="714"/>
          <w:tab w:val="left" w:pos="2160"/>
        </w:tabs>
        <w:suppressAutoHyphens/>
        <w:rPr>
          <w:spacing w:val="-3"/>
          <w:lang w:val="fr-FR"/>
        </w:rPr>
      </w:pPr>
    </w:p>
    <w:p w14:paraId="1D53AAB8"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Ferreira, I.L., Spinelli, J.E., Pires, J.C., and Garcia, A., (2005), Mat. Sci. and Eng. A, 408, 317-?</w:t>
      </w:r>
    </w:p>
    <w:p w14:paraId="2DC917E8"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16A6E890" w14:textId="6A6A5436" w:rsidR="00F7556C" w:rsidRPr="002A32D0" w:rsidRDefault="00857DF4" w:rsidP="00F7556C">
      <w:pPr>
        <w:tabs>
          <w:tab w:val="left" w:pos="-1172"/>
          <w:tab w:val="left" w:pos="-720"/>
          <w:tab w:val="left" w:pos="0"/>
          <w:tab w:val="left" w:pos="714"/>
          <w:tab w:val="left" w:pos="2160"/>
        </w:tabs>
        <w:suppressAutoHyphens/>
        <w:ind w:left="714" w:hanging="714"/>
        <w:rPr>
          <w:spacing w:val="-3"/>
        </w:rPr>
      </w:pPr>
      <w:r w:rsidRPr="002A32D0">
        <w:rPr>
          <w:spacing w:val="-3"/>
          <w:lang w:val="de-DE"/>
        </w:rPr>
        <w:t>Feurer</w:t>
      </w:r>
      <w:r w:rsidR="00F7556C" w:rsidRPr="002A32D0">
        <w:rPr>
          <w:spacing w:val="-3"/>
          <w:lang w:val="de-DE"/>
        </w:rPr>
        <w:t xml:space="preserve">, U., and </w:t>
      </w:r>
      <w:r w:rsidRPr="002A32D0">
        <w:rPr>
          <w:spacing w:val="-3"/>
          <w:lang w:val="de-DE"/>
        </w:rPr>
        <w:t>Wunderlin</w:t>
      </w:r>
      <w:r w:rsidR="00F7556C" w:rsidRPr="002A32D0">
        <w:rPr>
          <w:spacing w:val="-3"/>
          <w:lang w:val="de-DE"/>
        </w:rPr>
        <w:t xml:space="preserve">, </w:t>
      </w:r>
      <w:r>
        <w:rPr>
          <w:spacing w:val="-3"/>
          <w:lang w:val="de-DE"/>
        </w:rPr>
        <w:t xml:space="preserve">R., </w:t>
      </w:r>
      <w:r w:rsidR="00F7556C" w:rsidRPr="002A32D0">
        <w:rPr>
          <w:spacing w:val="-3"/>
          <w:lang w:val="de-DE"/>
        </w:rPr>
        <w:t xml:space="preserve">1977, DGM Fachber. </w:t>
      </w:r>
      <w:r w:rsidR="00F7556C" w:rsidRPr="002A32D0">
        <w:rPr>
          <w:spacing w:val="-3"/>
        </w:rPr>
        <w:t>38. See also KURZ and FISHER [1989].</w:t>
      </w:r>
    </w:p>
    <w:p w14:paraId="1C34A884"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p>
    <w:p w14:paraId="2B319F61" w14:textId="0C2D7CBF" w:rsidR="00F7556C" w:rsidRPr="002A32D0" w:rsidRDefault="00F7556C" w:rsidP="00F7556C">
      <w:pPr>
        <w:tabs>
          <w:tab w:val="left" w:pos="-1172"/>
          <w:tab w:val="left" w:pos="-720"/>
          <w:tab w:val="left" w:pos="0"/>
          <w:tab w:val="left" w:pos="714"/>
          <w:tab w:val="left" w:pos="2160"/>
        </w:tabs>
        <w:suppressAutoHyphens/>
        <w:ind w:left="714" w:hanging="714"/>
        <w:rPr>
          <w:spacing w:val="-3"/>
        </w:rPr>
      </w:pPr>
      <w:r w:rsidRPr="002A32D0">
        <w:rPr>
          <w:spacing w:val="-3"/>
        </w:rPr>
        <w:t xml:space="preserve">Fife J.L. and Voorhees P.W.(2009), The morphological evolution of equiaxed </w:t>
      </w:r>
      <w:r w:rsidR="00D22488" w:rsidRPr="002A32D0">
        <w:rPr>
          <w:spacing w:val="-3"/>
        </w:rPr>
        <w:t>dendritic microstructures during coarsening. Acta Materialia, 57(8), pp.2418-2428.</w:t>
      </w:r>
    </w:p>
    <w:p w14:paraId="26AD9862"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p>
    <w:p w14:paraId="6CBBAA23"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lastRenderedPageBreak/>
        <w:t>Finn, T.L., Chu, M.G., and Bennon, W.D.: in ‘Micro/macroscale phenomena in solidification’, (ed. C. Beckermann et al.), 17–26; 1992, New York, ASME.</w:t>
      </w:r>
    </w:p>
    <w:p w14:paraId="767AE5F1"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63D437AC" w14:textId="44C728A3" w:rsidR="00F7556C" w:rsidRPr="002A32D0" w:rsidRDefault="00857DF4" w:rsidP="00F7556C">
      <w:pPr>
        <w:tabs>
          <w:tab w:val="left" w:pos="-1172"/>
          <w:tab w:val="left" w:pos="-720"/>
          <w:tab w:val="left" w:pos="0"/>
          <w:tab w:val="left" w:pos="714"/>
          <w:tab w:val="left" w:pos="2160"/>
        </w:tabs>
        <w:suppressAutoHyphens/>
        <w:ind w:left="2880" w:hanging="2880"/>
        <w:rPr>
          <w:spacing w:val="-3"/>
        </w:rPr>
      </w:pPr>
      <w:r w:rsidRPr="002A32D0">
        <w:rPr>
          <w:spacing w:val="-3"/>
        </w:rPr>
        <w:t>Fisher</w:t>
      </w:r>
      <w:r w:rsidR="00F7556C" w:rsidRPr="002A32D0">
        <w:rPr>
          <w:spacing w:val="-3"/>
        </w:rPr>
        <w:t xml:space="preserve">, D .J. and </w:t>
      </w:r>
      <w:r w:rsidRPr="002A32D0">
        <w:rPr>
          <w:spacing w:val="-3"/>
        </w:rPr>
        <w:t>Kurz</w:t>
      </w:r>
      <w:r w:rsidR="00F7556C" w:rsidRPr="002A32D0">
        <w:rPr>
          <w:spacing w:val="-3"/>
        </w:rPr>
        <w:t xml:space="preserve">, </w:t>
      </w:r>
      <w:r>
        <w:rPr>
          <w:spacing w:val="-3"/>
        </w:rPr>
        <w:t xml:space="preserve">W., </w:t>
      </w:r>
      <w:r w:rsidR="00F7556C" w:rsidRPr="002A32D0">
        <w:rPr>
          <w:spacing w:val="-3"/>
        </w:rPr>
        <w:t>1979, in: Solidification and Casting of Metals (The Metals Soc., London), p.57.</w:t>
      </w:r>
    </w:p>
    <w:p w14:paraId="5F68BBB1" w14:textId="77777777" w:rsidR="00F7556C" w:rsidRPr="002A32D0" w:rsidRDefault="00F7556C" w:rsidP="00F7556C">
      <w:pPr>
        <w:tabs>
          <w:tab w:val="left" w:pos="-1172"/>
          <w:tab w:val="left" w:pos="-720"/>
          <w:tab w:val="left" w:pos="0"/>
          <w:tab w:val="left" w:pos="714"/>
          <w:tab w:val="left" w:pos="2160"/>
        </w:tabs>
        <w:suppressAutoHyphens/>
        <w:ind w:left="2880" w:hanging="2880"/>
        <w:rPr>
          <w:spacing w:val="-3"/>
        </w:rPr>
      </w:pPr>
    </w:p>
    <w:p w14:paraId="4FF558F4" w14:textId="276ECC22" w:rsidR="00F7556C" w:rsidRPr="002A32D0" w:rsidRDefault="00857DF4" w:rsidP="00F7556C">
      <w:pPr>
        <w:tabs>
          <w:tab w:val="left" w:pos="-1172"/>
          <w:tab w:val="left" w:pos="-720"/>
          <w:tab w:val="left" w:pos="0"/>
          <w:tab w:val="left" w:pos="714"/>
          <w:tab w:val="left" w:pos="2160"/>
        </w:tabs>
        <w:suppressAutoHyphens/>
        <w:rPr>
          <w:spacing w:val="-3"/>
        </w:rPr>
      </w:pPr>
      <w:r w:rsidRPr="002A32D0">
        <w:rPr>
          <w:spacing w:val="-3"/>
        </w:rPr>
        <w:t xml:space="preserve">Fisher, D .J. and Kurz, </w:t>
      </w:r>
      <w:r>
        <w:rPr>
          <w:spacing w:val="-3"/>
        </w:rPr>
        <w:t xml:space="preserve">W., </w:t>
      </w:r>
      <w:r w:rsidR="00F7556C" w:rsidRPr="002A32D0">
        <w:rPr>
          <w:spacing w:val="-3"/>
        </w:rPr>
        <w:t>1980, Acta Metall.</w:t>
      </w:r>
      <w:r w:rsidR="00F7556C" w:rsidRPr="002A32D0">
        <w:rPr>
          <w:b/>
          <w:bCs/>
          <w:spacing w:val="-3"/>
        </w:rPr>
        <w:t xml:space="preserve"> 28</w:t>
      </w:r>
      <w:r w:rsidR="00F7556C" w:rsidRPr="002A32D0">
        <w:rPr>
          <w:spacing w:val="-3"/>
        </w:rPr>
        <w:t>, 777.</w:t>
      </w:r>
    </w:p>
    <w:p w14:paraId="126278D0"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66C173D0" w14:textId="609A02CD" w:rsidR="00F7556C" w:rsidRPr="002A32D0" w:rsidRDefault="00857DF4" w:rsidP="00F7556C">
      <w:pPr>
        <w:tabs>
          <w:tab w:val="left" w:pos="-1172"/>
          <w:tab w:val="left" w:pos="-720"/>
          <w:tab w:val="left" w:pos="0"/>
          <w:tab w:val="left" w:pos="714"/>
          <w:tab w:val="left" w:pos="2160"/>
        </w:tabs>
        <w:suppressAutoHyphens/>
        <w:rPr>
          <w:spacing w:val="-3"/>
        </w:rPr>
      </w:pPr>
      <w:r w:rsidRPr="002A32D0">
        <w:rPr>
          <w:spacing w:val="-3"/>
        </w:rPr>
        <w:t>Flemings</w:t>
      </w:r>
      <w:r w:rsidR="00F7556C" w:rsidRPr="002A32D0">
        <w:rPr>
          <w:spacing w:val="-3"/>
        </w:rPr>
        <w:t xml:space="preserve">, M.C. and </w:t>
      </w:r>
      <w:r w:rsidRPr="002A32D0">
        <w:rPr>
          <w:spacing w:val="-3"/>
        </w:rPr>
        <w:t>Nereo</w:t>
      </w:r>
      <w:r w:rsidR="00F7556C" w:rsidRPr="002A32D0">
        <w:rPr>
          <w:spacing w:val="-3"/>
        </w:rPr>
        <w:t xml:space="preserve">, </w:t>
      </w:r>
      <w:r>
        <w:rPr>
          <w:spacing w:val="-3"/>
        </w:rPr>
        <w:t xml:space="preserve">G.E., </w:t>
      </w:r>
      <w:r w:rsidR="00F7556C" w:rsidRPr="002A32D0">
        <w:rPr>
          <w:spacing w:val="-3"/>
        </w:rPr>
        <w:t xml:space="preserve">1967, Trans.Met.Soc.AIME </w:t>
      </w:r>
      <w:r w:rsidR="00F7556C" w:rsidRPr="002A32D0">
        <w:rPr>
          <w:b/>
          <w:bCs/>
          <w:spacing w:val="-3"/>
        </w:rPr>
        <w:t>239</w:t>
      </w:r>
      <w:r w:rsidR="00F7556C" w:rsidRPr="002A32D0">
        <w:rPr>
          <w:spacing w:val="-3"/>
        </w:rPr>
        <w:t>, 1449.</w:t>
      </w:r>
    </w:p>
    <w:p w14:paraId="2684F1DE"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553F9C6D"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0460E615" w14:textId="02E312E6" w:rsidR="00F7556C" w:rsidRPr="002A32D0" w:rsidRDefault="00857DF4" w:rsidP="00F7556C">
      <w:pPr>
        <w:tabs>
          <w:tab w:val="left" w:pos="-1172"/>
          <w:tab w:val="left" w:pos="-720"/>
          <w:tab w:val="left" w:pos="0"/>
          <w:tab w:val="left" w:pos="714"/>
          <w:tab w:val="left" w:pos="2160"/>
        </w:tabs>
        <w:suppressAutoHyphens/>
        <w:ind w:left="714" w:hanging="714"/>
        <w:rPr>
          <w:spacing w:val="-3"/>
        </w:rPr>
      </w:pPr>
      <w:r w:rsidRPr="002A32D0">
        <w:rPr>
          <w:spacing w:val="-3"/>
        </w:rPr>
        <w:t>Flemings</w:t>
      </w:r>
      <w:r w:rsidR="00F7556C" w:rsidRPr="002A32D0">
        <w:rPr>
          <w:spacing w:val="-3"/>
        </w:rPr>
        <w:t>, M.C., 1974, Solidification Processing (McGraw Hill, New York)</w:t>
      </w:r>
    </w:p>
    <w:p w14:paraId="14675700"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p>
    <w:p w14:paraId="5B814449" w14:textId="1B7146B8" w:rsidR="00F7556C" w:rsidRPr="002A32D0" w:rsidRDefault="00857DF4" w:rsidP="00F7556C">
      <w:pPr>
        <w:tabs>
          <w:tab w:val="left" w:pos="-1172"/>
          <w:tab w:val="left" w:pos="-720"/>
          <w:tab w:val="left" w:pos="0"/>
          <w:tab w:val="left" w:pos="714"/>
          <w:tab w:val="left" w:pos="2160"/>
        </w:tabs>
        <w:suppressAutoHyphens/>
        <w:rPr>
          <w:spacing w:val="-3"/>
        </w:rPr>
      </w:pPr>
      <w:r w:rsidRPr="002A32D0">
        <w:rPr>
          <w:spacing w:val="-3"/>
        </w:rPr>
        <w:t>Flemings</w:t>
      </w:r>
      <w:r w:rsidR="00F7556C" w:rsidRPr="002A32D0">
        <w:rPr>
          <w:spacing w:val="-3"/>
        </w:rPr>
        <w:t>, M.C., 1976, Scand.J.Metall.</w:t>
      </w:r>
      <w:r w:rsidR="00F7556C" w:rsidRPr="002A32D0">
        <w:rPr>
          <w:b/>
          <w:bCs/>
          <w:spacing w:val="-3"/>
        </w:rPr>
        <w:t>5</w:t>
      </w:r>
      <w:r w:rsidR="00F7556C" w:rsidRPr="002A32D0">
        <w:rPr>
          <w:spacing w:val="-3"/>
        </w:rPr>
        <w:t>, 1.</w:t>
      </w:r>
    </w:p>
    <w:p w14:paraId="09258196"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7EE8FB87" w14:textId="0F6A5322" w:rsidR="00F7556C" w:rsidRPr="002A32D0" w:rsidRDefault="00857DF4" w:rsidP="00F7556C">
      <w:pPr>
        <w:tabs>
          <w:tab w:val="left" w:pos="-1172"/>
          <w:tab w:val="left" w:pos="-720"/>
          <w:tab w:val="left" w:pos="0"/>
          <w:tab w:val="left" w:pos="714"/>
          <w:tab w:val="left" w:pos="2160"/>
        </w:tabs>
        <w:suppressAutoHyphens/>
        <w:rPr>
          <w:spacing w:val="-3"/>
        </w:rPr>
      </w:pPr>
      <w:r w:rsidRPr="002A32D0">
        <w:rPr>
          <w:spacing w:val="-3"/>
        </w:rPr>
        <w:t>Flemings</w:t>
      </w:r>
      <w:r w:rsidR="00F7556C" w:rsidRPr="002A32D0">
        <w:rPr>
          <w:spacing w:val="-3"/>
        </w:rPr>
        <w:t xml:space="preserve">, M.C. and </w:t>
      </w:r>
      <w:r w:rsidRPr="002A32D0">
        <w:rPr>
          <w:spacing w:val="-3"/>
        </w:rPr>
        <w:t>Shiohara</w:t>
      </w:r>
      <w:r w:rsidR="00F7556C" w:rsidRPr="002A32D0">
        <w:rPr>
          <w:spacing w:val="-3"/>
        </w:rPr>
        <w:t xml:space="preserve">, </w:t>
      </w:r>
      <w:r>
        <w:rPr>
          <w:spacing w:val="-3"/>
        </w:rPr>
        <w:t xml:space="preserve">Y., </w:t>
      </w:r>
      <w:r w:rsidR="00F7556C" w:rsidRPr="002A32D0">
        <w:rPr>
          <w:spacing w:val="-3"/>
        </w:rPr>
        <w:t>1984, Mat.Sc. and Eng.</w:t>
      </w:r>
      <w:r w:rsidR="00F7556C" w:rsidRPr="002A32D0">
        <w:rPr>
          <w:b/>
          <w:bCs/>
          <w:spacing w:val="-3"/>
        </w:rPr>
        <w:t>65</w:t>
      </w:r>
      <w:r w:rsidR="00F7556C" w:rsidRPr="002A32D0">
        <w:rPr>
          <w:spacing w:val="-3"/>
        </w:rPr>
        <w:t>, 157.</w:t>
      </w:r>
    </w:p>
    <w:p w14:paraId="4B067868"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52460C1D" w14:textId="4C0B47C4" w:rsidR="00F7556C" w:rsidRPr="002A32D0" w:rsidRDefault="00857DF4" w:rsidP="00F7556C">
      <w:pPr>
        <w:tabs>
          <w:tab w:val="left" w:pos="-1172"/>
          <w:tab w:val="left" w:pos="-720"/>
          <w:tab w:val="left" w:pos="0"/>
          <w:tab w:val="left" w:pos="714"/>
          <w:tab w:val="left" w:pos="2160"/>
        </w:tabs>
        <w:suppressAutoHyphens/>
        <w:rPr>
          <w:spacing w:val="-3"/>
        </w:rPr>
      </w:pPr>
      <w:r w:rsidRPr="002A32D0">
        <w:rPr>
          <w:spacing w:val="-3"/>
        </w:rPr>
        <w:t>Flemings</w:t>
      </w:r>
      <w:r w:rsidR="00F7556C" w:rsidRPr="002A32D0">
        <w:rPr>
          <w:spacing w:val="-3"/>
        </w:rPr>
        <w:t>, M.C., 1991, Meatll.Trans.</w:t>
      </w:r>
      <w:r w:rsidR="00F7556C" w:rsidRPr="002A32D0">
        <w:rPr>
          <w:b/>
          <w:bCs/>
          <w:spacing w:val="-3"/>
        </w:rPr>
        <w:t>22A</w:t>
      </w:r>
      <w:r w:rsidR="00F7556C" w:rsidRPr="002A32D0">
        <w:rPr>
          <w:spacing w:val="-3"/>
        </w:rPr>
        <w:t>, 957.</w:t>
      </w:r>
    </w:p>
    <w:p w14:paraId="644BA8AC"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4592BD27"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Flemings, M.C., 1991a, Met Trans., 22B, 269-293.</w:t>
      </w:r>
    </w:p>
    <w:p w14:paraId="296F65E0"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31A3FAA6" w14:textId="1D592BBD" w:rsidR="00F7556C" w:rsidRPr="002A32D0" w:rsidRDefault="00857DF4" w:rsidP="00F7556C">
      <w:pPr>
        <w:tabs>
          <w:tab w:val="left" w:pos="-1172"/>
          <w:tab w:val="left" w:pos="-720"/>
          <w:tab w:val="left" w:pos="0"/>
          <w:tab w:val="left" w:pos="714"/>
          <w:tab w:val="left" w:pos="2160"/>
        </w:tabs>
        <w:suppressAutoHyphens/>
        <w:rPr>
          <w:spacing w:val="-3"/>
        </w:rPr>
      </w:pPr>
      <w:r w:rsidRPr="002A32D0">
        <w:rPr>
          <w:spacing w:val="-3"/>
        </w:rPr>
        <w:t>Flood</w:t>
      </w:r>
      <w:r w:rsidR="00F7556C" w:rsidRPr="002A32D0">
        <w:rPr>
          <w:spacing w:val="-3"/>
        </w:rPr>
        <w:t>, S.C. and HUNT</w:t>
      </w:r>
      <w:r>
        <w:rPr>
          <w:spacing w:val="-3"/>
        </w:rPr>
        <w:t xml:space="preserve">, J.D., </w:t>
      </w:r>
      <w:r w:rsidR="00F7556C" w:rsidRPr="002A32D0">
        <w:rPr>
          <w:spacing w:val="-3"/>
        </w:rPr>
        <w:t xml:space="preserve">1987a), J.Cryst.Growth, </w:t>
      </w:r>
      <w:r w:rsidR="00F7556C" w:rsidRPr="002A32D0">
        <w:rPr>
          <w:b/>
          <w:bCs/>
          <w:spacing w:val="-3"/>
        </w:rPr>
        <w:t>82</w:t>
      </w:r>
      <w:r w:rsidR="00F7556C" w:rsidRPr="002A32D0">
        <w:rPr>
          <w:spacing w:val="-3"/>
        </w:rPr>
        <w:t>, 552-560.</w:t>
      </w:r>
    </w:p>
    <w:p w14:paraId="7AD37596"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1D53000B"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 xml:space="preserve">Flood S.C. and Hunt J. D. [1987b], Appl. Sci. Res. </w:t>
      </w:r>
      <w:r w:rsidRPr="002A32D0">
        <w:rPr>
          <w:b/>
          <w:spacing w:val="-3"/>
        </w:rPr>
        <w:t>44</w:t>
      </w:r>
      <w:r w:rsidRPr="002A32D0">
        <w:rPr>
          <w:spacing w:val="-3"/>
        </w:rPr>
        <w:t xml:space="preserve"> 27.</w:t>
      </w:r>
    </w:p>
    <w:p w14:paraId="143565EA"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36B5CBBB" w14:textId="06E700D8" w:rsidR="00F7556C" w:rsidRPr="002A32D0" w:rsidRDefault="00857DF4" w:rsidP="00F7556C">
      <w:pPr>
        <w:tabs>
          <w:tab w:val="left" w:pos="-1172"/>
          <w:tab w:val="left" w:pos="-720"/>
          <w:tab w:val="left" w:pos="0"/>
          <w:tab w:val="left" w:pos="714"/>
          <w:tab w:val="left" w:pos="2160"/>
        </w:tabs>
        <w:suppressAutoHyphens/>
        <w:ind w:left="714" w:hanging="714"/>
        <w:rPr>
          <w:spacing w:val="-3"/>
        </w:rPr>
      </w:pPr>
      <w:r w:rsidRPr="002A32D0">
        <w:rPr>
          <w:spacing w:val="-3"/>
        </w:rPr>
        <w:t>Flood</w:t>
      </w:r>
      <w:r w:rsidR="00F7556C" w:rsidRPr="002A32D0">
        <w:rPr>
          <w:spacing w:val="-3"/>
        </w:rPr>
        <w:t>, S.C. and J.D.</w:t>
      </w:r>
      <w:r w:rsidRPr="002A32D0">
        <w:rPr>
          <w:spacing w:val="-3"/>
        </w:rPr>
        <w:t>Hunt</w:t>
      </w:r>
      <w:r w:rsidR="00F7556C" w:rsidRPr="002A32D0">
        <w:rPr>
          <w:spacing w:val="-3"/>
        </w:rPr>
        <w:t xml:space="preserve">, 1988, Metals Handbook 9th.ed., (ASM, Metals Park, OH) </w:t>
      </w:r>
      <w:r w:rsidR="00F7556C" w:rsidRPr="002A32D0">
        <w:rPr>
          <w:b/>
          <w:bCs/>
          <w:spacing w:val="-3"/>
        </w:rPr>
        <w:t>15</w:t>
      </w:r>
      <w:r w:rsidR="00F7556C" w:rsidRPr="002A32D0">
        <w:rPr>
          <w:spacing w:val="-3"/>
        </w:rPr>
        <w:t xml:space="preserve"> </w:t>
      </w:r>
      <w:r w:rsidR="00F7556C" w:rsidRPr="002A32D0">
        <w:rPr>
          <w:b/>
          <w:bCs/>
          <w:spacing w:val="-3"/>
        </w:rPr>
        <w:t>"Casting"</w:t>
      </w:r>
      <w:r w:rsidR="00F7556C" w:rsidRPr="002A32D0">
        <w:rPr>
          <w:spacing w:val="-3"/>
        </w:rPr>
        <w:t>, p. 130.</w:t>
      </w:r>
    </w:p>
    <w:p w14:paraId="7755849F"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p>
    <w:p w14:paraId="26CDB0BD" w14:textId="4AB84C57" w:rsidR="00F7556C" w:rsidRPr="002A32D0" w:rsidRDefault="00857DF4" w:rsidP="00F7556C">
      <w:pPr>
        <w:tabs>
          <w:tab w:val="left" w:pos="-1172"/>
          <w:tab w:val="left" w:pos="-720"/>
          <w:tab w:val="left" w:pos="0"/>
          <w:tab w:val="left" w:pos="714"/>
          <w:tab w:val="left" w:pos="2160"/>
        </w:tabs>
        <w:suppressAutoHyphens/>
        <w:rPr>
          <w:spacing w:val="-3"/>
        </w:rPr>
      </w:pPr>
      <w:r w:rsidRPr="002A32D0">
        <w:rPr>
          <w:spacing w:val="-3"/>
        </w:rPr>
        <w:t>frank</w:t>
      </w:r>
      <w:r w:rsidR="00F7556C" w:rsidRPr="002A32D0">
        <w:rPr>
          <w:spacing w:val="-3"/>
        </w:rPr>
        <w:t>, F. C., 1949, Disc. Farad. Soc</w:t>
      </w:r>
      <w:r w:rsidR="00F7556C" w:rsidRPr="002A32D0">
        <w:rPr>
          <w:b/>
          <w:bCs/>
          <w:spacing w:val="-3"/>
        </w:rPr>
        <w:t>.5</w:t>
      </w:r>
      <w:r w:rsidR="00F7556C" w:rsidRPr="002A32D0">
        <w:rPr>
          <w:spacing w:val="-3"/>
        </w:rPr>
        <w:t>, 48.</w:t>
      </w:r>
    </w:p>
    <w:p w14:paraId="3C020892"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350F8E93"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Fras, E. and Lopez, H.F., 1993, Trans. AFS, 101: 355.</w:t>
      </w:r>
    </w:p>
    <w:p w14:paraId="30DD6675"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38B0742A" w14:textId="00EFBB9E" w:rsidR="00F7556C" w:rsidRPr="002A32D0" w:rsidRDefault="00857DF4" w:rsidP="00F7556C">
      <w:pPr>
        <w:tabs>
          <w:tab w:val="left" w:pos="-1172"/>
          <w:tab w:val="left" w:pos="-720"/>
          <w:tab w:val="left" w:pos="0"/>
          <w:tab w:val="left" w:pos="714"/>
          <w:tab w:val="left" w:pos="2160"/>
        </w:tabs>
        <w:suppressAutoHyphens/>
        <w:rPr>
          <w:spacing w:val="-3"/>
        </w:rPr>
      </w:pPr>
      <w:r w:rsidRPr="002A32D0">
        <w:rPr>
          <w:spacing w:val="-3"/>
        </w:rPr>
        <w:t>Fredriksson</w:t>
      </w:r>
      <w:r w:rsidR="00F7556C" w:rsidRPr="002A32D0">
        <w:rPr>
          <w:spacing w:val="-3"/>
        </w:rPr>
        <w:t xml:space="preserve">.H., and </w:t>
      </w:r>
      <w:r w:rsidRPr="002A32D0">
        <w:rPr>
          <w:spacing w:val="-3"/>
        </w:rPr>
        <w:t>Hillert</w:t>
      </w:r>
      <w:r w:rsidR="00F7556C" w:rsidRPr="002A32D0">
        <w:rPr>
          <w:spacing w:val="-3"/>
        </w:rPr>
        <w:t>,</w:t>
      </w:r>
      <w:r>
        <w:rPr>
          <w:spacing w:val="-3"/>
        </w:rPr>
        <w:t xml:space="preserve"> M.,</w:t>
      </w:r>
      <w:r w:rsidR="00F7556C" w:rsidRPr="002A32D0">
        <w:rPr>
          <w:spacing w:val="-3"/>
        </w:rPr>
        <w:t xml:space="preserve"> 1972, Scand.J.Metall. </w:t>
      </w:r>
      <w:r w:rsidR="00F7556C" w:rsidRPr="002A32D0">
        <w:rPr>
          <w:b/>
          <w:bCs/>
          <w:spacing w:val="-3"/>
        </w:rPr>
        <w:t>2</w:t>
      </w:r>
      <w:r w:rsidR="00F7556C" w:rsidRPr="002A32D0">
        <w:rPr>
          <w:spacing w:val="-3"/>
        </w:rPr>
        <w:t>, 125.</w:t>
      </w:r>
    </w:p>
    <w:p w14:paraId="64654B0B"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1CFCD265" w14:textId="1D89238F" w:rsidR="00F7556C" w:rsidRPr="002A32D0" w:rsidRDefault="00857DF4" w:rsidP="00F7556C">
      <w:pPr>
        <w:tabs>
          <w:tab w:val="left" w:pos="-1172"/>
          <w:tab w:val="left" w:pos="-720"/>
          <w:tab w:val="left" w:pos="0"/>
          <w:tab w:val="left" w:pos="714"/>
          <w:tab w:val="left" w:pos="2160"/>
        </w:tabs>
        <w:suppressAutoHyphens/>
        <w:ind w:left="714" w:hanging="714"/>
        <w:jc w:val="both"/>
        <w:rPr>
          <w:spacing w:val="-3"/>
        </w:rPr>
      </w:pPr>
      <w:r w:rsidRPr="002A32D0">
        <w:rPr>
          <w:spacing w:val="-3"/>
        </w:rPr>
        <w:t>Fredriksson</w:t>
      </w:r>
      <w:r w:rsidR="00F7556C" w:rsidRPr="002A32D0">
        <w:rPr>
          <w:spacing w:val="-3"/>
        </w:rPr>
        <w:t>,H.,</w:t>
      </w:r>
      <w:r>
        <w:rPr>
          <w:spacing w:val="-3"/>
        </w:rPr>
        <w:t xml:space="preserve"> </w:t>
      </w:r>
      <w:r w:rsidRPr="002A32D0">
        <w:rPr>
          <w:spacing w:val="-3"/>
        </w:rPr>
        <w:t>Hillert</w:t>
      </w:r>
      <w:r>
        <w:rPr>
          <w:spacing w:val="-3"/>
        </w:rPr>
        <w:t>, M.,</w:t>
      </w:r>
      <w:r w:rsidR="00F7556C" w:rsidRPr="002A32D0">
        <w:rPr>
          <w:spacing w:val="-3"/>
        </w:rPr>
        <w:t xml:space="preserve"> and </w:t>
      </w:r>
      <w:r w:rsidRPr="002A32D0">
        <w:rPr>
          <w:spacing w:val="-3"/>
        </w:rPr>
        <w:t>Lange</w:t>
      </w:r>
      <w:r w:rsidR="00F7556C" w:rsidRPr="002A32D0">
        <w:rPr>
          <w:spacing w:val="-3"/>
        </w:rPr>
        <w:t>,</w:t>
      </w:r>
      <w:r>
        <w:rPr>
          <w:spacing w:val="-3"/>
        </w:rPr>
        <w:t xml:space="preserve"> N.,</w:t>
      </w:r>
      <w:r w:rsidR="00F7556C" w:rsidRPr="002A32D0">
        <w:rPr>
          <w:spacing w:val="-3"/>
        </w:rPr>
        <w:t xml:space="preserve"> 1973, J.Inst.Metals, </w:t>
      </w:r>
      <w:r w:rsidR="00F7556C" w:rsidRPr="002A32D0">
        <w:rPr>
          <w:b/>
          <w:bCs/>
          <w:spacing w:val="-3"/>
        </w:rPr>
        <w:t>101,</w:t>
      </w:r>
      <w:r w:rsidR="00F7556C" w:rsidRPr="002A32D0">
        <w:rPr>
          <w:spacing w:val="-3"/>
        </w:rPr>
        <w:t xml:space="preserve"> 285.</w:t>
      </w:r>
    </w:p>
    <w:p w14:paraId="2A2027A9"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2E9E565D" w14:textId="3125D59E" w:rsidR="00F7556C" w:rsidRPr="002A32D0" w:rsidRDefault="00857DF4" w:rsidP="00F7556C">
      <w:pPr>
        <w:tabs>
          <w:tab w:val="left" w:pos="-1172"/>
          <w:tab w:val="left" w:pos="-720"/>
          <w:tab w:val="left" w:pos="0"/>
          <w:tab w:val="left" w:pos="714"/>
          <w:tab w:val="left" w:pos="2160"/>
        </w:tabs>
        <w:suppressAutoHyphens/>
        <w:rPr>
          <w:spacing w:val="-3"/>
          <w:lang w:val="de-DE"/>
        </w:rPr>
      </w:pPr>
      <w:r w:rsidRPr="002A32D0">
        <w:rPr>
          <w:spacing w:val="-3"/>
          <w:lang w:val="sv-SE"/>
        </w:rPr>
        <w:t>Fredriksson</w:t>
      </w:r>
      <w:r w:rsidR="00F7556C" w:rsidRPr="002A32D0">
        <w:rPr>
          <w:spacing w:val="-3"/>
          <w:lang w:val="sv-SE"/>
        </w:rPr>
        <w:t xml:space="preserve">, H., and </w:t>
      </w:r>
      <w:r w:rsidRPr="002A32D0">
        <w:rPr>
          <w:spacing w:val="-3"/>
          <w:lang w:val="sv-SE"/>
        </w:rPr>
        <w:t>Nylen</w:t>
      </w:r>
      <w:r w:rsidR="00F7556C" w:rsidRPr="002A32D0">
        <w:rPr>
          <w:spacing w:val="-3"/>
          <w:lang w:val="sv-SE"/>
        </w:rPr>
        <w:t>,</w:t>
      </w:r>
      <w:r>
        <w:rPr>
          <w:spacing w:val="-3"/>
          <w:lang w:val="sv-SE"/>
        </w:rPr>
        <w:t xml:space="preserve"> T.,</w:t>
      </w:r>
      <w:r w:rsidR="00F7556C" w:rsidRPr="002A32D0">
        <w:rPr>
          <w:spacing w:val="-3"/>
          <w:lang w:val="sv-SE"/>
        </w:rPr>
        <w:t xml:space="preserve"> 1982, Metall. </w:t>
      </w:r>
      <w:r w:rsidR="00F7556C" w:rsidRPr="002A32D0">
        <w:rPr>
          <w:spacing w:val="-3"/>
          <w:lang w:val="de-DE"/>
        </w:rPr>
        <w:t xml:space="preserve">Sci. </w:t>
      </w:r>
      <w:r w:rsidR="00F7556C" w:rsidRPr="002A32D0">
        <w:rPr>
          <w:b/>
          <w:bCs/>
          <w:spacing w:val="-3"/>
          <w:lang w:val="de-DE"/>
        </w:rPr>
        <w:t>16</w:t>
      </w:r>
      <w:r w:rsidR="00F7556C" w:rsidRPr="002A32D0">
        <w:rPr>
          <w:spacing w:val="-3"/>
          <w:lang w:val="de-DE"/>
        </w:rPr>
        <w:t xml:space="preserve"> 283.</w:t>
      </w:r>
    </w:p>
    <w:p w14:paraId="0B63EAB5"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132FC8B8" w14:textId="2F5571CF" w:rsidR="00F7556C" w:rsidRPr="002A32D0" w:rsidRDefault="00857DF4" w:rsidP="00F7556C">
      <w:pPr>
        <w:tabs>
          <w:tab w:val="left" w:pos="-1172"/>
          <w:tab w:val="left" w:pos="-720"/>
          <w:tab w:val="left" w:pos="0"/>
          <w:tab w:val="left" w:pos="714"/>
          <w:tab w:val="left" w:pos="2160"/>
        </w:tabs>
        <w:suppressAutoHyphens/>
        <w:rPr>
          <w:spacing w:val="-3"/>
          <w:lang w:val="de-DE"/>
        </w:rPr>
      </w:pPr>
      <w:r w:rsidRPr="002A32D0">
        <w:rPr>
          <w:spacing w:val="-3"/>
          <w:lang w:val="de-DE"/>
        </w:rPr>
        <w:t>Frenkel</w:t>
      </w:r>
      <w:r w:rsidR="00F7556C" w:rsidRPr="002A32D0">
        <w:rPr>
          <w:spacing w:val="-3"/>
          <w:lang w:val="de-DE"/>
        </w:rPr>
        <w:t xml:space="preserve">, 1932, J., Phys. Z. Sowjetunion </w:t>
      </w:r>
      <w:r w:rsidR="00F7556C" w:rsidRPr="002A32D0">
        <w:rPr>
          <w:b/>
          <w:bCs/>
          <w:spacing w:val="-3"/>
          <w:lang w:val="de-DE"/>
        </w:rPr>
        <w:t>1</w:t>
      </w:r>
      <w:r w:rsidR="00F7556C" w:rsidRPr="002A32D0">
        <w:rPr>
          <w:spacing w:val="-3"/>
          <w:lang w:val="de-DE"/>
        </w:rPr>
        <w:t>, 498.</w:t>
      </w:r>
    </w:p>
    <w:p w14:paraId="2B33FFB4" w14:textId="77777777" w:rsidR="00F7556C" w:rsidRPr="002A32D0" w:rsidRDefault="00F7556C" w:rsidP="00F7556C">
      <w:pPr>
        <w:tabs>
          <w:tab w:val="left" w:pos="-1172"/>
          <w:tab w:val="left" w:pos="-720"/>
          <w:tab w:val="left" w:pos="0"/>
          <w:tab w:val="left" w:pos="714"/>
          <w:tab w:val="left" w:pos="2160"/>
        </w:tabs>
        <w:suppressAutoHyphens/>
        <w:rPr>
          <w:spacing w:val="-3"/>
          <w:lang w:val="de-DE"/>
        </w:rPr>
      </w:pPr>
    </w:p>
    <w:p w14:paraId="04E57376"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Furrer, D.U. and Semiatin, S.L., (2010). Metals process simulation. In ASM Handbook Materials Park, OH:ASM volume 22B,  649-</w:t>
      </w:r>
      <w:r w:rsidR="00301432" w:rsidRPr="002A32D0">
        <w:rPr>
          <w:spacing w:val="-3"/>
        </w:rPr>
        <w:t>656</w:t>
      </w:r>
      <w:r w:rsidRPr="002A32D0">
        <w:rPr>
          <w:spacing w:val="-3"/>
        </w:rPr>
        <w:t>.</w:t>
      </w:r>
    </w:p>
    <w:p w14:paraId="718B2BE3"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031FA23F"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 xml:space="preserve">Fife JL and Voorhees PW, (2009) The morphological evolution of equiaxed dendritic </w:t>
      </w:r>
    </w:p>
    <w:p w14:paraId="6FA00B3F"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 xml:space="preserve">microstructures during coarsening, Acta Materialia </w:t>
      </w:r>
      <w:r w:rsidRPr="002A32D0">
        <w:rPr>
          <w:b/>
          <w:spacing w:val="-3"/>
        </w:rPr>
        <w:t>57</w:t>
      </w:r>
      <w:r w:rsidRPr="002A32D0">
        <w:rPr>
          <w:spacing w:val="-3"/>
        </w:rPr>
        <w:t>,  2418–2428.</w:t>
      </w:r>
    </w:p>
    <w:p w14:paraId="69DC7137"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48F0292A"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lastRenderedPageBreak/>
        <w:t>Galenko P. and Sobolev S. (1997). Phys. Rev. E 55, 343-?.</w:t>
      </w:r>
    </w:p>
    <w:p w14:paraId="40681676"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74327D6A" w14:textId="77777777" w:rsidR="00F7556C" w:rsidRPr="002A32D0" w:rsidRDefault="00F7556C" w:rsidP="00F7556C">
      <w:pPr>
        <w:tabs>
          <w:tab w:val="left" w:pos="-1172"/>
          <w:tab w:val="left" w:pos="-720"/>
          <w:tab w:val="left" w:pos="0"/>
          <w:tab w:val="left" w:pos="714"/>
          <w:tab w:val="left" w:pos="2160"/>
        </w:tabs>
        <w:suppressAutoHyphens/>
        <w:rPr>
          <w:bCs/>
          <w:spacing w:val="-3"/>
        </w:rPr>
      </w:pPr>
      <w:r w:rsidRPr="002A32D0">
        <w:rPr>
          <w:bCs/>
          <w:spacing w:val="-3"/>
        </w:rPr>
        <w:t xml:space="preserve">Gandin CA, Rappaz M , West D, Adams, BL, 1995  Grain texture evolution during the columnar growth of dendritic alloys, Metallurgical and Materials Transactions A  </w:t>
      </w:r>
      <w:r w:rsidRPr="002A32D0">
        <w:rPr>
          <w:bCs/>
          <w:spacing w:val="-3"/>
          <w:u w:val="single"/>
        </w:rPr>
        <w:t>26</w:t>
      </w:r>
      <w:r w:rsidRPr="002A32D0">
        <w:rPr>
          <w:bCs/>
          <w:spacing w:val="-3"/>
        </w:rPr>
        <w:t xml:space="preserve">  1543-1551.</w:t>
      </w:r>
    </w:p>
    <w:p w14:paraId="50022F76" w14:textId="77777777" w:rsidR="00F7556C" w:rsidRPr="002A32D0" w:rsidRDefault="00F7556C" w:rsidP="00F7556C">
      <w:pPr>
        <w:tabs>
          <w:tab w:val="left" w:pos="-1172"/>
          <w:tab w:val="left" w:pos="-720"/>
          <w:tab w:val="left" w:pos="0"/>
          <w:tab w:val="left" w:pos="714"/>
          <w:tab w:val="left" w:pos="2160"/>
        </w:tabs>
        <w:suppressAutoHyphens/>
        <w:rPr>
          <w:bCs/>
          <w:spacing w:val="-3"/>
        </w:rPr>
      </w:pPr>
    </w:p>
    <w:p w14:paraId="7EE3A7B1"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 xml:space="preserve">Gandin CA, Desbioles JL Rappaz M and Thevoz, P (1999), A three dimensional cellular automaton-finite element model for the prediction of solidification grain structure, Met. &amp; Matls. Trans. </w:t>
      </w:r>
      <w:r w:rsidRPr="002A32D0">
        <w:rPr>
          <w:b/>
          <w:spacing w:val="-3"/>
        </w:rPr>
        <w:t>30A,</w:t>
      </w:r>
      <w:r w:rsidRPr="002A32D0">
        <w:rPr>
          <w:spacing w:val="-3"/>
        </w:rPr>
        <w:t xml:space="preserve"> 3153-3165.</w:t>
      </w:r>
    </w:p>
    <w:p w14:paraId="7EA52BBB" w14:textId="77777777" w:rsidR="00F7556C" w:rsidRPr="002A32D0" w:rsidRDefault="00F7556C" w:rsidP="00F7556C">
      <w:pPr>
        <w:tabs>
          <w:tab w:val="left" w:pos="-1172"/>
          <w:tab w:val="left" w:pos="-720"/>
          <w:tab w:val="left" w:pos="0"/>
          <w:tab w:val="left" w:pos="714"/>
          <w:tab w:val="left" w:pos="2160"/>
        </w:tabs>
        <w:suppressAutoHyphens/>
        <w:rPr>
          <w:bCs/>
          <w:spacing w:val="-3"/>
        </w:rPr>
      </w:pPr>
    </w:p>
    <w:p w14:paraId="218B9DA5" w14:textId="1380D41F" w:rsidR="00F7556C" w:rsidRPr="002A32D0" w:rsidRDefault="00DE2538" w:rsidP="00F7556C">
      <w:pPr>
        <w:tabs>
          <w:tab w:val="left" w:pos="-1172"/>
          <w:tab w:val="left" w:pos="-720"/>
          <w:tab w:val="left" w:pos="0"/>
          <w:tab w:val="left" w:pos="714"/>
          <w:tab w:val="left" w:pos="2160"/>
        </w:tabs>
        <w:suppressAutoHyphens/>
        <w:rPr>
          <w:spacing w:val="-3"/>
        </w:rPr>
      </w:pPr>
      <w:r w:rsidRPr="002A32D0">
        <w:rPr>
          <w:spacing w:val="-3"/>
        </w:rPr>
        <w:t>Garcia</w:t>
      </w:r>
      <w:r w:rsidR="00F7556C" w:rsidRPr="002A32D0">
        <w:rPr>
          <w:spacing w:val="-3"/>
        </w:rPr>
        <w:t xml:space="preserve">, A. and </w:t>
      </w:r>
      <w:r w:rsidRPr="002A32D0">
        <w:rPr>
          <w:spacing w:val="-3"/>
        </w:rPr>
        <w:t>Prates</w:t>
      </w:r>
      <w:r w:rsidR="00F7556C" w:rsidRPr="002A32D0">
        <w:rPr>
          <w:spacing w:val="-3"/>
        </w:rPr>
        <w:t xml:space="preserve">, </w:t>
      </w:r>
      <w:r>
        <w:rPr>
          <w:spacing w:val="-3"/>
        </w:rPr>
        <w:t xml:space="preserve">M., </w:t>
      </w:r>
      <w:r w:rsidR="00F7556C" w:rsidRPr="002A32D0">
        <w:rPr>
          <w:spacing w:val="-3"/>
        </w:rPr>
        <w:t>1978, Metall.Trans.</w:t>
      </w:r>
      <w:r w:rsidR="00F7556C" w:rsidRPr="002A32D0">
        <w:rPr>
          <w:b/>
          <w:bCs/>
          <w:spacing w:val="-3"/>
        </w:rPr>
        <w:t xml:space="preserve"> 9B</w:t>
      </w:r>
      <w:r w:rsidR="00F7556C" w:rsidRPr="002A32D0">
        <w:rPr>
          <w:spacing w:val="-3"/>
        </w:rPr>
        <w:t>, 449.</w:t>
      </w:r>
    </w:p>
    <w:p w14:paraId="042B8E66"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16028F29" w14:textId="1F28DE21" w:rsidR="00F7556C" w:rsidRPr="002A32D0" w:rsidRDefault="00DE2538" w:rsidP="00F7556C">
      <w:pPr>
        <w:tabs>
          <w:tab w:val="left" w:pos="-1172"/>
          <w:tab w:val="left" w:pos="-720"/>
          <w:tab w:val="left" w:pos="0"/>
          <w:tab w:val="left" w:pos="714"/>
          <w:tab w:val="left" w:pos="2160"/>
        </w:tabs>
        <w:suppressAutoHyphens/>
        <w:rPr>
          <w:spacing w:val="-3"/>
        </w:rPr>
      </w:pPr>
      <w:r w:rsidRPr="002A32D0">
        <w:rPr>
          <w:spacing w:val="-3"/>
        </w:rPr>
        <w:t>Garcia</w:t>
      </w:r>
      <w:r w:rsidR="00F7556C" w:rsidRPr="002A32D0">
        <w:rPr>
          <w:spacing w:val="-3"/>
        </w:rPr>
        <w:t xml:space="preserve">, A., </w:t>
      </w:r>
      <w:r w:rsidRPr="002A32D0">
        <w:rPr>
          <w:spacing w:val="-3"/>
        </w:rPr>
        <w:t>Clyne</w:t>
      </w:r>
      <w:r>
        <w:rPr>
          <w:spacing w:val="-3"/>
        </w:rPr>
        <w:t>, T.W.,</w:t>
      </w:r>
      <w:r w:rsidR="00F7556C" w:rsidRPr="002A32D0">
        <w:rPr>
          <w:spacing w:val="-3"/>
        </w:rPr>
        <w:t xml:space="preserve"> and </w:t>
      </w:r>
      <w:r w:rsidRPr="002A32D0">
        <w:rPr>
          <w:spacing w:val="-3"/>
        </w:rPr>
        <w:t>Prates</w:t>
      </w:r>
      <w:r w:rsidR="00F7556C" w:rsidRPr="002A32D0">
        <w:rPr>
          <w:spacing w:val="-3"/>
        </w:rPr>
        <w:t xml:space="preserve">, </w:t>
      </w:r>
      <w:r>
        <w:rPr>
          <w:spacing w:val="-3"/>
        </w:rPr>
        <w:t xml:space="preserve">M., </w:t>
      </w:r>
      <w:r w:rsidR="00F7556C" w:rsidRPr="002A32D0">
        <w:rPr>
          <w:spacing w:val="-3"/>
        </w:rPr>
        <w:t xml:space="preserve">1979, Metall.Trans. </w:t>
      </w:r>
      <w:r w:rsidR="00F7556C" w:rsidRPr="002A32D0">
        <w:rPr>
          <w:b/>
          <w:bCs/>
          <w:spacing w:val="-3"/>
        </w:rPr>
        <w:t>10B</w:t>
      </w:r>
      <w:r w:rsidR="00F7556C" w:rsidRPr="002A32D0">
        <w:rPr>
          <w:spacing w:val="-3"/>
        </w:rPr>
        <w:t>, 85.</w:t>
      </w:r>
    </w:p>
    <w:p w14:paraId="7B3AE2E5"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1D1F6494" w14:textId="7DDE4E62" w:rsidR="00F7556C" w:rsidRPr="002A32D0" w:rsidRDefault="00DE2538" w:rsidP="00F7556C">
      <w:pPr>
        <w:tabs>
          <w:tab w:val="left" w:pos="-1172"/>
          <w:tab w:val="left" w:pos="-720"/>
          <w:tab w:val="left" w:pos="0"/>
          <w:tab w:val="left" w:pos="714"/>
          <w:tab w:val="left" w:pos="2160"/>
        </w:tabs>
        <w:suppressAutoHyphens/>
        <w:rPr>
          <w:spacing w:val="-3"/>
        </w:rPr>
      </w:pPr>
      <w:r w:rsidRPr="002A32D0">
        <w:rPr>
          <w:spacing w:val="-3"/>
        </w:rPr>
        <w:t>Garcia</w:t>
      </w:r>
      <w:r w:rsidR="00F7556C" w:rsidRPr="002A32D0">
        <w:rPr>
          <w:spacing w:val="-3"/>
        </w:rPr>
        <w:t xml:space="preserve">, A. and </w:t>
      </w:r>
      <w:r w:rsidRPr="002A32D0">
        <w:rPr>
          <w:spacing w:val="-3"/>
        </w:rPr>
        <w:t>Clyne</w:t>
      </w:r>
      <w:r w:rsidR="00F7556C" w:rsidRPr="002A32D0">
        <w:rPr>
          <w:spacing w:val="-3"/>
        </w:rPr>
        <w:t>,</w:t>
      </w:r>
      <w:r>
        <w:rPr>
          <w:spacing w:val="-3"/>
        </w:rPr>
        <w:t xml:space="preserve"> T.W.,</w:t>
      </w:r>
      <w:r w:rsidR="00F7556C" w:rsidRPr="002A32D0">
        <w:rPr>
          <w:spacing w:val="-3"/>
        </w:rPr>
        <w:t xml:space="preserve"> 1983, in: Solidification Technology in the Foundry and Casthouse, ed. J. A. Charles (The Metals Society, London), p. 33.</w:t>
      </w:r>
    </w:p>
    <w:p w14:paraId="58623F21"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4C1CCC20"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r w:rsidRPr="002A32D0">
        <w:rPr>
          <w:spacing w:val="-3"/>
        </w:rPr>
        <w:t xml:space="preserve">Genau A L.  Voorhees PW. and Thornton K (2009), The morphology of topologically complex interfaces, Scripta Materialia </w:t>
      </w:r>
      <w:r w:rsidRPr="002A32D0">
        <w:rPr>
          <w:b/>
          <w:spacing w:val="-3"/>
        </w:rPr>
        <w:t>60</w:t>
      </w:r>
      <w:r w:rsidRPr="002A32D0">
        <w:rPr>
          <w:spacing w:val="-3"/>
        </w:rPr>
        <w:t xml:space="preserve"> 301–304.</w:t>
      </w:r>
    </w:p>
    <w:p w14:paraId="4D9CC506"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p>
    <w:p w14:paraId="123F470E" w14:textId="3E31C4B4" w:rsidR="00F7556C" w:rsidRPr="002A32D0" w:rsidRDefault="00DE2538" w:rsidP="00F7556C">
      <w:pPr>
        <w:tabs>
          <w:tab w:val="left" w:pos="-1172"/>
          <w:tab w:val="left" w:pos="-720"/>
          <w:tab w:val="left" w:pos="0"/>
          <w:tab w:val="left" w:pos="714"/>
          <w:tab w:val="left" w:pos="2160"/>
        </w:tabs>
        <w:suppressAutoHyphens/>
        <w:rPr>
          <w:spacing w:val="-3"/>
          <w:lang w:val="sv-SE"/>
        </w:rPr>
      </w:pPr>
      <w:r w:rsidRPr="002A32D0">
        <w:rPr>
          <w:spacing w:val="-3"/>
          <w:lang w:val="sv-SE"/>
        </w:rPr>
        <w:t>Gill</w:t>
      </w:r>
      <w:r w:rsidR="00F7556C" w:rsidRPr="002A32D0">
        <w:rPr>
          <w:spacing w:val="-3"/>
          <w:lang w:val="sv-SE"/>
        </w:rPr>
        <w:t xml:space="preserve">, S. C. and </w:t>
      </w:r>
      <w:r w:rsidRPr="002A32D0">
        <w:rPr>
          <w:spacing w:val="-3"/>
          <w:lang w:val="sv-SE"/>
        </w:rPr>
        <w:t>Kurz</w:t>
      </w:r>
      <w:r w:rsidR="00F7556C" w:rsidRPr="002A32D0">
        <w:rPr>
          <w:spacing w:val="-3"/>
          <w:lang w:val="sv-SE"/>
        </w:rPr>
        <w:t xml:space="preserve">, </w:t>
      </w:r>
      <w:r>
        <w:rPr>
          <w:spacing w:val="-3"/>
          <w:lang w:val="sv-SE"/>
        </w:rPr>
        <w:t xml:space="preserve">W., </w:t>
      </w:r>
      <w:r w:rsidR="00F7556C" w:rsidRPr="002A32D0">
        <w:rPr>
          <w:spacing w:val="-3"/>
          <w:lang w:val="sv-SE"/>
        </w:rPr>
        <w:t>1994, Acta Metall. Mater.</w:t>
      </w:r>
      <w:r w:rsidR="00F7556C" w:rsidRPr="002A32D0">
        <w:rPr>
          <w:b/>
          <w:bCs/>
          <w:spacing w:val="-3"/>
          <w:lang w:val="sv-SE"/>
        </w:rPr>
        <w:t xml:space="preserve"> 41</w:t>
      </w:r>
      <w:r w:rsidR="00F7556C" w:rsidRPr="002A32D0">
        <w:rPr>
          <w:spacing w:val="-3"/>
          <w:lang w:val="sv-SE"/>
        </w:rPr>
        <w:t>, 3563.</w:t>
      </w:r>
    </w:p>
    <w:p w14:paraId="2095AFB1" w14:textId="77777777" w:rsidR="00F7556C" w:rsidRPr="002A32D0" w:rsidRDefault="00F7556C" w:rsidP="00F7556C">
      <w:pPr>
        <w:tabs>
          <w:tab w:val="left" w:pos="-1172"/>
          <w:tab w:val="left" w:pos="-720"/>
          <w:tab w:val="left" w:pos="0"/>
          <w:tab w:val="left" w:pos="714"/>
          <w:tab w:val="left" w:pos="2160"/>
        </w:tabs>
        <w:suppressAutoHyphens/>
        <w:rPr>
          <w:spacing w:val="-3"/>
          <w:lang w:val="sv-SE"/>
        </w:rPr>
      </w:pPr>
    </w:p>
    <w:p w14:paraId="2981D758" w14:textId="16540522" w:rsidR="00F7556C" w:rsidRPr="002A32D0" w:rsidRDefault="00DE2538" w:rsidP="00F7556C">
      <w:pPr>
        <w:tabs>
          <w:tab w:val="left" w:pos="-1172"/>
          <w:tab w:val="left" w:pos="-720"/>
          <w:tab w:val="left" w:pos="0"/>
          <w:tab w:val="left" w:pos="714"/>
          <w:tab w:val="left" w:pos="2160"/>
        </w:tabs>
        <w:suppressAutoHyphens/>
        <w:jc w:val="both"/>
        <w:rPr>
          <w:spacing w:val="-3"/>
        </w:rPr>
      </w:pPr>
      <w:r w:rsidRPr="002A32D0">
        <w:rPr>
          <w:spacing w:val="-3"/>
        </w:rPr>
        <w:t>Giovanola</w:t>
      </w:r>
      <w:r>
        <w:rPr>
          <w:spacing w:val="-3"/>
        </w:rPr>
        <w:t>,</w:t>
      </w:r>
      <w:r w:rsidR="00F7556C" w:rsidRPr="002A32D0">
        <w:rPr>
          <w:spacing w:val="-3"/>
        </w:rPr>
        <w:t xml:space="preserve"> B., and </w:t>
      </w:r>
      <w:r w:rsidRPr="002A32D0">
        <w:rPr>
          <w:spacing w:val="-3"/>
          <w:lang w:val="sv-SE"/>
        </w:rPr>
        <w:t xml:space="preserve">Kurz, </w:t>
      </w:r>
      <w:r>
        <w:rPr>
          <w:spacing w:val="-3"/>
          <w:lang w:val="sv-SE"/>
        </w:rPr>
        <w:t xml:space="preserve">W., </w:t>
      </w:r>
      <w:r w:rsidR="00F7556C" w:rsidRPr="002A32D0">
        <w:rPr>
          <w:spacing w:val="-3"/>
        </w:rPr>
        <w:t>1990, Metall. Trans.</w:t>
      </w:r>
      <w:r w:rsidR="00F7556C" w:rsidRPr="002A32D0">
        <w:rPr>
          <w:b/>
          <w:bCs/>
          <w:spacing w:val="-3"/>
        </w:rPr>
        <w:t xml:space="preserve"> 21A</w:t>
      </w:r>
      <w:r w:rsidR="00F7556C" w:rsidRPr="002A32D0">
        <w:rPr>
          <w:spacing w:val="-3"/>
        </w:rPr>
        <w:t>, 260.</w:t>
      </w:r>
    </w:p>
    <w:p w14:paraId="752F0DBA" w14:textId="77777777" w:rsidR="00F7556C" w:rsidRPr="002A32D0" w:rsidRDefault="00F7556C" w:rsidP="00F7556C">
      <w:pPr>
        <w:tabs>
          <w:tab w:val="left" w:pos="-1172"/>
          <w:tab w:val="left" w:pos="-720"/>
          <w:tab w:val="left" w:pos="0"/>
          <w:tab w:val="left" w:pos="714"/>
          <w:tab w:val="left" w:pos="2160"/>
        </w:tabs>
        <w:suppressAutoHyphens/>
        <w:rPr>
          <w:spacing w:val="-3"/>
          <w:lang w:val="sv-SE"/>
        </w:rPr>
      </w:pPr>
    </w:p>
    <w:p w14:paraId="292E92B5"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Glicksman M. E., Lowengrub J. S., Li S., and Li X. (2007), A deterministic mechanism for dendritic solidification kinetics, Journal of Metals 27, ?-?.</w:t>
      </w:r>
    </w:p>
    <w:p w14:paraId="7ABEE039"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07ACECF0" w14:textId="48BFB213" w:rsidR="00F7556C" w:rsidRPr="002A32D0" w:rsidRDefault="00DE2538" w:rsidP="00F7556C">
      <w:pPr>
        <w:tabs>
          <w:tab w:val="left" w:pos="-1172"/>
          <w:tab w:val="left" w:pos="-720"/>
          <w:tab w:val="left" w:pos="0"/>
          <w:tab w:val="left" w:pos="714"/>
          <w:tab w:val="left" w:pos="2160"/>
        </w:tabs>
        <w:suppressAutoHyphens/>
        <w:ind w:left="714" w:hanging="714"/>
        <w:rPr>
          <w:spacing w:val="-3"/>
        </w:rPr>
      </w:pPr>
      <w:r w:rsidRPr="002A32D0">
        <w:rPr>
          <w:spacing w:val="-3"/>
        </w:rPr>
        <w:t>Glicksman</w:t>
      </w:r>
      <w:r w:rsidR="00F7556C" w:rsidRPr="002A32D0">
        <w:rPr>
          <w:spacing w:val="-3"/>
        </w:rPr>
        <w:t xml:space="preserve">, M. E., </w:t>
      </w:r>
      <w:r w:rsidRPr="002A32D0">
        <w:rPr>
          <w:spacing w:val="-3"/>
        </w:rPr>
        <w:t>Schaefer</w:t>
      </w:r>
      <w:r w:rsidR="00F7556C" w:rsidRPr="002A32D0">
        <w:rPr>
          <w:spacing w:val="-3"/>
        </w:rPr>
        <w:t xml:space="preserve">, </w:t>
      </w:r>
      <w:r>
        <w:rPr>
          <w:spacing w:val="-3"/>
        </w:rPr>
        <w:t xml:space="preserve">R.J., </w:t>
      </w:r>
      <w:r w:rsidR="00F7556C" w:rsidRPr="002A32D0">
        <w:rPr>
          <w:spacing w:val="-3"/>
        </w:rPr>
        <w:t xml:space="preserve">and </w:t>
      </w:r>
      <w:r w:rsidRPr="002A32D0">
        <w:rPr>
          <w:spacing w:val="-3"/>
        </w:rPr>
        <w:t>Ayers</w:t>
      </w:r>
      <w:r w:rsidR="00F7556C" w:rsidRPr="002A32D0">
        <w:rPr>
          <w:spacing w:val="-3"/>
        </w:rPr>
        <w:t xml:space="preserve">, </w:t>
      </w:r>
      <w:r>
        <w:rPr>
          <w:spacing w:val="-3"/>
        </w:rPr>
        <w:t xml:space="preserve">J.D., </w:t>
      </w:r>
      <w:r w:rsidR="00F7556C" w:rsidRPr="002A32D0">
        <w:rPr>
          <w:spacing w:val="-3"/>
        </w:rPr>
        <w:t xml:space="preserve">1976, Metall. Trans. </w:t>
      </w:r>
      <w:r w:rsidR="00F7556C" w:rsidRPr="002A32D0">
        <w:rPr>
          <w:b/>
          <w:bCs/>
          <w:spacing w:val="-3"/>
        </w:rPr>
        <w:t>7A</w:t>
      </w:r>
      <w:r w:rsidR="00F7556C" w:rsidRPr="002A32D0">
        <w:rPr>
          <w:spacing w:val="-3"/>
        </w:rPr>
        <w:t>, 1747.</w:t>
      </w:r>
    </w:p>
    <w:p w14:paraId="100A5AFA"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p>
    <w:p w14:paraId="7850ED9A" w14:textId="77DED023" w:rsidR="00F7556C" w:rsidRPr="002A32D0" w:rsidRDefault="00DE2538" w:rsidP="00F7556C">
      <w:pPr>
        <w:tabs>
          <w:tab w:val="left" w:pos="-1172"/>
          <w:tab w:val="left" w:pos="-720"/>
          <w:tab w:val="left" w:pos="0"/>
          <w:tab w:val="left" w:pos="714"/>
          <w:tab w:val="left" w:pos="2160"/>
        </w:tabs>
        <w:suppressAutoHyphens/>
        <w:ind w:left="714" w:hanging="714"/>
        <w:rPr>
          <w:spacing w:val="-3"/>
        </w:rPr>
      </w:pPr>
      <w:r w:rsidRPr="002A32D0">
        <w:rPr>
          <w:spacing w:val="-3"/>
        </w:rPr>
        <w:t>Glicksman</w:t>
      </w:r>
      <w:r w:rsidR="00F7556C" w:rsidRPr="002A32D0">
        <w:rPr>
          <w:spacing w:val="-3"/>
        </w:rPr>
        <w:t xml:space="preserve">, M.E., </w:t>
      </w:r>
      <w:r w:rsidRPr="002A32D0">
        <w:rPr>
          <w:spacing w:val="-3"/>
        </w:rPr>
        <w:t>Coriell</w:t>
      </w:r>
      <w:r>
        <w:rPr>
          <w:spacing w:val="-3"/>
        </w:rPr>
        <w:t xml:space="preserve">, S.R., </w:t>
      </w:r>
      <w:r w:rsidRPr="002A32D0">
        <w:rPr>
          <w:spacing w:val="-3"/>
        </w:rPr>
        <w:t>Mcfadden</w:t>
      </w:r>
      <w:r w:rsidR="00F7556C" w:rsidRPr="002A32D0">
        <w:rPr>
          <w:spacing w:val="-3"/>
        </w:rPr>
        <w:t>,</w:t>
      </w:r>
      <w:r>
        <w:rPr>
          <w:spacing w:val="-3"/>
        </w:rPr>
        <w:t xml:space="preserve"> G.B., </w:t>
      </w:r>
      <w:r w:rsidR="00F7556C" w:rsidRPr="002A32D0">
        <w:rPr>
          <w:spacing w:val="-3"/>
        </w:rPr>
        <w:t xml:space="preserve"> 1986, Ann.Rev. Fluid Mech. </w:t>
      </w:r>
      <w:r w:rsidR="00F7556C" w:rsidRPr="002A32D0">
        <w:rPr>
          <w:b/>
          <w:bCs/>
          <w:spacing w:val="-3"/>
        </w:rPr>
        <w:t>18</w:t>
      </w:r>
      <w:r w:rsidR="00F7556C" w:rsidRPr="002A32D0">
        <w:rPr>
          <w:spacing w:val="-3"/>
        </w:rPr>
        <w:t>, 307.</w:t>
      </w:r>
    </w:p>
    <w:p w14:paraId="53B82368"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5A332D5D"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r w:rsidRPr="002A32D0">
        <w:rPr>
          <w:spacing w:val="-3"/>
        </w:rPr>
        <w:t>Glicksman M. E ,2010, Principles of solidification, New York:Springer.</w:t>
      </w:r>
    </w:p>
    <w:p w14:paraId="786027CB"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p>
    <w:p w14:paraId="1BE37CE0"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r w:rsidRPr="002A32D0">
        <w:rPr>
          <w:spacing w:val="-3"/>
        </w:rPr>
        <w:t>Glicksman ME,  2012? Campbell memorial lecture, Met and Matls Trans A, in press.</w:t>
      </w:r>
    </w:p>
    <w:p w14:paraId="013A6709"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p>
    <w:p w14:paraId="388F6696"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lang w:val="fr-FR"/>
        </w:rPr>
        <w:t xml:space="preserve">Gránásy, L Pusztai T, 2002, J. Chem. </w:t>
      </w:r>
      <w:r w:rsidRPr="002A32D0">
        <w:rPr>
          <w:spacing w:val="-3"/>
        </w:rPr>
        <w:t>Phys. 117, 10121.</w:t>
      </w:r>
    </w:p>
    <w:p w14:paraId="705F69AC"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p>
    <w:p w14:paraId="1765E758"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 xml:space="preserve">Granasy L., Pusztai T., Saylor D., Warren J. A. (2007). Phys. Rev. Lett. </w:t>
      </w:r>
      <w:r w:rsidRPr="002A32D0">
        <w:rPr>
          <w:b/>
          <w:spacing w:val="-3"/>
        </w:rPr>
        <w:t xml:space="preserve">98, </w:t>
      </w:r>
      <w:r w:rsidRPr="002A32D0">
        <w:rPr>
          <w:spacing w:val="-3"/>
        </w:rPr>
        <w:t>article</w:t>
      </w:r>
      <w:r w:rsidRPr="002A32D0">
        <w:rPr>
          <w:b/>
          <w:spacing w:val="-3"/>
        </w:rPr>
        <w:t xml:space="preserve"> # </w:t>
      </w:r>
      <w:r w:rsidRPr="002A32D0">
        <w:rPr>
          <w:spacing w:val="-3"/>
        </w:rPr>
        <w:t>035703.</w:t>
      </w:r>
    </w:p>
    <w:p w14:paraId="3B68D830"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403A6C46" w14:textId="39E3CA1F" w:rsidR="00DC1C75" w:rsidRPr="002A32D0" w:rsidRDefault="008254F6" w:rsidP="00F7556C">
      <w:pPr>
        <w:tabs>
          <w:tab w:val="left" w:pos="-1172"/>
          <w:tab w:val="left" w:pos="-720"/>
          <w:tab w:val="left" w:pos="0"/>
          <w:tab w:val="left" w:pos="714"/>
          <w:tab w:val="left" w:pos="2160"/>
        </w:tabs>
        <w:suppressAutoHyphens/>
        <w:rPr>
          <w:spacing w:val="-3"/>
        </w:rPr>
      </w:pPr>
      <w:r w:rsidRPr="002A32D0">
        <w:rPr>
          <w:spacing w:val="-3"/>
        </w:rPr>
        <w:t>Granger</w:t>
      </w:r>
      <w:r w:rsidR="00DC1C75" w:rsidRPr="002A32D0">
        <w:rPr>
          <w:spacing w:val="-3"/>
        </w:rPr>
        <w:t>,</w:t>
      </w:r>
      <w:r>
        <w:rPr>
          <w:spacing w:val="-3"/>
        </w:rPr>
        <w:t xml:space="preserve"> </w:t>
      </w:r>
      <w:r w:rsidR="00DC1C75" w:rsidRPr="002A32D0">
        <w:rPr>
          <w:spacing w:val="-3"/>
        </w:rPr>
        <w:t xml:space="preserve">D.A. and </w:t>
      </w:r>
      <w:r w:rsidRPr="002A32D0">
        <w:rPr>
          <w:spacing w:val="-3"/>
        </w:rPr>
        <w:t>Elliot</w:t>
      </w:r>
      <w:r w:rsidR="00DC1C75" w:rsidRPr="002A32D0">
        <w:rPr>
          <w:spacing w:val="-3"/>
        </w:rPr>
        <w:t>,</w:t>
      </w:r>
      <w:r>
        <w:rPr>
          <w:spacing w:val="-3"/>
        </w:rPr>
        <w:t xml:space="preserve"> R.,</w:t>
      </w:r>
      <w:r w:rsidR="00DC1C75" w:rsidRPr="002A32D0">
        <w:rPr>
          <w:spacing w:val="-3"/>
        </w:rPr>
        <w:t xml:space="preserve"> 1988, Metals Handbook, 9th.ed.,(ASM, Metals Park, OH) 15 "Casting", p. 15.</w:t>
      </w:r>
    </w:p>
    <w:p w14:paraId="1C58942C" w14:textId="77777777" w:rsidR="00DC1C75" w:rsidRPr="002A32D0" w:rsidRDefault="00DC1C75" w:rsidP="00F7556C">
      <w:pPr>
        <w:tabs>
          <w:tab w:val="left" w:pos="-1172"/>
          <w:tab w:val="left" w:pos="-720"/>
          <w:tab w:val="left" w:pos="0"/>
          <w:tab w:val="left" w:pos="714"/>
          <w:tab w:val="left" w:pos="2160"/>
        </w:tabs>
        <w:suppressAutoHyphens/>
        <w:rPr>
          <w:spacing w:val="-3"/>
        </w:rPr>
      </w:pPr>
    </w:p>
    <w:p w14:paraId="0D390E31"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Greer AL, Bunn AM, Tronche A, Evans PV And Bristow DJ, (2000), Modelling of inoculation of metallic melts: application to grain refinement of aluminium by Al-Ti-B, Acta mater. 48 (2000) 2823-2835</w:t>
      </w:r>
    </w:p>
    <w:p w14:paraId="60E215BC"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5C68C661" w14:textId="6032E941" w:rsidR="00F7556C" w:rsidRPr="002A32D0" w:rsidRDefault="008254F6" w:rsidP="00F7556C">
      <w:pPr>
        <w:tabs>
          <w:tab w:val="left" w:pos="-1172"/>
          <w:tab w:val="left" w:pos="-720"/>
          <w:tab w:val="left" w:pos="0"/>
          <w:tab w:val="left" w:pos="714"/>
          <w:tab w:val="left" w:pos="2160"/>
        </w:tabs>
        <w:suppressAutoHyphens/>
        <w:ind w:left="714" w:hanging="714"/>
        <w:rPr>
          <w:spacing w:val="-3"/>
        </w:rPr>
      </w:pPr>
      <w:r w:rsidRPr="002A32D0">
        <w:rPr>
          <w:spacing w:val="-3"/>
        </w:rPr>
        <w:t>Gremaud</w:t>
      </w:r>
      <w:r w:rsidR="00F7556C" w:rsidRPr="002A32D0">
        <w:rPr>
          <w:spacing w:val="-3"/>
        </w:rPr>
        <w:t>, M.</w:t>
      </w:r>
      <w:r>
        <w:rPr>
          <w:spacing w:val="-3"/>
        </w:rPr>
        <w:t xml:space="preserve">, </w:t>
      </w:r>
      <w:r w:rsidRPr="002A32D0">
        <w:rPr>
          <w:spacing w:val="-3"/>
        </w:rPr>
        <w:t>Kurz</w:t>
      </w:r>
      <w:r w:rsidR="00F7556C" w:rsidRPr="002A32D0">
        <w:rPr>
          <w:spacing w:val="-3"/>
        </w:rPr>
        <w:t xml:space="preserve">, </w:t>
      </w:r>
      <w:r>
        <w:rPr>
          <w:spacing w:val="-3"/>
        </w:rPr>
        <w:t xml:space="preserve">W., </w:t>
      </w:r>
      <w:r w:rsidR="00F7556C" w:rsidRPr="002A32D0">
        <w:rPr>
          <w:spacing w:val="-3"/>
        </w:rPr>
        <w:t xml:space="preserve">and </w:t>
      </w:r>
      <w:r w:rsidRPr="002A32D0">
        <w:rPr>
          <w:spacing w:val="-3"/>
        </w:rPr>
        <w:t>Trivedi</w:t>
      </w:r>
      <w:r w:rsidR="00F7556C" w:rsidRPr="002A32D0">
        <w:rPr>
          <w:spacing w:val="-3"/>
        </w:rPr>
        <w:t xml:space="preserve">, </w:t>
      </w:r>
      <w:r>
        <w:rPr>
          <w:spacing w:val="-3"/>
        </w:rPr>
        <w:t xml:space="preserve">R., </w:t>
      </w:r>
      <w:r w:rsidR="00F7556C" w:rsidRPr="002A32D0">
        <w:rPr>
          <w:spacing w:val="-3"/>
        </w:rPr>
        <w:t>1987, unpublished work. See TRIVEDI and KURZ [1988].</w:t>
      </w:r>
    </w:p>
    <w:p w14:paraId="3A8F6575"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p>
    <w:p w14:paraId="2A341AC3" w14:textId="418D01E2" w:rsidR="00F7556C" w:rsidRPr="002A32D0" w:rsidRDefault="008254F6" w:rsidP="00F7556C">
      <w:pPr>
        <w:tabs>
          <w:tab w:val="left" w:pos="-1172"/>
          <w:tab w:val="left" w:pos="-720"/>
          <w:tab w:val="left" w:pos="0"/>
          <w:tab w:val="left" w:pos="714"/>
          <w:tab w:val="left" w:pos="2160"/>
        </w:tabs>
        <w:suppressAutoHyphens/>
        <w:ind w:left="714" w:hanging="714"/>
        <w:rPr>
          <w:spacing w:val="-3"/>
          <w:lang w:val="sv-SE"/>
        </w:rPr>
      </w:pPr>
      <w:r w:rsidRPr="002A32D0">
        <w:rPr>
          <w:spacing w:val="-3"/>
        </w:rPr>
        <w:t>Gremaud</w:t>
      </w:r>
      <w:r w:rsidR="00F7556C" w:rsidRPr="002A32D0">
        <w:rPr>
          <w:spacing w:val="-3"/>
        </w:rPr>
        <w:t xml:space="preserve">, M., </w:t>
      </w:r>
      <w:r w:rsidRPr="002A32D0">
        <w:rPr>
          <w:spacing w:val="-3"/>
        </w:rPr>
        <w:t>Carrad</w:t>
      </w:r>
      <w:r>
        <w:rPr>
          <w:spacing w:val="-3"/>
        </w:rPr>
        <w:t>, M.,</w:t>
      </w:r>
      <w:r w:rsidR="00F7556C" w:rsidRPr="002A32D0">
        <w:rPr>
          <w:spacing w:val="-3"/>
        </w:rPr>
        <w:t xml:space="preserve"> and </w:t>
      </w:r>
      <w:r w:rsidRPr="002A32D0">
        <w:rPr>
          <w:spacing w:val="-3"/>
        </w:rPr>
        <w:t>Kurz</w:t>
      </w:r>
      <w:r w:rsidR="00F7556C" w:rsidRPr="002A32D0">
        <w:rPr>
          <w:spacing w:val="-3"/>
        </w:rPr>
        <w:t>,</w:t>
      </w:r>
      <w:r>
        <w:rPr>
          <w:spacing w:val="-3"/>
        </w:rPr>
        <w:t xml:space="preserve"> W.,</w:t>
      </w:r>
      <w:r w:rsidR="00F7556C" w:rsidRPr="002A32D0">
        <w:rPr>
          <w:spacing w:val="-3"/>
        </w:rPr>
        <w:t xml:space="preserve"> 1991, Acta Metall. </w:t>
      </w:r>
      <w:r w:rsidR="00F7556C" w:rsidRPr="002A32D0">
        <w:rPr>
          <w:spacing w:val="-3"/>
          <w:lang w:val="sv-SE"/>
        </w:rPr>
        <w:t xml:space="preserve">Mater. </w:t>
      </w:r>
      <w:r w:rsidR="00F7556C" w:rsidRPr="002A32D0">
        <w:rPr>
          <w:b/>
          <w:bCs/>
          <w:spacing w:val="-3"/>
          <w:lang w:val="sv-SE"/>
        </w:rPr>
        <w:t>39</w:t>
      </w:r>
      <w:r w:rsidR="00F7556C" w:rsidRPr="002A32D0">
        <w:rPr>
          <w:spacing w:val="-3"/>
          <w:lang w:val="sv-SE"/>
        </w:rPr>
        <w:t>, 1431.</w:t>
      </w:r>
    </w:p>
    <w:p w14:paraId="2BF37BD7"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lang w:val="sv-SE"/>
        </w:rPr>
      </w:pPr>
    </w:p>
    <w:p w14:paraId="36E2A825" w14:textId="598E09B3" w:rsidR="00F7556C" w:rsidRPr="002A32D0" w:rsidRDefault="008254F6" w:rsidP="00F7556C">
      <w:pPr>
        <w:tabs>
          <w:tab w:val="left" w:pos="-1172"/>
          <w:tab w:val="left" w:pos="-720"/>
          <w:tab w:val="left" w:pos="0"/>
          <w:tab w:val="left" w:pos="714"/>
          <w:tab w:val="left" w:pos="2160"/>
        </w:tabs>
        <w:suppressAutoHyphens/>
        <w:ind w:left="714" w:hanging="714"/>
        <w:rPr>
          <w:spacing w:val="-3"/>
        </w:rPr>
      </w:pPr>
      <w:r w:rsidRPr="002A32D0">
        <w:rPr>
          <w:spacing w:val="-3"/>
          <w:lang w:val="sv-SE"/>
        </w:rPr>
        <w:t>Grugel</w:t>
      </w:r>
      <w:r w:rsidR="00F7556C" w:rsidRPr="002A32D0">
        <w:rPr>
          <w:spacing w:val="-3"/>
          <w:lang w:val="sv-SE"/>
        </w:rPr>
        <w:t>, R. N.</w:t>
      </w:r>
      <w:r>
        <w:rPr>
          <w:spacing w:val="-3"/>
          <w:lang w:val="sv-SE"/>
        </w:rPr>
        <w:t xml:space="preserve"> and </w:t>
      </w:r>
      <w:r w:rsidRPr="002A32D0">
        <w:rPr>
          <w:spacing w:val="-3"/>
          <w:lang w:val="sv-SE"/>
        </w:rPr>
        <w:t>Hellawell</w:t>
      </w:r>
      <w:r w:rsidR="00F7556C" w:rsidRPr="002A32D0">
        <w:rPr>
          <w:spacing w:val="-3"/>
          <w:lang w:val="sv-SE"/>
        </w:rPr>
        <w:t>,</w:t>
      </w:r>
      <w:r>
        <w:rPr>
          <w:spacing w:val="-3"/>
          <w:lang w:val="sv-SE"/>
        </w:rPr>
        <w:t xml:space="preserve"> A.,</w:t>
      </w:r>
      <w:r w:rsidR="00F7556C" w:rsidRPr="002A32D0">
        <w:rPr>
          <w:spacing w:val="-3"/>
          <w:lang w:val="sv-SE"/>
        </w:rPr>
        <w:t xml:space="preserve"> 1981, Metall. </w:t>
      </w:r>
      <w:r w:rsidR="00F7556C" w:rsidRPr="002A32D0">
        <w:rPr>
          <w:spacing w:val="-3"/>
        </w:rPr>
        <w:t xml:space="preserve">Trans. </w:t>
      </w:r>
      <w:r w:rsidR="00F7556C" w:rsidRPr="002A32D0">
        <w:rPr>
          <w:b/>
          <w:bCs/>
          <w:spacing w:val="-3"/>
        </w:rPr>
        <w:t>12A</w:t>
      </w:r>
      <w:r w:rsidR="00F7556C" w:rsidRPr="002A32D0">
        <w:rPr>
          <w:spacing w:val="-3"/>
        </w:rPr>
        <w:t>, 669.</w:t>
      </w:r>
    </w:p>
    <w:p w14:paraId="30596065"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p>
    <w:p w14:paraId="6FD3CB12" w14:textId="4365DF7F" w:rsidR="00F7556C" w:rsidRPr="002A32D0" w:rsidRDefault="008254F6" w:rsidP="00F7556C">
      <w:pPr>
        <w:tabs>
          <w:tab w:val="left" w:pos="-1172"/>
          <w:tab w:val="left" w:pos="-720"/>
          <w:tab w:val="left" w:pos="0"/>
          <w:tab w:val="left" w:pos="714"/>
          <w:tab w:val="left" w:pos="2160"/>
        </w:tabs>
        <w:suppressAutoHyphens/>
        <w:ind w:left="714" w:hanging="714"/>
        <w:rPr>
          <w:spacing w:val="-3"/>
        </w:rPr>
      </w:pPr>
      <w:r w:rsidRPr="002A32D0">
        <w:rPr>
          <w:spacing w:val="-3"/>
        </w:rPr>
        <w:t>Grugel</w:t>
      </w:r>
      <w:r w:rsidR="00F7556C" w:rsidRPr="002A32D0">
        <w:rPr>
          <w:spacing w:val="-3"/>
        </w:rPr>
        <w:t xml:space="preserve">, R. N., </w:t>
      </w:r>
      <w:r w:rsidRPr="002A32D0">
        <w:rPr>
          <w:spacing w:val="-3"/>
        </w:rPr>
        <w:t>Lograsso</w:t>
      </w:r>
      <w:r w:rsidR="00F7556C" w:rsidRPr="002A32D0">
        <w:rPr>
          <w:spacing w:val="-3"/>
        </w:rPr>
        <w:t xml:space="preserve">, </w:t>
      </w:r>
      <w:r>
        <w:rPr>
          <w:spacing w:val="-3"/>
        </w:rPr>
        <w:t xml:space="preserve">T.A., </w:t>
      </w:r>
      <w:r w:rsidRPr="002A32D0">
        <w:rPr>
          <w:spacing w:val="-3"/>
        </w:rPr>
        <w:t>Hellawell</w:t>
      </w:r>
      <w:r w:rsidR="00F7556C" w:rsidRPr="002A32D0">
        <w:rPr>
          <w:spacing w:val="-3"/>
        </w:rPr>
        <w:t xml:space="preserve">, </w:t>
      </w:r>
      <w:r>
        <w:rPr>
          <w:spacing w:val="-3"/>
        </w:rPr>
        <w:t xml:space="preserve">A., </w:t>
      </w:r>
      <w:r w:rsidR="00F7556C" w:rsidRPr="002A32D0">
        <w:rPr>
          <w:spacing w:val="-3"/>
        </w:rPr>
        <w:t xml:space="preserve">1984, Metall. Trans. </w:t>
      </w:r>
      <w:r w:rsidR="00F7556C" w:rsidRPr="002A32D0">
        <w:rPr>
          <w:b/>
          <w:bCs/>
          <w:spacing w:val="-3"/>
        </w:rPr>
        <w:t>15A</w:t>
      </w:r>
      <w:r w:rsidR="00F7556C" w:rsidRPr="002A32D0">
        <w:rPr>
          <w:spacing w:val="-3"/>
        </w:rPr>
        <w:t>, 1003.</w:t>
      </w:r>
    </w:p>
    <w:p w14:paraId="2B225D36"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p>
    <w:p w14:paraId="605EBB34" w14:textId="7211DB15"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Gu</w:t>
      </w:r>
      <w:r w:rsidR="00D62631">
        <w:rPr>
          <w:spacing w:val="-3"/>
        </w:rPr>
        <w:t>.</w:t>
      </w:r>
      <w:r w:rsidRPr="002A32D0">
        <w:rPr>
          <w:spacing w:val="-3"/>
        </w:rPr>
        <w:t xml:space="preserve">  J.P., Beckermann C., and Giamei A.F. (1997). Motion and remelting of dendrite fragments during directional solidification of a nickel-base superalloy. Metall. and Matls. Trans. 28A, 1533-1542.</w:t>
      </w:r>
    </w:p>
    <w:p w14:paraId="2D40AAE2"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p>
    <w:p w14:paraId="24E876A5" w14:textId="7EC0A840"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Gu</w:t>
      </w:r>
      <w:r w:rsidR="00D62631">
        <w:rPr>
          <w:spacing w:val="-3"/>
        </w:rPr>
        <w:t>,</w:t>
      </w:r>
      <w:r w:rsidRPr="002A32D0">
        <w:rPr>
          <w:spacing w:val="-3"/>
        </w:rPr>
        <w:t xml:space="preserve"> J</w:t>
      </w:r>
      <w:r w:rsidR="00D62631">
        <w:rPr>
          <w:spacing w:val="-3"/>
        </w:rPr>
        <w:t>.</w:t>
      </w:r>
      <w:r w:rsidRPr="002A32D0">
        <w:rPr>
          <w:spacing w:val="-3"/>
        </w:rPr>
        <w:t>P</w:t>
      </w:r>
      <w:r w:rsidR="00D62631">
        <w:rPr>
          <w:spacing w:val="-3"/>
        </w:rPr>
        <w:t>.</w:t>
      </w:r>
      <w:r w:rsidRPr="002A32D0">
        <w:rPr>
          <w:spacing w:val="-3"/>
        </w:rPr>
        <w:t xml:space="preserve"> and Beckermann C</w:t>
      </w:r>
      <w:r w:rsidR="00D62631">
        <w:rPr>
          <w:spacing w:val="-3"/>
        </w:rPr>
        <w:t>.</w:t>
      </w:r>
      <w:r w:rsidRPr="002A32D0">
        <w:rPr>
          <w:spacing w:val="-3"/>
        </w:rPr>
        <w:t xml:space="preserve">, 1999, Simulation of Convection and Macrosegregation in a Large Steel Ingot, Metall. Mater. Trans. A, 1999, 30A, 1357-1366. </w:t>
      </w:r>
    </w:p>
    <w:p w14:paraId="051C69EB"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2E1804E9"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Guillemot, G., Gandin, C.A., and Combeau, H., 2006, ISIJ International, 46, 6, pp. 880-895.</w:t>
      </w:r>
    </w:p>
    <w:p w14:paraId="6A811C62"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762ACF37" w14:textId="326104E5" w:rsidR="00F7556C" w:rsidRPr="002A32D0" w:rsidRDefault="00D62631" w:rsidP="00F7556C">
      <w:pPr>
        <w:tabs>
          <w:tab w:val="left" w:pos="-1172"/>
          <w:tab w:val="left" w:pos="-720"/>
          <w:tab w:val="left" w:pos="0"/>
          <w:tab w:val="left" w:pos="714"/>
          <w:tab w:val="left" w:pos="2160"/>
        </w:tabs>
        <w:suppressAutoHyphens/>
        <w:rPr>
          <w:spacing w:val="-3"/>
        </w:rPr>
      </w:pPr>
      <w:r w:rsidRPr="002A32D0">
        <w:rPr>
          <w:spacing w:val="-3"/>
        </w:rPr>
        <w:t>Gulliver</w:t>
      </w:r>
      <w:r w:rsidR="00F7556C" w:rsidRPr="002A32D0">
        <w:rPr>
          <w:spacing w:val="-3"/>
        </w:rPr>
        <w:t>, G.H., 1922, Metallic Alloys, ed. Charles Griffin (London) p.397</w:t>
      </w:r>
    </w:p>
    <w:p w14:paraId="635C553C"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683EBA22" w14:textId="34222D1A" w:rsidR="00F7556C" w:rsidRPr="002A32D0" w:rsidRDefault="00D62631" w:rsidP="00F7556C">
      <w:pPr>
        <w:tabs>
          <w:tab w:val="left" w:pos="-1172"/>
          <w:tab w:val="left" w:pos="-720"/>
          <w:tab w:val="left" w:pos="0"/>
          <w:tab w:val="left" w:pos="714"/>
          <w:tab w:val="left" w:pos="2160"/>
        </w:tabs>
        <w:suppressAutoHyphens/>
        <w:rPr>
          <w:spacing w:val="-3"/>
        </w:rPr>
      </w:pPr>
      <w:r w:rsidRPr="002A32D0">
        <w:rPr>
          <w:spacing w:val="-3"/>
        </w:rPr>
        <w:t>Gunduz</w:t>
      </w:r>
      <w:r w:rsidR="00F7556C" w:rsidRPr="002A32D0">
        <w:rPr>
          <w:spacing w:val="-3"/>
        </w:rPr>
        <w:t>, M.</w:t>
      </w:r>
      <w:r>
        <w:rPr>
          <w:spacing w:val="-3"/>
        </w:rPr>
        <w:t xml:space="preserve"> </w:t>
      </w:r>
      <w:r w:rsidR="00F7556C" w:rsidRPr="002A32D0">
        <w:rPr>
          <w:spacing w:val="-3"/>
        </w:rPr>
        <w:t xml:space="preserve">and </w:t>
      </w:r>
      <w:r w:rsidRPr="002A32D0">
        <w:rPr>
          <w:spacing w:val="-3"/>
        </w:rPr>
        <w:t>Hunt</w:t>
      </w:r>
      <w:r>
        <w:rPr>
          <w:spacing w:val="-3"/>
        </w:rPr>
        <w:t>, J.D.</w:t>
      </w:r>
      <w:r w:rsidR="00F7556C" w:rsidRPr="002A32D0">
        <w:rPr>
          <w:spacing w:val="-3"/>
        </w:rPr>
        <w:t xml:space="preserve">, 1985, Acta Metall. </w:t>
      </w:r>
      <w:r w:rsidR="00F7556C" w:rsidRPr="002A32D0">
        <w:rPr>
          <w:b/>
          <w:bCs/>
          <w:spacing w:val="-3"/>
        </w:rPr>
        <w:t>33</w:t>
      </w:r>
      <w:r w:rsidR="00F7556C" w:rsidRPr="002A32D0">
        <w:rPr>
          <w:spacing w:val="-3"/>
        </w:rPr>
        <w:t>, 1651.</w:t>
      </w:r>
    </w:p>
    <w:p w14:paraId="4977944D"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0B8121AC"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Gurevich S., Karma A., Plapp M. and Trivedi R. (2010). Phase-field study of three-dimensional steady-state growth shapes in directional solidification, PHYSICAL REVIEW E 81, 011603.</w:t>
      </w:r>
    </w:p>
    <w:p w14:paraId="73F572D6"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2A437427"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Hamilton D. R. and Seidensticker R. G. (1960). J Appl. Phys. 31, 1165-1168.</w:t>
      </w:r>
    </w:p>
    <w:p w14:paraId="78CBD21C"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3E486320"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 xml:space="preserve">Han SH, Trivedi R (2000), </w:t>
      </w:r>
      <w:hyperlink r:id="rId1368" w:tgtFrame="_blank" w:history="1">
        <w:r w:rsidRPr="002A32D0">
          <w:rPr>
            <w:rStyle w:val="Hyperlink"/>
            <w:spacing w:val="-3"/>
          </w:rPr>
          <w:t xml:space="preserve">Banded microstructure formation in off-eutectic alloys, </w:t>
        </w:r>
      </w:hyperlink>
      <w:r w:rsidRPr="002A32D0">
        <w:rPr>
          <w:spacing w:val="-3"/>
        </w:rPr>
        <w:t xml:space="preserve"> Metallurgical &amp; Materials Transactions A,</w:t>
      </w:r>
      <w:r w:rsidRPr="002A32D0">
        <w:rPr>
          <w:b/>
          <w:bCs/>
          <w:spacing w:val="-3"/>
        </w:rPr>
        <w:t xml:space="preserve"> 31</w:t>
      </w:r>
      <w:r w:rsidRPr="002A32D0">
        <w:rPr>
          <w:spacing w:val="-3"/>
        </w:rPr>
        <w:t xml:space="preserve">, </w:t>
      </w:r>
      <w:r w:rsidRPr="002A32D0">
        <w:rPr>
          <w:bCs/>
          <w:spacing w:val="-3"/>
        </w:rPr>
        <w:t>1819-1832.</w:t>
      </w:r>
      <w:r w:rsidRPr="002A32D0">
        <w:rPr>
          <w:spacing w:val="-3"/>
        </w:rPr>
        <w:t xml:space="preserve"> </w:t>
      </w:r>
    </w:p>
    <w:p w14:paraId="7A0F8C47"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41856ED6" w14:textId="77777777" w:rsidR="00F7556C" w:rsidRPr="002A32D0" w:rsidRDefault="00F7556C" w:rsidP="00F7556C">
      <w:pPr>
        <w:tabs>
          <w:tab w:val="left" w:pos="-1172"/>
          <w:tab w:val="left" w:pos="-720"/>
          <w:tab w:val="left" w:pos="0"/>
          <w:tab w:val="left" w:pos="714"/>
          <w:tab w:val="left" w:pos="2160"/>
        </w:tabs>
        <w:suppressAutoHyphens/>
        <w:ind w:left="714" w:hanging="714"/>
        <w:jc w:val="both"/>
        <w:rPr>
          <w:spacing w:val="-3"/>
        </w:rPr>
      </w:pPr>
      <w:r w:rsidRPr="002A32D0">
        <w:rPr>
          <w:spacing w:val="-3"/>
        </w:rPr>
        <w:t xml:space="preserve">HANNA, M.D., SHU-ZU LU and A.HELLAWELL, 1984, Metall.Trans., </w:t>
      </w:r>
      <w:r w:rsidRPr="002A32D0">
        <w:rPr>
          <w:b/>
          <w:bCs/>
          <w:spacing w:val="-3"/>
        </w:rPr>
        <w:t>15A</w:t>
      </w:r>
      <w:r w:rsidRPr="002A32D0">
        <w:rPr>
          <w:spacing w:val="-3"/>
        </w:rPr>
        <w:t>, 459.</w:t>
      </w:r>
    </w:p>
    <w:p w14:paraId="36F9E913"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2C6F55DF"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HAO, S.W., Z.Q.ZHANG, J.Y.CHEN and P.C.LIU, 1987, AFS. Trans.</w:t>
      </w:r>
      <w:r w:rsidRPr="002A32D0">
        <w:rPr>
          <w:b/>
          <w:bCs/>
          <w:spacing w:val="-3"/>
        </w:rPr>
        <w:t>95</w:t>
      </w:r>
      <w:r w:rsidRPr="002A32D0">
        <w:rPr>
          <w:spacing w:val="-3"/>
        </w:rPr>
        <w:t xml:space="preserve"> , 601.</w:t>
      </w:r>
    </w:p>
    <w:p w14:paraId="463E08EE"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54E95FC9"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r w:rsidRPr="002A32D0">
        <w:rPr>
          <w:spacing w:val="-3"/>
        </w:rPr>
        <w:t xml:space="preserve">HARDY, S. C, G. B. McFADDEN, S. R. CORIELL, P. W. VOORHEES, and R. F. SEKERKA, 1991, J. Cryst. Growth </w:t>
      </w:r>
      <w:r w:rsidRPr="002A32D0">
        <w:rPr>
          <w:b/>
          <w:bCs/>
          <w:spacing w:val="-3"/>
        </w:rPr>
        <w:t>114</w:t>
      </w:r>
      <w:r w:rsidRPr="002A32D0">
        <w:rPr>
          <w:spacing w:val="-3"/>
        </w:rPr>
        <w:t>, 467.</w:t>
      </w:r>
    </w:p>
    <w:p w14:paraId="180C8D3F"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p>
    <w:p w14:paraId="34935A97"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 xml:space="preserve">HAYES, A. and J.CHIPMAN, 1938, Trans. Met.Soc. AIME </w:t>
      </w:r>
      <w:r w:rsidRPr="002A32D0">
        <w:rPr>
          <w:b/>
          <w:bCs/>
          <w:spacing w:val="-3"/>
        </w:rPr>
        <w:t>135</w:t>
      </w:r>
      <w:r w:rsidRPr="002A32D0">
        <w:rPr>
          <w:spacing w:val="-3"/>
        </w:rPr>
        <w:t>, 85.</w:t>
      </w:r>
    </w:p>
    <w:p w14:paraId="14072F3F"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72AC35F0" w14:textId="77777777" w:rsidR="00946897" w:rsidRPr="002A32D0" w:rsidRDefault="00946897" w:rsidP="00946897">
      <w:pPr>
        <w:tabs>
          <w:tab w:val="left" w:pos="-1172"/>
          <w:tab w:val="left" w:pos="-720"/>
          <w:tab w:val="left" w:pos="0"/>
          <w:tab w:val="left" w:pos="714"/>
          <w:tab w:val="left" w:pos="2160"/>
        </w:tabs>
        <w:suppressAutoHyphens/>
        <w:rPr>
          <w:spacing w:val="-3"/>
        </w:rPr>
      </w:pPr>
      <w:r w:rsidRPr="002A32D0">
        <w:rPr>
          <w:spacing w:val="-3"/>
        </w:rPr>
        <w:t>Hecht, U., Gránásy, L., Pusztai, T., Böttger, B., Apel, M., Witusiewicz, V., Ratke, L., De Wilde, J., Froyen, L., Camel, D., Drevet, B., Faivre, G., Fries, S.G., Legendre, B., Rex, S.  (2004), Multiphase solidification in multicomponent alloys, Materials Science and Engineering R 46–49.</w:t>
      </w:r>
    </w:p>
    <w:p w14:paraId="539E1EEA" w14:textId="77777777" w:rsidR="00946897" w:rsidRPr="002A32D0" w:rsidRDefault="00946897" w:rsidP="00F7556C">
      <w:pPr>
        <w:tabs>
          <w:tab w:val="left" w:pos="-1172"/>
          <w:tab w:val="left" w:pos="-720"/>
          <w:tab w:val="left" w:pos="0"/>
          <w:tab w:val="left" w:pos="714"/>
          <w:tab w:val="left" w:pos="2160"/>
        </w:tabs>
        <w:suppressAutoHyphens/>
        <w:rPr>
          <w:spacing w:val="-3"/>
        </w:rPr>
      </w:pPr>
    </w:p>
    <w:p w14:paraId="7414D20B" w14:textId="77777777" w:rsidR="00F7556C" w:rsidRPr="002A32D0" w:rsidRDefault="00F7556C" w:rsidP="00F7556C">
      <w:pPr>
        <w:tabs>
          <w:tab w:val="left" w:pos="-1172"/>
          <w:tab w:val="left" w:pos="-720"/>
          <w:tab w:val="left" w:pos="0"/>
          <w:tab w:val="left" w:pos="714"/>
          <w:tab w:val="left" w:pos="2160"/>
        </w:tabs>
        <w:suppressAutoHyphens/>
        <w:jc w:val="both"/>
        <w:rPr>
          <w:spacing w:val="-3"/>
        </w:rPr>
      </w:pPr>
      <w:r w:rsidRPr="002A32D0">
        <w:rPr>
          <w:spacing w:val="-3"/>
        </w:rPr>
        <w:lastRenderedPageBreak/>
        <w:t xml:space="preserve">HELLAWELL, A., 1970, Prog.Mater.Sci., </w:t>
      </w:r>
      <w:r w:rsidRPr="002A32D0">
        <w:rPr>
          <w:b/>
          <w:bCs/>
          <w:spacing w:val="-3"/>
        </w:rPr>
        <w:t>15</w:t>
      </w:r>
      <w:r w:rsidRPr="002A32D0">
        <w:rPr>
          <w:spacing w:val="-3"/>
        </w:rPr>
        <w:t>, 3.</w:t>
      </w:r>
    </w:p>
    <w:p w14:paraId="5DCAE46F"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4BAA5AA7" w14:textId="77777777" w:rsidR="00F7556C" w:rsidRPr="002A32D0" w:rsidRDefault="00F7556C" w:rsidP="00F7556C">
      <w:pPr>
        <w:tabs>
          <w:tab w:val="left" w:pos="-720"/>
        </w:tabs>
        <w:suppressAutoHyphens/>
        <w:jc w:val="both"/>
        <w:rPr>
          <w:spacing w:val="-3"/>
        </w:rPr>
      </w:pPr>
      <w:r w:rsidRPr="002A32D0">
        <w:rPr>
          <w:spacing w:val="-3"/>
        </w:rPr>
        <w:t>HELLAWELL, A., 1990, in: F.Weinberg International Symp. on Solidification Processing,  ed.V.E.Lait and I.V.Samarasekera (Pergamon Press), p.395</w:t>
      </w:r>
    </w:p>
    <w:p w14:paraId="61649AD3" w14:textId="77777777" w:rsidR="00F7556C" w:rsidRPr="002A32D0" w:rsidRDefault="00F7556C" w:rsidP="00F7556C">
      <w:pPr>
        <w:tabs>
          <w:tab w:val="left" w:pos="-720"/>
        </w:tabs>
        <w:suppressAutoHyphens/>
        <w:jc w:val="both"/>
        <w:rPr>
          <w:bCs/>
          <w:spacing w:val="-3"/>
        </w:rPr>
      </w:pPr>
    </w:p>
    <w:p w14:paraId="6B94688A" w14:textId="77777777" w:rsidR="00F7556C" w:rsidRPr="002A32D0" w:rsidRDefault="00F7556C" w:rsidP="00F7556C">
      <w:pPr>
        <w:tabs>
          <w:tab w:val="left" w:pos="-720"/>
        </w:tabs>
        <w:suppressAutoHyphens/>
        <w:jc w:val="both"/>
        <w:rPr>
          <w:bCs/>
          <w:spacing w:val="-3"/>
        </w:rPr>
      </w:pPr>
      <w:r w:rsidRPr="002A32D0">
        <w:rPr>
          <w:bCs/>
          <w:spacing w:val="-3"/>
        </w:rPr>
        <w:t>Hellawell A., J. R. Sarazin, R. S. Steube, (1993), Channel convection in Partially solidified alloys, Philosophical Transactions: Physical Sciences and Engineering, Vol. 345, No. 1677, pp. 507-544.</w:t>
      </w:r>
    </w:p>
    <w:p w14:paraId="377B78CF"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p>
    <w:p w14:paraId="16D66EA6"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Hellawell, A., Liu, S., and Lu, S.Z., 1997, JOM, March, pp. 18-20.</w:t>
      </w:r>
    </w:p>
    <w:p w14:paraId="3B5F9ACA"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5DC211F8"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 xml:space="preserve">HENZEL, J.G.Jr. and J.KEVERIAN, 1965, J. Metals </w:t>
      </w:r>
      <w:r w:rsidRPr="002A32D0">
        <w:rPr>
          <w:b/>
          <w:bCs/>
          <w:spacing w:val="-3"/>
        </w:rPr>
        <w:t>17</w:t>
      </w:r>
      <w:r w:rsidRPr="002A32D0">
        <w:rPr>
          <w:spacing w:val="-3"/>
        </w:rPr>
        <w:t>, 561.</w:t>
      </w:r>
    </w:p>
    <w:p w14:paraId="79384815"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7F324A88" w14:textId="77777777" w:rsidR="00F7556C" w:rsidRPr="002A32D0" w:rsidRDefault="00F7556C" w:rsidP="00F7556C">
      <w:pPr>
        <w:tabs>
          <w:tab w:val="left" w:pos="-1172"/>
          <w:tab w:val="left" w:pos="-720"/>
          <w:tab w:val="left" w:pos="0"/>
          <w:tab w:val="left" w:pos="714"/>
          <w:tab w:val="left" w:pos="2160"/>
        </w:tabs>
        <w:suppressAutoHyphens/>
        <w:ind w:left="714" w:hanging="714"/>
        <w:jc w:val="both"/>
        <w:rPr>
          <w:spacing w:val="-3"/>
        </w:rPr>
      </w:pPr>
      <w:r w:rsidRPr="002A32D0">
        <w:rPr>
          <w:spacing w:val="-3"/>
        </w:rPr>
        <w:t>HILLERT,M. and V.V.SUBBARAO, 1968, in: Solidification of Metals (Iron and Steel Inst., London), Publication n</w:t>
      </w:r>
      <w:r w:rsidRPr="002A32D0">
        <w:rPr>
          <w:spacing w:val="-3"/>
        </w:rPr>
        <w:sym w:font="Symbol" w:char="F0B0"/>
      </w:r>
      <w:r w:rsidRPr="002A32D0">
        <w:rPr>
          <w:spacing w:val="-3"/>
        </w:rPr>
        <w:t xml:space="preserve"> 110, p.204.</w:t>
      </w:r>
    </w:p>
    <w:p w14:paraId="47623BD1"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1E9D96DF"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Hillert M. (1999). Acta Mater. 47, 4481-?.</w:t>
      </w:r>
    </w:p>
    <w:p w14:paraId="1EB1A99A"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20C44274" w14:textId="77777777" w:rsidR="00F7556C" w:rsidRPr="002A32D0" w:rsidRDefault="00F7556C" w:rsidP="00F7556C">
      <w:pPr>
        <w:tabs>
          <w:tab w:val="left" w:pos="-1172"/>
          <w:tab w:val="left" w:pos="-720"/>
          <w:tab w:val="left" w:pos="0"/>
          <w:tab w:val="left" w:pos="714"/>
          <w:tab w:val="left" w:pos="2160"/>
        </w:tabs>
        <w:suppressAutoHyphens/>
        <w:rPr>
          <w:spacing w:val="-3"/>
          <w:lang w:val="sv-SE"/>
        </w:rPr>
      </w:pPr>
      <w:r w:rsidRPr="002A32D0">
        <w:rPr>
          <w:spacing w:val="-3"/>
          <w:lang w:val="sv-SE"/>
        </w:rPr>
        <w:t>HILLERT, M., 1953, Acta Metall.</w:t>
      </w:r>
      <w:r w:rsidRPr="002A32D0">
        <w:rPr>
          <w:b/>
          <w:bCs/>
          <w:spacing w:val="-3"/>
          <w:lang w:val="sv-SE"/>
        </w:rPr>
        <w:t xml:space="preserve"> 1</w:t>
      </w:r>
      <w:r w:rsidRPr="002A32D0">
        <w:rPr>
          <w:spacing w:val="-3"/>
          <w:lang w:val="sv-SE"/>
        </w:rPr>
        <w:t>, 764.</w:t>
      </w:r>
    </w:p>
    <w:p w14:paraId="243616E3" w14:textId="77777777" w:rsidR="00F7556C" w:rsidRPr="002A32D0" w:rsidRDefault="00F7556C" w:rsidP="00F7556C">
      <w:pPr>
        <w:tabs>
          <w:tab w:val="left" w:pos="-1172"/>
          <w:tab w:val="left" w:pos="-720"/>
          <w:tab w:val="left" w:pos="0"/>
          <w:tab w:val="left" w:pos="714"/>
          <w:tab w:val="left" w:pos="2160"/>
        </w:tabs>
        <w:suppressAutoHyphens/>
        <w:rPr>
          <w:spacing w:val="-3"/>
          <w:lang w:val="sv-SE"/>
        </w:rPr>
      </w:pPr>
    </w:p>
    <w:p w14:paraId="4A18C586" w14:textId="77777777" w:rsidR="00F7556C" w:rsidRPr="002A32D0" w:rsidRDefault="00F7556C" w:rsidP="00F7556C">
      <w:pPr>
        <w:tabs>
          <w:tab w:val="left" w:pos="-1172"/>
          <w:tab w:val="left" w:pos="-720"/>
          <w:tab w:val="left" w:pos="0"/>
          <w:tab w:val="left" w:pos="714"/>
          <w:tab w:val="left" w:pos="2160"/>
        </w:tabs>
        <w:suppressAutoHyphens/>
        <w:rPr>
          <w:spacing w:val="-3"/>
          <w:lang w:val="sv-SE"/>
        </w:rPr>
      </w:pPr>
      <w:r w:rsidRPr="002A32D0">
        <w:rPr>
          <w:spacing w:val="-3"/>
          <w:lang w:val="sv-SE"/>
        </w:rPr>
        <w:t>HILLERT, M., 1957, Jernkontorets Ann.</w:t>
      </w:r>
      <w:r w:rsidRPr="002A32D0">
        <w:rPr>
          <w:b/>
          <w:bCs/>
          <w:spacing w:val="-3"/>
          <w:lang w:val="sv-SE"/>
        </w:rPr>
        <w:t xml:space="preserve"> 141</w:t>
      </w:r>
      <w:r w:rsidRPr="002A32D0">
        <w:rPr>
          <w:spacing w:val="-3"/>
          <w:lang w:val="sv-SE"/>
        </w:rPr>
        <w:t>, 757.</w:t>
      </w:r>
    </w:p>
    <w:p w14:paraId="335E9553" w14:textId="77777777" w:rsidR="00F7556C" w:rsidRPr="002A32D0" w:rsidRDefault="00F7556C" w:rsidP="00F7556C">
      <w:pPr>
        <w:tabs>
          <w:tab w:val="left" w:pos="-1172"/>
          <w:tab w:val="left" w:pos="-720"/>
          <w:tab w:val="left" w:pos="0"/>
          <w:tab w:val="left" w:pos="714"/>
          <w:tab w:val="left" w:pos="2160"/>
        </w:tabs>
        <w:suppressAutoHyphens/>
        <w:rPr>
          <w:spacing w:val="-3"/>
          <w:lang w:val="sv-SE"/>
        </w:rPr>
      </w:pPr>
    </w:p>
    <w:p w14:paraId="4E935D5B"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r w:rsidRPr="002A32D0">
        <w:rPr>
          <w:spacing w:val="-3"/>
        </w:rPr>
        <w:t>HILLERT, M., 1979, in: Solidification and Casting of Metals, The Metals Society, London, p. 81.</w:t>
      </w:r>
    </w:p>
    <w:p w14:paraId="06713B7D"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p>
    <w:p w14:paraId="4103CC34"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 xml:space="preserve">HILLIG, W.D. and D.TURNBULL, 1956, J.Chem.Phys. </w:t>
      </w:r>
      <w:r w:rsidRPr="002A32D0">
        <w:rPr>
          <w:b/>
          <w:bCs/>
          <w:spacing w:val="-3"/>
        </w:rPr>
        <w:t>24</w:t>
      </w:r>
      <w:r w:rsidRPr="002A32D0">
        <w:rPr>
          <w:spacing w:val="-3"/>
        </w:rPr>
        <w:t xml:space="preserve">, 219. </w:t>
      </w:r>
    </w:p>
    <w:p w14:paraId="49BDBDA8"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0F21BCE9"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r w:rsidRPr="002A32D0">
        <w:rPr>
          <w:spacing w:val="-3"/>
        </w:rPr>
        <w:t xml:space="preserve">HILLS, A.W.D., S.L.MALHOTRA and M.R.MOORE, 1975, Metall.Trans. </w:t>
      </w:r>
      <w:r w:rsidRPr="002A32D0">
        <w:rPr>
          <w:b/>
          <w:bCs/>
          <w:spacing w:val="-3"/>
        </w:rPr>
        <w:t>6B</w:t>
      </w:r>
      <w:r w:rsidRPr="002A32D0">
        <w:rPr>
          <w:spacing w:val="-3"/>
        </w:rPr>
        <w:t>, 131.</w:t>
      </w:r>
    </w:p>
    <w:p w14:paraId="1C58F92F"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p>
    <w:p w14:paraId="1C5C3EF1" w14:textId="77777777" w:rsidR="00F7556C" w:rsidRPr="002A32D0" w:rsidRDefault="00F7556C" w:rsidP="00F7556C">
      <w:pPr>
        <w:tabs>
          <w:tab w:val="left" w:pos="-1172"/>
          <w:tab w:val="left" w:pos="-720"/>
          <w:tab w:val="left" w:pos="0"/>
          <w:tab w:val="left" w:pos="737"/>
          <w:tab w:val="left" w:pos="2160"/>
        </w:tabs>
        <w:suppressAutoHyphens/>
        <w:rPr>
          <w:spacing w:val="-3"/>
        </w:rPr>
      </w:pPr>
      <w:r w:rsidRPr="002A32D0">
        <w:rPr>
          <w:spacing w:val="-3"/>
        </w:rPr>
        <w:t>Hirt, W. and Nichols, B.D., 1981, “Volume of fluid (VOF) method for the dynamics of free boundaries”, J. of Comp. Physics, 39, pp. 201-225.</w:t>
      </w:r>
    </w:p>
    <w:p w14:paraId="19E7663D" w14:textId="77777777" w:rsidR="00F7556C" w:rsidRPr="002A32D0" w:rsidRDefault="00F7556C" w:rsidP="00F7556C">
      <w:pPr>
        <w:tabs>
          <w:tab w:val="left" w:pos="-1172"/>
          <w:tab w:val="left" w:pos="-720"/>
          <w:tab w:val="left" w:pos="0"/>
          <w:tab w:val="left" w:pos="737"/>
          <w:tab w:val="left" w:pos="2160"/>
        </w:tabs>
        <w:suppressAutoHyphens/>
        <w:rPr>
          <w:spacing w:val="-3"/>
        </w:rPr>
      </w:pPr>
    </w:p>
    <w:p w14:paraId="5D49FEF6"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Ho, K. and PEHLKE, R.D., 1984, AFS Trans.</w:t>
      </w:r>
      <w:r w:rsidRPr="002A32D0">
        <w:rPr>
          <w:b/>
          <w:bCs/>
          <w:spacing w:val="-3"/>
        </w:rPr>
        <w:t>92,</w:t>
      </w:r>
      <w:r w:rsidRPr="002A32D0">
        <w:rPr>
          <w:spacing w:val="-3"/>
        </w:rPr>
        <w:t xml:space="preserve"> 587.</w:t>
      </w:r>
    </w:p>
    <w:p w14:paraId="7AC7042C"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3FF7FFE6"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 xml:space="preserve">Ho, K. and PEHLKE, R.D, 1985, Metallurg.Trans. </w:t>
      </w:r>
      <w:r w:rsidRPr="002A32D0">
        <w:rPr>
          <w:b/>
          <w:bCs/>
          <w:spacing w:val="-3"/>
        </w:rPr>
        <w:t>16B</w:t>
      </w:r>
      <w:r w:rsidRPr="002A32D0">
        <w:rPr>
          <w:spacing w:val="-3"/>
        </w:rPr>
        <w:t>, 585.</w:t>
      </w:r>
    </w:p>
    <w:p w14:paraId="2820F465"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134C985E"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r w:rsidRPr="002A32D0">
        <w:rPr>
          <w:spacing w:val="-3"/>
        </w:rPr>
        <w:t xml:space="preserve">HOAGLUND,D.E., M.E.AZIZ, S.R.STIFFLER, M.O.THOMSON, J.Y.SAD and P.S.PEERCY, 1991, J.Cryst. Growth, </w:t>
      </w:r>
      <w:r w:rsidRPr="002A32D0">
        <w:rPr>
          <w:b/>
          <w:bCs/>
          <w:spacing w:val="-3"/>
        </w:rPr>
        <w:t>109</w:t>
      </w:r>
      <w:r w:rsidRPr="002A32D0">
        <w:rPr>
          <w:spacing w:val="-3"/>
        </w:rPr>
        <w:t>, 107.</w:t>
      </w:r>
    </w:p>
    <w:p w14:paraId="7C7E012C"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p>
    <w:p w14:paraId="08FFE994"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r w:rsidRPr="002A32D0">
        <w:rPr>
          <w:spacing w:val="-3"/>
        </w:rPr>
        <w:t>HOGAN, L. M., R. W. KRAFT, and F. D. LEMKEY, 1971, in Advances in Materials Research, Vol. 5, Wiley, New York, edited by H. Herman, p. 83.</w:t>
      </w:r>
    </w:p>
    <w:p w14:paraId="5CB07827"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p>
    <w:p w14:paraId="78FE6281"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r w:rsidRPr="002A32D0">
        <w:rPr>
          <w:spacing w:val="-3"/>
        </w:rPr>
        <w:t>HOLLOMON, J. H., and D. TURNBULL, 1953, Progress in Met. Phys., vol. 4, (Interscience, New York), p. 333.</w:t>
      </w:r>
    </w:p>
    <w:p w14:paraId="5215F61C"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Hoyt J. J., Asta M. and Karma A, (2003) Atomistic and continuum modeling of dendritic solidification, Materials Science and Engineering: R: Reports 41, 121-163 .</w:t>
      </w:r>
    </w:p>
    <w:p w14:paraId="2F8F64C4"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p>
    <w:p w14:paraId="2B198FD1"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Hoyt J. J., Asta M. and Sun D. Y. (2006), Phil Mag 86, 3651-3664.</w:t>
      </w:r>
    </w:p>
    <w:p w14:paraId="0EAF0BE3"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6C67B776" w14:textId="77777777" w:rsidR="00F7556C" w:rsidRPr="002A32D0" w:rsidRDefault="00F7556C" w:rsidP="00F7556C">
      <w:pPr>
        <w:tabs>
          <w:tab w:val="left" w:pos="-1172"/>
          <w:tab w:val="left" w:pos="-720"/>
          <w:tab w:val="left" w:pos="0"/>
          <w:tab w:val="left" w:pos="714"/>
          <w:tab w:val="left" w:pos="2160"/>
        </w:tabs>
        <w:suppressAutoHyphens/>
        <w:rPr>
          <w:spacing w:val="-3"/>
        </w:rPr>
      </w:pPr>
      <w:hyperlink r:id="rId1369" w:history="1">
        <w:r w:rsidRPr="002A32D0">
          <w:rPr>
            <w:rStyle w:val="Hyperlink"/>
            <w:spacing w:val="-3"/>
          </w:rPr>
          <w:t>http://vcc-sae.org/abstracts/1703-development-metal-foam-based-aftertreatment-diesel-passenger-car</w:t>
        </w:r>
      </w:hyperlink>
    </w:p>
    <w:p w14:paraId="61F62C51"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3C0F0268" w14:textId="77777777" w:rsidR="00F7556C" w:rsidRPr="002A32D0" w:rsidRDefault="00F7556C" w:rsidP="00F7556C">
      <w:pPr>
        <w:tabs>
          <w:tab w:val="left" w:pos="-1172"/>
          <w:tab w:val="left" w:pos="-720"/>
          <w:tab w:val="left" w:pos="0"/>
          <w:tab w:val="left" w:pos="714"/>
          <w:tab w:val="left" w:pos="2160"/>
        </w:tabs>
        <w:suppressAutoHyphens/>
        <w:rPr>
          <w:spacing w:val="-3"/>
        </w:rPr>
      </w:pPr>
      <w:hyperlink r:id="rId1370" w:history="1">
        <w:r w:rsidRPr="002A32D0">
          <w:rPr>
            <w:rStyle w:val="Hyperlink"/>
            <w:spacing w:val="-3"/>
          </w:rPr>
          <w:t>http://www.alantum.com/en/gastreatment.html</w:t>
        </w:r>
      </w:hyperlink>
    </w:p>
    <w:p w14:paraId="26DC2799"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66E7EDEC"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r w:rsidRPr="002A32D0">
        <w:rPr>
          <w:spacing w:val="-3"/>
        </w:rPr>
        <w:t xml:space="preserve">HUANG, S. C. and E. L. HALL, 1989, Mater. Res. Soc. Symp. Proc. </w:t>
      </w:r>
      <w:r w:rsidRPr="002A32D0">
        <w:rPr>
          <w:b/>
          <w:bCs/>
          <w:spacing w:val="-3"/>
        </w:rPr>
        <w:t>133</w:t>
      </w:r>
      <w:r w:rsidRPr="002A32D0">
        <w:rPr>
          <w:spacing w:val="-3"/>
        </w:rPr>
        <w:t>, 373.</w:t>
      </w:r>
    </w:p>
    <w:p w14:paraId="6A9F72AA"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p>
    <w:p w14:paraId="01FECE3C"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 xml:space="preserve">HUANG, S. C. and M. E. GLICKSMAN, 1981, Acta Metall. </w:t>
      </w:r>
      <w:r w:rsidRPr="002A32D0">
        <w:rPr>
          <w:b/>
          <w:bCs/>
          <w:spacing w:val="-3"/>
        </w:rPr>
        <w:t xml:space="preserve">29, </w:t>
      </w:r>
      <w:r w:rsidRPr="002A32D0">
        <w:rPr>
          <w:spacing w:val="-3"/>
        </w:rPr>
        <w:t>717.</w:t>
      </w:r>
    </w:p>
    <w:p w14:paraId="273A8B8C"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0C0832BC"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r w:rsidRPr="002A32D0">
        <w:rPr>
          <w:spacing w:val="-3"/>
        </w:rPr>
        <w:t xml:space="preserve">HUANG, S. C., E. L. HALL, K. M. CHANG, and R. P. LAFORCE, 1986, Metall. Trans. </w:t>
      </w:r>
      <w:r w:rsidRPr="002A32D0">
        <w:rPr>
          <w:b/>
          <w:bCs/>
          <w:spacing w:val="-3"/>
        </w:rPr>
        <w:t>17A</w:t>
      </w:r>
      <w:r w:rsidRPr="002A32D0">
        <w:rPr>
          <w:spacing w:val="-3"/>
        </w:rPr>
        <w:t>, 1685.</w:t>
      </w:r>
    </w:p>
    <w:p w14:paraId="318F1B9B"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p>
    <w:p w14:paraId="5A22E3D2"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 xml:space="preserve">HUGHES, I. R. and H. JONES, 1976, J. Mater. Sci. </w:t>
      </w:r>
      <w:r w:rsidRPr="002A32D0">
        <w:rPr>
          <w:b/>
          <w:bCs/>
          <w:spacing w:val="-3"/>
        </w:rPr>
        <w:t>11</w:t>
      </w:r>
      <w:r w:rsidRPr="002A32D0">
        <w:rPr>
          <w:spacing w:val="-3"/>
        </w:rPr>
        <w:t xml:space="preserve">, 1781. </w:t>
      </w:r>
    </w:p>
    <w:p w14:paraId="078AD951"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74BFACB9" w14:textId="77777777" w:rsidR="001617D0" w:rsidRPr="002A32D0" w:rsidRDefault="001617D0" w:rsidP="00F7556C">
      <w:pPr>
        <w:tabs>
          <w:tab w:val="left" w:pos="-1172"/>
          <w:tab w:val="left" w:pos="-720"/>
          <w:tab w:val="left" w:pos="0"/>
          <w:tab w:val="left" w:pos="714"/>
          <w:tab w:val="left" w:pos="2160"/>
        </w:tabs>
        <w:suppressAutoHyphens/>
        <w:rPr>
          <w:spacing w:val="-3"/>
        </w:rPr>
      </w:pPr>
      <w:r w:rsidRPr="002A32D0">
        <w:rPr>
          <w:spacing w:val="-3"/>
        </w:rPr>
        <w:t>HUGHES,I.C.H., 1988, Metals Handbook, 9th. ed., (ASM, Metals Park, OH) 15 "Casting", 647.</w:t>
      </w:r>
    </w:p>
    <w:p w14:paraId="78522D2A" w14:textId="77777777" w:rsidR="001617D0" w:rsidRPr="002A32D0" w:rsidRDefault="001617D0" w:rsidP="00F7556C">
      <w:pPr>
        <w:tabs>
          <w:tab w:val="left" w:pos="-1172"/>
          <w:tab w:val="left" w:pos="-720"/>
          <w:tab w:val="left" w:pos="0"/>
          <w:tab w:val="left" w:pos="714"/>
          <w:tab w:val="left" w:pos="2160"/>
        </w:tabs>
        <w:suppressAutoHyphens/>
        <w:rPr>
          <w:spacing w:val="-3"/>
        </w:rPr>
      </w:pPr>
    </w:p>
    <w:p w14:paraId="039B9D1F"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r w:rsidRPr="002A32D0">
        <w:rPr>
          <w:spacing w:val="-3"/>
        </w:rPr>
        <w:t xml:space="preserve">HUNT, J. D., and K. A. JACKSON, 1966, Trans. Met. Soc. AIME </w:t>
      </w:r>
      <w:r w:rsidRPr="002A32D0">
        <w:rPr>
          <w:b/>
          <w:bCs/>
          <w:spacing w:val="-3"/>
        </w:rPr>
        <w:t>236</w:t>
      </w:r>
      <w:r w:rsidRPr="002A32D0">
        <w:rPr>
          <w:spacing w:val="-3"/>
        </w:rPr>
        <w:t>, 843.</w:t>
      </w:r>
    </w:p>
    <w:p w14:paraId="03E7614B"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p>
    <w:p w14:paraId="5E8C221B"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r w:rsidRPr="002A32D0">
        <w:rPr>
          <w:spacing w:val="-3"/>
        </w:rPr>
        <w:t xml:space="preserve">HUNT, J. D., and K. A. JACKSON, 1967, Trans. Met. Soc. AIME </w:t>
      </w:r>
      <w:r w:rsidRPr="002A32D0">
        <w:rPr>
          <w:b/>
          <w:bCs/>
          <w:spacing w:val="-3"/>
        </w:rPr>
        <w:t>239</w:t>
      </w:r>
      <w:r w:rsidRPr="002A32D0">
        <w:rPr>
          <w:spacing w:val="-3"/>
        </w:rPr>
        <w:t>, 864.</w:t>
      </w:r>
    </w:p>
    <w:p w14:paraId="410557ED"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p>
    <w:p w14:paraId="050AEB14"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r w:rsidRPr="002A32D0">
        <w:rPr>
          <w:spacing w:val="-3"/>
        </w:rPr>
        <w:t>HUNT, J. D., 1979, in: Solidification and Casting of Metals (Metals Society, London), p. 3.</w:t>
      </w:r>
    </w:p>
    <w:p w14:paraId="0EE918CA"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p>
    <w:p w14:paraId="1F68AB8A"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HUNT, J.D., 1984, Mat.Sci. and Eng.</w:t>
      </w:r>
      <w:r w:rsidRPr="002A32D0">
        <w:rPr>
          <w:b/>
          <w:bCs/>
          <w:spacing w:val="-3"/>
        </w:rPr>
        <w:t xml:space="preserve">65, </w:t>
      </w:r>
      <w:r w:rsidRPr="002A32D0">
        <w:rPr>
          <w:spacing w:val="-3"/>
        </w:rPr>
        <w:t>75.</w:t>
      </w:r>
    </w:p>
    <w:p w14:paraId="0D89A2C7"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7436775E"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Hunt J. D. and Lu S. -Z. (1996). Numerical modeling of cellular/dendritic array growth: spacing and structure predictions. Metall &amp; Mat Trans. 27A , 611-623.</w:t>
      </w:r>
    </w:p>
    <w:p w14:paraId="688E5180"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36D97B2F"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r w:rsidRPr="002A32D0">
        <w:rPr>
          <w:spacing w:val="-3"/>
        </w:rPr>
        <w:t xml:space="preserve">HURLE, D. T. J., E. JAKEMAN, 1968, J. Cryst. Growth </w:t>
      </w:r>
      <w:r w:rsidRPr="002A32D0">
        <w:rPr>
          <w:b/>
          <w:bCs/>
          <w:spacing w:val="-3"/>
        </w:rPr>
        <w:t>3-4,</w:t>
      </w:r>
      <w:r w:rsidRPr="002A32D0">
        <w:rPr>
          <w:spacing w:val="-3"/>
        </w:rPr>
        <w:t xml:space="preserve"> 574.</w:t>
      </w:r>
    </w:p>
    <w:p w14:paraId="50579230"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p>
    <w:p w14:paraId="4A902CA7"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 xml:space="preserve">HURLE, D.T.J., 1969, J.Cryst. Growth, </w:t>
      </w:r>
      <w:r w:rsidRPr="002A32D0">
        <w:rPr>
          <w:b/>
          <w:bCs/>
          <w:spacing w:val="-3"/>
        </w:rPr>
        <w:t>5</w:t>
      </w:r>
      <w:r w:rsidRPr="002A32D0">
        <w:rPr>
          <w:spacing w:val="-3"/>
        </w:rPr>
        <w:t>, 162.</w:t>
      </w:r>
    </w:p>
    <w:p w14:paraId="180DEE1E"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6974BA81"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 xml:space="preserve">HURLE, D.T.J., 1972, J.Cryst. Growth </w:t>
      </w:r>
      <w:r w:rsidRPr="002A32D0">
        <w:rPr>
          <w:b/>
          <w:bCs/>
          <w:spacing w:val="-3"/>
        </w:rPr>
        <w:t>13/14</w:t>
      </w:r>
      <w:r w:rsidRPr="002A32D0">
        <w:rPr>
          <w:spacing w:val="-3"/>
        </w:rPr>
        <w:t>, 39.</w:t>
      </w:r>
    </w:p>
    <w:p w14:paraId="49EB31E0" w14:textId="77777777" w:rsidR="00F7556C" w:rsidRPr="002A32D0" w:rsidRDefault="00F7556C" w:rsidP="00F7556C">
      <w:pPr>
        <w:tabs>
          <w:tab w:val="left" w:pos="-1172"/>
          <w:tab w:val="left" w:pos="-720"/>
          <w:tab w:val="left" w:pos="0"/>
          <w:tab w:val="left" w:pos="2950"/>
        </w:tabs>
        <w:suppressAutoHyphens/>
        <w:rPr>
          <w:spacing w:val="-3"/>
        </w:rPr>
      </w:pPr>
    </w:p>
    <w:p w14:paraId="5EE5330B"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r w:rsidRPr="002A32D0">
        <w:rPr>
          <w:spacing w:val="-3"/>
        </w:rPr>
        <w:t>INOUE, A., T. MASUMOTO, H. TOMIOKA and N. YANO, 1984, Int. J. Rapid Solidification</w:t>
      </w:r>
      <w:r w:rsidRPr="002A32D0">
        <w:rPr>
          <w:b/>
          <w:bCs/>
          <w:spacing w:val="-3"/>
        </w:rPr>
        <w:t xml:space="preserve"> 1</w:t>
      </w:r>
      <w:r w:rsidRPr="002A32D0">
        <w:rPr>
          <w:spacing w:val="-3"/>
        </w:rPr>
        <w:t xml:space="preserve">, 115. </w:t>
      </w:r>
    </w:p>
    <w:p w14:paraId="19E41094"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p>
    <w:p w14:paraId="5D5CC09A" w14:textId="77777777" w:rsidR="00F7556C" w:rsidRPr="002A32D0" w:rsidRDefault="00F7556C" w:rsidP="00F7556C">
      <w:pPr>
        <w:tabs>
          <w:tab w:val="left" w:pos="-720"/>
        </w:tabs>
        <w:suppressAutoHyphens/>
        <w:rPr>
          <w:spacing w:val="-3"/>
        </w:rPr>
      </w:pPr>
    </w:p>
    <w:p w14:paraId="4A55AEAF"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 xml:space="preserve">ISHIHARA, K.N., M.MAEDA and P.H.SHINGU, 1985, Acta Metall., </w:t>
      </w:r>
      <w:r w:rsidRPr="002A32D0">
        <w:rPr>
          <w:b/>
          <w:bCs/>
          <w:spacing w:val="-3"/>
        </w:rPr>
        <w:t>33</w:t>
      </w:r>
      <w:r w:rsidRPr="002A32D0">
        <w:rPr>
          <w:spacing w:val="-3"/>
        </w:rPr>
        <w:t>, 2113.</w:t>
      </w:r>
    </w:p>
    <w:p w14:paraId="541B4823"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35AB5B61"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lang w:val="sv-SE"/>
        </w:rPr>
        <w:t xml:space="preserve">IVANTSOV, G. P., 1947, Dokl. Akad. </w:t>
      </w:r>
      <w:r w:rsidRPr="002A32D0">
        <w:rPr>
          <w:spacing w:val="-3"/>
        </w:rPr>
        <w:t>Nauk S.S.S.R.</w:t>
      </w:r>
      <w:r w:rsidRPr="002A32D0">
        <w:rPr>
          <w:b/>
          <w:bCs/>
          <w:spacing w:val="-3"/>
        </w:rPr>
        <w:t xml:space="preserve"> 58</w:t>
      </w:r>
      <w:r w:rsidRPr="002A32D0">
        <w:rPr>
          <w:spacing w:val="-3"/>
        </w:rPr>
        <w:t>, 567.</w:t>
      </w:r>
    </w:p>
    <w:p w14:paraId="09DD6AF6"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0E5D273A"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r w:rsidRPr="002A32D0">
        <w:rPr>
          <w:spacing w:val="-3"/>
        </w:rPr>
        <w:lastRenderedPageBreak/>
        <w:t>JACKSON, K. A., 1958, in: Liquid Metals and Solidification (ASM, Metals Park, OH) p. 174.</w:t>
      </w:r>
    </w:p>
    <w:p w14:paraId="26B696F7"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45CA52BA"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Jackson  K. A., Hunt J. D., Uhlmann D. R. &amp; Seward III T. P. (1966), Trans. Met. Soc. AIME, 236, 149-?</w:t>
      </w:r>
    </w:p>
    <w:p w14:paraId="7DD490F8"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5ECA6D68"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r w:rsidRPr="002A32D0">
        <w:rPr>
          <w:spacing w:val="-3"/>
        </w:rPr>
        <w:t xml:space="preserve">JACKSON, K. A. and  J. D. HUNT, 1966, Tran. Met. Soc. AIME </w:t>
      </w:r>
      <w:r w:rsidRPr="002A32D0">
        <w:rPr>
          <w:b/>
          <w:bCs/>
          <w:spacing w:val="-3"/>
        </w:rPr>
        <w:t>236</w:t>
      </w:r>
      <w:r w:rsidRPr="002A32D0">
        <w:rPr>
          <w:spacing w:val="-3"/>
        </w:rPr>
        <w:t>, 1129.</w:t>
      </w:r>
    </w:p>
    <w:p w14:paraId="16D41D9A"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p>
    <w:p w14:paraId="62806938"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r w:rsidRPr="002A32D0">
        <w:rPr>
          <w:spacing w:val="-3"/>
        </w:rPr>
        <w:t>JACKSON, K. A., D. R. UHLMANN, and J. D. HUNT, 1967, J. Cryst. Growth</w:t>
      </w:r>
      <w:r w:rsidRPr="002A32D0">
        <w:rPr>
          <w:b/>
          <w:bCs/>
          <w:spacing w:val="-3"/>
        </w:rPr>
        <w:t xml:space="preserve"> 1</w:t>
      </w:r>
      <w:r w:rsidRPr="002A32D0">
        <w:rPr>
          <w:spacing w:val="-3"/>
        </w:rPr>
        <w:t>, 1.</w:t>
      </w:r>
    </w:p>
    <w:p w14:paraId="73518619"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p>
    <w:p w14:paraId="1992577C"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 xml:space="preserve">JACKSON, K. A., 1968, Trans. Met. Soc. AIME </w:t>
      </w:r>
      <w:r w:rsidRPr="002A32D0">
        <w:rPr>
          <w:b/>
          <w:bCs/>
          <w:spacing w:val="-3"/>
        </w:rPr>
        <w:t>242,</w:t>
      </w:r>
      <w:r w:rsidRPr="002A32D0">
        <w:rPr>
          <w:spacing w:val="-3"/>
        </w:rPr>
        <w:t xml:space="preserve"> 1275.</w:t>
      </w:r>
    </w:p>
    <w:p w14:paraId="1E32E0D4"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20E7E202"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r w:rsidRPr="002A32D0">
        <w:rPr>
          <w:spacing w:val="-3"/>
        </w:rPr>
        <w:t>JACKSON, K. A., 1971, in: Solidification (ASM, Metals Park, OH) p. 121.</w:t>
      </w:r>
    </w:p>
    <w:p w14:paraId="7AD63B05"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p>
    <w:p w14:paraId="07A315EC"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JACKSON, K. A., 1974, J. Cryst. Growth</w:t>
      </w:r>
      <w:r w:rsidRPr="002A32D0">
        <w:rPr>
          <w:b/>
          <w:bCs/>
          <w:spacing w:val="-3"/>
        </w:rPr>
        <w:t xml:space="preserve"> 24/25</w:t>
      </w:r>
      <w:r w:rsidRPr="002A32D0">
        <w:rPr>
          <w:spacing w:val="-3"/>
        </w:rPr>
        <w:t>, 130.</w:t>
      </w:r>
    </w:p>
    <w:p w14:paraId="168CAFD1"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2E41976E"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r w:rsidRPr="002A32D0">
        <w:rPr>
          <w:spacing w:val="-3"/>
        </w:rPr>
        <w:t>JACKSON, K. A., 1975, in: Treatise on Solid State Chemistry, Vol. 5, edited by N. B. Hannay, (Plenum, NY), p. 1.</w:t>
      </w:r>
    </w:p>
    <w:p w14:paraId="255B1AC6"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p>
    <w:p w14:paraId="331EE02B"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r w:rsidRPr="002A32D0">
        <w:rPr>
          <w:spacing w:val="-3"/>
        </w:rPr>
        <w:t>JACKSON, K. A., G. H. GILMER and H. J. LEAMY, 1980, in: Laser and Electron Beam Processing of Materials, edited by C. W. White and P. S. Peercy,  (Academic Press, NY), p. 104.</w:t>
      </w:r>
    </w:p>
    <w:p w14:paraId="428A9AFA"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p>
    <w:p w14:paraId="5A683BFD"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Jackson K. A., Beatty K. M. and Gudgel K. A. (2004). J. Cryst. Growth 271, 481-?.</w:t>
      </w:r>
    </w:p>
    <w:p w14:paraId="6BD24A93"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p>
    <w:p w14:paraId="7D83D84B"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lang w:val="de-DE"/>
        </w:rPr>
        <w:t xml:space="preserve">JACOBI, H., and K. SCHWERDTEFEGER, 1976, Metall. </w:t>
      </w:r>
      <w:r w:rsidRPr="002A32D0">
        <w:rPr>
          <w:spacing w:val="-3"/>
        </w:rPr>
        <w:t xml:space="preserve">Trans. </w:t>
      </w:r>
      <w:r w:rsidRPr="002A32D0">
        <w:rPr>
          <w:b/>
          <w:bCs/>
          <w:spacing w:val="-3"/>
        </w:rPr>
        <w:t>7A</w:t>
      </w:r>
      <w:r w:rsidRPr="002A32D0">
        <w:rPr>
          <w:spacing w:val="-3"/>
        </w:rPr>
        <w:t>, 811.</w:t>
      </w:r>
    </w:p>
    <w:p w14:paraId="2D2964A9"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280776E5" w14:textId="77777777" w:rsidR="00F7556C" w:rsidRPr="002A32D0" w:rsidRDefault="00F7556C" w:rsidP="00F7556C">
      <w:pPr>
        <w:tabs>
          <w:tab w:val="left" w:pos="-1172"/>
          <w:tab w:val="left" w:pos="-720"/>
          <w:tab w:val="left" w:pos="0"/>
          <w:tab w:val="left" w:pos="714"/>
          <w:tab w:val="left" w:pos="2160"/>
        </w:tabs>
        <w:suppressAutoHyphens/>
        <w:rPr>
          <w:spacing w:val="-3"/>
          <w:lang w:val="sv-SE"/>
        </w:rPr>
      </w:pPr>
      <w:r w:rsidRPr="002A32D0">
        <w:rPr>
          <w:spacing w:val="-3"/>
          <w:lang w:val="sv-SE"/>
        </w:rPr>
        <w:t xml:space="preserve">JONES, H. and W. KURZ, 1980,  Metall. Trans. </w:t>
      </w:r>
      <w:r w:rsidRPr="002A32D0">
        <w:rPr>
          <w:b/>
          <w:bCs/>
          <w:spacing w:val="-3"/>
          <w:lang w:val="sv-SE"/>
        </w:rPr>
        <w:t>llA</w:t>
      </w:r>
      <w:r w:rsidRPr="002A32D0">
        <w:rPr>
          <w:spacing w:val="-3"/>
          <w:lang w:val="sv-SE"/>
        </w:rPr>
        <w:t>, 1265.</w:t>
      </w:r>
    </w:p>
    <w:p w14:paraId="4168FE51" w14:textId="77777777" w:rsidR="00F7556C" w:rsidRPr="002A32D0" w:rsidRDefault="00F7556C" w:rsidP="00F7556C">
      <w:pPr>
        <w:tabs>
          <w:tab w:val="left" w:pos="-1172"/>
          <w:tab w:val="left" w:pos="-720"/>
          <w:tab w:val="left" w:pos="0"/>
          <w:tab w:val="left" w:pos="714"/>
          <w:tab w:val="left" w:pos="2160"/>
        </w:tabs>
        <w:suppressAutoHyphens/>
        <w:rPr>
          <w:spacing w:val="-3"/>
          <w:lang w:val="sv-SE"/>
        </w:rPr>
      </w:pPr>
    </w:p>
    <w:p w14:paraId="73F13C12"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r w:rsidRPr="002A32D0">
        <w:rPr>
          <w:spacing w:val="-3"/>
        </w:rPr>
        <w:t xml:space="preserve">JORDAN, R.M. and  J.D.HUNT, 1971, J.Cryst.Growth, </w:t>
      </w:r>
      <w:r w:rsidRPr="002A32D0">
        <w:rPr>
          <w:b/>
          <w:bCs/>
          <w:spacing w:val="-3"/>
        </w:rPr>
        <w:t>11</w:t>
      </w:r>
      <w:r w:rsidRPr="002A32D0">
        <w:rPr>
          <w:spacing w:val="-3"/>
        </w:rPr>
        <w:t>, 141.</w:t>
      </w:r>
    </w:p>
    <w:p w14:paraId="089A65CB"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p>
    <w:p w14:paraId="263FDBEA" w14:textId="77777777" w:rsidR="00F7556C" w:rsidRPr="002A32D0" w:rsidRDefault="00F7556C" w:rsidP="00F7556C">
      <w:pPr>
        <w:tabs>
          <w:tab w:val="left" w:pos="-1172"/>
          <w:tab w:val="left" w:pos="-720"/>
          <w:tab w:val="left" w:pos="0"/>
          <w:tab w:val="left" w:pos="714"/>
          <w:tab w:val="left" w:pos="2160"/>
        </w:tabs>
        <w:suppressAutoHyphens/>
        <w:rPr>
          <w:spacing w:val="-3"/>
          <w:lang w:val="sv-SE"/>
        </w:rPr>
      </w:pPr>
      <w:r w:rsidRPr="002A32D0">
        <w:rPr>
          <w:spacing w:val="-3"/>
          <w:lang w:val="sv-SE"/>
        </w:rPr>
        <w:t xml:space="preserve">JORDAN,R.M. and  J.D.HUNT, 1972, Metall.Trans., </w:t>
      </w:r>
      <w:r w:rsidRPr="002A32D0">
        <w:rPr>
          <w:b/>
          <w:bCs/>
          <w:spacing w:val="-3"/>
          <w:lang w:val="sv-SE"/>
        </w:rPr>
        <w:t>3</w:t>
      </w:r>
      <w:r w:rsidRPr="002A32D0">
        <w:rPr>
          <w:spacing w:val="-3"/>
          <w:lang w:val="sv-SE"/>
        </w:rPr>
        <w:t>, 1386.</w:t>
      </w:r>
    </w:p>
    <w:p w14:paraId="7AE45833" w14:textId="77777777" w:rsidR="00F7556C" w:rsidRPr="002A32D0" w:rsidRDefault="00F7556C" w:rsidP="00F7556C">
      <w:pPr>
        <w:tabs>
          <w:tab w:val="left" w:pos="-1172"/>
          <w:tab w:val="left" w:pos="-720"/>
          <w:tab w:val="left" w:pos="0"/>
          <w:tab w:val="left" w:pos="714"/>
          <w:tab w:val="left" w:pos="2160"/>
        </w:tabs>
        <w:suppressAutoHyphens/>
        <w:rPr>
          <w:spacing w:val="-3"/>
          <w:lang w:val="sv-SE"/>
        </w:rPr>
      </w:pPr>
    </w:p>
    <w:p w14:paraId="2518A593"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 xml:space="preserve">JUNZE, J., K.F.KOBAYASHI and P.H.SHINGU, 1984, Metall.Trans. </w:t>
      </w:r>
      <w:r w:rsidRPr="002A32D0">
        <w:rPr>
          <w:b/>
          <w:bCs/>
          <w:spacing w:val="-3"/>
        </w:rPr>
        <w:t>15A</w:t>
      </w:r>
      <w:r w:rsidRPr="002A32D0">
        <w:rPr>
          <w:spacing w:val="-3"/>
        </w:rPr>
        <w:t>, 307.</w:t>
      </w:r>
    </w:p>
    <w:p w14:paraId="3D94B46C"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0CDA59AC"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K.R. Elder, F. Drolet, J.M. Kosterlitz, M. Grant, Phys. Rev. Lett. 72 (1994) 677.</w:t>
      </w:r>
    </w:p>
    <w:p w14:paraId="2FAEC512"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5ECB161C"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Kajitani, T., Drezet, J.-M., and Rappaz, M.: Metall.Mater. T rans. A, 2001, 32A, 1479–1491.</w:t>
      </w:r>
    </w:p>
    <w:p w14:paraId="301C1075"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3FB01BA4"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r w:rsidRPr="002A32D0">
        <w:rPr>
          <w:spacing w:val="-3"/>
        </w:rPr>
        <w:t xml:space="preserve">KAMIO, A., S. KUMAI, and H. TEZUKA, 1991, Mat. Sci. and Eng. </w:t>
      </w:r>
      <w:r w:rsidRPr="002A32D0">
        <w:rPr>
          <w:b/>
          <w:bCs/>
          <w:spacing w:val="-3"/>
        </w:rPr>
        <w:t>A146</w:t>
      </w:r>
      <w:r w:rsidRPr="002A32D0">
        <w:rPr>
          <w:spacing w:val="-3"/>
        </w:rPr>
        <w:t>, 105.</w:t>
      </w:r>
    </w:p>
    <w:p w14:paraId="622132D3"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p>
    <w:p w14:paraId="2EA7B719"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 xml:space="preserve">Karma, A., 1987, Phys. Rev. Let. </w:t>
      </w:r>
      <w:r w:rsidRPr="002A32D0">
        <w:rPr>
          <w:b/>
          <w:bCs/>
          <w:spacing w:val="-3"/>
        </w:rPr>
        <w:t>59</w:t>
      </w:r>
      <w:r w:rsidRPr="002A32D0">
        <w:rPr>
          <w:b/>
          <w:bCs/>
          <w:spacing w:val="-3"/>
          <w:u w:val="single"/>
        </w:rPr>
        <w:t>,</w:t>
      </w:r>
      <w:r w:rsidRPr="002A32D0">
        <w:rPr>
          <w:spacing w:val="-3"/>
        </w:rPr>
        <w:t xml:space="preserve"> 71.</w:t>
      </w:r>
    </w:p>
    <w:p w14:paraId="732809E1"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p>
    <w:p w14:paraId="620FE7BC" w14:textId="77777777" w:rsidR="00F7556C" w:rsidRPr="002A32D0" w:rsidRDefault="00F7556C" w:rsidP="00F7556C">
      <w:pPr>
        <w:suppressAutoHyphens/>
        <w:jc w:val="both"/>
        <w:rPr>
          <w:spacing w:val="-3"/>
        </w:rPr>
      </w:pPr>
      <w:r w:rsidRPr="002A32D0">
        <w:rPr>
          <w:spacing w:val="-3"/>
        </w:rPr>
        <w:t>Karma A (1994), Phase-Field Model of Eutectic Growth, PHY REV E  49   2245-2250.</w:t>
      </w:r>
    </w:p>
    <w:p w14:paraId="1739FFD3"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2718040A"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lastRenderedPageBreak/>
        <w:t>Karma A. and Rappel W. –J. (1996). Phys. Rev. E 54,  R3017-?.</w:t>
      </w:r>
    </w:p>
    <w:p w14:paraId="5F5FCAEC"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78F8B106"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Karma A. and Rappel W.-J. (1997). J. Cryst. Growth 174, 54-?.</w:t>
      </w:r>
    </w:p>
    <w:p w14:paraId="77AC2598"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222B2025"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Karma A., Lee Y. H. and Plapp M. (2000).  Phys. Rev. E61 3996-?.</w:t>
      </w:r>
    </w:p>
    <w:p w14:paraId="6B7D02E1"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35E470F8"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Karma A. (2001). Phase-field formulation for quantitative modeling of alloy solidification, Phys. Rev. Lett. 87, 115701.</w:t>
      </w:r>
    </w:p>
    <w:p w14:paraId="43F77E74"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08BAFC24" w14:textId="77777777" w:rsidR="00F7556C" w:rsidRPr="002A32D0" w:rsidRDefault="00F7556C" w:rsidP="00F7556C">
      <w:pPr>
        <w:tabs>
          <w:tab w:val="left" w:pos="-1172"/>
          <w:tab w:val="left" w:pos="-720"/>
          <w:tab w:val="left" w:pos="0"/>
          <w:tab w:val="left" w:pos="714"/>
          <w:tab w:val="left" w:pos="2160"/>
        </w:tabs>
        <w:suppressAutoHyphens/>
        <w:ind w:left="714" w:hanging="714"/>
        <w:jc w:val="both"/>
        <w:rPr>
          <w:spacing w:val="-3"/>
        </w:rPr>
      </w:pPr>
      <w:r w:rsidRPr="002A32D0">
        <w:rPr>
          <w:spacing w:val="-3"/>
        </w:rPr>
        <w:t xml:space="preserve">KATTAMIS, T. Z., and M. C. FLEMINGS, 1965, Trans. Met. Soc. AIME </w:t>
      </w:r>
      <w:r w:rsidRPr="002A32D0">
        <w:rPr>
          <w:b/>
          <w:bCs/>
          <w:spacing w:val="-3"/>
        </w:rPr>
        <w:t>233</w:t>
      </w:r>
      <w:r w:rsidRPr="002A32D0">
        <w:rPr>
          <w:spacing w:val="-3"/>
        </w:rPr>
        <w:t>, 992.</w:t>
      </w:r>
    </w:p>
    <w:p w14:paraId="086795F2"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08F0267B"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r w:rsidRPr="002A32D0">
        <w:rPr>
          <w:spacing w:val="-3"/>
        </w:rPr>
        <w:t xml:space="preserve">KATTAMIS, T. Z., J. C. COUGLIN, and M. C. FLEMINGS, 1967, M. C., Trans. Met. Soc. AIME </w:t>
      </w:r>
      <w:r w:rsidRPr="002A32D0">
        <w:rPr>
          <w:b/>
          <w:bCs/>
          <w:spacing w:val="-3"/>
        </w:rPr>
        <w:t>239</w:t>
      </w:r>
      <w:r w:rsidRPr="002A32D0">
        <w:rPr>
          <w:spacing w:val="-3"/>
        </w:rPr>
        <w:t>, 1504.</w:t>
      </w:r>
    </w:p>
    <w:p w14:paraId="0000EDB1"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p>
    <w:p w14:paraId="3EAB4AD6"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r w:rsidRPr="002A32D0">
        <w:rPr>
          <w:spacing w:val="-3"/>
        </w:rPr>
        <w:t>KELLY, T. F., and J. B. VANDERSANDE, 1987, Intl. J. of Rapid Solidification</w:t>
      </w:r>
      <w:r w:rsidRPr="002A32D0">
        <w:rPr>
          <w:b/>
          <w:bCs/>
          <w:spacing w:val="-3"/>
        </w:rPr>
        <w:t xml:space="preserve"> 3</w:t>
      </w:r>
      <w:r w:rsidRPr="002A32D0">
        <w:rPr>
          <w:spacing w:val="-3"/>
        </w:rPr>
        <w:t>, 51.</w:t>
      </w:r>
    </w:p>
    <w:p w14:paraId="4C62BBAD"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p>
    <w:p w14:paraId="02C6AB80"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r w:rsidRPr="002A32D0">
        <w:rPr>
          <w:spacing w:val="-3"/>
        </w:rPr>
        <w:t xml:space="preserve">Kelton K. F. (1991), Crystal nucleation in liquids and glasses, in Solid state physics – Advances in research and Application </w:t>
      </w:r>
      <w:r w:rsidRPr="002A32D0">
        <w:rPr>
          <w:b/>
          <w:spacing w:val="-3"/>
        </w:rPr>
        <w:t xml:space="preserve">45, </w:t>
      </w:r>
      <w:r w:rsidRPr="002A32D0">
        <w:rPr>
          <w:spacing w:val="-3"/>
        </w:rPr>
        <w:t>75-177.</w:t>
      </w:r>
    </w:p>
    <w:p w14:paraId="1AAE0433"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p>
    <w:p w14:paraId="20E3E2F0"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Kelton K.F. and Greer A.L. (2010), Nucleation in condensed matter, Amsterdam: Elsevier.</w:t>
      </w:r>
    </w:p>
    <w:p w14:paraId="6185C376"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63A8817F"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r w:rsidRPr="002A32D0">
        <w:rPr>
          <w:spacing w:val="-3"/>
        </w:rPr>
        <w:t>KERR, H. W., and W. C. WINEGARD, 1967, International Conference on Crystal Growth, suppl. to the Physics and Chemistry of Solids, p.179.</w:t>
      </w:r>
    </w:p>
    <w:p w14:paraId="527CDA19"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p>
    <w:p w14:paraId="1AC7DFAE"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 xml:space="preserve">KERR, H. W., J. CISSE, and G. F. BOLLING, 1974, </w:t>
      </w:r>
      <w:r w:rsidRPr="002A32D0">
        <w:rPr>
          <w:b/>
          <w:bCs/>
          <w:spacing w:val="-3"/>
        </w:rPr>
        <w:t>22</w:t>
      </w:r>
      <w:r w:rsidRPr="002A32D0">
        <w:rPr>
          <w:spacing w:val="-3"/>
        </w:rPr>
        <w:t>, 677.</w:t>
      </w:r>
    </w:p>
    <w:p w14:paraId="00DCCD96"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31C7AFE3"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r w:rsidRPr="002A32D0">
        <w:rPr>
          <w:spacing w:val="-3"/>
        </w:rPr>
        <w:t>KERR, H.W. and J.C.VILLAFUERTE, 1992, in: The Metal Science of Joining,eds. H.J.Cieslak, J.H.Perepezko, S.Kang and M.E.Glicksman, (TMS Pub.),   p. 11.</w:t>
      </w:r>
    </w:p>
    <w:p w14:paraId="54B35A60"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p>
    <w:p w14:paraId="7F9F0214" w14:textId="77777777" w:rsidR="00F7556C" w:rsidRPr="002A32D0" w:rsidRDefault="00F7556C" w:rsidP="00F7556C">
      <w:pPr>
        <w:suppressAutoHyphens/>
        <w:jc w:val="both"/>
        <w:rPr>
          <w:spacing w:val="-3"/>
        </w:rPr>
      </w:pPr>
      <w:r w:rsidRPr="002A32D0">
        <w:rPr>
          <w:spacing w:val="-3"/>
        </w:rPr>
        <w:t>Kim SG; Kim WT; Suzuki T  (1999) Phase-field model for binary alloys, Physical Review E  60 7186-7197 .</w:t>
      </w:r>
    </w:p>
    <w:p w14:paraId="121FC2B0" w14:textId="77777777" w:rsidR="00F7556C" w:rsidRPr="002A32D0" w:rsidRDefault="00F7556C" w:rsidP="00F7556C">
      <w:pPr>
        <w:suppressAutoHyphens/>
        <w:jc w:val="both"/>
        <w:rPr>
          <w:spacing w:val="-3"/>
        </w:rPr>
      </w:pPr>
    </w:p>
    <w:p w14:paraId="677C9282" w14:textId="77777777" w:rsidR="00F7556C" w:rsidRPr="002A32D0" w:rsidRDefault="00F7556C" w:rsidP="00F7556C">
      <w:pPr>
        <w:suppressAutoHyphens/>
        <w:jc w:val="both"/>
        <w:rPr>
          <w:spacing w:val="-3"/>
        </w:rPr>
      </w:pPr>
      <w:r w:rsidRPr="002A32D0">
        <w:rPr>
          <w:spacing w:val="-3"/>
          <w:lang w:val="fr-FR"/>
        </w:rPr>
        <w:t xml:space="preserve">Kim SG, Kim WT, Suzuki T, et al. </w:t>
      </w:r>
      <w:r w:rsidRPr="002A32D0">
        <w:rPr>
          <w:spacing w:val="-3"/>
        </w:rPr>
        <w:t xml:space="preserve">(2004), Phase-field modeling of eutectic solidification, J Cryst Growth </w:t>
      </w:r>
      <w:r w:rsidRPr="002A32D0">
        <w:rPr>
          <w:b/>
          <w:spacing w:val="-3"/>
        </w:rPr>
        <w:t>261</w:t>
      </w:r>
      <w:r w:rsidRPr="002A32D0">
        <w:rPr>
          <w:spacing w:val="-3"/>
        </w:rPr>
        <w:t xml:space="preserve"> 135-158.  </w:t>
      </w:r>
    </w:p>
    <w:p w14:paraId="310D6463" w14:textId="77777777" w:rsidR="00F7556C" w:rsidRPr="002A32D0" w:rsidRDefault="00F7556C" w:rsidP="00F7556C">
      <w:pPr>
        <w:suppressAutoHyphens/>
        <w:jc w:val="both"/>
        <w:rPr>
          <w:spacing w:val="-3"/>
        </w:rPr>
      </w:pPr>
    </w:p>
    <w:p w14:paraId="69D0F7AA" w14:textId="77777777" w:rsidR="00F7556C" w:rsidRPr="002A32D0" w:rsidRDefault="00F7556C" w:rsidP="00F7556C">
      <w:pPr>
        <w:suppressAutoHyphens/>
        <w:jc w:val="both"/>
        <w:rPr>
          <w:spacing w:val="-3"/>
        </w:rPr>
      </w:pPr>
      <w:r w:rsidRPr="002A32D0">
        <w:rPr>
          <w:spacing w:val="-3"/>
        </w:rPr>
        <w:t>Kim  Y W, Lin H M, and Kelly T E, 1988 a), Acta Metall. 36, 2525.</w:t>
      </w:r>
    </w:p>
    <w:p w14:paraId="10BA1C76" w14:textId="77777777" w:rsidR="00F7556C" w:rsidRPr="002A32D0" w:rsidRDefault="00F7556C" w:rsidP="00F7556C">
      <w:pPr>
        <w:suppressAutoHyphens/>
        <w:jc w:val="both"/>
        <w:rPr>
          <w:spacing w:val="-3"/>
        </w:rPr>
      </w:pPr>
    </w:p>
    <w:p w14:paraId="4EE29D54" w14:textId="77777777" w:rsidR="00F7556C" w:rsidRPr="002A32D0" w:rsidRDefault="00F7556C" w:rsidP="00F7556C">
      <w:pPr>
        <w:suppressAutoHyphens/>
        <w:jc w:val="both"/>
        <w:rPr>
          <w:spacing w:val="-3"/>
        </w:rPr>
      </w:pPr>
      <w:r w:rsidRPr="002A32D0">
        <w:rPr>
          <w:spacing w:val="-3"/>
        </w:rPr>
        <w:t>Kim, Y.-W., H.-M. LIN, and T. E KELLY, 1988 b), Acta Metall. 36, 2537.</w:t>
      </w:r>
    </w:p>
    <w:p w14:paraId="66BA7DC6" w14:textId="77777777" w:rsidR="00F7556C" w:rsidRPr="002A32D0" w:rsidRDefault="00F7556C" w:rsidP="00F7556C">
      <w:pPr>
        <w:suppressAutoHyphens/>
        <w:jc w:val="both"/>
        <w:rPr>
          <w:spacing w:val="-3"/>
        </w:rPr>
      </w:pPr>
    </w:p>
    <w:p w14:paraId="1B78021A"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 xml:space="preserve">KIRKWOOD, D. H., 1985, Mat. Sci. and Eng. </w:t>
      </w:r>
      <w:r w:rsidRPr="002A32D0">
        <w:rPr>
          <w:b/>
          <w:bCs/>
          <w:spacing w:val="-3"/>
        </w:rPr>
        <w:t>73</w:t>
      </w:r>
      <w:r w:rsidRPr="002A32D0">
        <w:rPr>
          <w:spacing w:val="-3"/>
        </w:rPr>
        <w:t>, L1.</w:t>
      </w:r>
    </w:p>
    <w:p w14:paraId="65F56BDF"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13382E58"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 xml:space="preserve">Kittl J. A., Sanders P. G., Aziz M. J., Brunco D. P. and Thompson M.O.(2000). Acta Materialia 48, 4797-4811.   </w:t>
      </w:r>
    </w:p>
    <w:p w14:paraId="6D56A1C2"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2F888DBB"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r w:rsidRPr="002A32D0">
        <w:rPr>
          <w:spacing w:val="-3"/>
        </w:rPr>
        <w:t xml:space="preserve">KOBAYASHI, R., 1991, J. Jpn. Assoc. Cryst. Growth </w:t>
      </w:r>
      <w:r w:rsidRPr="002A32D0">
        <w:rPr>
          <w:b/>
          <w:bCs/>
          <w:spacing w:val="-3"/>
        </w:rPr>
        <w:t>18(2),</w:t>
      </w:r>
      <w:r w:rsidRPr="002A32D0">
        <w:rPr>
          <w:spacing w:val="-3"/>
        </w:rPr>
        <w:t xml:space="preserve"> 209 in Japanese.</w:t>
      </w:r>
    </w:p>
    <w:p w14:paraId="24B21B52"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p>
    <w:p w14:paraId="5FCEF134"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lastRenderedPageBreak/>
        <w:t xml:space="preserve">KOBAYASHI, R., 1992, in: Pattern Formation in Complex Dissipative Systems, S. Kai, ed., (World Science, Singapore) p. 121. </w:t>
      </w:r>
    </w:p>
    <w:p w14:paraId="21083E9F"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54570E5C"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 xml:space="preserve">Kobayashi R (1993), Modeling and numerical simulations of dendritic crystal-growth, PHYSICA D </w:t>
      </w:r>
      <w:r w:rsidRPr="002A32D0">
        <w:rPr>
          <w:b/>
          <w:spacing w:val="-3"/>
        </w:rPr>
        <w:t xml:space="preserve">63, </w:t>
      </w:r>
      <w:r w:rsidRPr="002A32D0">
        <w:rPr>
          <w:spacing w:val="-3"/>
        </w:rPr>
        <w:t xml:space="preserve">  410-423.</w:t>
      </w:r>
    </w:p>
    <w:p w14:paraId="2ACECCE5"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5A972F21"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Kobayashi R. (1994). Exper. Math. 3, 59-?.</w:t>
      </w:r>
    </w:p>
    <w:p w14:paraId="74F7D8D5"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p>
    <w:p w14:paraId="63464708"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KOFLER, A., 1950, Z. Metallk.</w:t>
      </w:r>
      <w:r w:rsidRPr="002A32D0">
        <w:rPr>
          <w:b/>
          <w:bCs/>
          <w:spacing w:val="-3"/>
        </w:rPr>
        <w:t xml:space="preserve"> 41</w:t>
      </w:r>
      <w:r w:rsidRPr="002A32D0">
        <w:rPr>
          <w:spacing w:val="-3"/>
        </w:rPr>
        <w:t>, 221.</w:t>
      </w:r>
    </w:p>
    <w:p w14:paraId="1A1FEE3A"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5602E543"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Kou S and Sun DK, 1985, Fluid-flow and weld penetration in stationary arc welds, Metall Trans A16 203-213.</w:t>
      </w:r>
    </w:p>
    <w:p w14:paraId="48220C0A"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5D34A729"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 xml:space="preserve">Kraft T and Chang YA (1997), Predicting microsegregation, Journal of Metals </w:t>
      </w:r>
      <w:r w:rsidRPr="002A32D0">
        <w:rPr>
          <w:b/>
          <w:spacing w:val="-3"/>
        </w:rPr>
        <w:t>49</w:t>
      </w:r>
      <w:r w:rsidRPr="002A32D0">
        <w:rPr>
          <w:spacing w:val="-3"/>
        </w:rPr>
        <w:t xml:space="preserve"> 20-28.</w:t>
      </w:r>
    </w:p>
    <w:p w14:paraId="47FDAD54"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69EF5CC2"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KUBO, K. and R.D.PEHLKE, 1985, Metall.Trans.</w:t>
      </w:r>
      <w:r w:rsidRPr="002A32D0">
        <w:rPr>
          <w:b/>
          <w:bCs/>
          <w:spacing w:val="-3"/>
        </w:rPr>
        <w:t>16B</w:t>
      </w:r>
      <w:r w:rsidRPr="002A32D0">
        <w:rPr>
          <w:spacing w:val="-3"/>
        </w:rPr>
        <w:t>, 959.</w:t>
      </w:r>
    </w:p>
    <w:p w14:paraId="695EE6E4"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78CCB38F"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KURZ, W., and D. J. FISHER, 1979, Int. Met. Rev.</w:t>
      </w:r>
      <w:r w:rsidRPr="002A32D0">
        <w:rPr>
          <w:b/>
          <w:bCs/>
          <w:spacing w:val="-3"/>
        </w:rPr>
        <w:t xml:space="preserve"> 5-6</w:t>
      </w:r>
      <w:r w:rsidRPr="002A32D0">
        <w:rPr>
          <w:spacing w:val="-3"/>
        </w:rPr>
        <w:t>, 177.</w:t>
      </w:r>
    </w:p>
    <w:p w14:paraId="60116304"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16108A37"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KURZ, W. and D. J. FISHER, 1981, Acta Metall.</w:t>
      </w:r>
      <w:r w:rsidRPr="002A32D0">
        <w:rPr>
          <w:b/>
          <w:bCs/>
          <w:spacing w:val="-3"/>
        </w:rPr>
        <w:t xml:space="preserve"> 29</w:t>
      </w:r>
      <w:r w:rsidRPr="002A32D0">
        <w:rPr>
          <w:spacing w:val="-3"/>
        </w:rPr>
        <w:t>, 11.</w:t>
      </w:r>
    </w:p>
    <w:p w14:paraId="139319D4"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0D529630"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r w:rsidRPr="002A32D0">
        <w:rPr>
          <w:spacing w:val="-3"/>
        </w:rPr>
        <w:t>KURZ, W. and T.W.CLYNE, 1981, Metall.Trans.</w:t>
      </w:r>
      <w:r w:rsidRPr="002A32D0">
        <w:rPr>
          <w:b/>
          <w:bCs/>
          <w:spacing w:val="-3"/>
        </w:rPr>
        <w:t>12A</w:t>
      </w:r>
      <w:r w:rsidRPr="002A32D0">
        <w:rPr>
          <w:spacing w:val="-3"/>
        </w:rPr>
        <w:t>, 965.</w:t>
      </w:r>
    </w:p>
    <w:p w14:paraId="34585D72"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p>
    <w:p w14:paraId="3D05A61F"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r w:rsidRPr="002A32D0">
        <w:rPr>
          <w:spacing w:val="-3"/>
        </w:rPr>
        <w:t>KURZ, W., B. GIOVANOLA, and R. TRIVEDI, 1986, Acta Metall.</w:t>
      </w:r>
      <w:r w:rsidRPr="002A32D0">
        <w:rPr>
          <w:b/>
          <w:bCs/>
          <w:spacing w:val="-3"/>
        </w:rPr>
        <w:t xml:space="preserve"> 34</w:t>
      </w:r>
      <w:r w:rsidRPr="002A32D0">
        <w:rPr>
          <w:spacing w:val="-3"/>
        </w:rPr>
        <w:t>, 823.</w:t>
      </w:r>
    </w:p>
    <w:p w14:paraId="1CC2C696"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p>
    <w:p w14:paraId="77491B5E"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r w:rsidRPr="002A32D0">
        <w:rPr>
          <w:spacing w:val="-3"/>
        </w:rPr>
        <w:t xml:space="preserve">KURZ, W., B. GIOVANOLA, and R. TRIVEDI, 1988, J. Cryst. Growth. </w:t>
      </w:r>
      <w:r w:rsidRPr="002A32D0">
        <w:rPr>
          <w:b/>
          <w:bCs/>
          <w:spacing w:val="-3"/>
        </w:rPr>
        <w:t>91</w:t>
      </w:r>
      <w:r w:rsidRPr="002A32D0">
        <w:rPr>
          <w:spacing w:val="-3"/>
        </w:rPr>
        <w:t>, 123.</w:t>
      </w:r>
    </w:p>
    <w:p w14:paraId="4AABCBCD"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p>
    <w:p w14:paraId="3BB64B9E"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r w:rsidRPr="002A32D0">
        <w:rPr>
          <w:spacing w:val="-3"/>
        </w:rPr>
        <w:t>KURZ,W.and D.J.FISHER,1989, Fundamentals of Solidification, 3rd.ed. (Trans. Tech. Publication, Switzerland).</w:t>
      </w:r>
    </w:p>
    <w:p w14:paraId="5B7FC590"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p>
    <w:p w14:paraId="4FCB04FF" w14:textId="77777777" w:rsidR="00F7556C" w:rsidRDefault="00F7556C" w:rsidP="00F7556C">
      <w:pPr>
        <w:tabs>
          <w:tab w:val="left" w:pos="-1172"/>
          <w:tab w:val="left" w:pos="-720"/>
          <w:tab w:val="left" w:pos="0"/>
          <w:tab w:val="left" w:pos="714"/>
          <w:tab w:val="left" w:pos="2160"/>
        </w:tabs>
        <w:suppressAutoHyphens/>
        <w:rPr>
          <w:spacing w:val="-3"/>
        </w:rPr>
      </w:pPr>
      <w:r w:rsidRPr="002A32D0">
        <w:rPr>
          <w:spacing w:val="-3"/>
        </w:rPr>
        <w:t>Kurz, W., Bezencon, C., and Gaumann, M., 2001, Science and Technology of Advanced Materials, 2, 185-191.</w:t>
      </w:r>
    </w:p>
    <w:p w14:paraId="3680D558" w14:textId="77777777" w:rsidR="00431089" w:rsidRDefault="00431089" w:rsidP="00F7556C">
      <w:pPr>
        <w:tabs>
          <w:tab w:val="left" w:pos="-1172"/>
          <w:tab w:val="left" w:pos="-720"/>
          <w:tab w:val="left" w:pos="0"/>
          <w:tab w:val="left" w:pos="714"/>
          <w:tab w:val="left" w:pos="2160"/>
        </w:tabs>
        <w:suppressAutoHyphens/>
        <w:rPr>
          <w:spacing w:val="-3"/>
        </w:rPr>
      </w:pPr>
    </w:p>
    <w:p w14:paraId="677EEA60" w14:textId="77777777" w:rsidR="00431089" w:rsidRPr="00431089" w:rsidRDefault="00431089" w:rsidP="00431089">
      <w:pPr>
        <w:rPr>
          <w:spacing w:val="-3"/>
        </w:rPr>
      </w:pPr>
      <w:r w:rsidRPr="00431089">
        <w:rPr>
          <w:spacing w:val="-3"/>
        </w:rPr>
        <w:t>Kurz, W., Rappaz, M., &amp; Trivedi, R. (2021). Progress in modelling solidification microstructures in metals and alloys. Part II: dendrites from 2001 to 2018. International Materials Reviews, 66(1), 30–76. https://doi.org/10.1080/09506608.2020.1757894</w:t>
      </w:r>
    </w:p>
    <w:p w14:paraId="3A8B82C1"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1523F0F8"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LaCombe J.C., Koss M.B., Fradkov V.E. and Glicksman M.E. (1995). Phys Rev E 52, 2778-?</w:t>
      </w:r>
    </w:p>
    <w:p w14:paraId="1EE01F2E"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1718ED52"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Langer J. S., 1986 in Directions in Condensed Matter Physics (edited by G. Grinstein and G.Mazenko), p. 164. World Scientific, Philedelphia, Pa.</w:t>
      </w:r>
    </w:p>
    <w:p w14:paraId="325532D0"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098B2F1B" w14:textId="77777777" w:rsidR="00F7556C" w:rsidRPr="002A32D0" w:rsidRDefault="00F7556C" w:rsidP="00F7556C">
      <w:pPr>
        <w:tabs>
          <w:tab w:val="left" w:pos="-1172"/>
          <w:tab w:val="left" w:pos="-720"/>
          <w:tab w:val="left" w:pos="0"/>
          <w:tab w:val="left" w:pos="714"/>
          <w:tab w:val="left" w:pos="2160"/>
          <w:tab w:val="left" w:pos="2880"/>
          <w:tab w:val="left" w:pos="3600"/>
          <w:tab w:val="left" w:pos="4320"/>
        </w:tabs>
        <w:suppressAutoHyphens/>
        <w:ind w:left="5040" w:hanging="5040"/>
        <w:rPr>
          <w:spacing w:val="-3"/>
          <w:lang w:val="sv-SE"/>
        </w:rPr>
      </w:pPr>
      <w:r w:rsidRPr="002A32D0">
        <w:rPr>
          <w:spacing w:val="-3"/>
        </w:rPr>
        <w:t xml:space="preserve">LANGER, J. S., 1980, Phys. </w:t>
      </w:r>
      <w:r w:rsidRPr="002A32D0">
        <w:rPr>
          <w:spacing w:val="-3"/>
          <w:lang w:val="sv-SE"/>
        </w:rPr>
        <w:t>Rev. Lett.</w:t>
      </w:r>
      <w:r w:rsidRPr="002A32D0">
        <w:rPr>
          <w:b/>
          <w:bCs/>
          <w:spacing w:val="-3"/>
          <w:lang w:val="sv-SE"/>
        </w:rPr>
        <w:t xml:space="preserve"> 44</w:t>
      </w:r>
      <w:r w:rsidRPr="002A32D0">
        <w:rPr>
          <w:spacing w:val="-3"/>
          <w:lang w:val="sv-SE"/>
        </w:rPr>
        <w:t>, 1023.</w:t>
      </w:r>
    </w:p>
    <w:p w14:paraId="3B9AD49C" w14:textId="77777777" w:rsidR="00F7556C" w:rsidRPr="002A32D0" w:rsidRDefault="00F7556C" w:rsidP="00F7556C">
      <w:pPr>
        <w:tabs>
          <w:tab w:val="left" w:pos="-1172"/>
          <w:tab w:val="left" w:pos="-720"/>
          <w:tab w:val="left" w:pos="0"/>
          <w:tab w:val="left" w:pos="714"/>
          <w:tab w:val="left" w:pos="2160"/>
          <w:tab w:val="left" w:pos="2880"/>
          <w:tab w:val="left" w:pos="3600"/>
          <w:tab w:val="left" w:pos="4320"/>
        </w:tabs>
        <w:suppressAutoHyphens/>
        <w:ind w:left="5040" w:hanging="5040"/>
        <w:rPr>
          <w:spacing w:val="-3"/>
          <w:lang w:val="sv-SE"/>
        </w:rPr>
      </w:pPr>
    </w:p>
    <w:p w14:paraId="3DDB282F" w14:textId="77777777" w:rsidR="00F7556C" w:rsidRPr="002A32D0" w:rsidRDefault="00F7556C" w:rsidP="00F7556C">
      <w:pPr>
        <w:tabs>
          <w:tab w:val="left" w:pos="-1172"/>
          <w:tab w:val="left" w:pos="-720"/>
          <w:tab w:val="left" w:pos="0"/>
          <w:tab w:val="left" w:pos="714"/>
          <w:tab w:val="left" w:pos="2160"/>
        </w:tabs>
        <w:suppressAutoHyphens/>
        <w:rPr>
          <w:spacing w:val="-3"/>
          <w:lang w:val="sv-SE"/>
        </w:rPr>
      </w:pPr>
      <w:r w:rsidRPr="002A32D0">
        <w:rPr>
          <w:spacing w:val="-3"/>
          <w:lang w:val="sv-SE"/>
        </w:rPr>
        <w:t xml:space="preserve">LANGER, J. S., and H. MUELLER-KRUMBHAAR, 1978, Acta Metall. </w:t>
      </w:r>
      <w:r w:rsidRPr="002A32D0">
        <w:rPr>
          <w:b/>
          <w:bCs/>
          <w:spacing w:val="-3"/>
          <w:lang w:val="sv-SE"/>
        </w:rPr>
        <w:t>26</w:t>
      </w:r>
      <w:r w:rsidRPr="002A32D0">
        <w:rPr>
          <w:spacing w:val="-3"/>
          <w:lang w:val="sv-SE"/>
        </w:rPr>
        <w:t>, 1681.</w:t>
      </w:r>
    </w:p>
    <w:p w14:paraId="1BA15FCE" w14:textId="77777777" w:rsidR="00F7556C" w:rsidRPr="002A32D0" w:rsidRDefault="00F7556C" w:rsidP="00F7556C">
      <w:pPr>
        <w:tabs>
          <w:tab w:val="left" w:pos="-1172"/>
          <w:tab w:val="left" w:pos="-720"/>
          <w:tab w:val="left" w:pos="0"/>
          <w:tab w:val="left" w:pos="714"/>
          <w:tab w:val="left" w:pos="2160"/>
        </w:tabs>
        <w:suppressAutoHyphens/>
        <w:rPr>
          <w:spacing w:val="-3"/>
          <w:lang w:val="sv-SE"/>
        </w:rPr>
      </w:pPr>
    </w:p>
    <w:p w14:paraId="18E51550" w14:textId="77777777" w:rsidR="00F7556C" w:rsidRPr="002A32D0" w:rsidRDefault="00F7556C" w:rsidP="00F7556C">
      <w:pPr>
        <w:tabs>
          <w:tab w:val="left" w:pos="-1172"/>
          <w:tab w:val="left" w:pos="-720"/>
          <w:tab w:val="left" w:pos="0"/>
          <w:tab w:val="left" w:pos="714"/>
          <w:tab w:val="left" w:pos="2160"/>
        </w:tabs>
        <w:suppressAutoHyphens/>
        <w:rPr>
          <w:spacing w:val="-3"/>
          <w:lang w:val="sv-SE"/>
        </w:rPr>
      </w:pPr>
      <w:r w:rsidRPr="002A32D0">
        <w:rPr>
          <w:spacing w:val="-3"/>
          <w:lang w:val="sv-SE"/>
        </w:rPr>
        <w:t>LANGER, J. S., and H. MUELLER-KRUMBHAAR, 1981, Acta Metall.</w:t>
      </w:r>
      <w:r w:rsidRPr="002A32D0">
        <w:rPr>
          <w:b/>
          <w:bCs/>
          <w:spacing w:val="-3"/>
          <w:lang w:val="sv-SE"/>
        </w:rPr>
        <w:t xml:space="preserve"> 29</w:t>
      </w:r>
      <w:r w:rsidRPr="002A32D0">
        <w:rPr>
          <w:spacing w:val="-3"/>
          <w:lang w:val="sv-SE"/>
        </w:rPr>
        <w:t>, 145.</w:t>
      </w:r>
    </w:p>
    <w:p w14:paraId="276F6FBC" w14:textId="77777777" w:rsidR="00F7556C" w:rsidRPr="002A32D0" w:rsidRDefault="00F7556C" w:rsidP="00F7556C">
      <w:pPr>
        <w:tabs>
          <w:tab w:val="left" w:pos="-1172"/>
          <w:tab w:val="left" w:pos="-720"/>
          <w:tab w:val="left" w:pos="0"/>
          <w:tab w:val="left" w:pos="714"/>
          <w:tab w:val="left" w:pos="2160"/>
        </w:tabs>
        <w:suppressAutoHyphens/>
        <w:rPr>
          <w:spacing w:val="-3"/>
          <w:lang w:val="sv-SE"/>
        </w:rPr>
      </w:pPr>
    </w:p>
    <w:p w14:paraId="791E58AF" w14:textId="77777777" w:rsidR="00F7556C" w:rsidRPr="002A32D0" w:rsidRDefault="00F7556C" w:rsidP="00F7556C">
      <w:pPr>
        <w:tabs>
          <w:tab w:val="left" w:pos="-1172"/>
          <w:tab w:val="left" w:pos="-720"/>
          <w:tab w:val="left" w:pos="0"/>
          <w:tab w:val="left" w:pos="714"/>
          <w:tab w:val="left" w:pos="2160"/>
        </w:tabs>
        <w:suppressAutoHyphens/>
        <w:rPr>
          <w:spacing w:val="-3"/>
          <w:lang w:val="sv-SE"/>
        </w:rPr>
      </w:pPr>
      <w:r w:rsidRPr="002A32D0">
        <w:rPr>
          <w:spacing w:val="-3"/>
          <w:lang w:val="sv-SE"/>
        </w:rPr>
        <w:t xml:space="preserve">LARSON, M. A., and J. GARSIDE, 1986, J. Cryst. Growth </w:t>
      </w:r>
      <w:r w:rsidRPr="002A32D0">
        <w:rPr>
          <w:b/>
          <w:bCs/>
          <w:spacing w:val="-3"/>
          <w:lang w:val="sv-SE"/>
        </w:rPr>
        <w:t>76</w:t>
      </w:r>
      <w:r w:rsidRPr="002A32D0">
        <w:rPr>
          <w:spacing w:val="-3"/>
          <w:lang w:val="sv-SE"/>
        </w:rPr>
        <w:t>, 88.</w:t>
      </w:r>
    </w:p>
    <w:p w14:paraId="1C3D262A" w14:textId="77777777" w:rsidR="00F7556C" w:rsidRPr="002A32D0" w:rsidRDefault="00F7556C" w:rsidP="00F7556C">
      <w:pPr>
        <w:tabs>
          <w:tab w:val="left" w:pos="-1172"/>
          <w:tab w:val="left" w:pos="-720"/>
          <w:tab w:val="left" w:pos="0"/>
          <w:tab w:val="left" w:pos="714"/>
          <w:tab w:val="left" w:pos="2160"/>
        </w:tabs>
        <w:suppressAutoHyphens/>
        <w:rPr>
          <w:spacing w:val="-3"/>
          <w:lang w:val="sv-SE"/>
        </w:rPr>
      </w:pPr>
    </w:p>
    <w:p w14:paraId="70EDE502"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 xml:space="preserve">LEAMY, H. J., and G. H. GILMER, 1974, J. Cryst. Growth </w:t>
      </w:r>
      <w:r w:rsidRPr="002A32D0">
        <w:rPr>
          <w:b/>
          <w:bCs/>
          <w:spacing w:val="-3"/>
        </w:rPr>
        <w:t>24/25</w:t>
      </w:r>
      <w:r w:rsidRPr="002A32D0">
        <w:rPr>
          <w:spacing w:val="-3"/>
        </w:rPr>
        <w:t>, 499.</w:t>
      </w:r>
    </w:p>
    <w:p w14:paraId="71777011"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0E131D36"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LEAMY, H. J., and K. A. JACKSON, 1971, J. Appl. Phys.</w:t>
      </w:r>
      <w:r w:rsidRPr="002A32D0">
        <w:rPr>
          <w:b/>
          <w:bCs/>
          <w:spacing w:val="-3"/>
        </w:rPr>
        <w:t xml:space="preserve"> 42</w:t>
      </w:r>
      <w:r w:rsidRPr="002A32D0">
        <w:rPr>
          <w:spacing w:val="-3"/>
        </w:rPr>
        <w:t>, 2121.</w:t>
      </w:r>
    </w:p>
    <w:p w14:paraId="05F0470A"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1DD5C073"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Leatham, A.G., Lawley, A., 1993, Inter J. Powder Metall, 29, 4, pp. 321-329.</w:t>
      </w:r>
    </w:p>
    <w:p w14:paraId="2C44B061"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622F4058"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LEE, J.T.C. and R.A.BROWN, 1993, Phys.Rev.,</w:t>
      </w:r>
      <w:r w:rsidRPr="002A32D0">
        <w:rPr>
          <w:b/>
          <w:bCs/>
          <w:spacing w:val="-3"/>
        </w:rPr>
        <w:t>B 47</w:t>
      </w:r>
      <w:r w:rsidRPr="002A32D0">
        <w:rPr>
          <w:spacing w:val="-3"/>
        </w:rPr>
        <w:t xml:space="preserve">, </w:t>
      </w:r>
    </w:p>
    <w:p w14:paraId="49C45845"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0C7B22EA"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Lee, P.D. and Hunt, J.D., 1995, in proceedings of Modeling of Casting, Welding, and Advanced Solidification Processes VII, London, UK, September, 1995.</w:t>
      </w:r>
    </w:p>
    <w:p w14:paraId="6AF7284C"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26D1DBC7"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Lee, P.D., Chirazi, A., Atwood, R.C., and Wang, W., 2004, Materials Science and Engineering, A365, 57-65.</w:t>
      </w:r>
    </w:p>
    <w:p w14:paraId="5BE937FC"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1D159E75"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Lee, P.D. and Wang, J., 2010, in: ASM Handbook, Vol 22B, D.U. Furrer and S.L. Semiatin editors, p. 254.</w:t>
      </w:r>
    </w:p>
    <w:p w14:paraId="616CB529"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226ECAC0"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Lee, S.Y., Chung, S.I., and Hong, C.P.: in ‘Modeling of casting, welding and advanced solidification processes IX’, (ed. P. R. Sahm et al.), 648–655; 2000, Aachen, Shaker Verlag.</w:t>
      </w:r>
    </w:p>
    <w:p w14:paraId="0F64EDF6"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2E09B169"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Lee, Y.W., Chang, E., and Chieu, C.F. (1990), Met Trans. 21B:715.</w:t>
      </w:r>
    </w:p>
    <w:p w14:paraId="44E7E814"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0FBF266E"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Lesoult, G. and Sella, S., 1988, Solid State Phenom., 3–4, 167–178.</w:t>
      </w:r>
    </w:p>
    <w:p w14:paraId="3331F14D"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1E02D850"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 xml:space="preserve">LEVI, C.G. and R.MEHRABIAN, 1982, Metall.Trans. </w:t>
      </w:r>
      <w:r w:rsidRPr="002A32D0">
        <w:rPr>
          <w:b/>
          <w:bCs/>
          <w:spacing w:val="-3"/>
        </w:rPr>
        <w:t>13A</w:t>
      </w:r>
      <w:r w:rsidRPr="002A32D0">
        <w:rPr>
          <w:spacing w:val="-3"/>
        </w:rPr>
        <w:t>, 221.</w:t>
      </w:r>
    </w:p>
    <w:p w14:paraId="6E313785"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712BEDF0"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Lewis, D.J., Boettinger W.J., Warren J.A., (2003),  Three dimensional phase field modeling of binary eutectics, in Modeling of casting, welding and advanced solidification processes-X edited by  Stefanescu DM; Warren JA; Jolly MR; et al. 5-12.</w:t>
      </w:r>
    </w:p>
    <w:p w14:paraId="2E3DE2D0"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17332459" w14:textId="77777777" w:rsidR="00F7556C" w:rsidRPr="002A32D0" w:rsidRDefault="00F7556C" w:rsidP="00F7556C">
      <w:pPr>
        <w:tabs>
          <w:tab w:val="left" w:pos="-1172"/>
          <w:tab w:val="left" w:pos="-720"/>
          <w:tab w:val="left" w:pos="0"/>
          <w:tab w:val="left" w:pos="737"/>
          <w:tab w:val="left" w:pos="2160"/>
        </w:tabs>
        <w:suppressAutoHyphens/>
        <w:rPr>
          <w:spacing w:val="-3"/>
        </w:rPr>
      </w:pPr>
      <w:r w:rsidRPr="002A32D0">
        <w:rPr>
          <w:spacing w:val="-3"/>
        </w:rPr>
        <w:t>Lewis, R.W. and Ransing, R.S., 1998, “A correlation to describe interfacial heat transfer during solidification simulation and its use in the optimal design of castings”, Metall. Mater. Trans. B, 29, 2, pp.437-448.</w:t>
      </w:r>
    </w:p>
    <w:p w14:paraId="20063B8E" w14:textId="77777777" w:rsidR="00F7556C" w:rsidRPr="002A32D0" w:rsidRDefault="00F7556C" w:rsidP="00F7556C">
      <w:pPr>
        <w:tabs>
          <w:tab w:val="left" w:pos="-1172"/>
          <w:tab w:val="left" w:pos="-720"/>
          <w:tab w:val="left" w:pos="0"/>
          <w:tab w:val="left" w:pos="737"/>
          <w:tab w:val="left" w:pos="2160"/>
        </w:tabs>
        <w:suppressAutoHyphens/>
        <w:rPr>
          <w:spacing w:val="-3"/>
        </w:rPr>
      </w:pPr>
    </w:p>
    <w:p w14:paraId="2A278C88" w14:textId="77777777" w:rsidR="00F7556C" w:rsidRPr="002A32D0" w:rsidRDefault="00F7556C" w:rsidP="00F7556C">
      <w:pPr>
        <w:tabs>
          <w:tab w:val="left" w:pos="-1172"/>
          <w:tab w:val="left" w:pos="-720"/>
          <w:tab w:val="left" w:pos="0"/>
          <w:tab w:val="left" w:pos="737"/>
          <w:tab w:val="left" w:pos="2160"/>
        </w:tabs>
        <w:suppressAutoHyphens/>
        <w:rPr>
          <w:spacing w:val="-3"/>
        </w:rPr>
      </w:pPr>
      <w:r w:rsidRPr="002A32D0">
        <w:rPr>
          <w:spacing w:val="-3"/>
        </w:rPr>
        <w:t>Lewis, R.W. and Ransing, R.S., 2000, “The optimal design of interfacial heat transfer coefficients via a thermal stress model”, Finite Elements in Analysis and Design, 24, pp.193-209.</w:t>
      </w:r>
    </w:p>
    <w:p w14:paraId="4A46FDFE" w14:textId="77777777" w:rsidR="00F7556C" w:rsidRPr="002A32D0" w:rsidRDefault="00F7556C" w:rsidP="00F7556C">
      <w:pPr>
        <w:tabs>
          <w:tab w:val="left" w:pos="-1172"/>
          <w:tab w:val="left" w:pos="-720"/>
          <w:tab w:val="left" w:pos="0"/>
          <w:tab w:val="left" w:pos="737"/>
          <w:tab w:val="left" w:pos="2160"/>
        </w:tabs>
        <w:suppressAutoHyphens/>
        <w:rPr>
          <w:spacing w:val="-3"/>
        </w:rPr>
      </w:pPr>
    </w:p>
    <w:p w14:paraId="208AE925"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 xml:space="preserve">Limmaneevichitr C, Kou S (2000), Visualization of Marangoni convection in simulated weld pools containing a surface-active agent ,WELDING JOURNAL   </w:t>
      </w:r>
      <w:r w:rsidRPr="002A32D0">
        <w:rPr>
          <w:b/>
          <w:bCs/>
          <w:spacing w:val="-3"/>
        </w:rPr>
        <w:t>79</w:t>
      </w:r>
      <w:r w:rsidRPr="002A32D0">
        <w:rPr>
          <w:spacing w:val="-3"/>
        </w:rPr>
        <w:t xml:space="preserve">    </w:t>
      </w:r>
      <w:r w:rsidRPr="002A32D0">
        <w:rPr>
          <w:bCs/>
          <w:spacing w:val="-3"/>
        </w:rPr>
        <w:t>324S - 330S.</w:t>
      </w:r>
      <w:r w:rsidRPr="002A32D0">
        <w:rPr>
          <w:b/>
          <w:spacing w:val="-3"/>
        </w:rPr>
        <w:t xml:space="preserve"> </w:t>
      </w:r>
      <w:r w:rsidRPr="002A32D0">
        <w:rPr>
          <w:spacing w:val="-3"/>
        </w:rPr>
        <w:t xml:space="preserve">  </w:t>
      </w:r>
    </w:p>
    <w:p w14:paraId="145D1EC8"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5372AADC"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lang w:val="de-DE"/>
        </w:rPr>
      </w:pPr>
      <w:r w:rsidRPr="002A32D0">
        <w:rPr>
          <w:spacing w:val="-3"/>
          <w:lang w:val="de-DE"/>
        </w:rPr>
        <w:lastRenderedPageBreak/>
        <w:t xml:space="preserve">LIPTON, J., A.GARCIA and W. HEINEMANN, 1982, Archiv.für des Einsenhüttenwessen </w:t>
      </w:r>
      <w:r w:rsidRPr="002A32D0">
        <w:rPr>
          <w:b/>
          <w:bCs/>
          <w:spacing w:val="-3"/>
          <w:lang w:val="de-DE"/>
        </w:rPr>
        <w:t>53</w:t>
      </w:r>
      <w:r w:rsidRPr="002A32D0">
        <w:rPr>
          <w:spacing w:val="-3"/>
          <w:lang w:val="de-DE"/>
        </w:rPr>
        <w:t>, 489.</w:t>
      </w:r>
    </w:p>
    <w:p w14:paraId="71118958"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lang w:val="de-DE"/>
        </w:rPr>
      </w:pPr>
    </w:p>
    <w:p w14:paraId="48CEE37D"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lang w:val="de-DE"/>
        </w:rPr>
      </w:pPr>
      <w:r w:rsidRPr="002A32D0">
        <w:rPr>
          <w:spacing w:val="-3"/>
          <w:lang w:val="de-DE"/>
        </w:rPr>
        <w:t xml:space="preserve">LIPTON, J., M. E. GLICKSMAN, and W. KURZ, W., 1984, Mat. Sci. and Eng. </w:t>
      </w:r>
      <w:r w:rsidRPr="002A32D0">
        <w:rPr>
          <w:b/>
          <w:bCs/>
          <w:spacing w:val="-3"/>
          <w:lang w:val="de-DE"/>
        </w:rPr>
        <w:t>65</w:t>
      </w:r>
      <w:r w:rsidRPr="002A32D0">
        <w:rPr>
          <w:spacing w:val="-3"/>
          <w:lang w:val="de-DE"/>
        </w:rPr>
        <w:t>, 57.</w:t>
      </w:r>
    </w:p>
    <w:p w14:paraId="43FA0941"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lang w:val="de-DE"/>
        </w:rPr>
      </w:pPr>
    </w:p>
    <w:p w14:paraId="6A41CA18"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lang w:val="de-DE"/>
        </w:rPr>
        <w:t>LIPTON, J., W. KURZ and R. TRIVEDI, 1987, Acta Metall.</w:t>
      </w:r>
      <w:r w:rsidRPr="002A32D0">
        <w:rPr>
          <w:b/>
          <w:bCs/>
          <w:spacing w:val="-3"/>
          <w:lang w:val="de-DE"/>
        </w:rPr>
        <w:t xml:space="preserve"> </w:t>
      </w:r>
      <w:r w:rsidRPr="002A32D0">
        <w:rPr>
          <w:b/>
          <w:bCs/>
          <w:spacing w:val="-3"/>
        </w:rPr>
        <w:t>35</w:t>
      </w:r>
      <w:r w:rsidRPr="002A32D0">
        <w:rPr>
          <w:spacing w:val="-3"/>
        </w:rPr>
        <w:t>, 957.</w:t>
      </w:r>
    </w:p>
    <w:p w14:paraId="5C5E90C2"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32E45CE9"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Liu, S., Lu, S., and Hellawell, A., 2002, J. Crystal Growth, 234, pp. 740-750.</w:t>
      </w:r>
    </w:p>
    <w:p w14:paraId="4130F963"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0EDC1958"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lang w:val="fr-FR"/>
        </w:rPr>
      </w:pPr>
      <w:r w:rsidRPr="002A32D0">
        <w:rPr>
          <w:spacing w:val="-3"/>
        </w:rPr>
        <w:t xml:space="preserve">LIVINGSTON, J. and H. CLINE, 1969, Trans. </w:t>
      </w:r>
      <w:r w:rsidRPr="002A32D0">
        <w:rPr>
          <w:spacing w:val="-3"/>
          <w:lang w:val="fr-FR"/>
        </w:rPr>
        <w:t xml:space="preserve">Met. Soc. AIME </w:t>
      </w:r>
      <w:r w:rsidRPr="002A32D0">
        <w:rPr>
          <w:b/>
          <w:bCs/>
          <w:spacing w:val="-3"/>
          <w:lang w:val="fr-FR"/>
        </w:rPr>
        <w:t>245</w:t>
      </w:r>
      <w:r w:rsidRPr="002A32D0">
        <w:rPr>
          <w:spacing w:val="-3"/>
          <w:lang w:val="fr-FR"/>
        </w:rPr>
        <w:t xml:space="preserve"> 351.</w:t>
      </w:r>
    </w:p>
    <w:p w14:paraId="2CC4F84C"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lang w:val="fr-FR"/>
        </w:rPr>
      </w:pPr>
    </w:p>
    <w:p w14:paraId="1B763F59" w14:textId="77777777" w:rsidR="00F7556C" w:rsidRPr="002A32D0" w:rsidRDefault="00F7556C" w:rsidP="00F7556C">
      <w:pPr>
        <w:suppressAutoHyphens/>
        <w:jc w:val="both"/>
        <w:rPr>
          <w:spacing w:val="-3"/>
        </w:rPr>
      </w:pPr>
      <w:r w:rsidRPr="002A32D0">
        <w:rPr>
          <w:spacing w:val="-3"/>
          <w:lang w:val="fr-FR"/>
        </w:rPr>
        <w:t xml:space="preserve">Lo T.S., Dobler S., Plapp M., et al. </w:t>
      </w:r>
      <w:r w:rsidRPr="002A32D0">
        <w:rPr>
          <w:spacing w:val="-3"/>
        </w:rPr>
        <w:t xml:space="preserve">(2003), Two-phase microstructure selection in peritectic solidification: from island banding to coupled growth, Acta Materialia  </w:t>
      </w:r>
      <w:r w:rsidRPr="002A32D0">
        <w:rPr>
          <w:b/>
          <w:spacing w:val="-3"/>
        </w:rPr>
        <w:t>51,</w:t>
      </w:r>
      <w:r w:rsidRPr="002A32D0">
        <w:rPr>
          <w:spacing w:val="-3"/>
        </w:rPr>
        <w:t xml:space="preserve"> 599-611.  </w:t>
      </w:r>
    </w:p>
    <w:p w14:paraId="2268F49A" w14:textId="77777777" w:rsidR="00F7556C" w:rsidRPr="002A32D0" w:rsidRDefault="00F7556C" w:rsidP="00F7556C">
      <w:pPr>
        <w:suppressAutoHyphens/>
        <w:jc w:val="both"/>
        <w:rPr>
          <w:spacing w:val="-3"/>
        </w:rPr>
      </w:pPr>
    </w:p>
    <w:p w14:paraId="2F7C856C"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Losert W., Shi B. Q. and Cummins H. Z. (1998a). Proc. Natl. Acad. Sci. USA 95, 431–438.</w:t>
      </w:r>
    </w:p>
    <w:p w14:paraId="57175307"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34D928BB"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Losert W., Shi B. Q. and Cummins H. Z. (1998b). Proc. Natl. Acad. Sci. USA 95, 439–442.</w:t>
      </w:r>
    </w:p>
    <w:p w14:paraId="09FC6B13"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33A462EA"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 xml:space="preserve">LU, S.Z. and A.HELLAWELL, 1987, Metall.Trans., </w:t>
      </w:r>
      <w:r w:rsidRPr="002A32D0">
        <w:rPr>
          <w:b/>
          <w:bCs/>
          <w:spacing w:val="-3"/>
        </w:rPr>
        <w:t>18A</w:t>
      </w:r>
      <w:r w:rsidRPr="002A32D0">
        <w:rPr>
          <w:spacing w:val="-3"/>
        </w:rPr>
        <w:t>, 1721</w:t>
      </w:r>
    </w:p>
    <w:p w14:paraId="44736886"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1A7DBB64" w14:textId="77777777" w:rsidR="00F7556C" w:rsidRPr="002A32D0" w:rsidRDefault="00F7556C" w:rsidP="00F7556C">
      <w:pPr>
        <w:tabs>
          <w:tab w:val="left" w:pos="-1172"/>
          <w:tab w:val="left" w:pos="-720"/>
          <w:tab w:val="left" w:pos="0"/>
          <w:tab w:val="left" w:pos="714"/>
          <w:tab w:val="left" w:pos="2160"/>
        </w:tabs>
        <w:suppressAutoHyphens/>
        <w:ind w:left="714" w:hanging="714"/>
        <w:jc w:val="both"/>
        <w:rPr>
          <w:spacing w:val="-3"/>
        </w:rPr>
      </w:pPr>
      <w:r w:rsidRPr="002A32D0">
        <w:rPr>
          <w:spacing w:val="-3"/>
        </w:rPr>
        <w:t>LU, S.Z. and A.HELLAWELL, 1988, in: Proc.Solidification Processing 1987.</w:t>
      </w:r>
    </w:p>
    <w:p w14:paraId="648AB595"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3864EF32"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r w:rsidRPr="002A32D0">
        <w:rPr>
          <w:spacing w:val="-3"/>
        </w:rPr>
        <w:t xml:space="preserve">LU, S.Z., J. D. HUNT, P. GILGIEN, and W. KURZ, 1994, Acta Metall. Mater. </w:t>
      </w:r>
      <w:r w:rsidRPr="002A32D0">
        <w:rPr>
          <w:b/>
          <w:bCs/>
          <w:spacing w:val="-3"/>
        </w:rPr>
        <w:t>42</w:t>
      </w:r>
      <w:r w:rsidRPr="002A32D0">
        <w:rPr>
          <w:spacing w:val="-3"/>
        </w:rPr>
        <w:t>, 1653.</w:t>
      </w:r>
    </w:p>
    <w:p w14:paraId="13391161"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p>
    <w:p w14:paraId="0F5C8345"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r w:rsidRPr="002A32D0">
        <w:rPr>
          <w:spacing w:val="-3"/>
        </w:rPr>
        <w:t>Ludwig A and Kurz W, 1996, Direct observation of solidification microstructures around absolute stability, Acta mater. 44, 3643-3654.</w:t>
      </w:r>
    </w:p>
    <w:p w14:paraId="6B24970D"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p>
    <w:p w14:paraId="75C3B545"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 xml:space="preserve">Magnin, P. and Kurz, W., 1985, in: The Physical Metallurgy of Cast Iron, H. Fredriksson and M. Hiller teds., Proceedings of the MRS, North Holland, 34, p. 263. </w:t>
      </w:r>
    </w:p>
    <w:p w14:paraId="700E1977"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67F3DEBE"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 xml:space="preserve">MAGNIN P., and W. KURZ, 1987, Acta Metall.  </w:t>
      </w:r>
      <w:r w:rsidRPr="002A32D0">
        <w:rPr>
          <w:b/>
          <w:bCs/>
          <w:spacing w:val="-3"/>
        </w:rPr>
        <w:t>35</w:t>
      </w:r>
      <w:r w:rsidRPr="002A32D0">
        <w:rPr>
          <w:spacing w:val="-3"/>
        </w:rPr>
        <w:t>, 1119.</w:t>
      </w:r>
    </w:p>
    <w:p w14:paraId="11B50A40"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6956E9F4"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 xml:space="preserve">MAGNIN, P., and R. TRIVEDI, 1991, Acta Metall. Mater. </w:t>
      </w:r>
      <w:r w:rsidRPr="002A32D0">
        <w:rPr>
          <w:b/>
          <w:bCs/>
          <w:spacing w:val="-3"/>
        </w:rPr>
        <w:t>39,</w:t>
      </w:r>
      <w:r w:rsidRPr="002A32D0">
        <w:rPr>
          <w:spacing w:val="-3"/>
        </w:rPr>
        <w:t xml:space="preserve"> 453.</w:t>
      </w:r>
    </w:p>
    <w:p w14:paraId="465A1207"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08726EF6"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r w:rsidRPr="002A32D0">
        <w:rPr>
          <w:spacing w:val="-3"/>
        </w:rPr>
        <w:t xml:space="preserve">MAGNIN, P., J. T. MASON and R. TRIVEDI, 1991, Acta Metall. Mater. </w:t>
      </w:r>
      <w:r w:rsidRPr="002A32D0">
        <w:rPr>
          <w:b/>
          <w:bCs/>
          <w:spacing w:val="-3"/>
        </w:rPr>
        <w:t>39</w:t>
      </w:r>
      <w:r w:rsidRPr="002A32D0">
        <w:rPr>
          <w:spacing w:val="-3"/>
        </w:rPr>
        <w:t>, 469.</w:t>
      </w:r>
    </w:p>
    <w:p w14:paraId="291793BB"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p>
    <w:p w14:paraId="088B47E6" w14:textId="77777777" w:rsidR="00F7556C" w:rsidRPr="002A32D0" w:rsidRDefault="00F7556C" w:rsidP="00F7556C">
      <w:pPr>
        <w:tabs>
          <w:tab w:val="left" w:pos="-1172"/>
          <w:tab w:val="left" w:pos="-720"/>
          <w:tab w:val="left" w:pos="0"/>
          <w:tab w:val="left" w:pos="714"/>
          <w:tab w:val="left" w:pos="2160"/>
        </w:tabs>
        <w:suppressAutoHyphens/>
        <w:jc w:val="both"/>
        <w:rPr>
          <w:spacing w:val="-3"/>
        </w:rPr>
      </w:pPr>
      <w:r w:rsidRPr="002A32D0">
        <w:rPr>
          <w:spacing w:val="-3"/>
        </w:rPr>
        <w:t xml:space="preserve">MAJOR, J.F. and J.W.RUTTER,1989, Mat.Sci. and Tech., </w:t>
      </w:r>
      <w:r w:rsidRPr="002A32D0">
        <w:rPr>
          <w:b/>
          <w:bCs/>
          <w:spacing w:val="-3"/>
        </w:rPr>
        <w:t>5</w:t>
      </w:r>
      <w:r w:rsidRPr="002A32D0">
        <w:rPr>
          <w:spacing w:val="-3"/>
        </w:rPr>
        <w:t>, 645.</w:t>
      </w:r>
    </w:p>
    <w:p w14:paraId="625209A9" w14:textId="77777777" w:rsidR="00F7556C" w:rsidRPr="002A32D0" w:rsidRDefault="00F7556C" w:rsidP="00F7556C">
      <w:pPr>
        <w:tabs>
          <w:tab w:val="left" w:pos="-1172"/>
          <w:tab w:val="left" w:pos="-720"/>
          <w:tab w:val="left" w:pos="0"/>
          <w:tab w:val="left" w:pos="714"/>
          <w:tab w:val="left" w:pos="2160"/>
        </w:tabs>
        <w:suppressAutoHyphens/>
        <w:jc w:val="both"/>
        <w:rPr>
          <w:spacing w:val="-3"/>
        </w:rPr>
      </w:pPr>
    </w:p>
    <w:p w14:paraId="004980B3"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Mampey, F., 2001, in: Proceedings of Cast Iron Division, AFS 105</w:t>
      </w:r>
      <w:r w:rsidRPr="002A32D0">
        <w:rPr>
          <w:spacing w:val="-3"/>
          <w:vertAlign w:val="superscript"/>
        </w:rPr>
        <w:t>th</w:t>
      </w:r>
      <w:r w:rsidRPr="002A32D0">
        <w:rPr>
          <w:spacing w:val="-3"/>
        </w:rPr>
        <w:t xml:space="preserve"> Casting Congress, AFS, Des Plaines, IL, p. 51. </w:t>
      </w:r>
    </w:p>
    <w:p w14:paraId="1EDB0083"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52AF5EE2" w14:textId="77777777" w:rsidR="00F7556C" w:rsidRPr="002A32D0" w:rsidRDefault="00F7556C" w:rsidP="00F7556C">
      <w:pPr>
        <w:rPr>
          <w:spacing w:val="-3"/>
        </w:rPr>
      </w:pPr>
      <w:r w:rsidRPr="003E0F31">
        <w:t>Marasli  N and Hunt JD, Solid-liquid surface energies in the Al-CuAl</w:t>
      </w:r>
      <w:r w:rsidRPr="003E0F31">
        <w:rPr>
          <w:vertAlign w:val="subscript"/>
        </w:rPr>
        <w:t>2</w:t>
      </w:r>
      <w:r w:rsidRPr="003E0F31">
        <w:t>, Al-NiAl</w:t>
      </w:r>
      <w:r w:rsidRPr="003E0F31">
        <w:rPr>
          <w:vertAlign w:val="subscript"/>
        </w:rPr>
        <w:t>3</w:t>
      </w:r>
      <w:r w:rsidRPr="003E0F31">
        <w:t>, and Al-Ti systems,</w:t>
      </w:r>
      <w:r w:rsidRPr="002A32D0">
        <w:rPr>
          <w:spacing w:val="-3"/>
        </w:rPr>
        <w:t>1996, Acta mater. 44, 1085-1096.</w:t>
      </w:r>
    </w:p>
    <w:p w14:paraId="2CD7DC4B"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702AFB11"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lastRenderedPageBreak/>
        <w:t>Martorano MA; Beckermann C; Gandin CA, 2003 A solutal interaction mechanism for the columnar-to-equiaxed transition in alloy solidification Metallurgical And Materials Transactions A- 34  1657-1674.</w:t>
      </w:r>
    </w:p>
    <w:p w14:paraId="3BEEA281"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4CDCF4EC"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Massing G. and Rodgers BA (1960), Ternary dystems, Dover, New York..</w:t>
      </w:r>
    </w:p>
    <w:p w14:paraId="53ACD534"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287C1312"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Mathier V., Vernede S., Jarry P., and Rappaz M., 2009, Two-Phase Modeling of Hot Tearing in Aluminum Alloys: Applications of a Semicoupled Method, Metallurgical &amp; Materials Transactions 40A   943-957.</w:t>
      </w:r>
    </w:p>
    <w:p w14:paraId="3AF45196"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49EABC3C"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Mathiesen R. H., Arnberg L,  Mo F., Weitkamp T., and Snigirev A., (1999) Time resolved x-ray imaging of dendritic growth in binary alloys.  Phys Rev Lett  83, 1562-1565.</w:t>
      </w:r>
    </w:p>
    <w:p w14:paraId="4D443458"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4C98F90C"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Mathiesen R.H., Arnberg L., Bleuet P., and Somogyi A. (2006). Crystal fragmentation and columnar-to-equiaxed transitions in Al-Cu studied by synchrotron x-ray video microscopy. Metall and Matls Trans 37A, 2515-2524.</w:t>
      </w:r>
    </w:p>
    <w:p w14:paraId="23971C79"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772C22FF"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 xml:space="preserve">Mathiesen, R. and Arnberg, L. (2007), J. Metals 59:20-26. </w:t>
      </w:r>
    </w:p>
    <w:p w14:paraId="526CED26"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37D2A039"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 xml:space="preserve">MAXWELL, I. and A.HELLAWELL, 1975, Acta Metall, </w:t>
      </w:r>
      <w:r w:rsidRPr="002A32D0">
        <w:rPr>
          <w:b/>
          <w:bCs/>
          <w:spacing w:val="-3"/>
        </w:rPr>
        <w:t>23</w:t>
      </w:r>
      <w:r w:rsidRPr="002A32D0">
        <w:rPr>
          <w:spacing w:val="-3"/>
        </w:rPr>
        <w:t>, 901.</w:t>
      </w:r>
    </w:p>
    <w:p w14:paraId="2659873F"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53A63BE0"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McDONALD, C.A., A. M. MALVEZZI, F. SPAEPEN, 1989, J. Appl. Phys</w:t>
      </w:r>
      <w:r w:rsidRPr="002A32D0">
        <w:rPr>
          <w:b/>
          <w:bCs/>
          <w:spacing w:val="-3"/>
        </w:rPr>
        <w:t>. 65,</w:t>
      </w:r>
      <w:r w:rsidRPr="002A32D0">
        <w:rPr>
          <w:spacing w:val="-3"/>
        </w:rPr>
        <w:t xml:space="preserve"> 129.</w:t>
      </w:r>
    </w:p>
    <w:p w14:paraId="2B53DEDC"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4B9979A2"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McFadden G. B., Wheeler A. A., Braun R. J., Coriell S. R. and Sekerka R. F. (1993).  Phys. Rev. E48, 2016-?.</w:t>
      </w:r>
    </w:p>
    <w:p w14:paraId="59DC2247"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6D1BE33E"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McFadden G.B., Coriell S.R. and Sekerka R.F.(2000). Acta Mater.  48, 3177-3181.</w:t>
      </w:r>
    </w:p>
    <w:p w14:paraId="61E9BF7A"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5F639232"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 xml:space="preserve">Mehrabian R and Flemings MC (1970), Macrosegregation in ternary alloys, Metallurgical transactions </w:t>
      </w:r>
      <w:r w:rsidRPr="002A32D0">
        <w:rPr>
          <w:spacing w:val="-3"/>
          <w:u w:val="single"/>
        </w:rPr>
        <w:t>1</w:t>
      </w:r>
      <w:r w:rsidRPr="002A32D0">
        <w:rPr>
          <w:spacing w:val="-3"/>
        </w:rPr>
        <w:t xml:space="preserve"> ,455-464.</w:t>
      </w:r>
    </w:p>
    <w:p w14:paraId="09EC7111"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4EBA580A"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 xml:space="preserve">MEHRABIAN, R., N. KEANE and M.C. FLEMINGS, 1970, Metall.Trans. </w:t>
      </w:r>
      <w:r w:rsidRPr="002A32D0">
        <w:rPr>
          <w:b/>
          <w:bCs/>
          <w:spacing w:val="-3"/>
        </w:rPr>
        <w:t>1</w:t>
      </w:r>
      <w:r w:rsidRPr="002A32D0">
        <w:rPr>
          <w:spacing w:val="-3"/>
        </w:rPr>
        <w:t>, 1209.</w:t>
      </w:r>
    </w:p>
    <w:p w14:paraId="5DD060AE"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1E19E661"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MEHRABIAN, R., 1982, Int.Met.Rev.</w:t>
      </w:r>
      <w:r w:rsidRPr="002A32D0">
        <w:rPr>
          <w:b/>
          <w:bCs/>
          <w:spacing w:val="-3"/>
        </w:rPr>
        <w:t>27</w:t>
      </w:r>
      <w:r w:rsidRPr="002A32D0">
        <w:rPr>
          <w:spacing w:val="-3"/>
        </w:rPr>
        <w:t>, 185.</w:t>
      </w:r>
    </w:p>
    <w:p w14:paraId="62A7D1AE"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p>
    <w:p w14:paraId="5B23F420"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Mendelev M. I, Rahman M.  J., Hoyt J.  J. and Asta M. (2010). Modelling Simul. Mater. Sci. Eng. 18, 074002</w:t>
      </w:r>
    </w:p>
    <w:p w14:paraId="0D594964"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35614C08"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 xml:space="preserve">MERCHANT, G. J., and S. H. DAVIS, 1990, Acta Metall. Mater. </w:t>
      </w:r>
      <w:r w:rsidRPr="002A32D0">
        <w:rPr>
          <w:b/>
          <w:bCs/>
          <w:spacing w:val="-3"/>
        </w:rPr>
        <w:t>38</w:t>
      </w:r>
      <w:r w:rsidRPr="002A32D0">
        <w:rPr>
          <w:spacing w:val="-3"/>
        </w:rPr>
        <w:t>, 2638.</w:t>
      </w:r>
    </w:p>
    <w:p w14:paraId="70AEAC6A"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781952B8"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Mikeev L. V. and Chernov A. A. (1991). J. Cryst. Growth 112, 591-?.</w:t>
      </w:r>
    </w:p>
    <w:p w14:paraId="7E87528D"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2876F937" w14:textId="77777777" w:rsidR="00F7556C" w:rsidRPr="002A32D0" w:rsidRDefault="00F7556C" w:rsidP="00F7556C">
      <w:pPr>
        <w:tabs>
          <w:tab w:val="left" w:pos="-1172"/>
          <w:tab w:val="left" w:pos="-720"/>
          <w:tab w:val="left" w:pos="0"/>
          <w:tab w:val="left" w:pos="714"/>
          <w:tab w:val="left" w:pos="2160"/>
        </w:tabs>
        <w:suppressAutoHyphens/>
        <w:jc w:val="both"/>
        <w:rPr>
          <w:spacing w:val="-3"/>
        </w:rPr>
      </w:pPr>
      <w:r w:rsidRPr="002A32D0">
        <w:rPr>
          <w:spacing w:val="-3"/>
        </w:rPr>
        <w:t>MINKOFF,I., 1983, The Physical Metallurgy of Cast Iron (Wiley).</w:t>
      </w:r>
    </w:p>
    <w:p w14:paraId="77436E8C" w14:textId="77777777" w:rsidR="00F7556C" w:rsidRPr="002A32D0" w:rsidRDefault="00F7556C" w:rsidP="00F7556C">
      <w:pPr>
        <w:tabs>
          <w:tab w:val="left" w:pos="-1172"/>
          <w:tab w:val="left" w:pos="-720"/>
          <w:tab w:val="left" w:pos="0"/>
          <w:tab w:val="left" w:pos="714"/>
          <w:tab w:val="left" w:pos="2160"/>
        </w:tabs>
        <w:suppressAutoHyphens/>
        <w:jc w:val="both"/>
        <w:rPr>
          <w:spacing w:val="-3"/>
        </w:rPr>
      </w:pPr>
    </w:p>
    <w:p w14:paraId="70F4DA35" w14:textId="77777777" w:rsidR="00F7556C" w:rsidRPr="002A32D0" w:rsidRDefault="00F7556C" w:rsidP="00F7556C">
      <w:pPr>
        <w:tabs>
          <w:tab w:val="left" w:pos="-1172"/>
          <w:tab w:val="left" w:pos="-720"/>
          <w:tab w:val="left" w:pos="0"/>
          <w:tab w:val="left" w:pos="714"/>
          <w:tab w:val="left" w:pos="2160"/>
        </w:tabs>
        <w:suppressAutoHyphens/>
        <w:ind w:left="714" w:hanging="714"/>
        <w:jc w:val="both"/>
        <w:rPr>
          <w:spacing w:val="-3"/>
        </w:rPr>
      </w:pPr>
      <w:r w:rsidRPr="002A32D0">
        <w:rPr>
          <w:spacing w:val="-3"/>
        </w:rPr>
        <w:t>MINKOFF,I., 1990, in: F.Weinberg Int.Symposium on Solidification Processing, ed.J.E.Lait and L.V.Samarasekera (Pergamon Press) p. 255.</w:t>
      </w:r>
    </w:p>
    <w:p w14:paraId="7C640C13"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p>
    <w:p w14:paraId="2530399A"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Mizukami, H., Suzuki, T., and Umeda, T., 1991, Tetsu to Hagane΄, 77, 10, 1672.</w:t>
      </w:r>
    </w:p>
    <w:p w14:paraId="461E96CC"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1E8BDF63"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Mizukami, H., Suzuki, T., Umeda, T., and Kurz, W. (1993), Mat. Sc. and Eng., A173, 363-366.</w:t>
      </w:r>
    </w:p>
    <w:p w14:paraId="7705932E"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2BEC5116"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r w:rsidRPr="002A32D0">
        <w:rPr>
          <w:spacing w:val="-3"/>
        </w:rPr>
        <w:t xml:space="preserve">MOLLARD F., and M. C. FLEMINGS, 1967, Trans. Met. Soc. AIME </w:t>
      </w:r>
      <w:r w:rsidRPr="002A32D0">
        <w:rPr>
          <w:b/>
          <w:bCs/>
          <w:spacing w:val="-3"/>
        </w:rPr>
        <w:t>239</w:t>
      </w:r>
      <w:r w:rsidRPr="002A32D0">
        <w:rPr>
          <w:spacing w:val="-3"/>
        </w:rPr>
        <w:t>, 1534.</w:t>
      </w:r>
    </w:p>
    <w:p w14:paraId="23EF78C2"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p>
    <w:p w14:paraId="34F8740F"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 xml:space="preserve">MONDOLFO, L., 1965, J. Austr. Inst. Metals </w:t>
      </w:r>
      <w:r w:rsidRPr="002A32D0">
        <w:rPr>
          <w:b/>
          <w:bCs/>
          <w:spacing w:val="-3"/>
        </w:rPr>
        <w:t>10</w:t>
      </w:r>
      <w:r w:rsidRPr="002A32D0">
        <w:rPr>
          <w:spacing w:val="-3"/>
        </w:rPr>
        <w:t>, 169.</w:t>
      </w:r>
    </w:p>
    <w:p w14:paraId="3A892529"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3A637B33"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 xml:space="preserve">Monk J., Yang Y., Mendelev M.I., Asta M., Hoyt J, J. and Sun D.Y. (2010), Modeling &amp; Simulation in Materials Science &amp; Engineering 2010, 18 015004. </w:t>
      </w:r>
    </w:p>
    <w:p w14:paraId="157A1D2F"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08BE5CC2"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r w:rsidRPr="002A32D0">
        <w:rPr>
          <w:spacing w:val="-3"/>
        </w:rPr>
        <w:t>MORALES, A., M.E.GLICKSMAN and H.BILONI, 1979, in: Solidification and Casting of Metals (The Metals Society, London) p. 484.</w:t>
      </w:r>
    </w:p>
    <w:p w14:paraId="09F9394D"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p>
    <w:p w14:paraId="3917E2A4" w14:textId="77777777" w:rsidR="00F7556C" w:rsidRPr="002A32D0" w:rsidRDefault="00F7556C" w:rsidP="00F7556C">
      <w:pPr>
        <w:tabs>
          <w:tab w:val="left" w:pos="-1172"/>
          <w:tab w:val="left" w:pos="-720"/>
          <w:tab w:val="left" w:pos="0"/>
          <w:tab w:val="left" w:pos="714"/>
          <w:tab w:val="left" w:pos="2160"/>
        </w:tabs>
        <w:suppressAutoHyphens/>
        <w:jc w:val="both"/>
        <w:rPr>
          <w:spacing w:val="-3"/>
        </w:rPr>
      </w:pPr>
      <w:r w:rsidRPr="002A32D0">
        <w:rPr>
          <w:spacing w:val="-3"/>
        </w:rPr>
        <w:t xml:space="preserve">MORROG, H., 1968a), J.Iron Steel Inst., </w:t>
      </w:r>
      <w:r w:rsidRPr="002A32D0">
        <w:rPr>
          <w:b/>
          <w:bCs/>
          <w:spacing w:val="-3"/>
        </w:rPr>
        <w:t>206</w:t>
      </w:r>
      <w:r w:rsidRPr="002A32D0">
        <w:rPr>
          <w:spacing w:val="-3"/>
        </w:rPr>
        <w:t>, 1.</w:t>
      </w:r>
    </w:p>
    <w:p w14:paraId="645E72BC"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1664893D" w14:textId="77777777" w:rsidR="001617D0" w:rsidRPr="002A32D0" w:rsidRDefault="001617D0" w:rsidP="00F7556C">
      <w:pPr>
        <w:tabs>
          <w:tab w:val="left" w:pos="-1172"/>
          <w:tab w:val="left" w:pos="-720"/>
          <w:tab w:val="left" w:pos="0"/>
          <w:tab w:val="left" w:pos="714"/>
          <w:tab w:val="left" w:pos="2160"/>
        </w:tabs>
        <w:suppressAutoHyphens/>
        <w:rPr>
          <w:spacing w:val="-3"/>
        </w:rPr>
      </w:pPr>
      <w:r w:rsidRPr="002A32D0">
        <w:rPr>
          <w:spacing w:val="-3"/>
        </w:rPr>
        <w:t>MORROG, H., 1968b), in: The Solidification of Metals (Iron and Steel Institute, London) Publication n</w:t>
      </w:r>
      <w:r w:rsidRPr="002A32D0">
        <w:rPr>
          <w:spacing w:val="-3"/>
        </w:rPr>
        <w:t> 110, p. 238.</w:t>
      </w:r>
    </w:p>
    <w:p w14:paraId="29F1B510" w14:textId="77777777" w:rsidR="001617D0" w:rsidRPr="002A32D0" w:rsidRDefault="001617D0" w:rsidP="00F7556C">
      <w:pPr>
        <w:tabs>
          <w:tab w:val="left" w:pos="-1172"/>
          <w:tab w:val="left" w:pos="-720"/>
          <w:tab w:val="left" w:pos="0"/>
          <w:tab w:val="left" w:pos="714"/>
          <w:tab w:val="left" w:pos="2160"/>
        </w:tabs>
        <w:suppressAutoHyphens/>
        <w:rPr>
          <w:spacing w:val="-3"/>
        </w:rPr>
      </w:pPr>
    </w:p>
    <w:p w14:paraId="38BC00BA"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 xml:space="preserve">MORRIS, L.R. and W.C.WINEGARD, 1969, J.Cryst. Growth </w:t>
      </w:r>
      <w:r w:rsidRPr="002A32D0">
        <w:rPr>
          <w:b/>
          <w:bCs/>
          <w:spacing w:val="-3"/>
        </w:rPr>
        <w:t>5</w:t>
      </w:r>
      <w:r w:rsidRPr="002A32D0">
        <w:rPr>
          <w:spacing w:val="-3"/>
        </w:rPr>
        <w:t>, 361.</w:t>
      </w:r>
    </w:p>
    <w:p w14:paraId="1F74B836"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5BCBC4E2"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MORTENSEN, A., 1991, On the rate of dendrite arm coarsening, Metall. Trans.</w:t>
      </w:r>
      <w:r w:rsidRPr="002A32D0">
        <w:rPr>
          <w:b/>
          <w:bCs/>
          <w:spacing w:val="-3"/>
        </w:rPr>
        <w:t xml:space="preserve"> 22A</w:t>
      </w:r>
      <w:r w:rsidRPr="002A32D0">
        <w:rPr>
          <w:spacing w:val="-3"/>
        </w:rPr>
        <w:t>, 569-574.</w:t>
      </w:r>
    </w:p>
    <w:p w14:paraId="334D0711"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2D14DF68"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r w:rsidRPr="002A32D0">
        <w:rPr>
          <w:spacing w:val="-3"/>
        </w:rPr>
        <w:t>MULLINS, W.W. and R.F.SEKERKA, 1963, J.Appl.Phys.</w:t>
      </w:r>
      <w:r w:rsidRPr="002A32D0">
        <w:rPr>
          <w:b/>
          <w:bCs/>
          <w:spacing w:val="-3"/>
        </w:rPr>
        <w:t>34</w:t>
      </w:r>
      <w:r w:rsidRPr="002A32D0">
        <w:rPr>
          <w:spacing w:val="-3"/>
        </w:rPr>
        <w:t>, 323.</w:t>
      </w:r>
    </w:p>
    <w:p w14:paraId="14CB7685"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p>
    <w:p w14:paraId="5C8E88B5"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 xml:space="preserve">MULLINS, W.W. and R.F.SEKERKA, 1964, J.Appl.Phys., </w:t>
      </w:r>
      <w:r w:rsidRPr="002A32D0">
        <w:rPr>
          <w:b/>
          <w:bCs/>
          <w:spacing w:val="-3"/>
        </w:rPr>
        <w:t>35</w:t>
      </w:r>
      <w:r w:rsidRPr="002A32D0">
        <w:rPr>
          <w:spacing w:val="-3"/>
        </w:rPr>
        <w:t>, 444</w:t>
      </w:r>
    </w:p>
    <w:p w14:paraId="631F7107"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483FFB40"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r w:rsidRPr="002A32D0">
        <w:rPr>
          <w:spacing w:val="-3"/>
        </w:rPr>
        <w:t xml:space="preserve">MURRAY, B.T., S.R.CORIELL and G.B.McFADDEN, 1991, J. Cryst. Growth </w:t>
      </w:r>
      <w:r w:rsidRPr="002A32D0">
        <w:rPr>
          <w:b/>
          <w:bCs/>
          <w:spacing w:val="-3"/>
        </w:rPr>
        <w:t>110</w:t>
      </w:r>
      <w:r w:rsidRPr="002A32D0">
        <w:rPr>
          <w:spacing w:val="-3"/>
        </w:rPr>
        <w:t>, 713.</w:t>
      </w:r>
    </w:p>
    <w:p w14:paraId="59969AB1"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p>
    <w:p w14:paraId="01B96D58"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 xml:space="preserve">MURRAY, J.L., 1983a, Mat.Res.Soc.Symp.Proc., </w:t>
      </w:r>
      <w:r w:rsidRPr="002A32D0">
        <w:rPr>
          <w:b/>
          <w:bCs/>
          <w:spacing w:val="-3"/>
        </w:rPr>
        <w:t>19</w:t>
      </w:r>
      <w:r w:rsidRPr="002A32D0">
        <w:rPr>
          <w:spacing w:val="-3"/>
        </w:rPr>
        <w:t>, 249.</w:t>
      </w:r>
    </w:p>
    <w:p w14:paraId="41A471CE"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5CAEC573"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 xml:space="preserve">MURRAY, J.L., 1983b, Bull.Alloy Phase Diagrams, </w:t>
      </w:r>
      <w:r w:rsidRPr="002A32D0">
        <w:rPr>
          <w:b/>
          <w:bCs/>
          <w:spacing w:val="-3"/>
        </w:rPr>
        <w:t>4</w:t>
      </w:r>
      <w:r w:rsidRPr="002A32D0">
        <w:rPr>
          <w:spacing w:val="-3"/>
        </w:rPr>
        <w:t>, 271.</w:t>
      </w:r>
    </w:p>
    <w:p w14:paraId="37D9C6E9"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38B0B555"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Nakama K, HarunaY, Nakano J and Sridhar S, 2009, The effect of alloy solidification path on sulfide formation in Fe–Cr–Ni alloys, ISIJ International, 49 355–364.</w:t>
      </w:r>
    </w:p>
    <w:p w14:paraId="6E294BCD"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414DF414"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 xml:space="preserve">NANDAPURKAR, P. and D.A. POIRIER, 1988, J.Cryst. Growth, </w:t>
      </w:r>
      <w:r w:rsidRPr="002A32D0">
        <w:rPr>
          <w:b/>
          <w:bCs/>
          <w:spacing w:val="-3"/>
        </w:rPr>
        <w:t>92</w:t>
      </w:r>
      <w:r w:rsidRPr="002A32D0">
        <w:rPr>
          <w:spacing w:val="-3"/>
        </w:rPr>
        <w:t xml:space="preserve">, 88. </w:t>
      </w:r>
    </w:p>
    <w:p w14:paraId="66997FCD"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29C8C1D4"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 xml:space="preserve">NARAYAN, J.J., 1982, J.Cryst. Growth, </w:t>
      </w:r>
      <w:r w:rsidRPr="002A32D0">
        <w:rPr>
          <w:b/>
          <w:bCs/>
          <w:spacing w:val="-3"/>
        </w:rPr>
        <w:t>59</w:t>
      </w:r>
      <w:r w:rsidRPr="002A32D0">
        <w:rPr>
          <w:spacing w:val="-3"/>
        </w:rPr>
        <w:t>, 583.</w:t>
      </w:r>
    </w:p>
    <w:p w14:paraId="15C09A24"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18E60C6E" w14:textId="77777777" w:rsidR="00F7556C" w:rsidRPr="002A32D0" w:rsidRDefault="00F7556C" w:rsidP="00F7556C">
      <w:pPr>
        <w:tabs>
          <w:tab w:val="left" w:pos="-1172"/>
          <w:tab w:val="left" w:pos="-720"/>
          <w:tab w:val="left" w:pos="0"/>
          <w:tab w:val="left" w:pos="714"/>
          <w:tab w:val="left" w:pos="2160"/>
        </w:tabs>
        <w:suppressAutoHyphens/>
        <w:rPr>
          <w:bCs/>
          <w:spacing w:val="-3"/>
        </w:rPr>
      </w:pPr>
      <w:r w:rsidRPr="002A32D0">
        <w:rPr>
          <w:bCs/>
          <w:spacing w:val="-3"/>
        </w:rPr>
        <w:t xml:space="preserve">Nestler B, Wheeler AA, Ratke L, et al.. (2000), Phase-field model for solidification of a monotectic alloy with convection, PHYSICA D </w:t>
      </w:r>
      <w:r w:rsidRPr="002A32D0">
        <w:rPr>
          <w:b/>
          <w:bCs/>
          <w:spacing w:val="-3"/>
        </w:rPr>
        <w:t>141</w:t>
      </w:r>
      <w:r w:rsidRPr="002A32D0">
        <w:rPr>
          <w:bCs/>
          <w:spacing w:val="-3"/>
        </w:rPr>
        <w:t xml:space="preserve">   133-154.</w:t>
      </w:r>
    </w:p>
    <w:p w14:paraId="4C779806" w14:textId="77777777" w:rsidR="00F7556C" w:rsidRPr="002A32D0" w:rsidRDefault="00F7556C" w:rsidP="00F7556C">
      <w:pPr>
        <w:tabs>
          <w:tab w:val="left" w:pos="-1172"/>
          <w:tab w:val="left" w:pos="-720"/>
          <w:tab w:val="left" w:pos="0"/>
          <w:tab w:val="left" w:pos="714"/>
          <w:tab w:val="left" w:pos="2160"/>
        </w:tabs>
        <w:suppressAutoHyphens/>
        <w:rPr>
          <w:bCs/>
          <w:spacing w:val="-3"/>
        </w:rPr>
      </w:pPr>
    </w:p>
    <w:p w14:paraId="231003A2" w14:textId="77777777" w:rsidR="00F7556C" w:rsidRPr="002A32D0" w:rsidRDefault="00F7556C" w:rsidP="00F7556C">
      <w:pPr>
        <w:suppressAutoHyphens/>
        <w:jc w:val="both"/>
        <w:rPr>
          <w:spacing w:val="-3"/>
        </w:rPr>
      </w:pPr>
      <w:r w:rsidRPr="002A32D0">
        <w:rPr>
          <w:spacing w:val="-3"/>
        </w:rPr>
        <w:lastRenderedPageBreak/>
        <w:t xml:space="preserve">Nestler B; Wheeler AA 2000, A multi-phase-field model of eutectic and peritectic alloys: numerical simulation of growth structures, PHYSICA D  </w:t>
      </w:r>
      <w:r w:rsidRPr="002A32D0">
        <w:rPr>
          <w:b/>
          <w:spacing w:val="-3"/>
        </w:rPr>
        <w:t>138</w:t>
      </w:r>
      <w:r w:rsidRPr="002A32D0">
        <w:rPr>
          <w:spacing w:val="-3"/>
        </w:rPr>
        <w:t xml:space="preserve">   114-133.  </w:t>
      </w:r>
    </w:p>
    <w:p w14:paraId="38683572" w14:textId="77777777" w:rsidR="00F7556C" w:rsidRPr="002A32D0" w:rsidRDefault="00F7556C" w:rsidP="00F7556C">
      <w:pPr>
        <w:suppressAutoHyphens/>
        <w:jc w:val="both"/>
        <w:rPr>
          <w:spacing w:val="-3"/>
        </w:rPr>
      </w:pPr>
    </w:p>
    <w:p w14:paraId="10D716DB" w14:textId="77777777" w:rsidR="00F7556C" w:rsidRPr="002A32D0" w:rsidRDefault="00F7556C" w:rsidP="00F7556C">
      <w:pPr>
        <w:suppressAutoHyphens/>
        <w:jc w:val="both"/>
        <w:rPr>
          <w:spacing w:val="-3"/>
        </w:rPr>
      </w:pPr>
      <w:r w:rsidRPr="002A32D0">
        <w:rPr>
          <w:spacing w:val="-3"/>
        </w:rPr>
        <w:t xml:space="preserve">Nestler B; Wheeler AA; Ratke L; Stoecker C (2000), Phase-field model for solidification of a monotectic alloy with convection PHYSICA D  </w:t>
      </w:r>
      <w:r w:rsidRPr="002A32D0">
        <w:rPr>
          <w:b/>
          <w:spacing w:val="-3"/>
        </w:rPr>
        <w:t>141</w:t>
      </w:r>
      <w:r w:rsidRPr="002A32D0">
        <w:rPr>
          <w:spacing w:val="-3"/>
        </w:rPr>
        <w:t xml:space="preserve">   133-154.</w:t>
      </w:r>
    </w:p>
    <w:p w14:paraId="26948B21" w14:textId="77777777" w:rsidR="00F7556C" w:rsidRPr="002A32D0" w:rsidRDefault="00F7556C" w:rsidP="00F7556C">
      <w:pPr>
        <w:suppressAutoHyphens/>
        <w:jc w:val="both"/>
        <w:rPr>
          <w:spacing w:val="-3"/>
        </w:rPr>
      </w:pPr>
    </w:p>
    <w:p w14:paraId="2BAA33FA" w14:textId="77777777" w:rsidR="00F7556C" w:rsidRPr="002A32D0" w:rsidRDefault="00F7556C" w:rsidP="00F7556C">
      <w:pPr>
        <w:suppressAutoHyphens/>
        <w:jc w:val="both"/>
        <w:rPr>
          <w:spacing w:val="-3"/>
        </w:rPr>
      </w:pPr>
      <w:r w:rsidRPr="002A32D0">
        <w:rPr>
          <w:spacing w:val="-3"/>
        </w:rPr>
        <w:t>Ni J and Beckermann C, 1991,   A volume-averaged 2-phase model for transport phenomena during solidification, Metall Trans B22 349-361.</w:t>
      </w:r>
    </w:p>
    <w:p w14:paraId="3B98C022" w14:textId="77777777" w:rsidR="00F7556C" w:rsidRPr="002A32D0" w:rsidRDefault="00F7556C" w:rsidP="00F7556C">
      <w:pPr>
        <w:suppressAutoHyphens/>
        <w:jc w:val="both"/>
        <w:rPr>
          <w:spacing w:val="-3"/>
        </w:rPr>
      </w:pPr>
    </w:p>
    <w:p w14:paraId="6E0FA8AC"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Nielsen, O., Appolaire, B.,  Combeau, H., and Mo, A., 2001, Metall Mater Trans, 32A, p. 2049.</w:t>
      </w:r>
    </w:p>
    <w:p w14:paraId="69C6C3E5"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09561A50" w14:textId="77777777" w:rsidR="00F7556C" w:rsidRPr="002A32D0" w:rsidRDefault="00F7556C" w:rsidP="00F7556C">
      <w:pPr>
        <w:tabs>
          <w:tab w:val="left" w:pos="-1172"/>
          <w:tab w:val="left" w:pos="-720"/>
          <w:tab w:val="left" w:pos="0"/>
          <w:tab w:val="left" w:pos="714"/>
          <w:tab w:val="left" w:pos="2160"/>
        </w:tabs>
        <w:suppressAutoHyphens/>
        <w:rPr>
          <w:spacing w:val="-3"/>
          <w:lang w:val="sv-SE"/>
        </w:rPr>
      </w:pPr>
      <w:r w:rsidRPr="002A32D0">
        <w:rPr>
          <w:spacing w:val="-3"/>
          <w:lang w:val="sv-SE"/>
        </w:rPr>
        <w:t xml:space="preserve">Niyama, E and Anzai K (1992), An analysis of unidireactional solidification of pure metals cooled through an interface resistence, Met. Trans </w:t>
      </w:r>
      <w:r w:rsidRPr="002A32D0">
        <w:rPr>
          <w:b/>
          <w:spacing w:val="-3"/>
          <w:lang w:val="sv-SE"/>
        </w:rPr>
        <w:t>B23</w:t>
      </w:r>
      <w:r w:rsidRPr="002A32D0">
        <w:rPr>
          <w:spacing w:val="-3"/>
          <w:lang w:val="sv-SE"/>
        </w:rPr>
        <w:t>, 881-882.</w:t>
      </w:r>
    </w:p>
    <w:p w14:paraId="473C14AD" w14:textId="77777777" w:rsidR="00F7556C" w:rsidRPr="002A32D0" w:rsidRDefault="00F7556C" w:rsidP="00F7556C">
      <w:pPr>
        <w:tabs>
          <w:tab w:val="left" w:pos="-1172"/>
          <w:tab w:val="left" w:pos="-720"/>
          <w:tab w:val="left" w:pos="0"/>
          <w:tab w:val="left" w:pos="714"/>
          <w:tab w:val="left" w:pos="2160"/>
        </w:tabs>
        <w:suppressAutoHyphens/>
        <w:rPr>
          <w:spacing w:val="-3"/>
          <w:lang w:val="sv-SE"/>
        </w:rPr>
      </w:pPr>
    </w:p>
    <w:p w14:paraId="66F211BA"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Niyama, E., Uchida, T., Morikawa, M., and Saito, S. (1982) – AFS Cast Metals Research J. 7:52.</w:t>
      </w:r>
    </w:p>
    <w:p w14:paraId="6F9F0773"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42EDC2C9"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O’Rourke, P.J., Haworth, D.C., and Ranganathan, R., (1997), ASM Handbook (ASM, Materials Park, OH), 20.</w:t>
      </w:r>
    </w:p>
    <w:p w14:paraId="3656642C"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2B4DCCF1" w14:textId="77777777" w:rsidR="00F7556C" w:rsidRPr="002A32D0" w:rsidRDefault="00F7556C" w:rsidP="00F7556C">
      <w:pPr>
        <w:tabs>
          <w:tab w:val="left" w:pos="-1172"/>
          <w:tab w:val="left" w:pos="-720"/>
          <w:tab w:val="left" w:pos="0"/>
          <w:tab w:val="left" w:pos="714"/>
          <w:tab w:val="left" w:pos="2160"/>
        </w:tabs>
        <w:suppressAutoHyphens/>
        <w:rPr>
          <w:spacing w:val="-3"/>
          <w:lang w:val="sv-SE"/>
        </w:rPr>
      </w:pPr>
      <w:r w:rsidRPr="002A32D0">
        <w:rPr>
          <w:spacing w:val="-3"/>
          <w:lang w:val="sv-SE"/>
        </w:rPr>
        <w:t xml:space="preserve">OHNAKA, I., 1986, Trans. ISIJ </w:t>
      </w:r>
      <w:r w:rsidRPr="002A32D0">
        <w:rPr>
          <w:b/>
          <w:bCs/>
          <w:spacing w:val="-3"/>
          <w:lang w:val="sv-SE"/>
        </w:rPr>
        <w:t>26</w:t>
      </w:r>
      <w:r w:rsidRPr="002A32D0">
        <w:rPr>
          <w:spacing w:val="-3"/>
          <w:lang w:val="sv-SE"/>
        </w:rPr>
        <w:t>, 1045.</w:t>
      </w:r>
    </w:p>
    <w:p w14:paraId="62BC1509" w14:textId="77777777" w:rsidR="00F7556C" w:rsidRPr="002A32D0" w:rsidRDefault="00F7556C" w:rsidP="00F7556C">
      <w:pPr>
        <w:tabs>
          <w:tab w:val="left" w:pos="-1172"/>
          <w:tab w:val="left" w:pos="-720"/>
          <w:tab w:val="left" w:pos="0"/>
          <w:tab w:val="left" w:pos="714"/>
          <w:tab w:val="left" w:pos="2160"/>
        </w:tabs>
        <w:suppressAutoHyphens/>
        <w:rPr>
          <w:spacing w:val="-3"/>
          <w:lang w:val="sv-SE"/>
        </w:rPr>
      </w:pPr>
    </w:p>
    <w:p w14:paraId="647FF227"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r w:rsidRPr="002A32D0">
        <w:rPr>
          <w:spacing w:val="-3"/>
        </w:rPr>
        <w:t>OHNAKA, I., 1991, in: Freezing and Melting Heat Transfer in  Engineering, eds.K.C.Ching and H.Seki, Chapter 21:  Solidification Analysis of Casting (Hemispher Pub.).</w:t>
      </w:r>
    </w:p>
    <w:p w14:paraId="1B79B3FD"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p>
    <w:p w14:paraId="26FAA104"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 xml:space="preserve">OKAMOTO, T. K., and K. KISHITAKE, 1975, J. Cryst. Growth </w:t>
      </w:r>
      <w:r w:rsidRPr="002A32D0">
        <w:rPr>
          <w:b/>
          <w:bCs/>
          <w:spacing w:val="-3"/>
        </w:rPr>
        <w:t>29</w:t>
      </w:r>
      <w:r w:rsidRPr="002A32D0">
        <w:rPr>
          <w:spacing w:val="-3"/>
        </w:rPr>
        <w:t>, 137.</w:t>
      </w:r>
    </w:p>
    <w:p w14:paraId="77FFE174"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2E791887"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r w:rsidRPr="002A32D0">
        <w:rPr>
          <w:spacing w:val="-3"/>
        </w:rPr>
        <w:t>OKAMOTO, T. K., K. KISHITAKE, and I. BESSHO, 1975, J. Cryst. Growth</w:t>
      </w:r>
      <w:r w:rsidRPr="002A32D0">
        <w:rPr>
          <w:b/>
          <w:bCs/>
          <w:spacing w:val="-3"/>
        </w:rPr>
        <w:t xml:space="preserve"> 29</w:t>
      </w:r>
      <w:r w:rsidRPr="002A32D0">
        <w:rPr>
          <w:spacing w:val="-3"/>
        </w:rPr>
        <w:t>, 131.</w:t>
      </w:r>
    </w:p>
    <w:p w14:paraId="76AEB068"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p>
    <w:p w14:paraId="26B27CEB"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 xml:space="preserve">OLDFIELD, W., 1973, Mat. Sci. and Eng. </w:t>
      </w:r>
      <w:r w:rsidRPr="002A32D0">
        <w:rPr>
          <w:b/>
          <w:bCs/>
          <w:spacing w:val="-3"/>
        </w:rPr>
        <w:t>11</w:t>
      </w:r>
      <w:r w:rsidRPr="002A32D0">
        <w:rPr>
          <w:spacing w:val="-3"/>
        </w:rPr>
        <w:t>, 211.</w:t>
      </w:r>
    </w:p>
    <w:p w14:paraId="286F1605"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48AC7EB4"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Optomec on http://www.optomec.com/.</w:t>
      </w:r>
    </w:p>
    <w:p w14:paraId="1C85A4C5"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4E0EEA30"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 xml:space="preserve">OXTOBY, D. W., and A. D. J. HAYMET, 1982, J. Chem. Phys. </w:t>
      </w:r>
      <w:r w:rsidRPr="002A32D0">
        <w:rPr>
          <w:b/>
          <w:bCs/>
          <w:spacing w:val="-3"/>
        </w:rPr>
        <w:t>76,</w:t>
      </w:r>
      <w:r w:rsidRPr="002A32D0">
        <w:rPr>
          <w:spacing w:val="-3"/>
        </w:rPr>
        <w:t xml:space="preserve"> 6262.</w:t>
      </w:r>
    </w:p>
    <w:p w14:paraId="2D3B1E5D"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500890FA" w14:textId="77777777" w:rsidR="00F7556C" w:rsidRPr="002A32D0" w:rsidRDefault="00F7556C" w:rsidP="00F7556C">
      <w:pPr>
        <w:tabs>
          <w:tab w:val="left" w:pos="-1172"/>
          <w:tab w:val="left" w:pos="-720"/>
          <w:tab w:val="left" w:pos="0"/>
          <w:tab w:val="left" w:pos="714"/>
          <w:tab w:val="left" w:pos="2160"/>
        </w:tabs>
        <w:suppressAutoHyphens/>
        <w:ind w:left="714" w:hanging="714"/>
        <w:jc w:val="both"/>
        <w:rPr>
          <w:spacing w:val="-3"/>
        </w:rPr>
      </w:pPr>
      <w:r w:rsidRPr="002A32D0">
        <w:rPr>
          <w:spacing w:val="-3"/>
        </w:rPr>
        <w:t xml:space="preserve">QIYANG, L., L. QING CHUN and L.QIFU, 1991, Act.Metall.Mater, </w:t>
      </w:r>
      <w:r w:rsidRPr="002A32D0">
        <w:rPr>
          <w:b/>
          <w:bCs/>
          <w:spacing w:val="-3"/>
        </w:rPr>
        <w:t>39</w:t>
      </w:r>
      <w:r w:rsidRPr="002A32D0">
        <w:rPr>
          <w:spacing w:val="-3"/>
        </w:rPr>
        <w:t>, 2497.</w:t>
      </w:r>
    </w:p>
    <w:p w14:paraId="2B8186CC"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231CFA68" w14:textId="77777777" w:rsidR="00F7556C" w:rsidRPr="002A32D0" w:rsidRDefault="00F7556C" w:rsidP="00F7556C">
      <w:pPr>
        <w:suppressAutoHyphens/>
        <w:jc w:val="both"/>
        <w:rPr>
          <w:spacing w:val="-3"/>
        </w:rPr>
      </w:pPr>
      <w:r w:rsidRPr="002A32D0">
        <w:rPr>
          <w:spacing w:val="-3"/>
        </w:rPr>
        <w:t xml:space="preserve">Parisi A. and Plapp M. (2010), Defects and multistability in eutectic solidification patterns, EPL, 90 26010 </w:t>
      </w:r>
    </w:p>
    <w:p w14:paraId="29BF2766" w14:textId="77777777" w:rsidR="00F7556C" w:rsidRPr="002A32D0" w:rsidRDefault="00F7556C" w:rsidP="00F7556C">
      <w:pPr>
        <w:suppressAutoHyphens/>
        <w:jc w:val="both"/>
        <w:rPr>
          <w:spacing w:val="-3"/>
        </w:rPr>
      </w:pPr>
    </w:p>
    <w:p w14:paraId="25572FB3" w14:textId="77777777" w:rsidR="00F7556C" w:rsidRPr="002A32D0" w:rsidRDefault="00F7556C" w:rsidP="00F7556C">
      <w:pPr>
        <w:tabs>
          <w:tab w:val="left" w:pos="-1172"/>
          <w:tab w:val="left" w:pos="-720"/>
          <w:tab w:val="left" w:pos="0"/>
          <w:tab w:val="left" w:pos="714"/>
          <w:tab w:val="left" w:pos="2160"/>
        </w:tabs>
        <w:suppressAutoHyphens/>
        <w:rPr>
          <w:spacing w:val="-3"/>
          <w:lang w:val="fr-FR"/>
        </w:rPr>
      </w:pPr>
      <w:r w:rsidRPr="002A32D0">
        <w:rPr>
          <w:spacing w:val="-3"/>
          <w:lang w:val="fr-FR"/>
        </w:rPr>
        <w:t>Pelini, W.S. (1953), Trans. AFS 61: 61.</w:t>
      </w:r>
    </w:p>
    <w:p w14:paraId="1CCDAFFC" w14:textId="77777777" w:rsidR="00F7556C" w:rsidRPr="002A32D0" w:rsidRDefault="00F7556C" w:rsidP="00F7556C">
      <w:pPr>
        <w:tabs>
          <w:tab w:val="left" w:pos="-1172"/>
          <w:tab w:val="left" w:pos="-720"/>
          <w:tab w:val="left" w:pos="0"/>
          <w:tab w:val="left" w:pos="714"/>
          <w:tab w:val="left" w:pos="2160"/>
        </w:tabs>
        <w:suppressAutoHyphens/>
        <w:rPr>
          <w:spacing w:val="-3"/>
          <w:lang w:val="fr-FR"/>
        </w:rPr>
      </w:pPr>
    </w:p>
    <w:p w14:paraId="19E514BD"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r w:rsidRPr="002A32D0">
        <w:rPr>
          <w:spacing w:val="-3"/>
        </w:rPr>
        <w:t>PEREPEZKO, J. H. and I. E. ANDERSON, 1980, in: Synthesis and</w:t>
      </w:r>
      <w:r w:rsidRPr="002A32D0">
        <w:rPr>
          <w:spacing w:val="-3"/>
          <w:u w:val="single"/>
        </w:rPr>
        <w:t xml:space="preserve"> </w:t>
      </w:r>
      <w:r w:rsidRPr="002A32D0">
        <w:rPr>
          <w:spacing w:val="-3"/>
        </w:rPr>
        <w:t xml:space="preserve">Properties of Metastable Phases, edited by E. S. Machlin and  T. S. Rowland, (TMS-AIME, Warrendale, PA), p. 31. </w:t>
      </w:r>
    </w:p>
    <w:p w14:paraId="0459675D"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p>
    <w:p w14:paraId="74DEFFF2"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r w:rsidRPr="002A32D0">
        <w:rPr>
          <w:spacing w:val="-3"/>
        </w:rPr>
        <w:t>PEREPEZKO, J. H. and W. J. BOETTINGER, 1983, Mat. Res. Soc. Symp. Proc.</w:t>
      </w:r>
      <w:r w:rsidRPr="002A32D0">
        <w:rPr>
          <w:b/>
          <w:bCs/>
          <w:spacing w:val="-3"/>
        </w:rPr>
        <w:t xml:space="preserve"> 19</w:t>
      </w:r>
      <w:r w:rsidRPr="002A32D0">
        <w:rPr>
          <w:spacing w:val="-3"/>
        </w:rPr>
        <w:t>, 223.</w:t>
      </w:r>
    </w:p>
    <w:p w14:paraId="2A0DEAB7"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p>
    <w:p w14:paraId="72F2356F"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r w:rsidRPr="002A32D0">
        <w:rPr>
          <w:spacing w:val="-3"/>
        </w:rPr>
        <w:t>PEREPEZKO, J.H., 1984, Nucleation in undercooled liquids. Mat. Sci. and Eng. 65, 125-135.</w:t>
      </w:r>
    </w:p>
    <w:p w14:paraId="50F8E40D"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p>
    <w:p w14:paraId="7751A2F5"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r w:rsidRPr="002A32D0">
        <w:rPr>
          <w:spacing w:val="-3"/>
        </w:rPr>
        <w:t>PEREPEZKO, J. H., 1988, in: Metals Handbook, (ASM, Metals Park, OH),</w:t>
      </w:r>
      <w:r w:rsidRPr="002A32D0">
        <w:rPr>
          <w:b/>
          <w:bCs/>
          <w:spacing w:val="-3"/>
        </w:rPr>
        <w:t xml:space="preserve"> 15</w:t>
      </w:r>
      <w:r w:rsidRPr="002A32D0">
        <w:rPr>
          <w:spacing w:val="-3"/>
        </w:rPr>
        <w:t xml:space="preserve"> - </w:t>
      </w:r>
      <w:r w:rsidRPr="002A32D0">
        <w:rPr>
          <w:b/>
          <w:bCs/>
          <w:spacing w:val="-3"/>
        </w:rPr>
        <w:t>"Casting"</w:t>
      </w:r>
      <w:r w:rsidRPr="002A32D0">
        <w:rPr>
          <w:spacing w:val="-3"/>
        </w:rPr>
        <w:t>, (ASM, Metals Park, OH), p. 101.</w:t>
      </w:r>
    </w:p>
    <w:p w14:paraId="11E581D9"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p>
    <w:p w14:paraId="2CB32A97"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Perepezko, J.H. (2008), Nucleation Kinetics and Grain Refinement, in ASM Handbook, Volume 15: Casting, ASM International  276-287.</w:t>
      </w:r>
    </w:p>
    <w:p w14:paraId="7075A4A4"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6C3A13D9"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r w:rsidRPr="002A32D0">
        <w:rPr>
          <w:spacing w:val="-3"/>
        </w:rPr>
        <w:t xml:space="preserve">PETEVES, S.D. and G. J. ABBASCHIAN, 1986, J. Cryst. Growth </w:t>
      </w:r>
      <w:r w:rsidRPr="002A32D0">
        <w:rPr>
          <w:b/>
          <w:bCs/>
          <w:spacing w:val="-3"/>
        </w:rPr>
        <w:t>79,</w:t>
      </w:r>
      <w:r w:rsidRPr="002A32D0">
        <w:rPr>
          <w:spacing w:val="-3"/>
        </w:rPr>
        <w:t xml:space="preserve"> 775.</w:t>
      </w:r>
    </w:p>
    <w:p w14:paraId="0B1857CF"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p>
    <w:p w14:paraId="3FED49EF"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 xml:space="preserve">PFANN, W.G., 1952, Trans. Met. Soc.AIME </w:t>
      </w:r>
      <w:r w:rsidRPr="002A32D0">
        <w:rPr>
          <w:b/>
          <w:bCs/>
          <w:spacing w:val="-3"/>
        </w:rPr>
        <w:t>194</w:t>
      </w:r>
      <w:r w:rsidRPr="002A32D0">
        <w:rPr>
          <w:spacing w:val="-3"/>
        </w:rPr>
        <w:t>, 747.</w:t>
      </w:r>
    </w:p>
    <w:p w14:paraId="0D3A3656"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0D4332EC"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PFANN, W.G., 1966, Zone Melting, 2nd.ed. (Wiley, New York).</w:t>
      </w:r>
    </w:p>
    <w:p w14:paraId="66054B9E"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7432DBF7" w14:textId="77777777" w:rsidR="00F7556C" w:rsidRPr="002A32D0" w:rsidRDefault="00F7556C" w:rsidP="00F7556C">
      <w:pPr>
        <w:tabs>
          <w:tab w:val="left" w:pos="-720"/>
        </w:tabs>
        <w:suppressAutoHyphens/>
        <w:jc w:val="both"/>
        <w:rPr>
          <w:bCs/>
          <w:spacing w:val="-3"/>
        </w:rPr>
      </w:pPr>
      <w:r w:rsidRPr="002A32D0">
        <w:rPr>
          <w:bCs/>
          <w:spacing w:val="-3"/>
        </w:rPr>
        <w:t>Pilling J. and A. Hellawell, (1996) Mechanical deformation of dendrites by Fluid flow, Metallurgical and Materials Transactions 27A, , 229-232.</w:t>
      </w:r>
    </w:p>
    <w:p w14:paraId="5E2D7E53" w14:textId="77777777" w:rsidR="00F7556C" w:rsidRPr="002A32D0" w:rsidRDefault="00F7556C" w:rsidP="00F7556C">
      <w:pPr>
        <w:tabs>
          <w:tab w:val="left" w:pos="-720"/>
        </w:tabs>
        <w:suppressAutoHyphens/>
        <w:jc w:val="both"/>
        <w:rPr>
          <w:bCs/>
          <w:spacing w:val="-3"/>
        </w:rPr>
      </w:pPr>
    </w:p>
    <w:p w14:paraId="12543010"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PIRES, .S., M.PRATES and H.BILONI, 1974, Z.Metallk.</w:t>
      </w:r>
      <w:r w:rsidRPr="002A32D0">
        <w:rPr>
          <w:b/>
          <w:bCs/>
          <w:spacing w:val="-3"/>
        </w:rPr>
        <w:t xml:space="preserve"> 65</w:t>
      </w:r>
      <w:r w:rsidRPr="002A32D0">
        <w:rPr>
          <w:spacing w:val="-3"/>
        </w:rPr>
        <w:t>, 143.</w:t>
      </w:r>
    </w:p>
    <w:p w14:paraId="42C49D98"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0BDEAA83" w14:textId="77777777" w:rsidR="00F7556C" w:rsidRPr="002A32D0" w:rsidRDefault="00F7556C" w:rsidP="00F7556C">
      <w:pPr>
        <w:tabs>
          <w:tab w:val="left" w:pos="-1172"/>
          <w:tab w:val="left" w:pos="-720"/>
          <w:tab w:val="left" w:pos="0"/>
          <w:tab w:val="left" w:pos="714"/>
          <w:tab w:val="left" w:pos="2160"/>
        </w:tabs>
        <w:suppressAutoHyphens/>
        <w:rPr>
          <w:bCs/>
          <w:spacing w:val="-3"/>
        </w:rPr>
      </w:pPr>
      <w:r w:rsidRPr="002A32D0">
        <w:rPr>
          <w:bCs/>
          <w:spacing w:val="-3"/>
        </w:rPr>
        <w:t>Plapp M. and Karma A. (2002), Eutectic colony formation: A phase-field study,</w:t>
      </w:r>
      <w:r w:rsidRPr="002A32D0">
        <w:rPr>
          <w:spacing w:val="-3"/>
        </w:rPr>
        <w:t xml:space="preserve"> </w:t>
      </w:r>
      <w:r w:rsidRPr="002A32D0">
        <w:rPr>
          <w:bCs/>
          <w:spacing w:val="-3"/>
        </w:rPr>
        <w:t xml:space="preserve">Phys. Rev. E </w:t>
      </w:r>
      <w:r w:rsidRPr="002A32D0">
        <w:rPr>
          <w:b/>
          <w:bCs/>
          <w:spacing w:val="-3"/>
        </w:rPr>
        <w:t>66</w:t>
      </w:r>
      <w:r w:rsidRPr="002A32D0">
        <w:rPr>
          <w:bCs/>
          <w:spacing w:val="-3"/>
        </w:rPr>
        <w:t>, 061608.</w:t>
      </w:r>
    </w:p>
    <w:p w14:paraId="78401258" w14:textId="77777777" w:rsidR="00F7556C" w:rsidRPr="002A32D0" w:rsidRDefault="00F7556C" w:rsidP="00F7556C">
      <w:pPr>
        <w:tabs>
          <w:tab w:val="left" w:pos="-1172"/>
          <w:tab w:val="left" w:pos="-720"/>
          <w:tab w:val="left" w:pos="0"/>
          <w:tab w:val="left" w:pos="714"/>
          <w:tab w:val="left" w:pos="2160"/>
        </w:tabs>
        <w:suppressAutoHyphens/>
        <w:rPr>
          <w:bCs/>
          <w:spacing w:val="-3"/>
        </w:rPr>
      </w:pPr>
    </w:p>
    <w:p w14:paraId="4D0CA0FF" w14:textId="77777777" w:rsidR="00F7556C" w:rsidRPr="002A32D0" w:rsidRDefault="00F7556C" w:rsidP="00F7556C">
      <w:pPr>
        <w:suppressAutoHyphens/>
        <w:jc w:val="both"/>
        <w:rPr>
          <w:spacing w:val="-3"/>
        </w:rPr>
      </w:pPr>
      <w:r w:rsidRPr="002A32D0">
        <w:rPr>
          <w:spacing w:val="-3"/>
        </w:rPr>
        <w:t xml:space="preserve">Plapp M (2007), Three-dimensional phase-field simulations of directional solidification, J Cryst Growth </w:t>
      </w:r>
      <w:r w:rsidRPr="002A32D0">
        <w:rPr>
          <w:b/>
          <w:spacing w:val="-3"/>
        </w:rPr>
        <w:t>303</w:t>
      </w:r>
      <w:r w:rsidRPr="002A32D0">
        <w:rPr>
          <w:spacing w:val="-3"/>
        </w:rPr>
        <w:t xml:space="preserve"> 49-57.  </w:t>
      </w:r>
    </w:p>
    <w:p w14:paraId="7889272E" w14:textId="77777777" w:rsidR="00F7556C" w:rsidRPr="002A32D0" w:rsidRDefault="00F7556C" w:rsidP="00F7556C">
      <w:pPr>
        <w:suppressAutoHyphens/>
        <w:jc w:val="both"/>
        <w:rPr>
          <w:spacing w:val="-3"/>
        </w:rPr>
      </w:pPr>
    </w:p>
    <w:p w14:paraId="40B11A07"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 xml:space="preserve">Poirier DR, (1987) Permeability for flow of interdendritic liquid in columnar-dendritic alloys, Metallurgical Transactions B 18 245-255.   </w:t>
      </w:r>
    </w:p>
    <w:p w14:paraId="6540645E"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72576494"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 xml:space="preserve">POIRIER, D.R., K.YEUM and A.L.MAPPLES, 1987, Metall.Trans. </w:t>
      </w:r>
      <w:r w:rsidRPr="002A32D0">
        <w:rPr>
          <w:b/>
          <w:bCs/>
          <w:spacing w:val="-3"/>
        </w:rPr>
        <w:t>18A</w:t>
      </w:r>
      <w:r w:rsidRPr="002A32D0">
        <w:rPr>
          <w:spacing w:val="-3"/>
        </w:rPr>
        <w:t xml:space="preserve">, 1979. </w:t>
      </w:r>
    </w:p>
    <w:p w14:paraId="1DBA7A54"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15F3A609" w14:textId="77777777" w:rsidR="00F7556C" w:rsidRPr="002A32D0" w:rsidRDefault="00F7556C" w:rsidP="00F7556C">
      <w:pPr>
        <w:tabs>
          <w:tab w:val="left" w:pos="-1172"/>
          <w:tab w:val="left" w:pos="-720"/>
          <w:tab w:val="left" w:pos="0"/>
          <w:tab w:val="left" w:pos="714"/>
          <w:tab w:val="left" w:pos="2160"/>
        </w:tabs>
        <w:suppressAutoHyphens/>
        <w:jc w:val="both"/>
        <w:rPr>
          <w:spacing w:val="-3"/>
        </w:rPr>
      </w:pPr>
      <w:r w:rsidRPr="002A32D0">
        <w:rPr>
          <w:spacing w:val="-3"/>
        </w:rPr>
        <w:t xml:space="preserve">POWELL, G.L.F., 1980, Metals Forum, </w:t>
      </w:r>
      <w:r w:rsidRPr="002A32D0">
        <w:rPr>
          <w:b/>
          <w:bCs/>
          <w:spacing w:val="-3"/>
        </w:rPr>
        <w:t>3</w:t>
      </w:r>
      <w:r w:rsidRPr="002A32D0">
        <w:rPr>
          <w:spacing w:val="-3"/>
        </w:rPr>
        <w:t>, 37.</w:t>
      </w:r>
    </w:p>
    <w:p w14:paraId="3F355F9E"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7DA1FAA6"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Prates, M. and Biloni, H., 1972, Metall.Trans.</w:t>
      </w:r>
      <w:r w:rsidRPr="002A32D0">
        <w:rPr>
          <w:b/>
          <w:bCs/>
          <w:spacing w:val="-3"/>
        </w:rPr>
        <w:t>3</w:t>
      </w:r>
      <w:r w:rsidRPr="002A32D0">
        <w:rPr>
          <w:spacing w:val="-3"/>
        </w:rPr>
        <w:t>, 1501.</w:t>
      </w:r>
    </w:p>
    <w:p w14:paraId="4A19B2BB"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56EA96A9"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r w:rsidRPr="002A32D0">
        <w:rPr>
          <w:spacing w:val="-3"/>
        </w:rPr>
        <w:t xml:space="preserve">Priede J and Gerbeth G (2005), Breakdown of Burton Prim Schlichter approach and lateral solute segregation in radially converging flows, J. Cryst. Growth </w:t>
      </w:r>
      <w:r w:rsidRPr="002A32D0">
        <w:rPr>
          <w:b/>
          <w:spacing w:val="-3"/>
        </w:rPr>
        <w:t>285</w:t>
      </w:r>
      <w:r w:rsidRPr="002A32D0">
        <w:rPr>
          <w:spacing w:val="-3"/>
        </w:rPr>
        <w:t xml:space="preserve"> 261-269.</w:t>
      </w:r>
      <w:r w:rsidRPr="002A32D0">
        <w:rPr>
          <w:spacing w:val="-3"/>
        </w:rPr>
        <w:tab/>
      </w:r>
    </w:p>
    <w:p w14:paraId="00A2AC5D"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p>
    <w:p w14:paraId="7BBB0C87"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Prince A. Alloy, Phase Equilibria (1966) Elsevier, Amsterdam</w:t>
      </w:r>
    </w:p>
    <w:p w14:paraId="51DC7F58"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130E325B"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 xml:space="preserve">Provatas N., Goldenfeld N. and Dantzig J. (1998).  Phys. Rev. Lett. 80, 3308-?. </w:t>
      </w:r>
    </w:p>
    <w:p w14:paraId="22AE894E"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1CD62A50" w14:textId="77777777" w:rsidR="001617D0" w:rsidRPr="002A32D0" w:rsidRDefault="001617D0" w:rsidP="00F7556C">
      <w:pPr>
        <w:tabs>
          <w:tab w:val="left" w:pos="-1172"/>
          <w:tab w:val="left" w:pos="-720"/>
          <w:tab w:val="left" w:pos="0"/>
          <w:tab w:val="left" w:pos="714"/>
          <w:tab w:val="left" w:pos="2160"/>
        </w:tabs>
        <w:suppressAutoHyphens/>
        <w:rPr>
          <w:spacing w:val="-3"/>
        </w:rPr>
      </w:pPr>
      <w:r w:rsidRPr="002A32D0">
        <w:rPr>
          <w:spacing w:val="-3"/>
        </w:rPr>
        <w:t>QIYANG,L., L. QING CHUN and L.QIFU, 1991, Act.Metall.Mater, 39, 2497.</w:t>
      </w:r>
    </w:p>
    <w:p w14:paraId="5BA4CBB7"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5C2823E4"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Rappaz M. and Boettinger W. J. (1999).  On dendritic solidification of multicomponent alloys with unequal liquid diffusion coefficients. Acta Mat. 47 3205-?.</w:t>
      </w:r>
    </w:p>
    <w:p w14:paraId="0AF5B7B3"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0F9507A7"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 xml:space="preserve">RAPPAZ, M. and CH.A.GANDIN, 1993, Acta Metall. Mater., </w:t>
      </w:r>
      <w:r w:rsidRPr="002A32D0">
        <w:rPr>
          <w:b/>
          <w:bCs/>
          <w:spacing w:val="-3"/>
        </w:rPr>
        <w:t>41</w:t>
      </w:r>
      <w:r w:rsidRPr="002A32D0">
        <w:rPr>
          <w:spacing w:val="-3"/>
        </w:rPr>
        <w:t>, 345.</w:t>
      </w:r>
    </w:p>
    <w:p w14:paraId="635338EE"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0ABBE332"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 xml:space="preserve">RAPPAZ, M. and CH.A.GANDIN, 1994, Mat.Research Bull, </w:t>
      </w:r>
      <w:r w:rsidRPr="002A32D0">
        <w:rPr>
          <w:b/>
          <w:bCs/>
          <w:spacing w:val="-3"/>
        </w:rPr>
        <w:t>xix</w:t>
      </w:r>
      <w:r w:rsidRPr="002A32D0">
        <w:rPr>
          <w:spacing w:val="-3"/>
        </w:rPr>
        <w:t>, n</w:t>
      </w:r>
      <w:r w:rsidRPr="002A32D0">
        <w:rPr>
          <w:spacing w:val="-3"/>
        </w:rPr>
        <w:sym w:font="Symbol" w:char="F0B0"/>
      </w:r>
      <w:r w:rsidRPr="002A32D0">
        <w:rPr>
          <w:spacing w:val="-3"/>
        </w:rPr>
        <w:t>1, 20.</w:t>
      </w:r>
    </w:p>
    <w:p w14:paraId="6507BBBF" w14:textId="77777777" w:rsidR="009032CB" w:rsidRPr="002A32D0" w:rsidRDefault="009032CB" w:rsidP="00F7556C">
      <w:pPr>
        <w:tabs>
          <w:tab w:val="left" w:pos="-1172"/>
          <w:tab w:val="left" w:pos="-720"/>
          <w:tab w:val="left" w:pos="0"/>
          <w:tab w:val="left" w:pos="714"/>
          <w:tab w:val="left" w:pos="2160"/>
        </w:tabs>
        <w:suppressAutoHyphens/>
        <w:rPr>
          <w:spacing w:val="-3"/>
        </w:rPr>
      </w:pPr>
    </w:p>
    <w:p w14:paraId="74BA6C45" w14:textId="77777777" w:rsidR="009032CB" w:rsidRPr="002A32D0" w:rsidRDefault="009032CB" w:rsidP="00F7556C">
      <w:pPr>
        <w:tabs>
          <w:tab w:val="left" w:pos="-1172"/>
          <w:tab w:val="left" w:pos="-720"/>
          <w:tab w:val="left" w:pos="0"/>
          <w:tab w:val="left" w:pos="714"/>
          <w:tab w:val="left" w:pos="2160"/>
        </w:tabs>
        <w:suppressAutoHyphens/>
        <w:rPr>
          <w:spacing w:val="-3"/>
        </w:rPr>
      </w:pPr>
      <w:r w:rsidRPr="002A32D0">
        <w:rPr>
          <w:spacing w:val="-3"/>
        </w:rPr>
        <w:t>RAPPAZ, M., S. A. DAVID., J. M. VITEK, L. A. BOATNER, 1990, Metall. Trans. 21A, 1767.</w:t>
      </w:r>
    </w:p>
    <w:p w14:paraId="2ED883C3"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43438A82" w14:textId="77777777" w:rsidR="00F7556C" w:rsidRPr="002A32D0" w:rsidRDefault="00F7556C" w:rsidP="00F7556C">
      <w:pPr>
        <w:tabs>
          <w:tab w:val="left" w:pos="-1172"/>
          <w:tab w:val="left" w:pos="-720"/>
          <w:tab w:val="left" w:pos="0"/>
          <w:tab w:val="left" w:pos="714"/>
          <w:tab w:val="left" w:pos="2160"/>
        </w:tabs>
        <w:suppressAutoHyphens/>
        <w:rPr>
          <w:spacing w:val="-3"/>
          <w:lang w:val="sv-SE"/>
        </w:rPr>
      </w:pPr>
      <w:r w:rsidRPr="002A32D0">
        <w:rPr>
          <w:spacing w:val="-3"/>
        </w:rPr>
        <w:t>Rappaz</w:t>
      </w:r>
      <w:r w:rsidRPr="002A32D0">
        <w:rPr>
          <w:spacing w:val="-3"/>
          <w:lang w:val="sv-SE"/>
        </w:rPr>
        <w:t xml:space="preserve">, M., 1989, Int.Mat.Rev. </w:t>
      </w:r>
      <w:r w:rsidRPr="002A32D0">
        <w:rPr>
          <w:b/>
          <w:bCs/>
          <w:spacing w:val="-3"/>
          <w:lang w:val="sv-SE"/>
        </w:rPr>
        <w:t>34</w:t>
      </w:r>
      <w:r w:rsidRPr="002A32D0">
        <w:rPr>
          <w:spacing w:val="-3"/>
          <w:lang w:val="sv-SE"/>
        </w:rPr>
        <w:t>, 93</w:t>
      </w:r>
    </w:p>
    <w:p w14:paraId="11257FAF" w14:textId="77777777" w:rsidR="00F7556C" w:rsidRPr="002A32D0" w:rsidRDefault="00F7556C" w:rsidP="00F7556C">
      <w:pPr>
        <w:tabs>
          <w:tab w:val="left" w:pos="-1172"/>
          <w:tab w:val="left" w:pos="-720"/>
          <w:tab w:val="left" w:pos="0"/>
          <w:tab w:val="left" w:pos="714"/>
          <w:tab w:val="left" w:pos="2160"/>
        </w:tabs>
        <w:suppressAutoHyphens/>
        <w:rPr>
          <w:spacing w:val="-3"/>
          <w:lang w:val="sv-SE"/>
        </w:rPr>
      </w:pPr>
    </w:p>
    <w:p w14:paraId="66A029F9"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r w:rsidRPr="002A32D0">
        <w:rPr>
          <w:spacing w:val="-3"/>
        </w:rPr>
        <w:t xml:space="preserve">Rappaz, M., and Stefanescu, D. M., 1988, Metals Handbook, 9th.ed., (ASM, Metals Park, OH) </w:t>
      </w:r>
      <w:r w:rsidRPr="002A32D0">
        <w:rPr>
          <w:b/>
          <w:bCs/>
          <w:spacing w:val="-3"/>
        </w:rPr>
        <w:t>15</w:t>
      </w:r>
      <w:r w:rsidRPr="002A32D0">
        <w:rPr>
          <w:spacing w:val="-3"/>
        </w:rPr>
        <w:t xml:space="preserve"> </w:t>
      </w:r>
      <w:r w:rsidRPr="002A32D0">
        <w:rPr>
          <w:b/>
          <w:bCs/>
          <w:spacing w:val="-3"/>
        </w:rPr>
        <w:t>"Casting"</w:t>
      </w:r>
      <w:r w:rsidRPr="002A32D0">
        <w:rPr>
          <w:spacing w:val="-3"/>
        </w:rPr>
        <w:t>, 883.</w:t>
      </w:r>
    </w:p>
    <w:p w14:paraId="297727A6"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p>
    <w:p w14:paraId="5B38DE40"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Rhines F (1956), Phase diagrams in metallurgy: their development and application, McGraw-Hill.</w:t>
      </w:r>
    </w:p>
    <w:p w14:paraId="2FB31A03"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04F9B9FD"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r w:rsidRPr="002A32D0">
        <w:rPr>
          <w:spacing w:val="-3"/>
        </w:rPr>
        <w:t>RICHMOND, J. J. , J. H. PEREPEZKO, S. E. LEBEAU AND K. P. COOPER, 1983, in: Rapid Solidification Processing:  Principles and</w:t>
      </w:r>
      <w:r w:rsidRPr="002A32D0">
        <w:rPr>
          <w:spacing w:val="-3"/>
          <w:u w:val="single"/>
        </w:rPr>
        <w:t xml:space="preserve"> </w:t>
      </w:r>
      <w:r w:rsidRPr="002A32D0">
        <w:rPr>
          <w:spacing w:val="-3"/>
        </w:rPr>
        <w:t>Technologies III, edited by R. Mehrabian, (NBS, Washington, DC), p. 90.</w:t>
      </w:r>
    </w:p>
    <w:p w14:paraId="7B60CAAA"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p>
    <w:p w14:paraId="4B4BDEF5"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Rickert, A. and Engler, S., 1985, in: The Physical Metallurgy of Cast Iron, H. Fredriksson and M. Hiller teds., Proceedings of the MRS, North Holland, 34, p. 165.</w:t>
      </w:r>
    </w:p>
    <w:p w14:paraId="38B538F1"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1B564A86"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Ridder SD, Kou S, and Mehrabian R (1981), Effect of fluid-flow on macrosegregation in axi-symmetric ingots, Metallurgical Transactions 12B 435-447.</w:t>
      </w:r>
    </w:p>
    <w:p w14:paraId="5875A968"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34F0D37F" w14:textId="77777777" w:rsidR="00F7556C" w:rsidRPr="002A32D0" w:rsidRDefault="00F7556C" w:rsidP="00F7556C">
      <w:pPr>
        <w:tabs>
          <w:tab w:val="left" w:pos="-1172"/>
          <w:tab w:val="left" w:pos="-720"/>
          <w:tab w:val="left" w:pos="0"/>
          <w:tab w:val="left" w:pos="714"/>
          <w:tab w:val="left" w:pos="2160"/>
        </w:tabs>
        <w:suppressAutoHyphens/>
        <w:ind w:left="714" w:hanging="714"/>
        <w:jc w:val="both"/>
        <w:rPr>
          <w:spacing w:val="-3"/>
        </w:rPr>
      </w:pPr>
      <w:r w:rsidRPr="002A32D0">
        <w:rPr>
          <w:spacing w:val="-3"/>
        </w:rPr>
        <w:t xml:space="preserve"> RIPOSAN, T., M.CHISAMERA, L.SOFRONI and V.BRABIE, 1985, in: Physical Metallurgy of Cast Iron, ed.H.Fredricksson and M.Hillert (North Holland) p. 131.</w:t>
      </w:r>
    </w:p>
    <w:p w14:paraId="15EE8B60"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7B65AC5A"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Rivullcaba D., Mathiesen R.H., Eskin D.G., Arnberg L. and  Katgerman L. (2007). In-situ observations of dendritic fragmentation due to local solute-enrichment during directional solidification of an aluminum alloy. Acta Materialia 55  4287–4292.</w:t>
      </w:r>
    </w:p>
    <w:p w14:paraId="0691E7AB"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26713F0C"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Rivulcaba D., R.H. Mathiesen, D.G. Eskin, L. Arnberg and  L. Katgerman (2009) , In-situ analysis of coarsening during directional solidification experiments in high-solute aluminum alloys, Met and Matls Trans B 40, 312-??.</w:t>
      </w:r>
    </w:p>
    <w:p w14:paraId="618C847A"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66C32358"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 xml:space="preserve">RODWAY, G. H. and J. D. HUNT, 1991, J. Cryst. Growth </w:t>
      </w:r>
      <w:r w:rsidRPr="002A32D0">
        <w:rPr>
          <w:b/>
          <w:bCs/>
          <w:spacing w:val="-3"/>
        </w:rPr>
        <w:t>112</w:t>
      </w:r>
      <w:r w:rsidRPr="002A32D0">
        <w:rPr>
          <w:spacing w:val="-3"/>
        </w:rPr>
        <w:t>, 554.</w:t>
      </w:r>
    </w:p>
    <w:p w14:paraId="672FDDCE"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325D04D3"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 xml:space="preserve">RODWAY, G.H. and J.D.JUNT, 1989, J.Cryst. Growth </w:t>
      </w:r>
      <w:r w:rsidRPr="002A32D0">
        <w:rPr>
          <w:b/>
          <w:bCs/>
          <w:spacing w:val="-3"/>
        </w:rPr>
        <w:t>97</w:t>
      </w:r>
      <w:r w:rsidRPr="002A32D0">
        <w:rPr>
          <w:spacing w:val="-3"/>
        </w:rPr>
        <w:t>, 680.</w:t>
      </w:r>
    </w:p>
    <w:p w14:paraId="358ED617"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43B7F61D" w14:textId="77777777" w:rsidR="00F7556C" w:rsidRPr="002A32D0" w:rsidRDefault="00F7556C" w:rsidP="00F7556C">
      <w:pPr>
        <w:tabs>
          <w:tab w:val="left" w:pos="-1172"/>
          <w:tab w:val="left" w:pos="-720"/>
          <w:tab w:val="left" w:pos="0"/>
          <w:tab w:val="left" w:pos="714"/>
          <w:tab w:val="left" w:pos="2160"/>
        </w:tabs>
        <w:suppressAutoHyphens/>
        <w:ind w:left="714" w:hanging="714"/>
        <w:jc w:val="both"/>
        <w:rPr>
          <w:spacing w:val="-3"/>
        </w:rPr>
      </w:pPr>
      <w:r w:rsidRPr="002A32D0">
        <w:rPr>
          <w:spacing w:val="-3"/>
        </w:rPr>
        <w:lastRenderedPageBreak/>
        <w:t>ROSS, A.B. De and L.F.MONDOLFO, 1980, in: Aluminum Transformation Technology and Applications, eds.C.A.Pampillo, H.Biloni and D.E.Embury (ASM, Metals Park, OH) p.81.</w:t>
      </w:r>
    </w:p>
    <w:p w14:paraId="03699480" w14:textId="77777777" w:rsidR="00F7556C" w:rsidRPr="002A32D0" w:rsidRDefault="00F7556C" w:rsidP="00F7556C">
      <w:pPr>
        <w:tabs>
          <w:tab w:val="left" w:pos="-1172"/>
          <w:tab w:val="left" w:pos="-720"/>
          <w:tab w:val="left" w:pos="0"/>
          <w:tab w:val="left" w:pos="714"/>
          <w:tab w:val="left" w:pos="2160"/>
        </w:tabs>
        <w:suppressAutoHyphens/>
        <w:ind w:left="714" w:hanging="714"/>
        <w:jc w:val="both"/>
        <w:rPr>
          <w:spacing w:val="-3"/>
        </w:rPr>
      </w:pPr>
    </w:p>
    <w:p w14:paraId="04729D70" w14:textId="77777777" w:rsidR="00F7556C" w:rsidRPr="002A32D0" w:rsidRDefault="00F7556C" w:rsidP="00F7556C">
      <w:pPr>
        <w:tabs>
          <w:tab w:val="left" w:pos="-1172"/>
          <w:tab w:val="left" w:pos="-720"/>
          <w:tab w:val="left" w:pos="0"/>
          <w:tab w:val="left" w:pos="714"/>
          <w:tab w:val="left" w:pos="2160"/>
        </w:tabs>
        <w:suppressAutoHyphens/>
        <w:jc w:val="both"/>
        <w:rPr>
          <w:spacing w:val="-3"/>
        </w:rPr>
      </w:pPr>
      <w:r w:rsidRPr="002A32D0">
        <w:rPr>
          <w:spacing w:val="-3"/>
        </w:rPr>
        <w:t xml:space="preserve">ROVIGLIONE, A. and H.D.HERMIDA, 1994, Materials Characterization, </w:t>
      </w:r>
      <w:r w:rsidRPr="002A32D0">
        <w:rPr>
          <w:b/>
          <w:bCs/>
          <w:spacing w:val="-3"/>
        </w:rPr>
        <w:t>32</w:t>
      </w:r>
      <w:r w:rsidRPr="002A32D0">
        <w:rPr>
          <w:spacing w:val="-3"/>
        </w:rPr>
        <w:t>, 127.</w:t>
      </w:r>
    </w:p>
    <w:p w14:paraId="3C0E883C" w14:textId="77777777" w:rsidR="00F7556C" w:rsidRPr="002A32D0" w:rsidRDefault="00F7556C" w:rsidP="00F7556C">
      <w:pPr>
        <w:tabs>
          <w:tab w:val="left" w:pos="-1172"/>
          <w:tab w:val="left" w:pos="-720"/>
          <w:tab w:val="left" w:pos="0"/>
          <w:tab w:val="left" w:pos="714"/>
          <w:tab w:val="left" w:pos="2160"/>
        </w:tabs>
        <w:suppressAutoHyphens/>
        <w:jc w:val="both"/>
        <w:rPr>
          <w:spacing w:val="-3"/>
        </w:rPr>
      </w:pPr>
    </w:p>
    <w:p w14:paraId="148D48A1"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Sabatino, M. D. (2005) “Fluidity of Aluminum Foundry Aloys”, NTNU doctoral thesis, p. 185.</w:t>
      </w:r>
    </w:p>
    <w:p w14:paraId="0B28125F"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1B557DBD"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Sabau, A.S. and Viswanathan, S., 2002, Metall. Mater. Trans. B, 33, 2, 243-255.</w:t>
      </w:r>
    </w:p>
    <w:p w14:paraId="39C56A1E"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6584CC0D" w14:textId="77777777" w:rsidR="00F7556C" w:rsidRPr="002A32D0" w:rsidRDefault="00F7556C" w:rsidP="00F7556C">
      <w:pPr>
        <w:tabs>
          <w:tab w:val="left" w:pos="-1172"/>
          <w:tab w:val="left" w:pos="-720"/>
          <w:tab w:val="left" w:pos="0"/>
          <w:tab w:val="left" w:pos="714"/>
          <w:tab w:val="left" w:pos="2160"/>
        </w:tabs>
        <w:suppressAutoHyphens/>
        <w:ind w:left="714" w:hanging="714"/>
        <w:jc w:val="both"/>
        <w:rPr>
          <w:spacing w:val="-3"/>
        </w:rPr>
      </w:pPr>
      <w:r w:rsidRPr="002A32D0">
        <w:rPr>
          <w:spacing w:val="-3"/>
        </w:rPr>
        <w:t>SADOCHA, J.P. and GRUZLESKY, 1975, in: Metallurgy of Cast Iron (Georgi Pub.Co, St.Saphorin, Switzerland) p. 443.</w:t>
      </w:r>
    </w:p>
    <w:p w14:paraId="3294EFAE"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16BBC1B4"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Salgado-Ordorica M. A., Rappaz M. (2008) Acta Materialia 56, 5708–5718.</w:t>
      </w:r>
    </w:p>
    <w:p w14:paraId="58D60CFB"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26BCDCEA"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 xml:space="preserve">SATO, T. and G.OHIRA, 1977, J.Cryst. Growth, </w:t>
      </w:r>
      <w:r w:rsidRPr="002A32D0">
        <w:rPr>
          <w:b/>
          <w:bCs/>
          <w:spacing w:val="-3"/>
        </w:rPr>
        <w:t>44</w:t>
      </w:r>
      <w:r w:rsidRPr="002A32D0">
        <w:rPr>
          <w:spacing w:val="-3"/>
        </w:rPr>
        <w:t>, 78.</w:t>
      </w:r>
    </w:p>
    <w:p w14:paraId="3673CDC8"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18130D4E"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SCHAEFER, R.J. and M.G.CLICKSMAN, 1970, Metall.Trans.</w:t>
      </w:r>
      <w:r w:rsidRPr="002A32D0">
        <w:rPr>
          <w:b/>
          <w:bCs/>
          <w:spacing w:val="-3"/>
        </w:rPr>
        <w:t xml:space="preserve"> 1</w:t>
      </w:r>
      <w:r w:rsidRPr="002A32D0">
        <w:rPr>
          <w:spacing w:val="-3"/>
        </w:rPr>
        <w:t>, 1973.</w:t>
      </w:r>
    </w:p>
    <w:p w14:paraId="2DF23936"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40899838"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 xml:space="preserve">SCHAEFER, R.J. and S.R.CORIELL, 1984, Metall.Trans. </w:t>
      </w:r>
      <w:r w:rsidRPr="002A32D0">
        <w:rPr>
          <w:b/>
          <w:bCs/>
          <w:spacing w:val="-3"/>
        </w:rPr>
        <w:t>A15</w:t>
      </w:r>
      <w:r w:rsidRPr="002A32D0">
        <w:rPr>
          <w:spacing w:val="-3"/>
        </w:rPr>
        <w:t>, 2109.</w:t>
      </w:r>
    </w:p>
    <w:p w14:paraId="79A180BF"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43D50883"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 xml:space="preserve">Scheil, E., 1942, Z.Metallk. </w:t>
      </w:r>
      <w:r w:rsidRPr="002A32D0">
        <w:rPr>
          <w:b/>
          <w:bCs/>
          <w:spacing w:val="-3"/>
        </w:rPr>
        <w:t>34</w:t>
      </w:r>
      <w:r w:rsidRPr="002A32D0">
        <w:rPr>
          <w:spacing w:val="-3"/>
        </w:rPr>
        <w:t xml:space="preserve">, 70. </w:t>
      </w:r>
    </w:p>
    <w:p w14:paraId="5EB45D6F"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48714EFB"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Schlichting, H. (1979), “Boundary Layer Theory”, 7th edition, McGraw Hill, New York.</w:t>
      </w:r>
    </w:p>
    <w:p w14:paraId="3DEFBCFD"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31320C87"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 xml:space="preserve">Schneider MC; Beckermann C, Simulation of micro-/macrosegregation during the solidification of a low-alloy steel (1995)  ISIJ INTERNATIONAL </w:t>
      </w:r>
      <w:r w:rsidRPr="002A32D0">
        <w:rPr>
          <w:b/>
          <w:spacing w:val="-3"/>
        </w:rPr>
        <w:t>35</w:t>
      </w:r>
      <w:r w:rsidRPr="002A32D0">
        <w:rPr>
          <w:spacing w:val="-3"/>
        </w:rPr>
        <w:t xml:space="preserve">   665-672.  </w:t>
      </w:r>
    </w:p>
    <w:p w14:paraId="68176FFB"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662FE153"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Schneider M.C., Gu J.P., Beckermann C., Boettinger W. J. and Kattner U.R. (1997). Modeling of micro-/macrosegregation and freckle formation in single-crystal nickel-base superalloy directional solidification.  Met. Mat. Trans. 28A, 1517-1531.</w:t>
      </w:r>
    </w:p>
    <w:p w14:paraId="55E411A1"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29853D95"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Schwartz  M., Karma  A., Eckler K., and Herlach D. M. (1994). Physical mechanism of grain refinement in solidification of undercooled melts, Phys. Rev. Lett. 73, 1380-1384.</w:t>
      </w:r>
    </w:p>
    <w:p w14:paraId="77984CC6"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28C64B5B"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r w:rsidRPr="002A32D0">
        <w:rPr>
          <w:spacing w:val="-3"/>
        </w:rPr>
        <w:t xml:space="preserve">SEETHARAMAN, V., and R. TRIVEDI, 1988, Metall. Trans. </w:t>
      </w:r>
      <w:r w:rsidRPr="002A32D0">
        <w:rPr>
          <w:b/>
          <w:bCs/>
          <w:spacing w:val="-3"/>
        </w:rPr>
        <w:t xml:space="preserve">19A, </w:t>
      </w:r>
      <w:r w:rsidRPr="002A32D0">
        <w:rPr>
          <w:spacing w:val="-3"/>
        </w:rPr>
        <w:t>2955.</w:t>
      </w:r>
    </w:p>
    <w:p w14:paraId="5A45AC9C"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p>
    <w:p w14:paraId="3DFBD29C"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r w:rsidRPr="002A32D0">
        <w:rPr>
          <w:spacing w:val="-3"/>
        </w:rPr>
        <w:t>SEKERKA, R.F., 1967, in: Crystal. Growth , ed. H.S.Peiser (Pergamon press, Oxford) p.691.</w:t>
      </w:r>
    </w:p>
    <w:p w14:paraId="00CB80C5"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p>
    <w:p w14:paraId="1A17ADBB"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 xml:space="preserve">SEKERKA, R.F., 1986, Am. Assoc. Cryst. Growth Newslett., </w:t>
      </w:r>
      <w:r w:rsidRPr="002A32D0">
        <w:rPr>
          <w:b/>
          <w:bCs/>
          <w:spacing w:val="-3"/>
        </w:rPr>
        <w:t>16</w:t>
      </w:r>
      <w:r w:rsidRPr="002A32D0">
        <w:rPr>
          <w:spacing w:val="-3"/>
        </w:rPr>
        <w:t>, 2.</w:t>
      </w:r>
    </w:p>
    <w:p w14:paraId="1970A033"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10BE8B86"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r w:rsidRPr="002A32D0">
        <w:rPr>
          <w:spacing w:val="-3"/>
        </w:rPr>
        <w:t xml:space="preserve">SHANGGUAN, D., S.AHUJA and D.M. STEFANESCU, 1992,  Metall.Trans. </w:t>
      </w:r>
      <w:r w:rsidRPr="002A32D0">
        <w:rPr>
          <w:b/>
          <w:bCs/>
          <w:spacing w:val="-3"/>
        </w:rPr>
        <w:t>23A</w:t>
      </w:r>
      <w:r w:rsidRPr="002A32D0">
        <w:rPr>
          <w:spacing w:val="-3"/>
        </w:rPr>
        <w:t>, 669.</w:t>
      </w:r>
    </w:p>
    <w:p w14:paraId="07A0F87B"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45694613"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 xml:space="preserve">SHARMA, D.G.R. and KRISHMAN, 1991, AFS Trans. </w:t>
      </w:r>
      <w:r w:rsidRPr="002A32D0">
        <w:rPr>
          <w:b/>
          <w:bCs/>
          <w:spacing w:val="-3"/>
        </w:rPr>
        <w:t>99</w:t>
      </w:r>
      <w:r w:rsidRPr="002A32D0">
        <w:rPr>
          <w:spacing w:val="-3"/>
        </w:rPr>
        <w:t>, 429.</w:t>
      </w:r>
    </w:p>
    <w:p w14:paraId="72B21400"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34B640AF"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 xml:space="preserve">SHARP, R. M., and M. C. FLEMINGS, 1973, Metall. Trans. </w:t>
      </w:r>
      <w:r w:rsidRPr="002A32D0">
        <w:rPr>
          <w:b/>
          <w:bCs/>
          <w:spacing w:val="-3"/>
        </w:rPr>
        <w:t xml:space="preserve">4, </w:t>
      </w:r>
      <w:r w:rsidRPr="002A32D0">
        <w:rPr>
          <w:spacing w:val="-3"/>
        </w:rPr>
        <w:t>997.</w:t>
      </w:r>
    </w:p>
    <w:p w14:paraId="4EDC36A4"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71290CD7"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 xml:space="preserve">SHARP, R. M., and M. C. FLEMINGS, 1974, Metall. Trans. </w:t>
      </w:r>
      <w:r w:rsidRPr="002A32D0">
        <w:rPr>
          <w:b/>
          <w:bCs/>
          <w:spacing w:val="-3"/>
        </w:rPr>
        <w:t xml:space="preserve">4, </w:t>
      </w:r>
      <w:r w:rsidRPr="002A32D0">
        <w:rPr>
          <w:spacing w:val="-3"/>
        </w:rPr>
        <w:t>823.</w:t>
      </w:r>
    </w:p>
    <w:p w14:paraId="4EDE7716"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478B5EE2"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Shibata H., Yin, H., Yoshinaga, S., Emi, T., and Suzuki, M. (1998), “In-situ observation of engulfment and pushing of non-metallic inclusions in steel melt by advancing melt/solid interface”, Iron Steel Inst. Japan. Int. 38: 149-156.</w:t>
      </w:r>
    </w:p>
    <w:p w14:paraId="155B627E"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6DDE2FFF" w14:textId="77777777" w:rsidR="00F7556C" w:rsidRPr="002A32D0" w:rsidRDefault="00F7556C" w:rsidP="00F7556C">
      <w:pPr>
        <w:tabs>
          <w:tab w:val="left" w:pos="-1172"/>
          <w:tab w:val="left" w:pos="-720"/>
          <w:tab w:val="left" w:pos="0"/>
          <w:tab w:val="left" w:pos="714"/>
          <w:tab w:val="left" w:pos="2160"/>
        </w:tabs>
        <w:suppressAutoHyphens/>
        <w:ind w:left="714" w:hanging="714"/>
        <w:jc w:val="both"/>
        <w:rPr>
          <w:spacing w:val="-3"/>
        </w:rPr>
      </w:pPr>
      <w:r w:rsidRPr="002A32D0">
        <w:rPr>
          <w:spacing w:val="-3"/>
        </w:rPr>
        <w:t>SIKORA, J.A., G.L.RIVERA and H.BILONI, 1990, in: Proceedings of the F.Weinberg Symposium on Solidification Processing, eds. J.E.Lait and L.V.Samarasekera (Pergamon press) p. 255.</w:t>
      </w:r>
    </w:p>
    <w:p w14:paraId="5E889A14"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398BE123" w14:textId="77777777" w:rsidR="00F7556C" w:rsidRPr="002A32D0" w:rsidRDefault="00F7556C" w:rsidP="00F7556C">
      <w:pPr>
        <w:tabs>
          <w:tab w:val="left" w:pos="-1172"/>
          <w:tab w:val="left" w:pos="-720"/>
          <w:tab w:val="left" w:pos="0"/>
          <w:tab w:val="left" w:pos="714"/>
          <w:tab w:val="left" w:pos="2160"/>
        </w:tabs>
        <w:suppressAutoHyphens/>
        <w:ind w:left="714" w:hanging="714"/>
        <w:jc w:val="both"/>
        <w:rPr>
          <w:spacing w:val="-3"/>
        </w:rPr>
      </w:pPr>
      <w:r w:rsidRPr="002A32D0">
        <w:rPr>
          <w:spacing w:val="-3"/>
        </w:rPr>
        <w:t xml:space="preserve">SKALAND,T., O.GRONG and T.GRONG, 1993, Metallurg.Trans., </w:t>
      </w:r>
      <w:r w:rsidRPr="002A32D0">
        <w:rPr>
          <w:b/>
          <w:bCs/>
          <w:spacing w:val="-3"/>
        </w:rPr>
        <w:t>24A</w:t>
      </w:r>
      <w:r w:rsidRPr="002A32D0">
        <w:rPr>
          <w:spacing w:val="-3"/>
        </w:rPr>
        <w:t>, 2321.</w:t>
      </w:r>
    </w:p>
    <w:p w14:paraId="4648CD76"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71FF0839"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r w:rsidRPr="002A32D0">
        <w:rPr>
          <w:spacing w:val="-3"/>
        </w:rPr>
        <w:t>SMITH, R.W., 1968, in: The Solidification of Metals (Iron and Steel Inst., London) Public. 110, p. 224.</w:t>
      </w:r>
    </w:p>
    <w:p w14:paraId="5FEB632C"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6448818C"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 xml:space="preserve">Smith P. M. and Aziz M. J. (1994). Acta Metall. Mater. 42, 3515-?. </w:t>
      </w:r>
    </w:p>
    <w:p w14:paraId="4C9ECDA5"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03442177" w14:textId="77777777" w:rsidR="00F37088" w:rsidRPr="002A32D0" w:rsidRDefault="00F37088" w:rsidP="00F7556C">
      <w:pPr>
        <w:tabs>
          <w:tab w:val="left" w:pos="-1172"/>
          <w:tab w:val="left" w:pos="-720"/>
          <w:tab w:val="left" w:pos="0"/>
          <w:tab w:val="left" w:pos="714"/>
          <w:tab w:val="left" w:pos="2160"/>
        </w:tabs>
        <w:suppressAutoHyphens/>
        <w:rPr>
          <w:spacing w:val="-3"/>
        </w:rPr>
      </w:pPr>
      <w:r w:rsidRPr="002A32D0">
        <w:rPr>
          <w:spacing w:val="-3"/>
        </w:rPr>
        <w:t>SOMBOONSUK, K., J. T. MASON, and R. TRIVEDI, 1984, Metall. Trans. 15A, 967.</w:t>
      </w:r>
    </w:p>
    <w:p w14:paraId="67C482A2" w14:textId="77777777" w:rsidR="00F37088" w:rsidRPr="002A32D0" w:rsidRDefault="00F37088" w:rsidP="00F7556C">
      <w:pPr>
        <w:tabs>
          <w:tab w:val="left" w:pos="-1172"/>
          <w:tab w:val="left" w:pos="-720"/>
          <w:tab w:val="left" w:pos="0"/>
          <w:tab w:val="left" w:pos="714"/>
          <w:tab w:val="left" w:pos="2160"/>
        </w:tabs>
        <w:suppressAutoHyphens/>
        <w:rPr>
          <w:spacing w:val="-3"/>
        </w:rPr>
      </w:pPr>
    </w:p>
    <w:p w14:paraId="78D467BA"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Somboonsu</w:t>
      </w:r>
      <w:r w:rsidR="00CC453A" w:rsidRPr="002A32D0">
        <w:rPr>
          <w:spacing w:val="-3"/>
        </w:rPr>
        <w:t>k</w:t>
      </w:r>
      <w:r w:rsidRPr="002A32D0">
        <w:rPr>
          <w:spacing w:val="-3"/>
        </w:rPr>
        <w:t xml:space="preserve"> K. and Trivedi R. (1985), Acta Metall 33, 1061-1068.</w:t>
      </w:r>
    </w:p>
    <w:p w14:paraId="079C4A7A"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60EC8A8C"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 xml:space="preserve">SPAEPEN, F., 1975, Acta Metall. </w:t>
      </w:r>
      <w:r w:rsidRPr="002A32D0">
        <w:rPr>
          <w:b/>
          <w:bCs/>
          <w:spacing w:val="-3"/>
        </w:rPr>
        <w:t>23</w:t>
      </w:r>
      <w:r w:rsidRPr="002A32D0">
        <w:rPr>
          <w:spacing w:val="-3"/>
        </w:rPr>
        <w:t>, 729.</w:t>
      </w:r>
    </w:p>
    <w:p w14:paraId="6D8BF712"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2D92620E"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 xml:space="preserve">SPAEPEN, F. and R.B.MEYER, 1976, Scripta Metall., </w:t>
      </w:r>
      <w:r w:rsidRPr="002A32D0">
        <w:rPr>
          <w:b/>
          <w:bCs/>
          <w:spacing w:val="-3"/>
        </w:rPr>
        <w:t>10</w:t>
      </w:r>
      <w:r w:rsidRPr="002A32D0">
        <w:rPr>
          <w:spacing w:val="-3"/>
        </w:rPr>
        <w:t>, 257.</w:t>
      </w:r>
    </w:p>
    <w:p w14:paraId="63C877F1"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1CAE55FC"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r w:rsidRPr="002A32D0">
        <w:rPr>
          <w:spacing w:val="-3"/>
        </w:rPr>
        <w:t xml:space="preserve">SPAEPEN, F., 1994, Homogeneous nucleation and the temperature dependence of the crystal-melt interfacial tension, in: Solid State Physics, edited by H. Ehrenreich and D. Turnbull, </w:t>
      </w:r>
      <w:r w:rsidRPr="002A32D0">
        <w:rPr>
          <w:b/>
          <w:bCs/>
          <w:spacing w:val="-3"/>
        </w:rPr>
        <w:t>47</w:t>
      </w:r>
      <w:r w:rsidRPr="002A32D0">
        <w:rPr>
          <w:spacing w:val="-3"/>
        </w:rPr>
        <w:t>, 1-32.</w:t>
      </w:r>
    </w:p>
    <w:p w14:paraId="67255A91"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1F106B75"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Spinelli, J. E., Ferreira, I.L, and Garcia, A., (2005), in: 6th World World Congresses of Structural and Multidisciplinary Optimization, Rio de Janeiro, Brazil.</w:t>
      </w:r>
    </w:p>
    <w:p w14:paraId="51583024"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3F3BBD61"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STEEN, H. A. H., and A. HELLAWELL, 1975, Acta Metall. 23, 529.</w:t>
      </w:r>
    </w:p>
    <w:p w14:paraId="71DD0615"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p>
    <w:p w14:paraId="473F3749"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r w:rsidRPr="002A32D0">
        <w:rPr>
          <w:spacing w:val="-3"/>
        </w:rPr>
        <w:t xml:space="preserve">STEFANESCU, D.M. and B.K.DHINDAW, 1988a, Metals Handbook 9th.ed., (ASM, Metals Park, OH) </w:t>
      </w:r>
      <w:r w:rsidRPr="002A32D0">
        <w:rPr>
          <w:b/>
          <w:bCs/>
          <w:spacing w:val="-3"/>
        </w:rPr>
        <w:t>15</w:t>
      </w:r>
      <w:r w:rsidRPr="002A32D0">
        <w:rPr>
          <w:spacing w:val="-3"/>
        </w:rPr>
        <w:t xml:space="preserve"> </w:t>
      </w:r>
      <w:r w:rsidRPr="002A32D0">
        <w:rPr>
          <w:b/>
          <w:bCs/>
          <w:spacing w:val="-3"/>
        </w:rPr>
        <w:t>"Casting",</w:t>
      </w:r>
      <w:r w:rsidRPr="002A32D0">
        <w:rPr>
          <w:spacing w:val="-3"/>
        </w:rPr>
        <w:t xml:space="preserve"> p.142.</w:t>
      </w:r>
    </w:p>
    <w:p w14:paraId="5F38B579"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p>
    <w:p w14:paraId="1D96C783" w14:textId="77777777" w:rsidR="00F7556C" w:rsidRPr="002A32D0" w:rsidRDefault="00F7556C" w:rsidP="00F7556C">
      <w:pPr>
        <w:tabs>
          <w:tab w:val="left" w:pos="-1172"/>
          <w:tab w:val="left" w:pos="-720"/>
          <w:tab w:val="left" w:pos="0"/>
          <w:tab w:val="left" w:pos="714"/>
          <w:tab w:val="left" w:pos="2160"/>
        </w:tabs>
        <w:suppressAutoHyphens/>
        <w:ind w:left="714" w:hanging="714"/>
        <w:jc w:val="both"/>
        <w:rPr>
          <w:spacing w:val="-3"/>
        </w:rPr>
      </w:pPr>
      <w:r w:rsidRPr="002A32D0">
        <w:rPr>
          <w:spacing w:val="-3"/>
        </w:rPr>
        <w:t xml:space="preserve">STEFANESCU, D. M., R.HUMMER and E.NECHTELBERGER, 1988, Metals Handbook, 9th. ed., (ASM, Metals Park, OH) </w:t>
      </w:r>
      <w:r w:rsidRPr="002A32D0">
        <w:rPr>
          <w:b/>
          <w:bCs/>
          <w:spacing w:val="-3"/>
        </w:rPr>
        <w:t>15</w:t>
      </w:r>
      <w:r w:rsidRPr="002A32D0">
        <w:rPr>
          <w:spacing w:val="-3"/>
        </w:rPr>
        <w:t xml:space="preserve">, </w:t>
      </w:r>
      <w:r w:rsidRPr="002A32D0">
        <w:rPr>
          <w:b/>
          <w:bCs/>
          <w:spacing w:val="-3"/>
        </w:rPr>
        <w:t>"Casting"</w:t>
      </w:r>
      <w:r w:rsidRPr="002A32D0">
        <w:rPr>
          <w:spacing w:val="-3"/>
        </w:rPr>
        <w:t>, 667.</w:t>
      </w:r>
    </w:p>
    <w:p w14:paraId="3C70BD4A"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p>
    <w:p w14:paraId="4C1A8B69" w14:textId="77777777" w:rsidR="00F7556C" w:rsidRPr="002A32D0" w:rsidRDefault="00F7556C" w:rsidP="00F7556C">
      <w:pPr>
        <w:tabs>
          <w:tab w:val="left" w:pos="-1172"/>
          <w:tab w:val="left" w:pos="-720"/>
          <w:tab w:val="left" w:pos="0"/>
          <w:tab w:val="left" w:pos="714"/>
          <w:tab w:val="left" w:pos="2160"/>
        </w:tabs>
        <w:suppressAutoHyphens/>
        <w:ind w:left="714" w:hanging="714"/>
        <w:jc w:val="both"/>
        <w:rPr>
          <w:spacing w:val="-3"/>
        </w:rPr>
      </w:pPr>
      <w:r w:rsidRPr="002A32D0">
        <w:rPr>
          <w:spacing w:val="-3"/>
        </w:rPr>
        <w:t xml:space="preserve">STEFANESCU, D.M., 1988, Metals Handbook, 9th.ed., (ASM, Metals Park, OH) </w:t>
      </w:r>
      <w:r w:rsidRPr="002A32D0">
        <w:rPr>
          <w:b/>
          <w:bCs/>
          <w:spacing w:val="-3"/>
        </w:rPr>
        <w:t>15 "Casting"</w:t>
      </w:r>
      <w:r w:rsidRPr="002A32D0">
        <w:rPr>
          <w:spacing w:val="-3"/>
        </w:rPr>
        <w:t>, 168.</w:t>
      </w:r>
    </w:p>
    <w:p w14:paraId="31631895"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p>
    <w:p w14:paraId="41B2D303"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r w:rsidRPr="002A32D0">
        <w:rPr>
          <w:spacing w:val="-3"/>
        </w:rPr>
        <w:lastRenderedPageBreak/>
        <w:t xml:space="preserve">STEFANESCU,D. M., G.UPADHYA and D. BANDYOPADHYAY ( Banerjee), 1990, Metall.Trans. </w:t>
      </w:r>
      <w:r w:rsidRPr="002A32D0">
        <w:rPr>
          <w:b/>
          <w:bCs/>
          <w:spacing w:val="-3"/>
        </w:rPr>
        <w:t>21A</w:t>
      </w:r>
      <w:r w:rsidRPr="002A32D0">
        <w:rPr>
          <w:spacing w:val="-3"/>
        </w:rPr>
        <w:t>, 993.</w:t>
      </w:r>
    </w:p>
    <w:p w14:paraId="0455ED7D"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p>
    <w:p w14:paraId="6F848E41" w14:textId="17E292B3" w:rsidR="00F7556C" w:rsidRPr="002A32D0" w:rsidRDefault="00F7556C" w:rsidP="00F7556C">
      <w:pPr>
        <w:tabs>
          <w:tab w:val="left" w:pos="-1172"/>
          <w:tab w:val="left" w:pos="-720"/>
          <w:tab w:val="left" w:pos="0"/>
          <w:tab w:val="left" w:pos="737"/>
          <w:tab w:val="left" w:pos="2160"/>
        </w:tabs>
        <w:suppressAutoHyphens/>
        <w:rPr>
          <w:spacing w:val="-3"/>
        </w:rPr>
      </w:pPr>
      <w:r w:rsidRPr="002A32D0">
        <w:rPr>
          <w:spacing w:val="-3"/>
        </w:rPr>
        <w:t>Stefanescu, D.M., 20</w:t>
      </w:r>
      <w:r w:rsidR="004C4362">
        <w:rPr>
          <w:spacing w:val="-3"/>
        </w:rPr>
        <w:t>15</w:t>
      </w:r>
      <w:r w:rsidRPr="002A32D0">
        <w:rPr>
          <w:spacing w:val="-3"/>
        </w:rPr>
        <w:t xml:space="preserve">, “Science and Engineering of Casting Solidification”, </w:t>
      </w:r>
      <w:r w:rsidR="004C4362">
        <w:rPr>
          <w:spacing w:val="-3"/>
        </w:rPr>
        <w:t>3</w:t>
      </w:r>
      <w:r w:rsidR="004C4362">
        <w:rPr>
          <w:spacing w:val="-3"/>
          <w:vertAlign w:val="superscript"/>
        </w:rPr>
        <w:t>rd</w:t>
      </w:r>
      <w:r w:rsidRPr="002A32D0">
        <w:rPr>
          <w:spacing w:val="-3"/>
        </w:rPr>
        <w:t xml:space="preserve"> edition, Springer, NY.</w:t>
      </w:r>
    </w:p>
    <w:p w14:paraId="4B523625" w14:textId="77777777" w:rsidR="00F7556C" w:rsidRPr="002A32D0" w:rsidRDefault="00F7556C" w:rsidP="00F7556C">
      <w:pPr>
        <w:tabs>
          <w:tab w:val="left" w:pos="-1172"/>
          <w:tab w:val="left" w:pos="-720"/>
          <w:tab w:val="left" w:pos="0"/>
          <w:tab w:val="left" w:pos="737"/>
          <w:tab w:val="left" w:pos="2160"/>
        </w:tabs>
        <w:suppressAutoHyphens/>
        <w:rPr>
          <w:spacing w:val="-3"/>
        </w:rPr>
      </w:pPr>
    </w:p>
    <w:p w14:paraId="2BF3FDE3"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Steinbach I., Pezzolla F., Nestler B., Sesselberg M., Prieler R., Schmitz G. J. and Rezende J. L. L.  (1996), A phase field concept for multiphase systems.  Physica  D94, 135-147.</w:t>
      </w:r>
    </w:p>
    <w:p w14:paraId="4A5FBC24"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55C18047"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Stefanescu D. M. (2010), Science and engineering of casting solidification (2nd edn.). New York: Springer.</w:t>
      </w:r>
    </w:p>
    <w:p w14:paraId="7B62FD67"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1FA061EA"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Stefanescu, D.M, 2005, Computer simulation of shrinkage related defects in castings - a review, Intl. J. Cast Met. Res. 18 129-143.</w:t>
      </w:r>
    </w:p>
    <w:p w14:paraId="66D90D78"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2FE6AF07" w14:textId="77777777" w:rsidR="00F7556C" w:rsidRPr="002A32D0" w:rsidRDefault="00F7556C" w:rsidP="00F7556C">
      <w:pPr>
        <w:tabs>
          <w:tab w:val="left" w:pos="-1172"/>
          <w:tab w:val="left" w:pos="-720"/>
          <w:tab w:val="left" w:pos="0"/>
          <w:tab w:val="left" w:pos="714"/>
          <w:tab w:val="left" w:pos="2160"/>
        </w:tabs>
        <w:suppressAutoHyphens/>
        <w:ind w:left="714" w:hanging="714"/>
        <w:jc w:val="both"/>
        <w:rPr>
          <w:spacing w:val="-3"/>
        </w:rPr>
      </w:pPr>
      <w:r w:rsidRPr="002A32D0">
        <w:rPr>
          <w:spacing w:val="-3"/>
        </w:rPr>
        <w:t xml:space="preserve">SUBRAMANIAN,S.V., D.A.R. KAY and G.R.PURDY, 1985, in: Physical Metallurgy of Cast Irons, eds. H.Fredriksson and M.Hillert (North Holland),  p. 47. </w:t>
      </w:r>
    </w:p>
    <w:p w14:paraId="3FD571BD"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7A794376"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Suri, V.K., Paul, A.J., El-Kaddah, N., and Berry, J.T. (1994), “Determination of correlation factors for prediction of shrinkage in castings. Part I: Prediction of microporosity in castings: a generalized criterion”, AFS Trans 138: 861-867.</w:t>
      </w:r>
    </w:p>
    <w:p w14:paraId="0A9FE5F1"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33450E2A"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Takatani, H., Gandin, C., and Rappaz, M., 2000, Acta Mater., 48, 675-688.</w:t>
      </w:r>
    </w:p>
    <w:p w14:paraId="7B3D4343"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784A51A7"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r w:rsidRPr="002A32D0">
        <w:rPr>
          <w:spacing w:val="-3"/>
          <w:lang w:val="de-DE"/>
        </w:rPr>
        <w:t xml:space="preserve">TAMMANN, G., and A. A. BOTSCHWAR, 1926, Z. Anorg. </w:t>
      </w:r>
      <w:r w:rsidRPr="002A32D0">
        <w:rPr>
          <w:spacing w:val="-3"/>
        </w:rPr>
        <w:t xml:space="preserve">Chem. </w:t>
      </w:r>
      <w:r w:rsidRPr="002A32D0">
        <w:rPr>
          <w:b/>
          <w:bCs/>
          <w:spacing w:val="-3"/>
        </w:rPr>
        <w:t xml:space="preserve">157, </w:t>
      </w:r>
      <w:r w:rsidRPr="002A32D0">
        <w:rPr>
          <w:spacing w:val="-3"/>
        </w:rPr>
        <w:t>27.</w:t>
      </w:r>
    </w:p>
    <w:p w14:paraId="562B7EA9"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p>
    <w:p w14:paraId="5DA6F122"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 xml:space="preserve">TASSA, M. and J. D. HUNT, 1976, J. Cryst. Growth </w:t>
      </w:r>
      <w:r w:rsidRPr="002A32D0">
        <w:rPr>
          <w:b/>
          <w:bCs/>
          <w:spacing w:val="-3"/>
        </w:rPr>
        <w:t xml:space="preserve">34, </w:t>
      </w:r>
      <w:r w:rsidRPr="002A32D0">
        <w:rPr>
          <w:spacing w:val="-3"/>
        </w:rPr>
        <w:t>38.</w:t>
      </w:r>
    </w:p>
    <w:p w14:paraId="687D9A16"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358D3E0C"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r w:rsidRPr="002A32D0">
        <w:rPr>
          <w:spacing w:val="-3"/>
        </w:rPr>
        <w:t>TEMKIN, D. E., 1964, Crystallization Processes (Tranl. by Consultants Bureau, New York, 1966) p. 15.</w:t>
      </w:r>
    </w:p>
    <w:p w14:paraId="06921619"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p>
    <w:p w14:paraId="2D66785A"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TEMKIN, D. E., 1969, Sov. Phys. Crystallogr.</w:t>
      </w:r>
      <w:r w:rsidRPr="002A32D0">
        <w:rPr>
          <w:b/>
          <w:bCs/>
          <w:spacing w:val="-3"/>
        </w:rPr>
        <w:t xml:space="preserve"> 14</w:t>
      </w:r>
      <w:r w:rsidRPr="002A32D0">
        <w:rPr>
          <w:spacing w:val="-3"/>
        </w:rPr>
        <w:t>, 344.</w:t>
      </w:r>
    </w:p>
    <w:p w14:paraId="4F23E22C"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2EA884C8"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r w:rsidRPr="002A32D0">
        <w:rPr>
          <w:spacing w:val="-3"/>
        </w:rPr>
        <w:t xml:space="preserve">THEVOZ, Ph., J. L. DESBIOLLES, and M. RAPPAZ, 1989, Metall.Trans. </w:t>
      </w:r>
      <w:r w:rsidRPr="002A32D0">
        <w:rPr>
          <w:b/>
          <w:bCs/>
          <w:spacing w:val="-3"/>
        </w:rPr>
        <w:t>20A</w:t>
      </w:r>
      <w:r w:rsidRPr="002A32D0">
        <w:rPr>
          <w:spacing w:val="-3"/>
        </w:rPr>
        <w:t xml:space="preserve">, 311. See also M.RAPPAZ, 1989, Int. Mat. Rev. </w:t>
      </w:r>
      <w:r w:rsidRPr="002A32D0">
        <w:rPr>
          <w:b/>
          <w:bCs/>
          <w:spacing w:val="-3"/>
        </w:rPr>
        <w:t>34</w:t>
      </w:r>
      <w:r w:rsidRPr="002A32D0">
        <w:rPr>
          <w:spacing w:val="-3"/>
        </w:rPr>
        <w:t>, 93.</w:t>
      </w:r>
    </w:p>
    <w:p w14:paraId="11FABB7C"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p>
    <w:p w14:paraId="5AF73AD1"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r w:rsidRPr="002A32D0">
        <w:rPr>
          <w:spacing w:val="-3"/>
        </w:rPr>
        <w:t xml:space="preserve">THOMPSON, C. V. and F. SPAEPEN, 1983, Acta Metall. </w:t>
      </w:r>
      <w:r w:rsidRPr="002A32D0">
        <w:rPr>
          <w:b/>
          <w:bCs/>
          <w:spacing w:val="-3"/>
        </w:rPr>
        <w:t>31</w:t>
      </w:r>
      <w:r w:rsidRPr="002A32D0">
        <w:rPr>
          <w:spacing w:val="-3"/>
        </w:rPr>
        <w:t>, 2021.</w:t>
      </w:r>
    </w:p>
    <w:p w14:paraId="5CF1CA23"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p>
    <w:p w14:paraId="42E49155"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Tian, H. and Stefanescu, D.M., 1993, in: Modeling of Casting, Welding, and Advanced Solidification Processes-VI, T.S. Piwonka, V. Voller, and L. Katgerman eds., TMS, Warrendale, PA.</w:t>
      </w:r>
    </w:p>
    <w:p w14:paraId="55A843F1"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33435B21"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r w:rsidRPr="002A32D0">
        <w:rPr>
          <w:spacing w:val="-3"/>
        </w:rPr>
        <w:t>TILLER, W. A., 1958, in: Liquid Metals and Solidification (ASM, Metals Park, OH) p.276.</w:t>
      </w:r>
    </w:p>
    <w:p w14:paraId="3A0BCE04"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p>
    <w:p w14:paraId="71EB3ECD"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 xml:space="preserve">TILLER, W.A., K.A.JACKSON, J.W.RUTTER and B.CHALMERS, 1953, Acta Metall. </w:t>
      </w:r>
      <w:r w:rsidRPr="002A32D0">
        <w:rPr>
          <w:b/>
          <w:bCs/>
          <w:spacing w:val="-3"/>
        </w:rPr>
        <w:t>1</w:t>
      </w:r>
      <w:r w:rsidRPr="002A32D0">
        <w:rPr>
          <w:spacing w:val="-3"/>
        </w:rPr>
        <w:t>, 453.</w:t>
      </w:r>
    </w:p>
    <w:p w14:paraId="68D52605"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54208F37" w14:textId="77777777" w:rsidR="00F37088" w:rsidRPr="002A32D0" w:rsidRDefault="00F37088" w:rsidP="00F7556C">
      <w:pPr>
        <w:tabs>
          <w:tab w:val="left" w:pos="-1172"/>
          <w:tab w:val="left" w:pos="-720"/>
          <w:tab w:val="left" w:pos="0"/>
          <w:tab w:val="left" w:pos="714"/>
          <w:tab w:val="left" w:pos="2160"/>
        </w:tabs>
        <w:suppressAutoHyphens/>
        <w:rPr>
          <w:spacing w:val="-3"/>
        </w:rPr>
      </w:pPr>
      <w:r w:rsidRPr="002A32D0">
        <w:rPr>
          <w:spacing w:val="-3"/>
        </w:rPr>
        <w:t>TILLER, W. A., and J. W. RUTTER, 1956, Can. J. Phys. 34, 96.</w:t>
      </w:r>
    </w:p>
    <w:p w14:paraId="0023256C" w14:textId="77777777" w:rsidR="00F37088" w:rsidRPr="002A32D0" w:rsidRDefault="00F37088" w:rsidP="00F7556C">
      <w:pPr>
        <w:tabs>
          <w:tab w:val="left" w:pos="-1172"/>
          <w:tab w:val="left" w:pos="-720"/>
          <w:tab w:val="left" w:pos="0"/>
          <w:tab w:val="left" w:pos="714"/>
          <w:tab w:val="left" w:pos="2160"/>
        </w:tabs>
        <w:suppressAutoHyphens/>
        <w:rPr>
          <w:spacing w:val="-3"/>
        </w:rPr>
      </w:pPr>
    </w:p>
    <w:p w14:paraId="5F5F5E0C"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 xml:space="preserve">Tolman R.C. (1949). J. Chem. Phys. 17, 333. </w:t>
      </w:r>
    </w:p>
    <w:p w14:paraId="68A7ECF1"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0D39C813"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 xml:space="preserve">TOLOUI, B. and A. HELLAWELL, 1976, Acta Metall. </w:t>
      </w:r>
      <w:r w:rsidRPr="002A32D0">
        <w:rPr>
          <w:b/>
          <w:bCs/>
          <w:spacing w:val="-3"/>
        </w:rPr>
        <w:t xml:space="preserve">24 </w:t>
      </w:r>
      <w:r w:rsidRPr="002A32D0">
        <w:rPr>
          <w:spacing w:val="-3"/>
        </w:rPr>
        <w:t>565.</w:t>
      </w:r>
    </w:p>
    <w:p w14:paraId="7CBD314D"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01196437"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Tong X and Beckermann C, 1998, A diffusion boundary layer model of microsegregation, J. Cryst. Growth 187, 289-302.</w:t>
      </w:r>
    </w:p>
    <w:p w14:paraId="46265497"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4788110E"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r w:rsidRPr="002A32D0">
        <w:rPr>
          <w:spacing w:val="-3"/>
        </w:rPr>
        <w:t xml:space="preserve">TRAJAN, P.K., 1988, in: Metals Handbook,9th. ed., (ASM, Metals Park, OH) </w:t>
      </w:r>
      <w:r w:rsidRPr="002A32D0">
        <w:rPr>
          <w:b/>
          <w:bCs/>
          <w:spacing w:val="-3"/>
        </w:rPr>
        <w:t>15</w:t>
      </w:r>
      <w:r w:rsidRPr="002A32D0">
        <w:rPr>
          <w:spacing w:val="-3"/>
        </w:rPr>
        <w:t xml:space="preserve">, </w:t>
      </w:r>
      <w:r w:rsidRPr="002A32D0">
        <w:rPr>
          <w:b/>
          <w:bCs/>
          <w:spacing w:val="-3"/>
        </w:rPr>
        <w:t>"Casting"</w:t>
      </w:r>
      <w:r w:rsidRPr="002A32D0">
        <w:rPr>
          <w:spacing w:val="-3"/>
        </w:rPr>
        <w:t>,         p.88.</w:t>
      </w:r>
    </w:p>
    <w:p w14:paraId="4A03101D"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p>
    <w:p w14:paraId="728E140E"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 xml:space="preserve">TRIVEDI, R. and K. SOMBOONSUK, 1984, Mat. Sci. and Eng. </w:t>
      </w:r>
      <w:r w:rsidRPr="002A32D0">
        <w:rPr>
          <w:b/>
          <w:bCs/>
          <w:spacing w:val="-3"/>
        </w:rPr>
        <w:t xml:space="preserve">65, </w:t>
      </w:r>
      <w:r w:rsidRPr="002A32D0">
        <w:rPr>
          <w:spacing w:val="-3"/>
        </w:rPr>
        <w:t>65.</w:t>
      </w:r>
    </w:p>
    <w:p w14:paraId="4FA45006"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p>
    <w:p w14:paraId="6D9EE898"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r w:rsidRPr="002A32D0">
        <w:rPr>
          <w:spacing w:val="-3"/>
        </w:rPr>
        <w:t xml:space="preserve">TRIVEDI, R, P. MAGNIN, and W. KURZ, 1987, Acta Metall. </w:t>
      </w:r>
      <w:r w:rsidRPr="002A32D0">
        <w:rPr>
          <w:b/>
          <w:bCs/>
          <w:spacing w:val="-3"/>
        </w:rPr>
        <w:t xml:space="preserve">35, </w:t>
      </w:r>
      <w:r w:rsidRPr="002A32D0">
        <w:rPr>
          <w:spacing w:val="-3"/>
        </w:rPr>
        <w:t>971.</w:t>
      </w:r>
    </w:p>
    <w:p w14:paraId="044DF713"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p>
    <w:p w14:paraId="3E0C3E16"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r w:rsidRPr="002A32D0">
        <w:rPr>
          <w:spacing w:val="-3"/>
        </w:rPr>
        <w:t>TRIVEDI, R., and W. KURZ, 1988, in Solidification Processing of Eutectic Alloys, edited by D. M. Stefanescu, G. J. Abbaschian and R. J. Bayuzick, The Metallurgical Society, Warrendale, PA, p.3.</w:t>
      </w:r>
    </w:p>
    <w:p w14:paraId="76B6B5F2"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p>
    <w:p w14:paraId="5A6EEA97"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r w:rsidRPr="002A32D0">
        <w:rPr>
          <w:spacing w:val="-3"/>
        </w:rPr>
        <w:t xml:space="preserve">Trivedi R ,1995, Theory of layered-structure formation in peritectic systems, Metall. &amp; Matls Trans A- 26  1583-1590.   </w:t>
      </w:r>
    </w:p>
    <w:p w14:paraId="6C2A8F6D"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37CD2A01"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 xml:space="preserve">Trivedi R., Shen Y., and Liu S., (2003), Cellular-to-dendritic transition during the directional solidification of binary alloys, Metall. and Matls. Trans. A </w:t>
      </w:r>
      <w:r w:rsidRPr="002A32D0">
        <w:rPr>
          <w:b/>
          <w:spacing w:val="-3"/>
        </w:rPr>
        <w:t>34</w:t>
      </w:r>
      <w:r w:rsidRPr="002A32D0">
        <w:rPr>
          <w:spacing w:val="-3"/>
        </w:rPr>
        <w:t>, 395-401.</w:t>
      </w:r>
    </w:p>
    <w:p w14:paraId="54D1474C"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p>
    <w:p w14:paraId="7BA90DC4"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Trojan, P.K. and Fruehan, R. (2008), in: ASM Handbook, Volume 15, pp. 74-83.</w:t>
      </w:r>
    </w:p>
    <w:p w14:paraId="1F820C45"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5B1D747A"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r w:rsidRPr="002A32D0">
        <w:rPr>
          <w:spacing w:val="-3"/>
        </w:rPr>
        <w:t xml:space="preserve">Tszeng TC; Im YT; Kobayashi S, 1989, Thermal-Analysis Of Solidification by The Temperature Recovery Method ,  International Journal Of Machine Tools &amp;Manufacture  29  107-120 </w:t>
      </w:r>
    </w:p>
    <w:p w14:paraId="140A5C1E"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p>
    <w:p w14:paraId="6C7C9EAC"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 xml:space="preserve">Turnbull D, (1950), Kinetics of Heterogeneous Nucleation  J. Chem. Phys. 18, 198-203. </w:t>
      </w:r>
    </w:p>
    <w:p w14:paraId="03E01A09"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47536DF6"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TURNBULL, D. and R. E. CECH, 1950, J. Appl. Phys.</w:t>
      </w:r>
      <w:r w:rsidRPr="002A32D0">
        <w:rPr>
          <w:b/>
          <w:bCs/>
          <w:spacing w:val="-3"/>
        </w:rPr>
        <w:t xml:space="preserve"> 21</w:t>
      </w:r>
      <w:r w:rsidRPr="002A32D0">
        <w:rPr>
          <w:spacing w:val="-3"/>
        </w:rPr>
        <w:t xml:space="preserve">, 804. </w:t>
      </w:r>
    </w:p>
    <w:p w14:paraId="66AE5407"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48DA6C54"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 xml:space="preserve">TURNBULL, D., 1962, J. Chem. Phys. </w:t>
      </w:r>
      <w:r w:rsidRPr="002A32D0">
        <w:rPr>
          <w:b/>
          <w:bCs/>
          <w:spacing w:val="-3"/>
        </w:rPr>
        <w:t>66</w:t>
      </w:r>
      <w:r w:rsidRPr="002A32D0">
        <w:rPr>
          <w:spacing w:val="-3"/>
        </w:rPr>
        <w:t>, 609.</w:t>
      </w:r>
    </w:p>
    <w:p w14:paraId="7E7ABFE8"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46212EFA"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p>
    <w:p w14:paraId="021404DD"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r w:rsidRPr="002A32D0">
        <w:rPr>
          <w:spacing w:val="-3"/>
        </w:rPr>
        <w:t>TURNBULL, D. and B. G. BAGLEY, 1975, in: Treatise on Solid State</w:t>
      </w:r>
      <w:r w:rsidRPr="002A32D0">
        <w:rPr>
          <w:spacing w:val="-3"/>
          <w:u w:val="single"/>
        </w:rPr>
        <w:t xml:space="preserve"> </w:t>
      </w:r>
      <w:r w:rsidRPr="002A32D0">
        <w:rPr>
          <w:spacing w:val="-3"/>
        </w:rPr>
        <w:t>Chemistry, vol. 5,  edited by N. B. Hannay, (Plenum, NY), p. 513.</w:t>
      </w:r>
    </w:p>
    <w:p w14:paraId="550B562B"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p>
    <w:p w14:paraId="2EF59F31"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1FE8F70A"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Tyler, D.E. and Watson, W.G., 1995, in: Proceedings of the 1995 International Conference &amp; Exhibition on Powder Metallurgy and Particulate Materials, pp. 7-99—7-107.</w:t>
      </w:r>
    </w:p>
    <w:p w14:paraId="475A051D"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6382F224"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r w:rsidRPr="002A32D0">
        <w:rPr>
          <w:spacing w:val="-3"/>
        </w:rPr>
        <w:t xml:space="preserve">UNGAR, L.H. and R.A. BROWN, 1985, Phys. Rev. B, </w:t>
      </w:r>
      <w:r w:rsidRPr="002A32D0">
        <w:rPr>
          <w:b/>
          <w:bCs/>
          <w:spacing w:val="-3"/>
        </w:rPr>
        <w:t>31</w:t>
      </w:r>
      <w:r w:rsidRPr="002A32D0">
        <w:rPr>
          <w:spacing w:val="-3"/>
        </w:rPr>
        <w:t>, 5931.</w:t>
      </w:r>
    </w:p>
    <w:p w14:paraId="3190294B"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p>
    <w:p w14:paraId="028CF066"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Upadhya, G., Banerjee, D.K., Stefanescu, D.M., Hill, J.L., 1990, “Heat Treatment-Solidification Kinetics Modeling of Structural Transitions: Chill Formation in Gray Iron”, AFS Transactions, 156, pp. 699-706.</w:t>
      </w:r>
    </w:p>
    <w:p w14:paraId="73EF3DD6"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3C243135"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van de Walle A. and Ceder G. (2002), Automating First-Principles Phase Diagram Calculations, Journal of Phase Equilibria 23 348-359.</w:t>
      </w:r>
    </w:p>
    <w:p w14:paraId="53808F66"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060A3165" w14:textId="77777777" w:rsidR="00F7556C" w:rsidRPr="002A32D0" w:rsidRDefault="00F7556C" w:rsidP="00F7556C">
      <w:pPr>
        <w:suppressAutoHyphens/>
        <w:jc w:val="both"/>
        <w:rPr>
          <w:spacing w:val="-3"/>
        </w:rPr>
      </w:pPr>
      <w:r w:rsidRPr="002A32D0">
        <w:rPr>
          <w:spacing w:val="-3"/>
        </w:rPr>
        <w:t xml:space="preserve">Vandyoussefi M., Kerr H.W.,  Kurz W. (2000), Two-phase growth in peritectic Fe-Ni alloys, Acta Materialia  </w:t>
      </w:r>
      <w:r w:rsidRPr="002A32D0">
        <w:rPr>
          <w:b/>
          <w:spacing w:val="-3"/>
        </w:rPr>
        <w:t>48</w:t>
      </w:r>
      <w:r w:rsidRPr="002A32D0">
        <w:rPr>
          <w:spacing w:val="-3"/>
        </w:rPr>
        <w:t xml:space="preserve"> , 2297-2306.</w:t>
      </w:r>
    </w:p>
    <w:p w14:paraId="5015B466" w14:textId="77777777" w:rsidR="00F7556C" w:rsidRPr="002A32D0" w:rsidRDefault="00F7556C" w:rsidP="00F7556C">
      <w:pPr>
        <w:suppressAutoHyphens/>
        <w:jc w:val="both"/>
        <w:rPr>
          <w:spacing w:val="-3"/>
        </w:rPr>
      </w:pPr>
    </w:p>
    <w:p w14:paraId="6BB69C8C"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Vayrynen, P., Wang, S., Louhenkilpi, S., and Holappa, L., 2009, Materials Science and Technology, October 25-29, 2009, Pittsburgh, PA.</w:t>
      </w:r>
    </w:p>
    <w:p w14:paraId="57A08B7D"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45141227"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r w:rsidRPr="002A32D0">
        <w:rPr>
          <w:spacing w:val="-3"/>
        </w:rPr>
        <w:t xml:space="preserve">VERHOEVEN, J. D., and E. D. GIBSON, 1978, J. Mat. Sci </w:t>
      </w:r>
      <w:r w:rsidRPr="002A32D0">
        <w:rPr>
          <w:b/>
          <w:bCs/>
          <w:spacing w:val="-3"/>
        </w:rPr>
        <w:t xml:space="preserve">13, </w:t>
      </w:r>
      <w:r w:rsidRPr="002A32D0">
        <w:rPr>
          <w:spacing w:val="-3"/>
        </w:rPr>
        <w:t>1576.</w:t>
      </w:r>
    </w:p>
    <w:p w14:paraId="2E09308B"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p>
    <w:p w14:paraId="31981E30"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r w:rsidRPr="002A32D0">
        <w:rPr>
          <w:spacing w:val="-3"/>
        </w:rPr>
        <w:t xml:space="preserve">VERHOEVEN, J.D., W.N.GILL, J.A.PUSZYNSKI and R.M.GINDE, 1988, J. Cryst. Growth </w:t>
      </w:r>
      <w:r w:rsidRPr="002A32D0">
        <w:rPr>
          <w:b/>
          <w:bCs/>
          <w:spacing w:val="-3"/>
        </w:rPr>
        <w:t>89</w:t>
      </w:r>
      <w:r w:rsidRPr="002A32D0">
        <w:rPr>
          <w:spacing w:val="-3"/>
        </w:rPr>
        <w:t>, 205.</w:t>
      </w:r>
    </w:p>
    <w:p w14:paraId="33CADB2C"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p>
    <w:p w14:paraId="0847089F"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r w:rsidRPr="002A32D0">
        <w:rPr>
          <w:spacing w:val="-3"/>
        </w:rPr>
        <w:t xml:space="preserve">VERHOEVEN, J.D., W.N.GILL, J.A.PUSZYNSKI and R.M.GINDE, 1989, J. Cryst. Growth </w:t>
      </w:r>
      <w:r w:rsidRPr="002A32D0">
        <w:rPr>
          <w:b/>
          <w:bCs/>
          <w:spacing w:val="-3"/>
        </w:rPr>
        <w:t>97</w:t>
      </w:r>
      <w:r w:rsidRPr="002A32D0">
        <w:rPr>
          <w:spacing w:val="-3"/>
        </w:rPr>
        <w:t xml:space="preserve">, 254. </w:t>
      </w:r>
    </w:p>
    <w:p w14:paraId="282262E0"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p>
    <w:p w14:paraId="4A37FE2C"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Voller, V.R. (1998). Can. Metall. Q., 37, 169-?.</w:t>
      </w:r>
    </w:p>
    <w:p w14:paraId="611EACCF"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70D85E55"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 xml:space="preserve">VOLMER, M. I., and M. MARDER, 1931, Z. Phys. Chem. </w:t>
      </w:r>
      <w:r w:rsidRPr="002A32D0">
        <w:rPr>
          <w:b/>
          <w:bCs/>
          <w:spacing w:val="-3"/>
        </w:rPr>
        <w:t>A154</w:t>
      </w:r>
      <w:r w:rsidRPr="002A32D0">
        <w:rPr>
          <w:spacing w:val="-3"/>
        </w:rPr>
        <w:t>, 97.</w:t>
      </w:r>
    </w:p>
    <w:p w14:paraId="37A7DA9D"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3D7A9D11"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VOORHEES, P. W., 1990, Metall. Trans.</w:t>
      </w:r>
      <w:r w:rsidRPr="002A32D0">
        <w:rPr>
          <w:b/>
          <w:bCs/>
          <w:spacing w:val="-3"/>
        </w:rPr>
        <w:t xml:space="preserve"> 21A</w:t>
      </w:r>
      <w:r w:rsidRPr="002A32D0">
        <w:rPr>
          <w:spacing w:val="-3"/>
        </w:rPr>
        <w:t>, 27.</w:t>
      </w:r>
    </w:p>
    <w:p w14:paraId="23E85B76"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24097FE2"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 xml:space="preserve">WALTON, D. and B.CHALMERS, 1959, Trans.Met.Soc.AIME </w:t>
      </w:r>
      <w:r w:rsidRPr="002A32D0">
        <w:rPr>
          <w:b/>
          <w:bCs/>
          <w:spacing w:val="-3"/>
        </w:rPr>
        <w:t>188</w:t>
      </w:r>
      <w:r w:rsidRPr="002A32D0">
        <w:rPr>
          <w:spacing w:val="-3"/>
        </w:rPr>
        <w:t>, 136.</w:t>
      </w:r>
    </w:p>
    <w:p w14:paraId="1B7BB58E"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73F0C1C1"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r w:rsidRPr="002A32D0">
        <w:rPr>
          <w:spacing w:val="-3"/>
        </w:rPr>
        <w:t xml:space="preserve">WANG, C.Y. and C. BECKERMANN, 1993, Mat.Sci. and Eng., </w:t>
      </w:r>
      <w:r w:rsidRPr="002A32D0">
        <w:rPr>
          <w:b/>
          <w:bCs/>
          <w:spacing w:val="-3"/>
        </w:rPr>
        <w:t>A171</w:t>
      </w:r>
      <w:r w:rsidRPr="002A32D0">
        <w:rPr>
          <w:spacing w:val="-3"/>
        </w:rPr>
        <w:t>, 199.</w:t>
      </w:r>
    </w:p>
    <w:p w14:paraId="7645F9A7"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p>
    <w:p w14:paraId="75877546" w14:textId="77777777" w:rsidR="00D7149D" w:rsidRPr="002A32D0" w:rsidRDefault="00D7149D" w:rsidP="00F7556C">
      <w:pPr>
        <w:tabs>
          <w:tab w:val="left" w:pos="-1172"/>
          <w:tab w:val="left" w:pos="-720"/>
          <w:tab w:val="left" w:pos="0"/>
          <w:tab w:val="left" w:pos="714"/>
          <w:tab w:val="left" w:pos="2160"/>
        </w:tabs>
        <w:suppressAutoHyphens/>
        <w:ind w:left="714" w:hanging="714"/>
        <w:rPr>
          <w:spacing w:val="-3"/>
          <w:lang w:val="fr-FR"/>
        </w:rPr>
      </w:pPr>
      <w:r w:rsidRPr="002A32D0">
        <w:rPr>
          <w:spacing w:val="-3"/>
        </w:rPr>
        <w:t xml:space="preserve">c. y. wang and c. beckermann: Metall. </w:t>
      </w:r>
      <w:r w:rsidRPr="002A32D0">
        <w:rPr>
          <w:spacing w:val="-3"/>
          <w:lang w:val="fr-FR"/>
        </w:rPr>
        <w:t>Mater. T rans. A, 1996, 27A, 2765–2783.</w:t>
      </w:r>
    </w:p>
    <w:p w14:paraId="68AAF723" w14:textId="77777777" w:rsidR="00D7149D" w:rsidRPr="002A32D0" w:rsidRDefault="00D7149D" w:rsidP="00F7556C">
      <w:pPr>
        <w:tabs>
          <w:tab w:val="left" w:pos="-1172"/>
          <w:tab w:val="left" w:pos="-720"/>
          <w:tab w:val="left" w:pos="0"/>
          <w:tab w:val="left" w:pos="714"/>
          <w:tab w:val="left" w:pos="2160"/>
        </w:tabs>
        <w:suppressAutoHyphens/>
        <w:ind w:left="714" w:hanging="714"/>
        <w:rPr>
          <w:spacing w:val="-3"/>
          <w:lang w:val="fr-FR"/>
        </w:rPr>
      </w:pPr>
    </w:p>
    <w:p w14:paraId="01D7EB89"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Warren J. A. and Langer J. S. (1990). Phys. Rev. A  42, 3518-3525.</w:t>
      </w:r>
    </w:p>
    <w:p w14:paraId="537396DF"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p>
    <w:p w14:paraId="146FDA62"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Warren J .A. and Langer J. S. (1993). Phys. Rev. E  47, 2702-2712.</w:t>
      </w:r>
    </w:p>
    <w:p w14:paraId="2219A544"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4CE5D601"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Warren J. A. and Boettinger W. J. (1995), Prediction of dendritic growth and</w:t>
      </w:r>
    </w:p>
    <w:p w14:paraId="284FB5F6"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microsegregation patterns in a binary alloy using the phase-field method, Acta Met. et Mater., 43 689-703.</w:t>
      </w:r>
    </w:p>
    <w:p w14:paraId="150470CB"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6667C7BA"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lastRenderedPageBreak/>
        <w:t xml:space="preserve">Warren, JA, Kobayashi, R, Lobovsky, AE, Carter, WC (2003), Extending phase field models of solidification to polycrystalline materials,  ACTA MATERIALIA  51  6035-6058. </w:t>
      </w:r>
    </w:p>
    <w:p w14:paraId="36661C50"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0658F891"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Warren J. A., Pusztai T., Kornyei L. and Granasy L. (2009). Phys Rev B 79, 014204.</w:t>
      </w:r>
    </w:p>
    <w:p w14:paraId="1E447B70"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44404A55" w14:textId="77777777" w:rsidR="00F7556C" w:rsidRPr="002A32D0" w:rsidRDefault="00F7556C" w:rsidP="00F7556C">
      <w:pPr>
        <w:tabs>
          <w:tab w:val="left" w:pos="-1172"/>
          <w:tab w:val="left" w:pos="-720"/>
          <w:tab w:val="left" w:pos="0"/>
          <w:tab w:val="left" w:pos="714"/>
          <w:tab w:val="left" w:pos="2160"/>
        </w:tabs>
        <w:suppressAutoHyphens/>
        <w:rPr>
          <w:spacing w:val="-3"/>
          <w:lang w:val="de-DE"/>
        </w:rPr>
      </w:pPr>
      <w:r w:rsidRPr="002A32D0">
        <w:rPr>
          <w:spacing w:val="-3"/>
          <w:lang w:val="de-DE"/>
        </w:rPr>
        <w:t>WEINBERG, F., 1975, Metall.Trans.</w:t>
      </w:r>
      <w:r w:rsidRPr="002A32D0">
        <w:rPr>
          <w:b/>
          <w:bCs/>
          <w:spacing w:val="-3"/>
          <w:lang w:val="de-DE"/>
        </w:rPr>
        <w:t>6A</w:t>
      </w:r>
      <w:r w:rsidRPr="002A32D0">
        <w:rPr>
          <w:spacing w:val="-3"/>
          <w:lang w:val="de-DE"/>
        </w:rPr>
        <w:t>, 1971.</w:t>
      </w:r>
    </w:p>
    <w:p w14:paraId="71708621" w14:textId="77777777" w:rsidR="00F7556C" w:rsidRPr="002A32D0" w:rsidRDefault="00F7556C" w:rsidP="00F7556C">
      <w:pPr>
        <w:tabs>
          <w:tab w:val="left" w:pos="-1172"/>
          <w:tab w:val="left" w:pos="-720"/>
          <w:tab w:val="left" w:pos="0"/>
          <w:tab w:val="left" w:pos="714"/>
          <w:tab w:val="left" w:pos="2160"/>
        </w:tabs>
        <w:suppressAutoHyphens/>
        <w:rPr>
          <w:spacing w:val="-3"/>
          <w:lang w:val="de-DE"/>
        </w:rPr>
      </w:pPr>
    </w:p>
    <w:p w14:paraId="04D6855F" w14:textId="77777777" w:rsidR="00F7556C" w:rsidRPr="002A32D0" w:rsidRDefault="00F7556C" w:rsidP="00F7556C">
      <w:pPr>
        <w:tabs>
          <w:tab w:val="left" w:pos="-1172"/>
          <w:tab w:val="left" w:pos="-720"/>
          <w:tab w:val="left" w:pos="0"/>
          <w:tab w:val="left" w:pos="714"/>
          <w:tab w:val="left" w:pos="2160"/>
        </w:tabs>
        <w:suppressAutoHyphens/>
        <w:rPr>
          <w:spacing w:val="-3"/>
          <w:lang w:val="de-DE"/>
        </w:rPr>
      </w:pPr>
      <w:r w:rsidRPr="002A32D0">
        <w:rPr>
          <w:spacing w:val="-3"/>
        </w:rPr>
        <w:t>WEINBERG, F. and E. TEGHTSOONIAN, 1972, Metall. Trans.</w:t>
      </w:r>
      <w:r w:rsidRPr="002A32D0">
        <w:rPr>
          <w:b/>
          <w:bCs/>
          <w:spacing w:val="-3"/>
        </w:rPr>
        <w:t xml:space="preserve"> 3</w:t>
      </w:r>
      <w:r w:rsidRPr="002A32D0">
        <w:rPr>
          <w:spacing w:val="-3"/>
        </w:rPr>
        <w:t>, 93.</w:t>
      </w:r>
    </w:p>
    <w:p w14:paraId="34C737D9" w14:textId="77777777" w:rsidR="00F7556C" w:rsidRPr="002A32D0" w:rsidRDefault="00F7556C" w:rsidP="00F7556C">
      <w:pPr>
        <w:tabs>
          <w:tab w:val="left" w:pos="-1172"/>
          <w:tab w:val="left" w:pos="-720"/>
          <w:tab w:val="left" w:pos="0"/>
          <w:tab w:val="left" w:pos="714"/>
          <w:tab w:val="left" w:pos="2160"/>
        </w:tabs>
        <w:suppressAutoHyphens/>
        <w:rPr>
          <w:spacing w:val="-3"/>
          <w:lang w:val="de-DE"/>
        </w:rPr>
      </w:pPr>
    </w:p>
    <w:p w14:paraId="59B64B5C"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West, DFR (1982), Ternary equilibrium diagrams (second edition) Chapman and Hall, London.</w:t>
      </w:r>
    </w:p>
    <w:p w14:paraId="4175E5DC"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62FFEFCD" w14:textId="77777777" w:rsidR="00F7556C" w:rsidRPr="002A32D0" w:rsidRDefault="00F7556C" w:rsidP="00F7556C">
      <w:pPr>
        <w:tabs>
          <w:tab w:val="left" w:pos="-1172"/>
          <w:tab w:val="left" w:pos="-720"/>
          <w:tab w:val="left" w:pos="0"/>
          <w:tab w:val="left" w:pos="714"/>
          <w:tab w:val="left" w:pos="2160"/>
        </w:tabs>
        <w:suppressAutoHyphens/>
        <w:ind w:left="714" w:hanging="714"/>
        <w:jc w:val="both"/>
        <w:rPr>
          <w:spacing w:val="-3"/>
        </w:rPr>
      </w:pPr>
      <w:r w:rsidRPr="002A32D0">
        <w:rPr>
          <w:spacing w:val="-3"/>
        </w:rPr>
        <w:t xml:space="preserve">WETTERFALL, S.E., H.FREDRICKSSON, H. and M.HILLERT, 1972, J.Iron Steel Inst., </w:t>
      </w:r>
      <w:r w:rsidRPr="002A32D0">
        <w:rPr>
          <w:b/>
          <w:bCs/>
          <w:spacing w:val="-3"/>
        </w:rPr>
        <w:t>210</w:t>
      </w:r>
      <w:r w:rsidRPr="002A32D0">
        <w:rPr>
          <w:spacing w:val="-3"/>
        </w:rPr>
        <w:t>, 323.</w:t>
      </w:r>
    </w:p>
    <w:p w14:paraId="0F9F853C" w14:textId="77777777" w:rsidR="000154A4" w:rsidRPr="002A32D0" w:rsidRDefault="000154A4" w:rsidP="00F7556C">
      <w:pPr>
        <w:tabs>
          <w:tab w:val="left" w:pos="-1172"/>
          <w:tab w:val="left" w:pos="-720"/>
          <w:tab w:val="left" w:pos="0"/>
          <w:tab w:val="left" w:pos="714"/>
          <w:tab w:val="left" w:pos="2160"/>
        </w:tabs>
        <w:suppressAutoHyphens/>
        <w:ind w:left="714" w:hanging="714"/>
        <w:jc w:val="both"/>
        <w:rPr>
          <w:spacing w:val="-3"/>
        </w:rPr>
      </w:pPr>
    </w:p>
    <w:p w14:paraId="75C708A3" w14:textId="77777777" w:rsidR="000154A4" w:rsidRPr="002A32D0" w:rsidRDefault="000154A4" w:rsidP="00F7556C">
      <w:pPr>
        <w:tabs>
          <w:tab w:val="left" w:pos="-1172"/>
          <w:tab w:val="left" w:pos="-720"/>
          <w:tab w:val="left" w:pos="0"/>
          <w:tab w:val="left" w:pos="714"/>
          <w:tab w:val="left" w:pos="2160"/>
        </w:tabs>
        <w:suppressAutoHyphens/>
        <w:ind w:left="714" w:hanging="714"/>
        <w:jc w:val="both"/>
        <w:rPr>
          <w:spacing w:val="-3"/>
        </w:rPr>
      </w:pPr>
      <w:r w:rsidRPr="002A32D0">
        <w:rPr>
          <w:spacing w:val="-3"/>
        </w:rPr>
        <w:t>Wheeler, A.A., Boettinger, W.J., and McFadden, G.B. (1992), "A Phase Field Model for Isothermal Phase Transitions in Binary Alloys", Phys. Rev A 45 (1992) 7424-7239.</w:t>
      </w:r>
    </w:p>
    <w:p w14:paraId="6FA35E1B" w14:textId="77777777" w:rsidR="00F7556C" w:rsidRPr="002A32D0" w:rsidRDefault="00F7556C" w:rsidP="00F7556C">
      <w:pPr>
        <w:tabs>
          <w:tab w:val="left" w:pos="-1172"/>
          <w:tab w:val="left" w:pos="-720"/>
          <w:tab w:val="left" w:pos="0"/>
          <w:tab w:val="left" w:pos="714"/>
          <w:tab w:val="left" w:pos="2160"/>
        </w:tabs>
        <w:suppressAutoHyphens/>
        <w:jc w:val="both"/>
        <w:rPr>
          <w:spacing w:val="-3"/>
        </w:rPr>
      </w:pPr>
    </w:p>
    <w:p w14:paraId="695E2C9D"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r w:rsidRPr="002A32D0">
        <w:rPr>
          <w:spacing w:val="-3"/>
        </w:rPr>
        <w:t xml:space="preserve">Wheeler AA, McFadden GB, Boettinger WJ (1996), Phase-field model for solidification of a eutectic alloy, Proc. Royal Soc. of London A  </w:t>
      </w:r>
      <w:r w:rsidRPr="002A32D0">
        <w:rPr>
          <w:b/>
          <w:spacing w:val="-3"/>
        </w:rPr>
        <w:t>452,</w:t>
      </w:r>
      <w:r w:rsidRPr="002A32D0">
        <w:rPr>
          <w:spacing w:val="-3"/>
        </w:rPr>
        <w:t xml:space="preserve">  495-52.</w:t>
      </w:r>
    </w:p>
    <w:p w14:paraId="5CE27826"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p>
    <w:p w14:paraId="77281FF8"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r w:rsidRPr="002A32D0">
        <w:rPr>
          <w:spacing w:val="-3"/>
        </w:rPr>
        <w:t>WHITE,C.W., D.M.ZEHNER, S.U.CAMPISANO and A.G. CULLIS, 1983, in: Surface Modification and Alloying by Lasers, Ion, and Electron Beams, edited by J. M. Poate, G. Foti and D. C. Jacobson (Plenum Press, NY), p. 81.</w:t>
      </w:r>
    </w:p>
    <w:p w14:paraId="595F68F3"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p>
    <w:p w14:paraId="3C4A15DC"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r w:rsidRPr="002A32D0">
        <w:rPr>
          <w:spacing w:val="-3"/>
        </w:rPr>
        <w:t>WILLNECKER, R., D.M. HERLACH and B.FEUERBACHER, 1989, in: Proc.7th.Europ. Symp. on "Materials and Fluid Sciences under Microgravity", Oxford, ESA SP-295, p.193.</w:t>
      </w:r>
    </w:p>
    <w:p w14:paraId="01355BC3"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p>
    <w:p w14:paraId="770DFC36"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r w:rsidRPr="002A32D0">
        <w:rPr>
          <w:spacing w:val="-3"/>
        </w:rPr>
        <w:t xml:space="preserve">WILLNECKER,R., D.M.HERLACH, and R.FEUERBACHER, 1990, Apply Phys.Lett., </w:t>
      </w:r>
      <w:r w:rsidRPr="002A32D0">
        <w:rPr>
          <w:b/>
          <w:bCs/>
          <w:spacing w:val="-3"/>
        </w:rPr>
        <w:t>56</w:t>
      </w:r>
      <w:r w:rsidRPr="002A32D0">
        <w:rPr>
          <w:spacing w:val="-3"/>
        </w:rPr>
        <w:t>, 324.</w:t>
      </w:r>
    </w:p>
    <w:p w14:paraId="6E91A28B"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p>
    <w:p w14:paraId="6415AEB2"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WILSON, H. A., 1900, Phil Mag.</w:t>
      </w:r>
      <w:r w:rsidRPr="002A32D0">
        <w:rPr>
          <w:b/>
          <w:bCs/>
          <w:spacing w:val="-3"/>
        </w:rPr>
        <w:t xml:space="preserve"> 50</w:t>
      </w:r>
      <w:r w:rsidRPr="002A32D0">
        <w:rPr>
          <w:spacing w:val="-3"/>
        </w:rPr>
        <w:t>, 238.</w:t>
      </w:r>
    </w:p>
    <w:p w14:paraId="2EDBDAC7"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4364BE4A"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 xml:space="preserve">WILSON, L.O., 1978, J.Cryst. Growth </w:t>
      </w:r>
      <w:r w:rsidRPr="002A32D0">
        <w:rPr>
          <w:b/>
          <w:bCs/>
          <w:spacing w:val="-3"/>
        </w:rPr>
        <w:t>44</w:t>
      </w:r>
      <w:r w:rsidRPr="002A32D0">
        <w:rPr>
          <w:spacing w:val="-3"/>
        </w:rPr>
        <w:t>, 371.</w:t>
      </w:r>
    </w:p>
    <w:p w14:paraId="0AE4E6FE"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0A7E440A" w14:textId="77777777" w:rsidR="007D5BD3" w:rsidRPr="002A32D0" w:rsidRDefault="007D5BD3" w:rsidP="00F7556C">
      <w:pPr>
        <w:tabs>
          <w:tab w:val="left" w:pos="-1172"/>
          <w:tab w:val="left" w:pos="-720"/>
          <w:tab w:val="left" w:pos="0"/>
          <w:tab w:val="left" w:pos="714"/>
          <w:tab w:val="left" w:pos="2160"/>
        </w:tabs>
        <w:suppressAutoHyphens/>
        <w:rPr>
          <w:spacing w:val="-3"/>
        </w:rPr>
      </w:pPr>
      <w:r w:rsidRPr="002A32D0">
        <w:rPr>
          <w:spacing w:val="-3"/>
        </w:rPr>
        <w:t>WILSON, L.O., 1980, J.Cryst.l Growth 48, 363.</w:t>
      </w:r>
    </w:p>
    <w:p w14:paraId="2904FC17" w14:textId="77777777" w:rsidR="007D5BD3" w:rsidRPr="002A32D0" w:rsidRDefault="007D5BD3" w:rsidP="00F7556C">
      <w:pPr>
        <w:tabs>
          <w:tab w:val="left" w:pos="-1172"/>
          <w:tab w:val="left" w:pos="-720"/>
          <w:tab w:val="left" w:pos="0"/>
          <w:tab w:val="left" w:pos="714"/>
          <w:tab w:val="left" w:pos="2160"/>
        </w:tabs>
        <w:suppressAutoHyphens/>
        <w:rPr>
          <w:spacing w:val="-3"/>
        </w:rPr>
      </w:pPr>
    </w:p>
    <w:p w14:paraId="3F47CAA2" w14:textId="77777777" w:rsidR="00F7556C" w:rsidRPr="002A32D0" w:rsidRDefault="00F7556C" w:rsidP="00F7556C">
      <w:pPr>
        <w:tabs>
          <w:tab w:val="left" w:pos="-1172"/>
          <w:tab w:val="left" w:pos="-720"/>
          <w:tab w:val="left" w:pos="0"/>
          <w:tab w:val="left" w:pos="714"/>
          <w:tab w:val="left" w:pos="2160"/>
          <w:tab w:val="left" w:pos="2880"/>
          <w:tab w:val="left" w:pos="3600"/>
          <w:tab w:val="left" w:pos="4320"/>
          <w:tab w:val="left" w:pos="5040"/>
          <w:tab w:val="left" w:pos="5760"/>
          <w:tab w:val="left" w:pos="6480"/>
          <w:tab w:val="left" w:pos="7200"/>
        </w:tabs>
        <w:suppressAutoHyphens/>
        <w:ind w:left="7920" w:hanging="7920"/>
        <w:rPr>
          <w:spacing w:val="-3"/>
        </w:rPr>
      </w:pPr>
      <w:r w:rsidRPr="002A32D0">
        <w:rPr>
          <w:spacing w:val="-3"/>
        </w:rPr>
        <w:t>WOLLKIND, D. and L.SEGAL, 1970, Phil.Trans.Roy.Soc. London,</w:t>
      </w:r>
      <w:r w:rsidRPr="002A32D0">
        <w:rPr>
          <w:b/>
          <w:bCs/>
          <w:spacing w:val="-3"/>
        </w:rPr>
        <w:t xml:space="preserve"> 268</w:t>
      </w:r>
      <w:r w:rsidRPr="002A32D0">
        <w:rPr>
          <w:spacing w:val="-3"/>
        </w:rPr>
        <w:t xml:space="preserve">, 351. </w:t>
      </w:r>
    </w:p>
    <w:p w14:paraId="40357F3F" w14:textId="77777777" w:rsidR="00F7556C" w:rsidRPr="002A32D0" w:rsidRDefault="00F7556C" w:rsidP="00F7556C">
      <w:pPr>
        <w:tabs>
          <w:tab w:val="left" w:pos="-1172"/>
          <w:tab w:val="left" w:pos="-720"/>
          <w:tab w:val="left" w:pos="0"/>
          <w:tab w:val="left" w:pos="714"/>
          <w:tab w:val="left" w:pos="2160"/>
          <w:tab w:val="left" w:pos="2880"/>
          <w:tab w:val="left" w:pos="3600"/>
          <w:tab w:val="left" w:pos="4320"/>
          <w:tab w:val="left" w:pos="5040"/>
          <w:tab w:val="left" w:pos="5760"/>
          <w:tab w:val="left" w:pos="6480"/>
          <w:tab w:val="left" w:pos="7200"/>
        </w:tabs>
        <w:suppressAutoHyphens/>
        <w:ind w:left="7920" w:hanging="7920"/>
        <w:rPr>
          <w:spacing w:val="-3"/>
        </w:rPr>
      </w:pPr>
    </w:p>
    <w:p w14:paraId="5F5F57EC"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Worster, M.G. (1992), “Instabilities of the liquid and mushy regions during solidification of alloys”, J. Fluid Mech. 23:649-669.</w:t>
      </w:r>
    </w:p>
    <w:p w14:paraId="67BCCFE0"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517FA7BB"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Wu, M. and Ludwig, A., 2009, Acta Mater., 57, pp. 5632-5644.</w:t>
      </w:r>
    </w:p>
    <w:p w14:paraId="2952853B"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5DCDE92C"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r w:rsidRPr="002A32D0">
        <w:rPr>
          <w:spacing w:val="-3"/>
        </w:rPr>
        <w:lastRenderedPageBreak/>
        <w:t xml:space="preserve">WU, Y., T. J. PICONNE, Y. SHIOHARA, and M. C. FLEMINGS, 1987, Metall. Trans. </w:t>
      </w:r>
      <w:r w:rsidRPr="002A32D0">
        <w:rPr>
          <w:b/>
          <w:bCs/>
          <w:spacing w:val="-3"/>
        </w:rPr>
        <w:t>18A</w:t>
      </w:r>
      <w:r w:rsidRPr="002A32D0">
        <w:rPr>
          <w:spacing w:val="-3"/>
        </w:rPr>
        <w:t>, 915.</w:t>
      </w:r>
    </w:p>
    <w:p w14:paraId="3F77146D"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p>
    <w:p w14:paraId="56577276" w14:textId="77777777" w:rsidR="00DF2D1D" w:rsidRPr="002A32D0" w:rsidRDefault="00DF2D1D" w:rsidP="00DF2D1D">
      <w:pPr>
        <w:tabs>
          <w:tab w:val="left" w:pos="-1172"/>
          <w:tab w:val="left" w:pos="-720"/>
          <w:tab w:val="left" w:pos="0"/>
          <w:tab w:val="left" w:pos="714"/>
          <w:tab w:val="left" w:pos="2160"/>
        </w:tabs>
        <w:suppressAutoHyphens/>
        <w:ind w:left="714" w:hanging="714"/>
        <w:rPr>
          <w:spacing w:val="-3"/>
        </w:rPr>
      </w:pPr>
      <w:r w:rsidRPr="002A32D0">
        <w:rPr>
          <w:spacing w:val="-3"/>
        </w:rPr>
        <w:t>WUEBBEN T., ODENBACH S., BANHART J., 2000, Proc. Eurofoam 2000, P. Zitha, J. Banhart, G. Verbist, (Eds.), MIT-Verlag Bremen, pp. 98–103.</w:t>
      </w:r>
    </w:p>
    <w:p w14:paraId="73CF030A" w14:textId="77777777" w:rsidR="00DF2D1D" w:rsidRPr="002A32D0" w:rsidRDefault="00DF2D1D" w:rsidP="00DF2D1D">
      <w:pPr>
        <w:tabs>
          <w:tab w:val="left" w:pos="-1172"/>
          <w:tab w:val="left" w:pos="-720"/>
          <w:tab w:val="left" w:pos="0"/>
          <w:tab w:val="left" w:pos="714"/>
          <w:tab w:val="left" w:pos="2160"/>
        </w:tabs>
        <w:suppressAutoHyphens/>
        <w:ind w:left="714" w:hanging="714"/>
        <w:rPr>
          <w:spacing w:val="-3"/>
        </w:rPr>
      </w:pPr>
    </w:p>
    <w:p w14:paraId="67B47F3B" w14:textId="77777777" w:rsidR="00DF2D1D" w:rsidRPr="002A32D0" w:rsidRDefault="00DF2D1D" w:rsidP="00DF2D1D">
      <w:pPr>
        <w:tabs>
          <w:tab w:val="left" w:pos="-1172"/>
          <w:tab w:val="left" w:pos="-720"/>
          <w:tab w:val="left" w:pos="0"/>
          <w:tab w:val="left" w:pos="714"/>
          <w:tab w:val="left" w:pos="2160"/>
        </w:tabs>
        <w:suppressAutoHyphens/>
        <w:ind w:left="714" w:hanging="714"/>
        <w:rPr>
          <w:spacing w:val="-3"/>
        </w:rPr>
      </w:pPr>
      <w:r w:rsidRPr="002A32D0">
        <w:rPr>
          <w:spacing w:val="-3"/>
        </w:rPr>
        <w:t>WUEBBEN T., STANZICK H., BANHART J., ODENBACH S., 2003, J. Phys.: Cond. Matter, 15, S427.</w:t>
      </w:r>
    </w:p>
    <w:p w14:paraId="1281EA28" w14:textId="77777777" w:rsidR="00DF2D1D" w:rsidRPr="002A32D0" w:rsidRDefault="00DF2D1D" w:rsidP="00F7556C">
      <w:pPr>
        <w:tabs>
          <w:tab w:val="left" w:pos="-1172"/>
          <w:tab w:val="left" w:pos="-720"/>
          <w:tab w:val="left" w:pos="0"/>
          <w:tab w:val="left" w:pos="714"/>
          <w:tab w:val="left" w:pos="2160"/>
        </w:tabs>
        <w:suppressAutoHyphens/>
        <w:ind w:left="714" w:hanging="714"/>
        <w:rPr>
          <w:spacing w:val="-3"/>
        </w:rPr>
      </w:pPr>
    </w:p>
    <w:p w14:paraId="1D00AD57"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Xu, R. and Naterer, G.F. (2004). Int. J. of Heat and Mass Transfer, 47, 22, 4821-?.</w:t>
      </w:r>
    </w:p>
    <w:p w14:paraId="3E06ADE9"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214A8C2D"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Yang Y., Humadi H., Buta D., Laird B. B., Sun D., Hoyt J.J. and Asta M. (2011), Atomistic simulations of non-equilibrium crystal-growth kinetics from alloy melts, submitted to ????.</w:t>
      </w:r>
    </w:p>
    <w:p w14:paraId="6B02D02E"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65F96EC4"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Yavari, A.R., Ota, K., Georgarakis, K., LeMoulec, A., Charlot, F. Vaughn, G., Greer, A.L., Inoue, A., 2008, “Chilled zone copper with the strength of stainless steel and tailorable color”, Acta Materialia, 56, 1830-1839.</w:t>
      </w:r>
    </w:p>
    <w:p w14:paraId="6C160D6F"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250E3BAF"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r w:rsidRPr="002A32D0">
        <w:rPr>
          <w:spacing w:val="-3"/>
        </w:rPr>
        <w:t>YOON, W., PAIK, J. S., LACOURT, D., and PEREPEZKO, 1986, J. H., J. Appl. Phys.</w:t>
      </w:r>
      <w:r w:rsidRPr="002A32D0">
        <w:rPr>
          <w:b/>
          <w:bCs/>
          <w:spacing w:val="-3"/>
        </w:rPr>
        <w:t xml:space="preserve"> 60</w:t>
      </w:r>
      <w:r w:rsidRPr="002A32D0">
        <w:rPr>
          <w:spacing w:val="-3"/>
        </w:rPr>
        <w:t>, 3489.</w:t>
      </w:r>
    </w:p>
    <w:p w14:paraId="2E1472D4"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p>
    <w:p w14:paraId="61860914"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 xml:space="preserve">YOUNG, K. P., and D. H. KIRKWOOD, 1975, Metall. Trans. </w:t>
      </w:r>
      <w:r w:rsidRPr="002A32D0">
        <w:rPr>
          <w:b/>
          <w:bCs/>
          <w:spacing w:val="-3"/>
        </w:rPr>
        <w:t>6A</w:t>
      </w:r>
      <w:r w:rsidRPr="002A32D0">
        <w:rPr>
          <w:spacing w:val="-3"/>
        </w:rPr>
        <w:t>, 197.</w:t>
      </w:r>
    </w:p>
    <w:p w14:paraId="6E172AD7"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09D36D80"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lang w:val="sv-SE"/>
        </w:rPr>
        <w:t xml:space="preserve">ZENER, C., 1946, Trans Met. Soc. </w:t>
      </w:r>
      <w:r w:rsidRPr="002A32D0">
        <w:rPr>
          <w:spacing w:val="-3"/>
        </w:rPr>
        <w:t xml:space="preserve">AIME, </w:t>
      </w:r>
      <w:r w:rsidRPr="002A32D0">
        <w:rPr>
          <w:b/>
          <w:bCs/>
          <w:spacing w:val="-3"/>
        </w:rPr>
        <w:t xml:space="preserve">167, </w:t>
      </w:r>
      <w:r w:rsidRPr="002A32D0">
        <w:rPr>
          <w:spacing w:val="-3"/>
        </w:rPr>
        <w:t>550.</w:t>
      </w:r>
    </w:p>
    <w:p w14:paraId="0DFFC479"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28211619"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Zhang, X., Roelofs, H., Lemgen, S., Urlau, U., and Subramanian, S.V., 2004, Steel Research Int., 75, 5, pp. 314-321.</w:t>
      </w:r>
    </w:p>
    <w:p w14:paraId="160F150A"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5BA6D8AE"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r w:rsidRPr="002A32D0">
        <w:rPr>
          <w:spacing w:val="-3"/>
        </w:rPr>
        <w:t>ZHU, J.D. and I.OHNAKA, 1991, Modelling of Casting, Welding and Advanced Solidification Processes, eds. M.Rappaz, M.R.Dabu and K.W.Mahin, p. 435.</w:t>
      </w:r>
    </w:p>
    <w:p w14:paraId="2AD35FF5" w14:textId="77777777" w:rsidR="00F7556C" w:rsidRPr="002A32D0" w:rsidRDefault="00F7556C" w:rsidP="00F7556C">
      <w:pPr>
        <w:tabs>
          <w:tab w:val="left" w:pos="-1172"/>
          <w:tab w:val="left" w:pos="-720"/>
          <w:tab w:val="left" w:pos="0"/>
          <w:tab w:val="left" w:pos="714"/>
          <w:tab w:val="left" w:pos="2160"/>
        </w:tabs>
        <w:suppressAutoHyphens/>
        <w:ind w:left="714" w:hanging="714"/>
        <w:rPr>
          <w:spacing w:val="-3"/>
        </w:rPr>
      </w:pPr>
    </w:p>
    <w:p w14:paraId="0A14FE31"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Zhu, P., Sha, R., and Li, Y., 1985, in: The Physical Metallurgy of Cast Iron, H. Fredriksson and M. Hiller teds., Proceedings of the MRS, North Holland, 34, p. 3.</w:t>
      </w:r>
    </w:p>
    <w:p w14:paraId="62685C84"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58B20F11"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 xml:space="preserve">ZIMMERMANN, M., A. KARMA, and M. CARRARD, 1990, Phys. Rev. B </w:t>
      </w:r>
      <w:r w:rsidRPr="002A32D0">
        <w:rPr>
          <w:b/>
          <w:bCs/>
          <w:spacing w:val="-3"/>
        </w:rPr>
        <w:t xml:space="preserve">42, </w:t>
      </w:r>
      <w:r w:rsidRPr="002A32D0">
        <w:rPr>
          <w:spacing w:val="-3"/>
        </w:rPr>
        <w:t>833.</w:t>
      </w:r>
    </w:p>
    <w:p w14:paraId="41F8D438" w14:textId="77777777" w:rsidR="00F7556C" w:rsidRPr="002A32D0" w:rsidRDefault="00F7556C" w:rsidP="00F7556C">
      <w:pPr>
        <w:tabs>
          <w:tab w:val="left" w:pos="-1172"/>
          <w:tab w:val="left" w:pos="-720"/>
          <w:tab w:val="left" w:pos="0"/>
          <w:tab w:val="left" w:pos="714"/>
          <w:tab w:val="left" w:pos="2160"/>
        </w:tabs>
        <w:suppressAutoHyphens/>
        <w:rPr>
          <w:spacing w:val="-3"/>
        </w:rPr>
      </w:pPr>
    </w:p>
    <w:p w14:paraId="01F24868" w14:textId="77777777" w:rsidR="00F7556C" w:rsidRPr="002A32D0" w:rsidRDefault="00F7556C" w:rsidP="00F7556C">
      <w:pPr>
        <w:tabs>
          <w:tab w:val="left" w:pos="-1172"/>
          <w:tab w:val="left" w:pos="-720"/>
          <w:tab w:val="left" w:pos="0"/>
          <w:tab w:val="left" w:pos="714"/>
          <w:tab w:val="left" w:pos="2160"/>
        </w:tabs>
        <w:suppressAutoHyphens/>
        <w:rPr>
          <w:spacing w:val="-3"/>
        </w:rPr>
      </w:pPr>
      <w:r w:rsidRPr="002A32D0">
        <w:rPr>
          <w:spacing w:val="-3"/>
        </w:rPr>
        <w:t xml:space="preserve">ZIV, I. and F.WEINBERG, 1989, Metall.Trans. </w:t>
      </w:r>
      <w:r w:rsidRPr="002A32D0">
        <w:rPr>
          <w:b/>
          <w:bCs/>
          <w:spacing w:val="-3"/>
        </w:rPr>
        <w:t>20B</w:t>
      </w:r>
      <w:r w:rsidRPr="002A32D0">
        <w:rPr>
          <w:spacing w:val="-3"/>
        </w:rPr>
        <w:t>, 731.</w:t>
      </w:r>
    </w:p>
    <w:p w14:paraId="05312B40" w14:textId="695391F4" w:rsidR="00071940" w:rsidRDefault="003753B9" w:rsidP="00071940">
      <w:pPr>
        <w:tabs>
          <w:tab w:val="left" w:pos="-720"/>
          <w:tab w:val="left" w:pos="0"/>
        </w:tabs>
        <w:suppressAutoHyphens/>
        <w:ind w:left="720" w:hanging="720"/>
        <w:rPr>
          <w:b/>
          <w:i/>
          <w:spacing w:val="-3"/>
          <w:sz w:val="28"/>
          <w:szCs w:val="28"/>
        </w:rPr>
      </w:pPr>
      <w:r w:rsidRPr="002A32D0">
        <w:br w:type="page"/>
      </w:r>
      <w:r w:rsidR="00071940" w:rsidRPr="00C401BA">
        <w:rPr>
          <w:b/>
          <w:i/>
          <w:spacing w:val="-3"/>
          <w:sz w:val="28"/>
          <w:szCs w:val="28"/>
        </w:rPr>
        <w:lastRenderedPageBreak/>
        <w:t>References</w:t>
      </w:r>
      <w:r w:rsidR="00071940">
        <w:rPr>
          <w:b/>
          <w:i/>
          <w:spacing w:val="-3"/>
          <w:sz w:val="28"/>
          <w:szCs w:val="28"/>
        </w:rPr>
        <w:t xml:space="preserve"> (Chapter 10)</w:t>
      </w:r>
    </w:p>
    <w:p w14:paraId="4A54F989" w14:textId="77777777" w:rsidR="00071940" w:rsidRPr="00C401BA" w:rsidRDefault="00071940" w:rsidP="00071940">
      <w:pPr>
        <w:tabs>
          <w:tab w:val="left" w:pos="-720"/>
          <w:tab w:val="left" w:pos="0"/>
        </w:tabs>
        <w:suppressAutoHyphens/>
        <w:ind w:left="720" w:hanging="720"/>
        <w:rPr>
          <w:b/>
          <w:i/>
          <w:spacing w:val="-3"/>
          <w:sz w:val="28"/>
          <w:szCs w:val="28"/>
        </w:rPr>
      </w:pPr>
    </w:p>
    <w:p w14:paraId="04C86B6E" w14:textId="77777777" w:rsidR="00071940" w:rsidRDefault="00071940"/>
    <w:p w14:paraId="61C08ADE" w14:textId="77777777" w:rsidR="00071940" w:rsidRPr="003E0F31" w:rsidRDefault="00071940" w:rsidP="00071940">
      <w:pPr>
        <w:pStyle w:val="Bibliography"/>
        <w:spacing w:after="240"/>
        <w:rPr>
          <w:rFonts w:ascii="Times New Roman" w:hAnsi="Times New Roman" w:cs="Times New Roman"/>
          <w:sz w:val="24"/>
          <w:szCs w:val="24"/>
        </w:rPr>
      </w:pPr>
      <w:r w:rsidRPr="002E5F49">
        <w:rPr>
          <w:rFonts w:ascii="Times New Roman" w:hAnsi="Times New Roman" w:cs="Times New Roman"/>
          <w:sz w:val="24"/>
          <w:szCs w:val="24"/>
        </w:rPr>
        <w:fldChar w:fldCharType="begin"/>
      </w:r>
      <w:r w:rsidRPr="003E0F31">
        <w:rPr>
          <w:rFonts w:ascii="Times New Roman" w:hAnsi="Times New Roman" w:cs="Times New Roman"/>
          <w:sz w:val="24"/>
          <w:szCs w:val="24"/>
        </w:rPr>
        <w:instrText xml:space="preserve"> ADDIN ZOTERO_BIBL {"uncited":[],"omitted":[],"custom":[]} CSL_BIBLIOGRAPHY </w:instrText>
      </w:r>
      <w:r w:rsidRPr="002E5F49">
        <w:rPr>
          <w:rFonts w:ascii="Times New Roman" w:hAnsi="Times New Roman" w:cs="Times New Roman"/>
          <w:sz w:val="24"/>
          <w:szCs w:val="24"/>
        </w:rPr>
        <w:fldChar w:fldCharType="separate"/>
      </w:r>
      <w:r w:rsidRPr="003E0F31">
        <w:rPr>
          <w:rFonts w:ascii="Times New Roman" w:hAnsi="Times New Roman" w:cs="Times New Roman"/>
          <w:sz w:val="24"/>
          <w:szCs w:val="24"/>
        </w:rPr>
        <w:t>“AMS4999: Titanium Alloy Laser Deposited Products - 6al - 4v - Annealed - SAE International.” n.d. Accessed April 12, 2024. https://www.sae.org/standards/content/ams4999/.</w:t>
      </w:r>
    </w:p>
    <w:p w14:paraId="329C4762" w14:textId="77777777" w:rsidR="00071940" w:rsidRPr="003E0F31" w:rsidRDefault="00071940" w:rsidP="00071940">
      <w:pPr>
        <w:pStyle w:val="Bibliography"/>
        <w:spacing w:after="240"/>
        <w:rPr>
          <w:rFonts w:ascii="Times New Roman" w:hAnsi="Times New Roman" w:cs="Times New Roman"/>
          <w:sz w:val="24"/>
          <w:szCs w:val="24"/>
        </w:rPr>
      </w:pPr>
      <w:r w:rsidRPr="003E0F31">
        <w:rPr>
          <w:rFonts w:ascii="Times New Roman" w:hAnsi="Times New Roman" w:cs="Times New Roman"/>
          <w:sz w:val="24"/>
          <w:szCs w:val="24"/>
        </w:rPr>
        <w:t xml:space="preserve">ASTM, ASTM. 2007. “F75: Standard Specification for Cobalt-28 Chromium-6 Molybdenum Alloy Castings and Casting Alloy for Surgical Implants (Uns R30075).” </w:t>
      </w:r>
      <w:r w:rsidRPr="003E0F31">
        <w:rPr>
          <w:rFonts w:ascii="Times New Roman" w:hAnsi="Times New Roman" w:cs="Times New Roman"/>
          <w:i/>
          <w:iCs/>
          <w:sz w:val="24"/>
          <w:szCs w:val="24"/>
        </w:rPr>
        <w:t>West Conshohocken: ASTM International</w:t>
      </w:r>
      <w:r w:rsidRPr="003E0F31">
        <w:rPr>
          <w:rFonts w:ascii="Times New Roman" w:hAnsi="Times New Roman" w:cs="Times New Roman"/>
          <w:sz w:val="24"/>
          <w:szCs w:val="24"/>
        </w:rPr>
        <w:t>.</w:t>
      </w:r>
    </w:p>
    <w:p w14:paraId="1AAA7D7F" w14:textId="1BED0483" w:rsidR="00554C08" w:rsidRDefault="00554C08" w:rsidP="00071940">
      <w:pPr>
        <w:pStyle w:val="Bibliography"/>
        <w:spacing w:after="240"/>
        <w:rPr>
          <w:rFonts w:ascii="Times New Roman" w:hAnsi="Times New Roman" w:cs="Times New Roman"/>
          <w:sz w:val="24"/>
          <w:szCs w:val="24"/>
        </w:rPr>
      </w:pPr>
      <w:r w:rsidRPr="00554C08">
        <w:rPr>
          <w:rFonts w:ascii="Times New Roman" w:hAnsi="Times New Roman" w:cs="Times New Roman"/>
          <w:sz w:val="24"/>
          <w:szCs w:val="24"/>
        </w:rPr>
        <w:t>Banerjee, D.K.</w:t>
      </w:r>
      <w:r>
        <w:rPr>
          <w:rFonts w:ascii="Times New Roman" w:hAnsi="Times New Roman" w:cs="Times New Roman"/>
          <w:sz w:val="24"/>
          <w:szCs w:val="24"/>
        </w:rPr>
        <w:t xml:space="preserve"> (</w:t>
      </w:r>
      <w:r w:rsidRPr="00554C08">
        <w:rPr>
          <w:rFonts w:ascii="Times New Roman" w:hAnsi="Times New Roman" w:cs="Times New Roman"/>
          <w:sz w:val="24"/>
          <w:szCs w:val="24"/>
        </w:rPr>
        <w:t>2013</w:t>
      </w:r>
      <w:r>
        <w:rPr>
          <w:rFonts w:ascii="Times New Roman" w:hAnsi="Times New Roman" w:cs="Times New Roman"/>
          <w:sz w:val="24"/>
          <w:szCs w:val="24"/>
        </w:rPr>
        <w:t>)</w:t>
      </w:r>
      <w:r w:rsidRPr="00554C08">
        <w:rPr>
          <w:rFonts w:ascii="Times New Roman" w:hAnsi="Times New Roman" w:cs="Times New Roman"/>
          <w:sz w:val="24"/>
          <w:szCs w:val="24"/>
        </w:rPr>
        <w:t xml:space="preserve"> </w:t>
      </w:r>
      <w:r>
        <w:rPr>
          <w:rFonts w:ascii="Times New Roman" w:hAnsi="Times New Roman" w:cs="Times New Roman"/>
          <w:sz w:val="24"/>
          <w:szCs w:val="24"/>
        </w:rPr>
        <w:t>"</w:t>
      </w:r>
      <w:r w:rsidRPr="00554C08">
        <w:rPr>
          <w:rFonts w:ascii="Times New Roman" w:hAnsi="Times New Roman" w:cs="Times New Roman"/>
          <w:sz w:val="24"/>
          <w:szCs w:val="24"/>
        </w:rPr>
        <w:t>Uncertainties in steel temperatures during fire</w:t>
      </w:r>
      <w:r>
        <w:rPr>
          <w:rFonts w:ascii="Times New Roman" w:hAnsi="Times New Roman" w:cs="Times New Roman"/>
          <w:sz w:val="24"/>
          <w:szCs w:val="24"/>
        </w:rPr>
        <w:t>",</w:t>
      </w:r>
      <w:r w:rsidRPr="00554C08">
        <w:rPr>
          <w:rFonts w:ascii="Times New Roman" w:hAnsi="Times New Roman" w:cs="Times New Roman"/>
          <w:sz w:val="24"/>
          <w:szCs w:val="24"/>
        </w:rPr>
        <w:t xml:space="preserve"> Fire safety journal, 61, 65-71.</w:t>
      </w:r>
    </w:p>
    <w:p w14:paraId="43B2E605" w14:textId="7809187D" w:rsidR="00554C08" w:rsidRDefault="00554C08" w:rsidP="00554C08">
      <w:pPr>
        <w:pStyle w:val="Bibliography"/>
        <w:spacing w:after="240"/>
        <w:rPr>
          <w:rFonts w:ascii="Times New Roman" w:hAnsi="Times New Roman" w:cs="Times New Roman"/>
          <w:sz w:val="24"/>
          <w:szCs w:val="24"/>
        </w:rPr>
      </w:pPr>
      <w:r w:rsidRPr="00554C08">
        <w:rPr>
          <w:rFonts w:ascii="Times New Roman" w:hAnsi="Times New Roman" w:cs="Times New Roman"/>
          <w:sz w:val="24"/>
          <w:szCs w:val="24"/>
        </w:rPr>
        <w:t>Banerjee, D.K.</w:t>
      </w:r>
      <w:r>
        <w:rPr>
          <w:rFonts w:ascii="Times New Roman" w:hAnsi="Times New Roman" w:cs="Times New Roman"/>
          <w:sz w:val="24"/>
          <w:szCs w:val="24"/>
        </w:rPr>
        <w:t xml:space="preserve"> (</w:t>
      </w:r>
      <w:r w:rsidRPr="00554C08">
        <w:rPr>
          <w:rFonts w:ascii="Times New Roman" w:hAnsi="Times New Roman" w:cs="Times New Roman"/>
          <w:sz w:val="24"/>
          <w:szCs w:val="24"/>
        </w:rPr>
        <w:t>201</w:t>
      </w:r>
      <w:r>
        <w:rPr>
          <w:rFonts w:ascii="Times New Roman" w:hAnsi="Times New Roman" w:cs="Times New Roman"/>
          <w:sz w:val="24"/>
          <w:szCs w:val="24"/>
        </w:rPr>
        <w:t>6)</w:t>
      </w:r>
      <w:r w:rsidRPr="00554C08">
        <w:rPr>
          <w:rFonts w:ascii="Times New Roman" w:hAnsi="Times New Roman" w:cs="Times New Roman"/>
          <w:sz w:val="24"/>
          <w:szCs w:val="24"/>
        </w:rPr>
        <w:t xml:space="preserve"> </w:t>
      </w:r>
      <w:r>
        <w:rPr>
          <w:rFonts w:ascii="Times New Roman" w:hAnsi="Times New Roman" w:cs="Times New Roman"/>
          <w:sz w:val="24"/>
          <w:szCs w:val="24"/>
        </w:rPr>
        <w:t>"</w:t>
      </w:r>
      <w:r w:rsidRPr="00554C08">
        <w:t xml:space="preserve"> </w:t>
      </w:r>
      <w:r w:rsidRPr="00554C08">
        <w:rPr>
          <w:rFonts w:ascii="Times New Roman" w:hAnsi="Times New Roman" w:cs="Times New Roman"/>
          <w:sz w:val="24"/>
          <w:szCs w:val="24"/>
        </w:rPr>
        <w:t xml:space="preserve">An analytical approach for estimating uncertainty in measured temperatures of concrete slab during fire </w:t>
      </w:r>
      <w:r>
        <w:rPr>
          <w:rFonts w:ascii="Times New Roman" w:hAnsi="Times New Roman" w:cs="Times New Roman"/>
          <w:sz w:val="24"/>
          <w:szCs w:val="24"/>
        </w:rPr>
        <w:t>",</w:t>
      </w:r>
      <w:r w:rsidRPr="00554C08">
        <w:rPr>
          <w:rFonts w:ascii="Times New Roman" w:hAnsi="Times New Roman" w:cs="Times New Roman"/>
          <w:sz w:val="24"/>
          <w:szCs w:val="24"/>
        </w:rPr>
        <w:t xml:space="preserve"> Fire safety journal, </w:t>
      </w:r>
      <w:r>
        <w:rPr>
          <w:rFonts w:ascii="Times New Roman" w:hAnsi="Times New Roman" w:cs="Times New Roman"/>
          <w:sz w:val="24"/>
          <w:szCs w:val="24"/>
        </w:rPr>
        <w:t>82</w:t>
      </w:r>
      <w:r w:rsidRPr="00554C08">
        <w:rPr>
          <w:rFonts w:ascii="Times New Roman" w:hAnsi="Times New Roman" w:cs="Times New Roman"/>
          <w:sz w:val="24"/>
          <w:szCs w:val="24"/>
        </w:rPr>
        <w:t xml:space="preserve">, </w:t>
      </w:r>
      <w:r>
        <w:rPr>
          <w:rFonts w:ascii="Times New Roman" w:hAnsi="Times New Roman" w:cs="Times New Roman"/>
          <w:sz w:val="24"/>
          <w:szCs w:val="24"/>
        </w:rPr>
        <w:t>30</w:t>
      </w:r>
      <w:r w:rsidRPr="00554C08">
        <w:rPr>
          <w:rFonts w:ascii="Times New Roman" w:hAnsi="Times New Roman" w:cs="Times New Roman"/>
          <w:sz w:val="24"/>
          <w:szCs w:val="24"/>
        </w:rPr>
        <w:t>-71</w:t>
      </w:r>
      <w:r>
        <w:rPr>
          <w:rFonts w:ascii="Times New Roman" w:hAnsi="Times New Roman" w:cs="Times New Roman"/>
          <w:sz w:val="24"/>
          <w:szCs w:val="24"/>
        </w:rPr>
        <w:t>36</w:t>
      </w:r>
      <w:r w:rsidRPr="00554C08">
        <w:rPr>
          <w:rFonts w:ascii="Times New Roman" w:hAnsi="Times New Roman" w:cs="Times New Roman"/>
          <w:sz w:val="24"/>
          <w:szCs w:val="24"/>
        </w:rPr>
        <w:t>.</w:t>
      </w:r>
    </w:p>
    <w:p w14:paraId="1C2EDB67" w14:textId="77777777" w:rsidR="00554C08" w:rsidRPr="00554C08" w:rsidRDefault="00554C08" w:rsidP="001B068D"/>
    <w:p w14:paraId="306B412F" w14:textId="29F798B7" w:rsidR="00071940" w:rsidRPr="003E0F31" w:rsidRDefault="00071940" w:rsidP="00071940">
      <w:pPr>
        <w:pStyle w:val="Bibliography"/>
        <w:spacing w:after="240"/>
        <w:rPr>
          <w:rFonts w:ascii="Times New Roman" w:hAnsi="Times New Roman" w:cs="Times New Roman"/>
          <w:sz w:val="24"/>
          <w:szCs w:val="24"/>
        </w:rPr>
      </w:pPr>
      <w:r w:rsidRPr="003E0F31">
        <w:rPr>
          <w:rFonts w:ascii="Times New Roman" w:hAnsi="Times New Roman" w:cs="Times New Roman"/>
          <w:sz w:val="24"/>
          <w:szCs w:val="24"/>
        </w:rPr>
        <w:t xml:space="preserve">Bandyopadhyay, Amit, Yanning Zhang, and Susmita Bose. 2020. “Recent Developments in Metal Additive Manufacturing.” </w:t>
      </w:r>
      <w:r w:rsidRPr="003E0F31">
        <w:rPr>
          <w:rFonts w:ascii="Times New Roman" w:hAnsi="Times New Roman" w:cs="Times New Roman"/>
          <w:i/>
          <w:iCs/>
          <w:sz w:val="24"/>
          <w:szCs w:val="24"/>
        </w:rPr>
        <w:t>Current Opinion in Chemical Engineering</w:t>
      </w:r>
      <w:r w:rsidRPr="003E0F31">
        <w:rPr>
          <w:rFonts w:ascii="Times New Roman" w:hAnsi="Times New Roman" w:cs="Times New Roman"/>
          <w:sz w:val="24"/>
          <w:szCs w:val="24"/>
        </w:rPr>
        <w:t xml:space="preserve"> 28: 96–104.</w:t>
      </w:r>
    </w:p>
    <w:p w14:paraId="1DB085F6" w14:textId="77777777" w:rsidR="00071940" w:rsidRPr="003E0F31" w:rsidRDefault="00071940" w:rsidP="00071940">
      <w:pPr>
        <w:pStyle w:val="Bibliography"/>
        <w:spacing w:after="240"/>
        <w:rPr>
          <w:rFonts w:ascii="Times New Roman" w:hAnsi="Times New Roman" w:cs="Times New Roman"/>
          <w:sz w:val="24"/>
          <w:szCs w:val="24"/>
        </w:rPr>
      </w:pPr>
      <w:r w:rsidRPr="003E0F31">
        <w:rPr>
          <w:rFonts w:ascii="Times New Roman" w:hAnsi="Times New Roman" w:cs="Times New Roman"/>
          <w:sz w:val="24"/>
          <w:szCs w:val="24"/>
        </w:rPr>
        <w:t xml:space="preserve">Bär, Florian, Leopold Berger, Lucas Jauer, Güven Kurtuldu, Robin Schäublin, Johannes H. Schleifenbaum, and Jörg F. Löffler. 2019. “Laser Additive Manufacturing of Biodegradable Magnesium Alloy WE43: A Detailed Microstructure Analysis.” </w:t>
      </w:r>
      <w:r w:rsidRPr="003E0F31">
        <w:rPr>
          <w:rFonts w:ascii="Times New Roman" w:hAnsi="Times New Roman" w:cs="Times New Roman"/>
          <w:i/>
          <w:iCs/>
          <w:sz w:val="24"/>
          <w:szCs w:val="24"/>
        </w:rPr>
        <w:t>Acta Biomaterialia</w:t>
      </w:r>
      <w:r w:rsidRPr="003E0F31">
        <w:rPr>
          <w:rFonts w:ascii="Times New Roman" w:hAnsi="Times New Roman" w:cs="Times New Roman"/>
          <w:sz w:val="24"/>
          <w:szCs w:val="24"/>
        </w:rPr>
        <w:t xml:space="preserve"> 98: 36–49.</w:t>
      </w:r>
    </w:p>
    <w:p w14:paraId="180FF8B3" w14:textId="77777777" w:rsidR="00071940" w:rsidRPr="003E0F31" w:rsidRDefault="00071940" w:rsidP="00071940">
      <w:pPr>
        <w:pStyle w:val="Bibliography"/>
        <w:spacing w:after="240"/>
        <w:rPr>
          <w:rFonts w:ascii="Times New Roman" w:hAnsi="Times New Roman" w:cs="Times New Roman"/>
          <w:sz w:val="24"/>
          <w:szCs w:val="24"/>
        </w:rPr>
      </w:pPr>
      <w:r w:rsidRPr="003E0F31">
        <w:rPr>
          <w:rFonts w:ascii="Times New Roman" w:hAnsi="Times New Roman" w:cs="Times New Roman"/>
          <w:sz w:val="24"/>
          <w:szCs w:val="24"/>
        </w:rPr>
        <w:t xml:space="preserve">Baraz, V. R., S. S. Gerasimov, I. A. Gruzdeva, V. P. Shveikin, A. V. Chemesova, A. O. Ovchinnikova, and I. A. Veretennikova. 2020. “The Additive Technology to Obtain a Three-Dimensional Model of the 81Cu-19Ni Alloy.” In </w:t>
      </w:r>
      <w:r w:rsidRPr="003E0F31">
        <w:rPr>
          <w:rFonts w:ascii="Times New Roman" w:hAnsi="Times New Roman" w:cs="Times New Roman"/>
          <w:i/>
          <w:iCs/>
          <w:sz w:val="24"/>
          <w:szCs w:val="24"/>
        </w:rPr>
        <w:t>IOP Conference Series: Materials Science and Engineering</w:t>
      </w:r>
      <w:r w:rsidRPr="003E0F31">
        <w:rPr>
          <w:rFonts w:ascii="Times New Roman" w:hAnsi="Times New Roman" w:cs="Times New Roman"/>
          <w:sz w:val="24"/>
          <w:szCs w:val="24"/>
        </w:rPr>
        <w:t>, 966:012119. IOP Publishing. https://iopscience.iop.org/article/10.1088/1757-899X/966/1/012119/meta.</w:t>
      </w:r>
    </w:p>
    <w:p w14:paraId="37C4A5B2" w14:textId="77777777" w:rsidR="00071940" w:rsidRPr="003E0F31" w:rsidRDefault="00071940" w:rsidP="00071940">
      <w:pPr>
        <w:pStyle w:val="Bibliography"/>
        <w:spacing w:after="240"/>
        <w:rPr>
          <w:rFonts w:ascii="Times New Roman" w:hAnsi="Times New Roman" w:cs="Times New Roman"/>
          <w:sz w:val="24"/>
          <w:szCs w:val="24"/>
        </w:rPr>
      </w:pPr>
      <w:r w:rsidRPr="003E0F31">
        <w:rPr>
          <w:rFonts w:ascii="Times New Roman" w:hAnsi="Times New Roman" w:cs="Times New Roman"/>
          <w:sz w:val="24"/>
          <w:szCs w:val="24"/>
        </w:rPr>
        <w:t xml:space="preserve">Barr, Cameron, Aaron Pateras, Andrey Molotnikov, David Clarke, and Milan Brandt. 2022. “Effect of Composition on the Tensile and Corrosion Performance of Nickel Aluminium Bronze Produced via Laser Powder Bed Fusion.” </w:t>
      </w:r>
      <w:r w:rsidRPr="003E0F31">
        <w:rPr>
          <w:rFonts w:ascii="Times New Roman" w:hAnsi="Times New Roman" w:cs="Times New Roman"/>
          <w:i/>
          <w:iCs/>
          <w:sz w:val="24"/>
          <w:szCs w:val="24"/>
        </w:rPr>
        <w:t>Additive Manufacturing</w:t>
      </w:r>
      <w:r w:rsidRPr="003E0F31">
        <w:rPr>
          <w:rFonts w:ascii="Times New Roman" w:hAnsi="Times New Roman" w:cs="Times New Roman"/>
          <w:sz w:val="24"/>
          <w:szCs w:val="24"/>
        </w:rPr>
        <w:t xml:space="preserve"> 54: 102771.</w:t>
      </w:r>
    </w:p>
    <w:p w14:paraId="0E158020" w14:textId="77777777" w:rsidR="00071940" w:rsidRPr="003E0F31" w:rsidRDefault="00071940" w:rsidP="00071940">
      <w:pPr>
        <w:pStyle w:val="Bibliography"/>
        <w:spacing w:after="240"/>
        <w:rPr>
          <w:rFonts w:ascii="Times New Roman" w:hAnsi="Times New Roman" w:cs="Times New Roman"/>
          <w:sz w:val="24"/>
          <w:szCs w:val="24"/>
        </w:rPr>
      </w:pPr>
      <w:r w:rsidRPr="003E0F31">
        <w:rPr>
          <w:rFonts w:ascii="Times New Roman" w:hAnsi="Times New Roman" w:cs="Times New Roman"/>
          <w:sz w:val="24"/>
          <w:szCs w:val="24"/>
        </w:rPr>
        <w:t xml:space="preserve">Bäuerle, Dieter. 2013. </w:t>
      </w:r>
      <w:r w:rsidRPr="003E0F31">
        <w:rPr>
          <w:rFonts w:ascii="Times New Roman" w:hAnsi="Times New Roman" w:cs="Times New Roman"/>
          <w:i/>
          <w:iCs/>
          <w:sz w:val="24"/>
          <w:szCs w:val="24"/>
        </w:rPr>
        <w:t>Laser Processing and Chemistry</w:t>
      </w:r>
      <w:r w:rsidRPr="003E0F31">
        <w:rPr>
          <w:rFonts w:ascii="Times New Roman" w:hAnsi="Times New Roman" w:cs="Times New Roman"/>
          <w:sz w:val="24"/>
          <w:szCs w:val="24"/>
        </w:rPr>
        <w:t>. Springer Science &amp; Business Media.</w:t>
      </w:r>
    </w:p>
    <w:p w14:paraId="69E0F2A9" w14:textId="77777777" w:rsidR="00071940" w:rsidRPr="003E0F31" w:rsidRDefault="00071940" w:rsidP="00071940">
      <w:pPr>
        <w:pStyle w:val="Bibliography"/>
        <w:spacing w:after="240"/>
        <w:rPr>
          <w:rFonts w:ascii="Times New Roman" w:hAnsi="Times New Roman" w:cs="Times New Roman"/>
          <w:sz w:val="24"/>
          <w:szCs w:val="24"/>
        </w:rPr>
      </w:pPr>
      <w:r w:rsidRPr="003E0F31">
        <w:rPr>
          <w:rFonts w:ascii="Times New Roman" w:hAnsi="Times New Roman" w:cs="Times New Roman"/>
          <w:sz w:val="24"/>
          <w:szCs w:val="24"/>
        </w:rPr>
        <w:t>Berlier, Jacob, Adam McCann, Li Zhang, and Brandon Good. 2020. Systems and methods for receiving sensor data for an operating additive manufacturing machine and adaptively compressing the sensor data based on process data which controls the operation of the machine, issued April 28, 2020. https://patents.google.com/patent/US10635085B2/en.</w:t>
      </w:r>
    </w:p>
    <w:p w14:paraId="75CA2F95" w14:textId="77777777" w:rsidR="00071940" w:rsidRPr="003E0F31" w:rsidRDefault="00071940" w:rsidP="00071940">
      <w:pPr>
        <w:pStyle w:val="Bibliography"/>
        <w:spacing w:after="240"/>
        <w:rPr>
          <w:rFonts w:ascii="Times New Roman" w:hAnsi="Times New Roman" w:cs="Times New Roman"/>
          <w:sz w:val="24"/>
          <w:szCs w:val="24"/>
        </w:rPr>
      </w:pPr>
      <w:r w:rsidRPr="003E0F31">
        <w:rPr>
          <w:rFonts w:ascii="Times New Roman" w:hAnsi="Times New Roman" w:cs="Times New Roman"/>
          <w:sz w:val="24"/>
          <w:szCs w:val="24"/>
        </w:rPr>
        <w:lastRenderedPageBreak/>
        <w:t xml:space="preserve">Blinn, Bastian, Marcus Klein, Christopher Gläßner, Marek Smaga, Jan C. Aurich, and Tilmann Beck. 2018. “An Investigation of the Microstructure and Fatigue Behavior of Additively Manufactured AISI 316L Stainless Steel with Regard to the Influence of Heat Treatment.” </w:t>
      </w:r>
      <w:r w:rsidRPr="003E0F31">
        <w:rPr>
          <w:rFonts w:ascii="Times New Roman" w:hAnsi="Times New Roman" w:cs="Times New Roman"/>
          <w:i/>
          <w:iCs/>
          <w:sz w:val="24"/>
          <w:szCs w:val="24"/>
        </w:rPr>
        <w:t>Metals</w:t>
      </w:r>
      <w:r w:rsidRPr="003E0F31">
        <w:rPr>
          <w:rFonts w:ascii="Times New Roman" w:hAnsi="Times New Roman" w:cs="Times New Roman"/>
          <w:sz w:val="24"/>
          <w:szCs w:val="24"/>
        </w:rPr>
        <w:t xml:space="preserve"> 8 (4): 220.</w:t>
      </w:r>
    </w:p>
    <w:p w14:paraId="68906070" w14:textId="77777777" w:rsidR="00071940" w:rsidRPr="003E0F31" w:rsidRDefault="00071940" w:rsidP="00071940">
      <w:pPr>
        <w:pStyle w:val="Bibliography"/>
        <w:spacing w:after="240"/>
        <w:rPr>
          <w:rFonts w:ascii="Times New Roman" w:hAnsi="Times New Roman" w:cs="Times New Roman"/>
          <w:sz w:val="24"/>
          <w:szCs w:val="24"/>
        </w:rPr>
      </w:pPr>
      <w:r w:rsidRPr="003E0F31">
        <w:rPr>
          <w:rFonts w:ascii="Times New Roman" w:hAnsi="Times New Roman" w:cs="Times New Roman"/>
          <w:sz w:val="24"/>
          <w:szCs w:val="24"/>
        </w:rPr>
        <w:t xml:space="preserve">Buchanan, Craig, and Leroy Gardner. 2019. “Metal 3D Printing in Construction: A Review of Methods, Research, Applications, Opportunities and Challenges.” </w:t>
      </w:r>
      <w:r w:rsidRPr="003E0F31">
        <w:rPr>
          <w:rFonts w:ascii="Times New Roman" w:hAnsi="Times New Roman" w:cs="Times New Roman"/>
          <w:i/>
          <w:iCs/>
          <w:sz w:val="24"/>
          <w:szCs w:val="24"/>
        </w:rPr>
        <w:t>Engineering Structures</w:t>
      </w:r>
      <w:r w:rsidRPr="003E0F31">
        <w:rPr>
          <w:rFonts w:ascii="Times New Roman" w:hAnsi="Times New Roman" w:cs="Times New Roman"/>
          <w:sz w:val="24"/>
          <w:szCs w:val="24"/>
        </w:rPr>
        <w:t xml:space="preserve"> 180: 332–48.</w:t>
      </w:r>
    </w:p>
    <w:p w14:paraId="05D08587" w14:textId="77777777" w:rsidR="00071940" w:rsidRPr="003E0F31" w:rsidRDefault="00071940" w:rsidP="00071940">
      <w:pPr>
        <w:pStyle w:val="Bibliography"/>
        <w:spacing w:after="240"/>
        <w:rPr>
          <w:rFonts w:ascii="Times New Roman" w:hAnsi="Times New Roman" w:cs="Times New Roman"/>
          <w:sz w:val="24"/>
          <w:szCs w:val="24"/>
        </w:rPr>
      </w:pPr>
      <w:r w:rsidRPr="003E0F31">
        <w:rPr>
          <w:rFonts w:ascii="Times New Roman" w:hAnsi="Times New Roman" w:cs="Times New Roman"/>
          <w:sz w:val="24"/>
          <w:szCs w:val="24"/>
        </w:rPr>
        <w:t xml:space="preserve">Buchbinder, D., W. Meiners, K. Wissenbach, and R. Poprawe. 2015. “Selective Laser Melting of Aluminum Die-Cast Alloy—Correlations between Process Parameters, Solidification Conditions, and Resulting Mechanical Properties.” </w:t>
      </w:r>
      <w:r w:rsidRPr="003E0F31">
        <w:rPr>
          <w:rFonts w:ascii="Times New Roman" w:hAnsi="Times New Roman" w:cs="Times New Roman"/>
          <w:i/>
          <w:iCs/>
          <w:sz w:val="24"/>
          <w:szCs w:val="24"/>
        </w:rPr>
        <w:t>Journal of Laser Applications</w:t>
      </w:r>
      <w:r w:rsidRPr="003E0F31">
        <w:rPr>
          <w:rFonts w:ascii="Times New Roman" w:hAnsi="Times New Roman" w:cs="Times New Roman"/>
          <w:sz w:val="24"/>
          <w:szCs w:val="24"/>
        </w:rPr>
        <w:t xml:space="preserve"> 27 (S2). https://pubs.aip.org/lia/jla/article/27/S2/S29205/313998.</w:t>
      </w:r>
    </w:p>
    <w:p w14:paraId="2B9F418B" w14:textId="77777777" w:rsidR="00071940" w:rsidRPr="003E0F31" w:rsidRDefault="00071940" w:rsidP="00071940">
      <w:pPr>
        <w:pStyle w:val="Bibliography"/>
        <w:spacing w:after="240"/>
        <w:rPr>
          <w:rFonts w:ascii="Times New Roman" w:hAnsi="Times New Roman" w:cs="Times New Roman"/>
          <w:sz w:val="24"/>
          <w:szCs w:val="24"/>
        </w:rPr>
      </w:pPr>
      <w:r w:rsidRPr="003E0F31">
        <w:rPr>
          <w:rFonts w:ascii="Times New Roman" w:hAnsi="Times New Roman" w:cs="Times New Roman"/>
          <w:sz w:val="24"/>
          <w:szCs w:val="24"/>
        </w:rPr>
        <w:t xml:space="preserve">Calignano, Flaviana, Diego Manfredi, Elisa Paola Ambrosio, Sara Biamino, Mariangela Lombardi, Eleonora Atzeni, Alessandro Salmi, Paolo Minetola, Luca Iuliano, and Paolo Fino. 2017. “Overview on Additive Manufacturing Technologies.” </w:t>
      </w:r>
      <w:r w:rsidRPr="003E0F31">
        <w:rPr>
          <w:rFonts w:ascii="Times New Roman" w:hAnsi="Times New Roman" w:cs="Times New Roman"/>
          <w:i/>
          <w:iCs/>
          <w:sz w:val="24"/>
          <w:szCs w:val="24"/>
        </w:rPr>
        <w:t>Proceedings of the IEEE</w:t>
      </w:r>
      <w:r w:rsidRPr="003E0F31">
        <w:rPr>
          <w:rFonts w:ascii="Times New Roman" w:hAnsi="Times New Roman" w:cs="Times New Roman"/>
          <w:sz w:val="24"/>
          <w:szCs w:val="24"/>
        </w:rPr>
        <w:t xml:space="preserve"> 105 (4): 593–612.</w:t>
      </w:r>
    </w:p>
    <w:p w14:paraId="17A23F80" w14:textId="77777777" w:rsidR="00071940" w:rsidRPr="003E0F31" w:rsidRDefault="00071940" w:rsidP="00071940">
      <w:pPr>
        <w:pStyle w:val="Bibliography"/>
        <w:spacing w:after="240"/>
        <w:rPr>
          <w:rFonts w:ascii="Times New Roman" w:hAnsi="Times New Roman" w:cs="Times New Roman"/>
          <w:sz w:val="24"/>
          <w:szCs w:val="24"/>
        </w:rPr>
      </w:pPr>
      <w:r w:rsidRPr="003E0F31">
        <w:rPr>
          <w:rFonts w:ascii="Times New Roman" w:hAnsi="Times New Roman" w:cs="Times New Roman"/>
          <w:sz w:val="24"/>
          <w:szCs w:val="24"/>
        </w:rPr>
        <w:t>Campbell, I., O. Diegel, J. Kowen, and T. Wohlers. 2017. “Wohlers Report 2018: 3D Printing and Additive Manufacturing State of the Industry: Annual Worldwide Progress Report.” In . https://www.semanticscholar.org/paper/Wohlers-Report-2018%3A-3D-printing-and-additive-state-Campbell-Diegel/73a503275f46ec1ebaaba2a0e007db081bf6852f.</w:t>
      </w:r>
    </w:p>
    <w:p w14:paraId="466AC859" w14:textId="77777777" w:rsidR="00071940" w:rsidRPr="003E0F31" w:rsidRDefault="00071940" w:rsidP="00071940">
      <w:pPr>
        <w:pStyle w:val="Bibliography"/>
        <w:spacing w:after="240"/>
        <w:rPr>
          <w:rFonts w:ascii="Times New Roman" w:hAnsi="Times New Roman" w:cs="Times New Roman"/>
          <w:sz w:val="24"/>
          <w:szCs w:val="24"/>
        </w:rPr>
      </w:pPr>
      <w:r w:rsidRPr="003E0F31">
        <w:rPr>
          <w:rFonts w:ascii="Times New Roman" w:hAnsi="Times New Roman" w:cs="Times New Roman"/>
          <w:sz w:val="24"/>
          <w:szCs w:val="24"/>
        </w:rPr>
        <w:t xml:space="preserve">Carman, P. C. 1948. “Some Physical Aspects of Water Flow in Porous Media.” </w:t>
      </w:r>
      <w:r w:rsidRPr="003E0F31">
        <w:rPr>
          <w:rFonts w:ascii="Times New Roman" w:hAnsi="Times New Roman" w:cs="Times New Roman"/>
          <w:i/>
          <w:iCs/>
          <w:sz w:val="24"/>
          <w:szCs w:val="24"/>
        </w:rPr>
        <w:t>Discussions of the Faraday Society</w:t>
      </w:r>
      <w:r w:rsidRPr="003E0F31">
        <w:rPr>
          <w:rFonts w:ascii="Times New Roman" w:hAnsi="Times New Roman" w:cs="Times New Roman"/>
          <w:sz w:val="24"/>
          <w:szCs w:val="24"/>
        </w:rPr>
        <w:t xml:space="preserve"> 3: 72–77.</w:t>
      </w:r>
    </w:p>
    <w:p w14:paraId="0994D6AD" w14:textId="77777777" w:rsidR="00071940" w:rsidRPr="003E0F31" w:rsidRDefault="00071940" w:rsidP="00071940">
      <w:pPr>
        <w:pStyle w:val="Bibliography"/>
        <w:spacing w:after="240"/>
        <w:rPr>
          <w:rFonts w:ascii="Times New Roman" w:hAnsi="Times New Roman" w:cs="Times New Roman"/>
          <w:sz w:val="24"/>
          <w:szCs w:val="24"/>
        </w:rPr>
      </w:pPr>
      <w:r w:rsidRPr="003E0F31">
        <w:rPr>
          <w:rFonts w:ascii="Times New Roman" w:hAnsi="Times New Roman" w:cs="Times New Roman"/>
          <w:sz w:val="24"/>
          <w:szCs w:val="24"/>
        </w:rPr>
        <w:t xml:space="preserve">Chiumenti, Michele, Xin Lin, Miguel Cervera, Wei Lei, Yuxiang Zheng, and Weidong Huang. 2017. “Numerical Simulation and Experimental Calibration of Additive Manufacturing by Blown Powder Technology. Part I: Thermal Analysis.” </w:t>
      </w:r>
      <w:r w:rsidRPr="003E0F31">
        <w:rPr>
          <w:rFonts w:ascii="Times New Roman" w:hAnsi="Times New Roman" w:cs="Times New Roman"/>
          <w:i/>
          <w:iCs/>
          <w:sz w:val="24"/>
          <w:szCs w:val="24"/>
        </w:rPr>
        <w:t>Rapid Prototyping Journal</w:t>
      </w:r>
      <w:r w:rsidRPr="003E0F31">
        <w:rPr>
          <w:rFonts w:ascii="Times New Roman" w:hAnsi="Times New Roman" w:cs="Times New Roman"/>
          <w:sz w:val="24"/>
          <w:szCs w:val="24"/>
        </w:rPr>
        <w:t xml:space="preserve"> 23 (2): 448–63.</w:t>
      </w:r>
    </w:p>
    <w:p w14:paraId="2DFC643F" w14:textId="77777777" w:rsidR="00071940" w:rsidRPr="003E0F31" w:rsidRDefault="00071940" w:rsidP="00071940">
      <w:pPr>
        <w:pStyle w:val="Bibliography"/>
        <w:spacing w:after="240"/>
        <w:rPr>
          <w:rFonts w:ascii="Times New Roman" w:hAnsi="Times New Roman" w:cs="Times New Roman"/>
          <w:sz w:val="24"/>
          <w:szCs w:val="24"/>
        </w:rPr>
      </w:pPr>
      <w:r w:rsidRPr="003E0F31">
        <w:rPr>
          <w:rFonts w:ascii="Times New Roman" w:hAnsi="Times New Roman" w:cs="Times New Roman"/>
          <w:sz w:val="24"/>
          <w:szCs w:val="24"/>
        </w:rPr>
        <w:t xml:space="preserve">Choi, Youngsin, and Dong-Geun Lee. 2019. “Correlation between Surface Tension and Fatigue Properties of Ti-6Al-4V Alloy Fabricated by EBM Additive Manufacturing.” </w:t>
      </w:r>
      <w:r w:rsidRPr="003E0F31">
        <w:rPr>
          <w:rFonts w:ascii="Times New Roman" w:hAnsi="Times New Roman" w:cs="Times New Roman"/>
          <w:i/>
          <w:iCs/>
          <w:sz w:val="24"/>
          <w:szCs w:val="24"/>
        </w:rPr>
        <w:t>Applied Surface Science</w:t>
      </w:r>
      <w:r w:rsidRPr="003E0F31">
        <w:rPr>
          <w:rFonts w:ascii="Times New Roman" w:hAnsi="Times New Roman" w:cs="Times New Roman"/>
          <w:sz w:val="24"/>
          <w:szCs w:val="24"/>
        </w:rPr>
        <w:t xml:space="preserve"> 481: 741–46.</w:t>
      </w:r>
    </w:p>
    <w:p w14:paraId="469E7D9B" w14:textId="77777777" w:rsidR="00071940" w:rsidRPr="003E0F31" w:rsidRDefault="00071940" w:rsidP="00071940">
      <w:pPr>
        <w:pStyle w:val="Bibliography"/>
        <w:spacing w:after="240"/>
        <w:rPr>
          <w:rFonts w:ascii="Times New Roman" w:hAnsi="Times New Roman" w:cs="Times New Roman"/>
          <w:sz w:val="24"/>
          <w:szCs w:val="24"/>
        </w:rPr>
      </w:pPr>
      <w:r w:rsidRPr="003E0F31">
        <w:rPr>
          <w:rFonts w:ascii="Times New Roman" w:hAnsi="Times New Roman" w:cs="Times New Roman"/>
          <w:sz w:val="24"/>
          <w:szCs w:val="24"/>
        </w:rPr>
        <w:t xml:space="preserve">Cormier, Denis, Ola Harrysson, and Harvey West. 2004. “Characterization of H13 Steel Produced via Electron Beam Melting.” </w:t>
      </w:r>
      <w:r w:rsidRPr="003E0F31">
        <w:rPr>
          <w:rFonts w:ascii="Times New Roman" w:hAnsi="Times New Roman" w:cs="Times New Roman"/>
          <w:i/>
          <w:iCs/>
          <w:sz w:val="24"/>
          <w:szCs w:val="24"/>
        </w:rPr>
        <w:t>Rapid Prototyping Journal</w:t>
      </w:r>
      <w:r w:rsidRPr="003E0F31">
        <w:rPr>
          <w:rFonts w:ascii="Times New Roman" w:hAnsi="Times New Roman" w:cs="Times New Roman"/>
          <w:sz w:val="24"/>
          <w:szCs w:val="24"/>
        </w:rPr>
        <w:t xml:space="preserve"> 10 (1): 35–41.</w:t>
      </w:r>
    </w:p>
    <w:p w14:paraId="49459067" w14:textId="77777777" w:rsidR="00071940" w:rsidRPr="003E0F31" w:rsidRDefault="00071940" w:rsidP="00071940">
      <w:pPr>
        <w:pStyle w:val="Bibliography"/>
        <w:spacing w:after="240"/>
        <w:rPr>
          <w:rFonts w:ascii="Times New Roman" w:hAnsi="Times New Roman" w:cs="Times New Roman"/>
          <w:sz w:val="24"/>
          <w:szCs w:val="24"/>
        </w:rPr>
      </w:pPr>
      <w:r w:rsidRPr="003E0F31">
        <w:rPr>
          <w:rFonts w:ascii="Times New Roman" w:hAnsi="Times New Roman" w:cs="Times New Roman"/>
          <w:sz w:val="24"/>
          <w:szCs w:val="24"/>
        </w:rPr>
        <w:t xml:space="preserve">Das, Suman, Martin Wohlert, Joseph J. Beaman, and David L. Bourell. 1998. “Producing Metal Parts with Selective Laser Sintering/Hot Isostatic Pressing.” </w:t>
      </w:r>
      <w:r w:rsidRPr="003E0F31">
        <w:rPr>
          <w:rFonts w:ascii="Times New Roman" w:hAnsi="Times New Roman" w:cs="Times New Roman"/>
          <w:i/>
          <w:iCs/>
          <w:sz w:val="24"/>
          <w:szCs w:val="24"/>
        </w:rPr>
        <w:t>JOM</w:t>
      </w:r>
      <w:r w:rsidRPr="003E0F31">
        <w:rPr>
          <w:rFonts w:ascii="Times New Roman" w:hAnsi="Times New Roman" w:cs="Times New Roman"/>
          <w:sz w:val="24"/>
          <w:szCs w:val="24"/>
        </w:rPr>
        <w:t xml:space="preserve"> 50 (12): 17–20. https://doi.org/10.1007/s11837-998-0299-1.</w:t>
      </w:r>
    </w:p>
    <w:p w14:paraId="0CC1AB3E" w14:textId="77777777" w:rsidR="00071940" w:rsidRPr="003E0F31" w:rsidRDefault="00071940" w:rsidP="00071940">
      <w:pPr>
        <w:pStyle w:val="Bibliography"/>
        <w:spacing w:after="240"/>
        <w:rPr>
          <w:rFonts w:ascii="Times New Roman" w:hAnsi="Times New Roman" w:cs="Times New Roman"/>
          <w:sz w:val="24"/>
          <w:szCs w:val="24"/>
        </w:rPr>
      </w:pPr>
      <w:r w:rsidRPr="003E0F31">
        <w:rPr>
          <w:rFonts w:ascii="Times New Roman" w:hAnsi="Times New Roman" w:cs="Times New Roman"/>
          <w:sz w:val="24"/>
          <w:szCs w:val="24"/>
        </w:rPr>
        <w:t xml:space="preserve">Dass, Adrita, and Atieh Moridi. 2019. “State of the Art in Directed Energy Deposition: From Additive Manufacturing to Materials Design.” </w:t>
      </w:r>
      <w:r w:rsidRPr="003E0F31">
        <w:rPr>
          <w:rFonts w:ascii="Times New Roman" w:hAnsi="Times New Roman" w:cs="Times New Roman"/>
          <w:i/>
          <w:iCs/>
          <w:sz w:val="24"/>
          <w:szCs w:val="24"/>
        </w:rPr>
        <w:t>Coatings</w:t>
      </w:r>
      <w:r w:rsidRPr="003E0F31">
        <w:rPr>
          <w:rFonts w:ascii="Times New Roman" w:hAnsi="Times New Roman" w:cs="Times New Roman"/>
          <w:sz w:val="24"/>
          <w:szCs w:val="24"/>
        </w:rPr>
        <w:t xml:space="preserve"> 9 (7): 418. https://doi.org/10.3390/coatings9070418.</w:t>
      </w:r>
    </w:p>
    <w:p w14:paraId="7CD32B9B" w14:textId="77777777" w:rsidR="00071940" w:rsidRPr="003E0F31" w:rsidRDefault="00071940" w:rsidP="00071940">
      <w:pPr>
        <w:pStyle w:val="Bibliography"/>
        <w:spacing w:after="240"/>
        <w:rPr>
          <w:rFonts w:ascii="Times New Roman" w:hAnsi="Times New Roman" w:cs="Times New Roman"/>
          <w:sz w:val="24"/>
          <w:szCs w:val="24"/>
        </w:rPr>
      </w:pPr>
      <w:r w:rsidRPr="003E0F31">
        <w:rPr>
          <w:rFonts w:ascii="Times New Roman" w:hAnsi="Times New Roman" w:cs="Times New Roman"/>
          <w:sz w:val="24"/>
          <w:szCs w:val="24"/>
        </w:rPr>
        <w:lastRenderedPageBreak/>
        <w:t xml:space="preserve">DebRoy, Tarasankar, Huiliang L. Wei, James S. Zuback, Tuhin Mukherjee, John W. Elmer, John O. Milewski, Allison Michelle Beese, A. de Wilson-Heid, Amitava De, and Wei Zhang. 2018. “Additive Manufacturing of Metallic Components–Process, Structure and Properties.” </w:t>
      </w:r>
      <w:r w:rsidRPr="003E0F31">
        <w:rPr>
          <w:rFonts w:ascii="Times New Roman" w:hAnsi="Times New Roman" w:cs="Times New Roman"/>
          <w:i/>
          <w:iCs/>
          <w:sz w:val="24"/>
          <w:szCs w:val="24"/>
        </w:rPr>
        <w:t>Progress in Materials Science</w:t>
      </w:r>
      <w:r w:rsidRPr="003E0F31">
        <w:rPr>
          <w:rFonts w:ascii="Times New Roman" w:hAnsi="Times New Roman" w:cs="Times New Roman"/>
          <w:sz w:val="24"/>
          <w:szCs w:val="24"/>
        </w:rPr>
        <w:t xml:space="preserve"> 92: 112–224.</w:t>
      </w:r>
    </w:p>
    <w:p w14:paraId="4C3CE174" w14:textId="77777777" w:rsidR="00071940" w:rsidRPr="003E0F31" w:rsidRDefault="00071940" w:rsidP="00071940">
      <w:pPr>
        <w:pStyle w:val="Bibliography"/>
        <w:spacing w:after="240"/>
        <w:rPr>
          <w:rFonts w:ascii="Times New Roman" w:hAnsi="Times New Roman" w:cs="Times New Roman"/>
          <w:sz w:val="24"/>
          <w:szCs w:val="24"/>
        </w:rPr>
      </w:pPr>
      <w:r w:rsidRPr="003E0F31">
        <w:rPr>
          <w:rFonts w:ascii="Times New Roman" w:hAnsi="Times New Roman" w:cs="Times New Roman"/>
          <w:sz w:val="24"/>
          <w:szCs w:val="24"/>
        </w:rPr>
        <w:t>“Degudent - Germany.” n.d. Accessed March 26, 2024. https://chemicalparks.eu/companies/degudent.</w:t>
      </w:r>
    </w:p>
    <w:p w14:paraId="56A1FAA1" w14:textId="77777777" w:rsidR="00071940" w:rsidRPr="003E0F31" w:rsidRDefault="00071940" w:rsidP="00071940">
      <w:pPr>
        <w:pStyle w:val="Bibliography"/>
        <w:spacing w:after="240"/>
        <w:rPr>
          <w:rFonts w:ascii="Times New Roman" w:hAnsi="Times New Roman" w:cs="Times New Roman"/>
          <w:sz w:val="24"/>
          <w:szCs w:val="24"/>
        </w:rPr>
      </w:pPr>
      <w:r w:rsidRPr="003E0F31">
        <w:rPr>
          <w:rFonts w:ascii="Times New Roman" w:hAnsi="Times New Roman" w:cs="Times New Roman"/>
          <w:sz w:val="24"/>
          <w:szCs w:val="24"/>
        </w:rPr>
        <w:t xml:space="preserve">Delgado, Jordi, Joaquim Ciurana, and Ciro A. Rodríguez. 2012. “Influence of Process Parameters on Part Quality and Mechanical Properties for DMLS and SLM with Iron-Based Materials.” </w:t>
      </w:r>
      <w:r w:rsidRPr="003E0F31">
        <w:rPr>
          <w:rFonts w:ascii="Times New Roman" w:hAnsi="Times New Roman" w:cs="Times New Roman"/>
          <w:i/>
          <w:iCs/>
          <w:sz w:val="24"/>
          <w:szCs w:val="24"/>
        </w:rPr>
        <w:t>The International Journal of Advanced Manufacturing Technology</w:t>
      </w:r>
      <w:r w:rsidRPr="003E0F31">
        <w:rPr>
          <w:rFonts w:ascii="Times New Roman" w:hAnsi="Times New Roman" w:cs="Times New Roman"/>
          <w:sz w:val="24"/>
          <w:szCs w:val="24"/>
        </w:rPr>
        <w:t xml:space="preserve"> 60 (5–8): 601–10. https://doi.org/10.1007/s00170-011-3643-5.</w:t>
      </w:r>
    </w:p>
    <w:p w14:paraId="1F18C403" w14:textId="77777777" w:rsidR="00071940" w:rsidRPr="003E0F31" w:rsidRDefault="00071940" w:rsidP="00071940">
      <w:pPr>
        <w:pStyle w:val="Bibliography"/>
        <w:spacing w:after="240"/>
        <w:rPr>
          <w:rFonts w:ascii="Times New Roman" w:hAnsi="Times New Roman" w:cs="Times New Roman"/>
          <w:sz w:val="24"/>
          <w:szCs w:val="24"/>
        </w:rPr>
      </w:pPr>
      <w:r w:rsidRPr="003E0F31">
        <w:rPr>
          <w:rFonts w:ascii="Times New Roman" w:hAnsi="Times New Roman" w:cs="Times New Roman"/>
          <w:sz w:val="24"/>
          <w:szCs w:val="24"/>
        </w:rPr>
        <w:t xml:space="preserve">Derekar, K. S. 2018. “A Review of Wire Arc Additive Manufacturing and Advances in Wire Arc Additive Manufacturing of Aluminium.” </w:t>
      </w:r>
      <w:r w:rsidRPr="003E0F31">
        <w:rPr>
          <w:rFonts w:ascii="Times New Roman" w:hAnsi="Times New Roman" w:cs="Times New Roman"/>
          <w:i/>
          <w:iCs/>
          <w:sz w:val="24"/>
          <w:szCs w:val="24"/>
        </w:rPr>
        <w:t>Materials Science and Technology</w:t>
      </w:r>
      <w:r w:rsidRPr="003E0F31">
        <w:rPr>
          <w:rFonts w:ascii="Times New Roman" w:hAnsi="Times New Roman" w:cs="Times New Roman"/>
          <w:sz w:val="24"/>
          <w:szCs w:val="24"/>
        </w:rPr>
        <w:t xml:space="preserve"> 34 (8): 895–916. https://doi.org/10.1080/02670836.2018.1455012.</w:t>
      </w:r>
    </w:p>
    <w:p w14:paraId="1424728C" w14:textId="77777777" w:rsidR="00071940" w:rsidRPr="003E0F31" w:rsidRDefault="00071940" w:rsidP="00071940">
      <w:pPr>
        <w:pStyle w:val="Bibliography"/>
        <w:spacing w:after="240"/>
        <w:rPr>
          <w:rFonts w:ascii="Times New Roman" w:hAnsi="Times New Roman" w:cs="Times New Roman"/>
          <w:sz w:val="24"/>
          <w:szCs w:val="24"/>
        </w:rPr>
      </w:pPr>
      <w:r w:rsidRPr="003E0F31">
        <w:rPr>
          <w:rFonts w:ascii="Times New Roman" w:hAnsi="Times New Roman" w:cs="Times New Roman"/>
          <w:sz w:val="24"/>
          <w:szCs w:val="24"/>
        </w:rPr>
        <w:t xml:space="preserve">Dharmendra, C., A. Hadadzadeh, B. S. Amirkhiz, GD Janaki Ram, and M. Mohammadi. 2019. “Microstructural Evolution and Mechanical Behavior of Nickel Aluminum Bronze Cu-9Al-4Fe-4Ni-1Mn Fabricated through Wire-Arc Additive Manufacturing.” </w:t>
      </w:r>
      <w:r w:rsidRPr="003E0F31">
        <w:rPr>
          <w:rFonts w:ascii="Times New Roman" w:hAnsi="Times New Roman" w:cs="Times New Roman"/>
          <w:i/>
          <w:iCs/>
          <w:sz w:val="24"/>
          <w:szCs w:val="24"/>
        </w:rPr>
        <w:t>Additive Manufacturing</w:t>
      </w:r>
      <w:r w:rsidRPr="003E0F31">
        <w:rPr>
          <w:rFonts w:ascii="Times New Roman" w:hAnsi="Times New Roman" w:cs="Times New Roman"/>
          <w:sz w:val="24"/>
          <w:szCs w:val="24"/>
        </w:rPr>
        <w:t xml:space="preserve"> 30: 100872.</w:t>
      </w:r>
    </w:p>
    <w:p w14:paraId="554B14F6" w14:textId="77777777" w:rsidR="00071940" w:rsidRPr="003E0F31" w:rsidRDefault="00071940" w:rsidP="00071940">
      <w:pPr>
        <w:pStyle w:val="Bibliography"/>
        <w:spacing w:after="240"/>
        <w:rPr>
          <w:rFonts w:ascii="Times New Roman" w:hAnsi="Times New Roman" w:cs="Times New Roman"/>
          <w:sz w:val="24"/>
          <w:szCs w:val="24"/>
        </w:rPr>
      </w:pPr>
      <w:r w:rsidRPr="003E0F31">
        <w:rPr>
          <w:rFonts w:ascii="Times New Roman" w:hAnsi="Times New Roman" w:cs="Times New Roman"/>
          <w:sz w:val="24"/>
          <w:szCs w:val="24"/>
        </w:rPr>
        <w:t>Dinda, G. P</w:t>
      </w:r>
      <w:r w:rsidRPr="003E0F31">
        <w:rPr>
          <w:rFonts w:ascii="Times New Roman" w:eastAsia="Microsoft Yi Baiti" w:hAnsi="Times New Roman" w:cs="Times New Roman"/>
          <w:sz w:val="24"/>
          <w:szCs w:val="24"/>
        </w:rPr>
        <w:t>ꎬ</w:t>
      </w:r>
      <w:r w:rsidRPr="003E0F31">
        <w:rPr>
          <w:rFonts w:ascii="Times New Roman" w:hAnsi="Times New Roman" w:cs="Times New Roman"/>
          <w:sz w:val="24"/>
          <w:szCs w:val="24"/>
        </w:rPr>
        <w:t>, A. K</w:t>
      </w:r>
      <w:r w:rsidRPr="003E0F31">
        <w:rPr>
          <w:rFonts w:ascii="Times New Roman" w:eastAsia="Microsoft Yi Baiti" w:hAnsi="Times New Roman" w:cs="Times New Roman"/>
          <w:sz w:val="24"/>
          <w:szCs w:val="24"/>
        </w:rPr>
        <w:t>ꎬ</w:t>
      </w:r>
      <w:r w:rsidRPr="003E0F31">
        <w:rPr>
          <w:rFonts w:ascii="Times New Roman" w:hAnsi="Times New Roman" w:cs="Times New Roman"/>
          <w:sz w:val="24"/>
          <w:szCs w:val="24"/>
        </w:rPr>
        <w:t xml:space="preserve"> Dasgupta, and J. Mazumder. 2009. “Laser Aided Direct Metal Deposition of Inconel 625 Superalloy: Microstructural Evolution and Thermal Stability.” </w:t>
      </w:r>
      <w:r w:rsidRPr="003E0F31">
        <w:rPr>
          <w:rFonts w:ascii="Times New Roman" w:hAnsi="Times New Roman" w:cs="Times New Roman"/>
          <w:i/>
          <w:iCs/>
          <w:sz w:val="24"/>
          <w:szCs w:val="24"/>
        </w:rPr>
        <w:t>Materials Science and Engineering: A</w:t>
      </w:r>
      <w:r w:rsidRPr="003E0F31">
        <w:rPr>
          <w:rFonts w:ascii="Times New Roman" w:hAnsi="Times New Roman" w:cs="Times New Roman"/>
          <w:sz w:val="24"/>
          <w:szCs w:val="24"/>
        </w:rPr>
        <w:t xml:space="preserve"> 509 (1–2): 98–104.</w:t>
      </w:r>
    </w:p>
    <w:p w14:paraId="3C7012BC" w14:textId="77777777" w:rsidR="00071940" w:rsidRPr="003E0F31" w:rsidRDefault="00071940" w:rsidP="00071940">
      <w:pPr>
        <w:pStyle w:val="Bibliography"/>
        <w:spacing w:after="240"/>
        <w:rPr>
          <w:rFonts w:ascii="Times New Roman" w:hAnsi="Times New Roman" w:cs="Times New Roman"/>
          <w:sz w:val="24"/>
          <w:szCs w:val="24"/>
        </w:rPr>
      </w:pPr>
      <w:r w:rsidRPr="003E0F31">
        <w:rPr>
          <w:rFonts w:ascii="Times New Roman" w:hAnsi="Times New Roman" w:cs="Times New Roman"/>
          <w:sz w:val="24"/>
          <w:szCs w:val="24"/>
        </w:rPr>
        <w:t xml:space="preserve">Dou, Lei, ZhangFu Yuan, JianQiang Li, Jing Li, and XiaoQiang Wang. 2008. “Surface Tension of Molten Al-Si Alloy at Temperatures Ranging from 923 to 1123 K.” </w:t>
      </w:r>
      <w:r w:rsidRPr="003E0F31">
        <w:rPr>
          <w:rFonts w:ascii="Times New Roman" w:hAnsi="Times New Roman" w:cs="Times New Roman"/>
          <w:i/>
          <w:iCs/>
          <w:sz w:val="24"/>
          <w:szCs w:val="24"/>
        </w:rPr>
        <w:t>Science Bulletin</w:t>
      </w:r>
      <w:r w:rsidRPr="003E0F31">
        <w:rPr>
          <w:rFonts w:ascii="Times New Roman" w:hAnsi="Times New Roman" w:cs="Times New Roman"/>
          <w:sz w:val="24"/>
          <w:szCs w:val="24"/>
        </w:rPr>
        <w:t xml:space="preserve"> 53 (17): 2593–98. https://doi.org/10.1007/s11434-008-0372-8.</w:t>
      </w:r>
    </w:p>
    <w:p w14:paraId="328B8952" w14:textId="77777777" w:rsidR="00071940" w:rsidRPr="003E0F31" w:rsidRDefault="00071940" w:rsidP="00071940">
      <w:pPr>
        <w:pStyle w:val="Bibliography"/>
        <w:spacing w:after="240"/>
        <w:rPr>
          <w:rFonts w:ascii="Times New Roman" w:hAnsi="Times New Roman" w:cs="Times New Roman"/>
          <w:sz w:val="24"/>
          <w:szCs w:val="24"/>
        </w:rPr>
      </w:pPr>
      <w:r w:rsidRPr="003E0F31">
        <w:rPr>
          <w:rFonts w:ascii="Times New Roman" w:hAnsi="Times New Roman" w:cs="Times New Roman"/>
          <w:sz w:val="24"/>
          <w:szCs w:val="24"/>
        </w:rPr>
        <w:t>F1537-11, ASTM. 2011. “Standard Specification for Wrought Cobalt-28Chromium-6Molybdenum Alloys for Surgical Implants (UNS R31537, UNS R31538, and UNS R31539).” ASTM International West Conshohocken, PA.</w:t>
      </w:r>
    </w:p>
    <w:p w14:paraId="2E1FCC28" w14:textId="77777777" w:rsidR="00071940" w:rsidRPr="003E0F31" w:rsidRDefault="00071940" w:rsidP="00071940">
      <w:pPr>
        <w:pStyle w:val="Bibliography"/>
        <w:spacing w:after="240"/>
        <w:rPr>
          <w:rFonts w:ascii="Times New Roman" w:hAnsi="Times New Roman" w:cs="Times New Roman"/>
          <w:sz w:val="24"/>
          <w:szCs w:val="24"/>
        </w:rPr>
      </w:pPr>
      <w:r w:rsidRPr="003E0F31">
        <w:rPr>
          <w:rFonts w:ascii="Times New Roman" w:hAnsi="Times New Roman" w:cs="Times New Roman"/>
          <w:sz w:val="24"/>
          <w:szCs w:val="24"/>
        </w:rPr>
        <w:t xml:space="preserve">Fan, H. G., and R. Kovacevic. 1999. “Keyhole Formation and Collapse in Plasma Arc Welding.” </w:t>
      </w:r>
      <w:r w:rsidRPr="003E0F31">
        <w:rPr>
          <w:rFonts w:ascii="Times New Roman" w:hAnsi="Times New Roman" w:cs="Times New Roman"/>
          <w:i/>
          <w:iCs/>
          <w:sz w:val="24"/>
          <w:szCs w:val="24"/>
        </w:rPr>
        <w:t>Journal of Physics D: Applied Physics</w:t>
      </w:r>
      <w:r w:rsidRPr="003E0F31">
        <w:rPr>
          <w:rFonts w:ascii="Times New Roman" w:hAnsi="Times New Roman" w:cs="Times New Roman"/>
          <w:sz w:val="24"/>
          <w:szCs w:val="24"/>
        </w:rPr>
        <w:t xml:space="preserve"> 32 (22): 2902.</w:t>
      </w:r>
    </w:p>
    <w:p w14:paraId="14E7EB4F" w14:textId="77777777" w:rsidR="00071940" w:rsidRPr="003E0F31" w:rsidRDefault="00071940" w:rsidP="00071940">
      <w:pPr>
        <w:pStyle w:val="Bibliography"/>
        <w:spacing w:after="240"/>
        <w:rPr>
          <w:rFonts w:ascii="Times New Roman" w:hAnsi="Times New Roman" w:cs="Times New Roman"/>
          <w:sz w:val="24"/>
          <w:szCs w:val="24"/>
        </w:rPr>
      </w:pPr>
      <w:r w:rsidRPr="003E0F31">
        <w:rPr>
          <w:rFonts w:ascii="Times New Roman" w:hAnsi="Times New Roman" w:cs="Times New Roman"/>
          <w:sz w:val="24"/>
          <w:szCs w:val="24"/>
        </w:rPr>
        <w:t xml:space="preserve">Frazier, William E. 2014. “Metal Additive Manufacturing: A Review.” </w:t>
      </w:r>
      <w:r w:rsidRPr="003E0F31">
        <w:rPr>
          <w:rFonts w:ascii="Times New Roman" w:hAnsi="Times New Roman" w:cs="Times New Roman"/>
          <w:i/>
          <w:iCs/>
          <w:sz w:val="24"/>
          <w:szCs w:val="24"/>
        </w:rPr>
        <w:t>Journal of Materials Engineering and Performance</w:t>
      </w:r>
      <w:r w:rsidRPr="003E0F31">
        <w:rPr>
          <w:rFonts w:ascii="Times New Roman" w:hAnsi="Times New Roman" w:cs="Times New Roman"/>
          <w:sz w:val="24"/>
          <w:szCs w:val="24"/>
        </w:rPr>
        <w:t xml:space="preserve"> 23 (6): 1917–28. https://doi.org/10.1007/s11665-014-0958-z.</w:t>
      </w:r>
    </w:p>
    <w:p w14:paraId="203AE1D6" w14:textId="77777777" w:rsidR="00071940" w:rsidRPr="003E0F31" w:rsidRDefault="00071940" w:rsidP="00071940">
      <w:pPr>
        <w:pStyle w:val="Bibliography"/>
        <w:spacing w:after="240"/>
        <w:rPr>
          <w:rFonts w:ascii="Times New Roman" w:hAnsi="Times New Roman" w:cs="Times New Roman"/>
          <w:sz w:val="24"/>
          <w:szCs w:val="24"/>
        </w:rPr>
      </w:pPr>
      <w:r w:rsidRPr="003E0F31">
        <w:rPr>
          <w:rFonts w:ascii="Times New Roman" w:hAnsi="Times New Roman" w:cs="Times New Roman"/>
          <w:sz w:val="24"/>
          <w:szCs w:val="24"/>
        </w:rPr>
        <w:t xml:space="preserve">Fu, C. H., and Y. B. Guo. 2014. “3-Dimensional Finite Element Modeling of Selective Laser Melting Ti-6Al-4V Alloy.” In </w:t>
      </w:r>
      <w:r w:rsidRPr="003E0F31">
        <w:rPr>
          <w:rFonts w:ascii="Times New Roman" w:hAnsi="Times New Roman" w:cs="Times New Roman"/>
          <w:i/>
          <w:iCs/>
          <w:sz w:val="24"/>
          <w:szCs w:val="24"/>
        </w:rPr>
        <w:t>2014 International Solid Freeform Fabrication Symposium</w:t>
      </w:r>
      <w:r w:rsidRPr="003E0F31">
        <w:rPr>
          <w:rFonts w:ascii="Times New Roman" w:hAnsi="Times New Roman" w:cs="Times New Roman"/>
          <w:sz w:val="24"/>
          <w:szCs w:val="24"/>
        </w:rPr>
        <w:t>. University of Texas at Austin. https://repositories.lib.utexas.edu/handle/2152/89257.</w:t>
      </w:r>
    </w:p>
    <w:p w14:paraId="0DF681B2" w14:textId="77777777" w:rsidR="00071940" w:rsidRPr="003E0F31" w:rsidRDefault="00071940" w:rsidP="00071940">
      <w:pPr>
        <w:pStyle w:val="Bibliography"/>
        <w:spacing w:after="240"/>
        <w:rPr>
          <w:rFonts w:ascii="Times New Roman" w:hAnsi="Times New Roman" w:cs="Times New Roman"/>
          <w:sz w:val="24"/>
          <w:szCs w:val="24"/>
        </w:rPr>
      </w:pPr>
      <w:r w:rsidRPr="003E0F31">
        <w:rPr>
          <w:rFonts w:ascii="Times New Roman" w:hAnsi="Times New Roman" w:cs="Times New Roman"/>
          <w:sz w:val="24"/>
          <w:szCs w:val="24"/>
        </w:rPr>
        <w:lastRenderedPageBreak/>
        <w:t xml:space="preserve">Galante, Raquel, Celio G. Figueiredo-Pina, and Ana Paula Serro. 2019. “Additive Manufacturing of Ceramics for Dental Applications: A Review.” </w:t>
      </w:r>
      <w:r w:rsidRPr="003E0F31">
        <w:rPr>
          <w:rFonts w:ascii="Times New Roman" w:hAnsi="Times New Roman" w:cs="Times New Roman"/>
          <w:i/>
          <w:iCs/>
          <w:sz w:val="24"/>
          <w:szCs w:val="24"/>
        </w:rPr>
        <w:t>Dental Materials</w:t>
      </w:r>
      <w:r w:rsidRPr="003E0F31">
        <w:rPr>
          <w:rFonts w:ascii="Times New Roman" w:hAnsi="Times New Roman" w:cs="Times New Roman"/>
          <w:sz w:val="24"/>
          <w:szCs w:val="24"/>
        </w:rPr>
        <w:t xml:space="preserve"> 35 (6): 825–46.</w:t>
      </w:r>
    </w:p>
    <w:p w14:paraId="44DA50EC" w14:textId="77777777" w:rsidR="00071940" w:rsidRPr="003E0F31" w:rsidRDefault="00071940" w:rsidP="00071940">
      <w:pPr>
        <w:pStyle w:val="Bibliography"/>
        <w:spacing w:after="240"/>
        <w:rPr>
          <w:rFonts w:ascii="Times New Roman" w:hAnsi="Times New Roman" w:cs="Times New Roman"/>
          <w:sz w:val="24"/>
          <w:szCs w:val="24"/>
        </w:rPr>
      </w:pPr>
      <w:r w:rsidRPr="003E0F31">
        <w:rPr>
          <w:rFonts w:ascii="Times New Roman" w:hAnsi="Times New Roman" w:cs="Times New Roman"/>
          <w:sz w:val="24"/>
          <w:szCs w:val="24"/>
        </w:rPr>
        <w:t xml:space="preserve">Gandin, Ch-A., and Michel Rappaz. 1994. “A Coupled Finite Element-Cellular Automaton Model for the Prediction of Dendritic Grain Structures in Solidification Processes.” </w:t>
      </w:r>
      <w:r w:rsidRPr="003E0F31">
        <w:rPr>
          <w:rFonts w:ascii="Times New Roman" w:hAnsi="Times New Roman" w:cs="Times New Roman"/>
          <w:i/>
          <w:iCs/>
          <w:sz w:val="24"/>
          <w:szCs w:val="24"/>
        </w:rPr>
        <w:t>Acta Metallurgica et Materialia</w:t>
      </w:r>
      <w:r w:rsidRPr="003E0F31">
        <w:rPr>
          <w:rFonts w:ascii="Times New Roman" w:hAnsi="Times New Roman" w:cs="Times New Roman"/>
          <w:sz w:val="24"/>
          <w:szCs w:val="24"/>
        </w:rPr>
        <w:t xml:space="preserve"> 42 (7): 2233–46.</w:t>
      </w:r>
    </w:p>
    <w:p w14:paraId="065F3D9D" w14:textId="77777777" w:rsidR="00071940" w:rsidRPr="003E0F31" w:rsidRDefault="00071940" w:rsidP="00071940">
      <w:pPr>
        <w:pStyle w:val="Bibliography"/>
        <w:spacing w:after="240"/>
        <w:rPr>
          <w:rFonts w:ascii="Times New Roman" w:hAnsi="Times New Roman" w:cs="Times New Roman"/>
          <w:sz w:val="24"/>
          <w:szCs w:val="24"/>
        </w:rPr>
      </w:pPr>
      <w:r w:rsidRPr="003E0F31">
        <w:rPr>
          <w:rFonts w:ascii="Times New Roman" w:hAnsi="Times New Roman" w:cs="Times New Roman"/>
          <w:sz w:val="24"/>
          <w:szCs w:val="24"/>
        </w:rPr>
        <w:t xml:space="preserve">Gaytan, Sara M., Larry E. Murr, Diana A. Ramirez, Brenda I. Machado, Edwin Martinez, Daniel H. Hernandez, Jose L. Martinez, Francisco Medina, and Ryan B. Wicker. 2011. “A TEM Study of Cobalt-Base Alloy Prototypes Fabricated by EBM.” </w:t>
      </w:r>
      <w:r w:rsidRPr="003E0F31">
        <w:rPr>
          <w:rFonts w:ascii="Times New Roman" w:hAnsi="Times New Roman" w:cs="Times New Roman"/>
          <w:i/>
          <w:iCs/>
          <w:sz w:val="24"/>
          <w:szCs w:val="24"/>
        </w:rPr>
        <w:t>Materials Sciences and Applications</w:t>
      </w:r>
      <w:r w:rsidRPr="003E0F31">
        <w:rPr>
          <w:rFonts w:ascii="Times New Roman" w:hAnsi="Times New Roman" w:cs="Times New Roman"/>
          <w:sz w:val="24"/>
          <w:szCs w:val="24"/>
        </w:rPr>
        <w:t xml:space="preserve"> 2 (05): 355.</w:t>
      </w:r>
    </w:p>
    <w:p w14:paraId="0ECB5547" w14:textId="77777777" w:rsidR="00071940" w:rsidRPr="003E0F31" w:rsidRDefault="00071940" w:rsidP="00071940">
      <w:pPr>
        <w:pStyle w:val="Bibliography"/>
        <w:spacing w:after="240"/>
        <w:rPr>
          <w:rFonts w:ascii="Times New Roman" w:hAnsi="Times New Roman" w:cs="Times New Roman"/>
          <w:sz w:val="24"/>
          <w:szCs w:val="24"/>
        </w:rPr>
      </w:pPr>
      <w:r w:rsidRPr="003E0F31">
        <w:rPr>
          <w:rFonts w:ascii="Times New Roman" w:hAnsi="Times New Roman" w:cs="Times New Roman"/>
          <w:sz w:val="24"/>
          <w:szCs w:val="24"/>
        </w:rPr>
        <w:t xml:space="preserve">Ghosh, Supriyo, Kevin McReynolds, Jonathan E. Guyer, and Dilip Banerjee. 2018. “Simulation of Temperature, Stress and Microstructure Fields during Laser Deposition of Ti–6Al–4V.” </w:t>
      </w:r>
      <w:r w:rsidRPr="003E0F31">
        <w:rPr>
          <w:rFonts w:ascii="Times New Roman" w:hAnsi="Times New Roman" w:cs="Times New Roman"/>
          <w:i/>
          <w:iCs/>
          <w:sz w:val="24"/>
          <w:szCs w:val="24"/>
        </w:rPr>
        <w:t>Modelling and Simulation in Materials Science and Engineering</w:t>
      </w:r>
      <w:r w:rsidRPr="003E0F31">
        <w:rPr>
          <w:rFonts w:ascii="Times New Roman" w:hAnsi="Times New Roman" w:cs="Times New Roman"/>
          <w:sz w:val="24"/>
          <w:szCs w:val="24"/>
        </w:rPr>
        <w:t xml:space="preserve"> 26 (7): 075005.</w:t>
      </w:r>
    </w:p>
    <w:p w14:paraId="299342D6" w14:textId="77777777" w:rsidR="00071940" w:rsidRPr="003E0F31" w:rsidRDefault="00071940" w:rsidP="00071940">
      <w:pPr>
        <w:pStyle w:val="Bibliography"/>
        <w:spacing w:after="240"/>
        <w:rPr>
          <w:rFonts w:ascii="Times New Roman" w:hAnsi="Times New Roman" w:cs="Times New Roman"/>
          <w:sz w:val="24"/>
          <w:szCs w:val="24"/>
        </w:rPr>
      </w:pPr>
      <w:r w:rsidRPr="003E0F31">
        <w:rPr>
          <w:rFonts w:ascii="Times New Roman" w:hAnsi="Times New Roman" w:cs="Times New Roman"/>
          <w:sz w:val="24"/>
          <w:szCs w:val="24"/>
        </w:rPr>
        <w:t xml:space="preserve">Ghosh, Supriyo, Julien Zollinger, Miha Zaloznik, Dilip Banerjee, Christopher K. Newman, and Raymundo Arroyave. 2023. “Modeling of Hierarchical Solidification Microstructures in Metal Additive Manufacturing: Challenges and Opportunities.” </w:t>
      </w:r>
      <w:r w:rsidRPr="003E0F31">
        <w:rPr>
          <w:rFonts w:ascii="Times New Roman" w:hAnsi="Times New Roman" w:cs="Times New Roman"/>
          <w:i/>
          <w:iCs/>
          <w:sz w:val="24"/>
          <w:szCs w:val="24"/>
        </w:rPr>
        <w:t>Additive Manufacturing</w:t>
      </w:r>
      <w:r w:rsidRPr="003E0F31">
        <w:rPr>
          <w:rFonts w:ascii="Times New Roman" w:hAnsi="Times New Roman" w:cs="Times New Roman"/>
          <w:sz w:val="24"/>
          <w:szCs w:val="24"/>
        </w:rPr>
        <w:t xml:space="preserve"> 78 (September): 103845. https://doi.org/10.1016/j.addma.2023.103845.</w:t>
      </w:r>
    </w:p>
    <w:p w14:paraId="1177CE82" w14:textId="77777777" w:rsidR="00071940" w:rsidRPr="003E0F31" w:rsidRDefault="00071940" w:rsidP="00071940">
      <w:pPr>
        <w:pStyle w:val="Bibliography"/>
        <w:spacing w:after="240"/>
        <w:rPr>
          <w:rFonts w:ascii="Times New Roman" w:hAnsi="Times New Roman" w:cs="Times New Roman"/>
          <w:sz w:val="24"/>
          <w:szCs w:val="24"/>
        </w:rPr>
      </w:pPr>
      <w:r w:rsidRPr="003E0F31">
        <w:rPr>
          <w:rFonts w:ascii="Times New Roman" w:hAnsi="Times New Roman" w:cs="Times New Roman"/>
          <w:sz w:val="24"/>
          <w:szCs w:val="24"/>
        </w:rPr>
        <w:t xml:space="preserve">Gneiger, Stefan, Johannes A. Österreicher, Aurel R. Arnoldt, Alois Birgmann, and Martin Fehlbier. 2020. “Development of a High Strength Magnesium Alloy for Wire Arc Additive Manufacturing.” </w:t>
      </w:r>
      <w:r w:rsidRPr="003E0F31">
        <w:rPr>
          <w:rFonts w:ascii="Times New Roman" w:hAnsi="Times New Roman" w:cs="Times New Roman"/>
          <w:i/>
          <w:iCs/>
          <w:sz w:val="24"/>
          <w:szCs w:val="24"/>
        </w:rPr>
        <w:t>Metals</w:t>
      </w:r>
      <w:r w:rsidRPr="003E0F31">
        <w:rPr>
          <w:rFonts w:ascii="Times New Roman" w:hAnsi="Times New Roman" w:cs="Times New Roman"/>
          <w:sz w:val="24"/>
          <w:szCs w:val="24"/>
        </w:rPr>
        <w:t xml:space="preserve"> 10 (6): 778.</w:t>
      </w:r>
    </w:p>
    <w:p w14:paraId="3C39FEA2" w14:textId="77777777" w:rsidR="00071940" w:rsidRPr="003E0F31" w:rsidRDefault="00071940" w:rsidP="00071940">
      <w:pPr>
        <w:pStyle w:val="Bibliography"/>
        <w:spacing w:after="240"/>
        <w:rPr>
          <w:rFonts w:ascii="Times New Roman" w:hAnsi="Times New Roman" w:cs="Times New Roman"/>
          <w:sz w:val="24"/>
          <w:szCs w:val="24"/>
        </w:rPr>
      </w:pPr>
      <w:r w:rsidRPr="003E0F31">
        <w:rPr>
          <w:rFonts w:ascii="Times New Roman" w:hAnsi="Times New Roman" w:cs="Times New Roman"/>
          <w:sz w:val="24"/>
          <w:szCs w:val="24"/>
        </w:rPr>
        <w:t xml:space="preserve">Gonzalez, J. A., J. Mireles, S. W. Stafford, M. A. Perez, C. A. Terrazas, and R. B. Wicker. 2019. “Characterization of Inconel 625 Fabricated Using Powder-Bed-Based Additive Manufacturing Technologies.” </w:t>
      </w:r>
      <w:r w:rsidRPr="003E0F31">
        <w:rPr>
          <w:rFonts w:ascii="Times New Roman" w:hAnsi="Times New Roman" w:cs="Times New Roman"/>
          <w:i/>
          <w:iCs/>
          <w:sz w:val="24"/>
          <w:szCs w:val="24"/>
        </w:rPr>
        <w:t>Journal of Materials Processing Technology</w:t>
      </w:r>
      <w:r w:rsidRPr="003E0F31">
        <w:rPr>
          <w:rFonts w:ascii="Times New Roman" w:hAnsi="Times New Roman" w:cs="Times New Roman"/>
          <w:sz w:val="24"/>
          <w:szCs w:val="24"/>
        </w:rPr>
        <w:t xml:space="preserve"> 264: 200–210.</w:t>
      </w:r>
    </w:p>
    <w:p w14:paraId="17EA698A" w14:textId="77777777" w:rsidR="00071940" w:rsidRPr="003E0F31" w:rsidRDefault="00071940" w:rsidP="00071940">
      <w:pPr>
        <w:pStyle w:val="Bibliography"/>
        <w:spacing w:after="240"/>
        <w:rPr>
          <w:rFonts w:ascii="Times New Roman" w:hAnsi="Times New Roman" w:cs="Times New Roman"/>
          <w:sz w:val="24"/>
          <w:szCs w:val="24"/>
        </w:rPr>
      </w:pPr>
      <w:r w:rsidRPr="003E0F31">
        <w:rPr>
          <w:rFonts w:ascii="Times New Roman" w:hAnsi="Times New Roman" w:cs="Times New Roman"/>
          <w:sz w:val="24"/>
          <w:szCs w:val="24"/>
        </w:rPr>
        <w:t xml:space="preserve">Gorsse, Stéphane, Christopher Hutchinson, Mohamed Gouné, and Rajarshi Banerjee. 2017. “Additive Manufacturing of Metals: A Brief Review of the Characteristic Microstructures and Properties of Steels, Ti-6Al-4V and High-Entropy Alloys.” </w:t>
      </w:r>
      <w:r w:rsidRPr="003E0F31">
        <w:rPr>
          <w:rFonts w:ascii="Times New Roman" w:hAnsi="Times New Roman" w:cs="Times New Roman"/>
          <w:i/>
          <w:iCs/>
          <w:sz w:val="24"/>
          <w:szCs w:val="24"/>
        </w:rPr>
        <w:t>Science and Technology of Advanced Materials</w:t>
      </w:r>
      <w:r w:rsidRPr="003E0F31">
        <w:rPr>
          <w:rFonts w:ascii="Times New Roman" w:hAnsi="Times New Roman" w:cs="Times New Roman"/>
          <w:sz w:val="24"/>
          <w:szCs w:val="24"/>
        </w:rPr>
        <w:t xml:space="preserve"> 18 (1): 584–610. https://doi.org/10.1080/14686996.2017.1361305.</w:t>
      </w:r>
    </w:p>
    <w:p w14:paraId="16DFA110" w14:textId="77777777" w:rsidR="00071940" w:rsidRPr="003E0F31" w:rsidRDefault="00071940" w:rsidP="00071940">
      <w:pPr>
        <w:pStyle w:val="Bibliography"/>
        <w:spacing w:after="240"/>
        <w:rPr>
          <w:rFonts w:ascii="Times New Roman" w:hAnsi="Times New Roman" w:cs="Times New Roman"/>
          <w:sz w:val="24"/>
          <w:szCs w:val="24"/>
        </w:rPr>
      </w:pPr>
      <w:r w:rsidRPr="003E0F31">
        <w:rPr>
          <w:rFonts w:ascii="Times New Roman" w:hAnsi="Times New Roman" w:cs="Times New Roman"/>
          <w:sz w:val="24"/>
          <w:szCs w:val="24"/>
        </w:rPr>
        <w:t xml:space="preserve">Gu, Dongdong. 2022. </w:t>
      </w:r>
      <w:r w:rsidRPr="003E0F31">
        <w:rPr>
          <w:rFonts w:ascii="Times New Roman" w:hAnsi="Times New Roman" w:cs="Times New Roman"/>
          <w:i/>
          <w:iCs/>
          <w:sz w:val="24"/>
          <w:szCs w:val="24"/>
        </w:rPr>
        <w:t>Laser Additive Manufacturing of Metallic Materials and Components</w:t>
      </w:r>
      <w:r w:rsidRPr="003E0F31">
        <w:rPr>
          <w:rFonts w:ascii="Times New Roman" w:hAnsi="Times New Roman" w:cs="Times New Roman"/>
          <w:sz w:val="24"/>
          <w:szCs w:val="24"/>
        </w:rPr>
        <w:t>. Elsevier. https://books.google.com/books?hl=en&amp;lr=&amp;id=ZYyKEAAAQBAJ&amp;oi=fnd&amp;pg=PP1&amp;dq=Laser+Additive+Manufacturing+of+Metallic+Materials+and+Components&amp;ots=6hbsVoLLnz&amp;sig=VnUudNvGtZWb7tc6_MHp_hMoMls.</w:t>
      </w:r>
    </w:p>
    <w:p w14:paraId="1C3292B2" w14:textId="77777777" w:rsidR="00071940" w:rsidRPr="003E0F31" w:rsidRDefault="00071940" w:rsidP="00071940">
      <w:pPr>
        <w:pStyle w:val="Bibliography"/>
        <w:spacing w:after="240"/>
        <w:rPr>
          <w:rFonts w:ascii="Times New Roman" w:hAnsi="Times New Roman" w:cs="Times New Roman"/>
          <w:sz w:val="24"/>
          <w:szCs w:val="24"/>
        </w:rPr>
      </w:pPr>
      <w:r w:rsidRPr="003E0F31">
        <w:rPr>
          <w:rFonts w:ascii="Times New Roman" w:hAnsi="Times New Roman" w:cs="Times New Roman"/>
          <w:sz w:val="24"/>
          <w:szCs w:val="24"/>
        </w:rPr>
        <w:t xml:space="preserve">Guo, Jing, Yong Zhou, Changmeng Liu, Qianru Wu, Xianping Chen, and Jiping Lu. 2016. “Wire Arc Additive Manufacturing of AZ31 Magnesium Alloy: Grain Refinement by Adjusting Pulse Frequency.” </w:t>
      </w:r>
      <w:r w:rsidRPr="003E0F31">
        <w:rPr>
          <w:rFonts w:ascii="Times New Roman" w:hAnsi="Times New Roman" w:cs="Times New Roman"/>
          <w:i/>
          <w:iCs/>
          <w:sz w:val="24"/>
          <w:szCs w:val="24"/>
        </w:rPr>
        <w:t>Materials</w:t>
      </w:r>
      <w:r w:rsidRPr="003E0F31">
        <w:rPr>
          <w:rFonts w:ascii="Times New Roman" w:hAnsi="Times New Roman" w:cs="Times New Roman"/>
          <w:sz w:val="24"/>
          <w:szCs w:val="24"/>
        </w:rPr>
        <w:t xml:space="preserve"> 9 (10): 823.</w:t>
      </w:r>
    </w:p>
    <w:p w14:paraId="5B326CC3" w14:textId="77777777" w:rsidR="00071940" w:rsidRPr="003E0F31" w:rsidRDefault="00071940" w:rsidP="00071940">
      <w:pPr>
        <w:pStyle w:val="Bibliography"/>
        <w:spacing w:after="240"/>
        <w:rPr>
          <w:rFonts w:ascii="Times New Roman" w:hAnsi="Times New Roman" w:cs="Times New Roman"/>
          <w:sz w:val="24"/>
          <w:szCs w:val="24"/>
        </w:rPr>
      </w:pPr>
      <w:r w:rsidRPr="003E0F31">
        <w:rPr>
          <w:rFonts w:ascii="Times New Roman" w:hAnsi="Times New Roman" w:cs="Times New Roman"/>
          <w:sz w:val="24"/>
          <w:szCs w:val="24"/>
        </w:rPr>
        <w:lastRenderedPageBreak/>
        <w:t xml:space="preserve">Halloran, John W., Vladislava Tomeckova, Susan Gentry, Suman Das, Paul Cilino, Dajun Yuan, Rui Guo, Andirudh Rudraraju, Peng Shao, and Tao Wu. 2011. “Photopolymerization of Powder Suspensions for Shaping Ceramics.” </w:t>
      </w:r>
      <w:r w:rsidRPr="003E0F31">
        <w:rPr>
          <w:rFonts w:ascii="Times New Roman" w:hAnsi="Times New Roman" w:cs="Times New Roman"/>
          <w:i/>
          <w:iCs/>
          <w:sz w:val="24"/>
          <w:szCs w:val="24"/>
        </w:rPr>
        <w:t>Journal of the European Ceramic Society</w:t>
      </w:r>
      <w:r w:rsidRPr="003E0F31">
        <w:rPr>
          <w:rFonts w:ascii="Times New Roman" w:hAnsi="Times New Roman" w:cs="Times New Roman"/>
          <w:sz w:val="24"/>
          <w:szCs w:val="24"/>
        </w:rPr>
        <w:t xml:space="preserve"> 31 (14): 2613–19.</w:t>
      </w:r>
    </w:p>
    <w:p w14:paraId="38835439" w14:textId="77777777" w:rsidR="00071940" w:rsidRPr="003E0F31" w:rsidRDefault="00071940" w:rsidP="00071940">
      <w:pPr>
        <w:pStyle w:val="Bibliography"/>
        <w:spacing w:after="240"/>
        <w:rPr>
          <w:rFonts w:ascii="Times New Roman" w:hAnsi="Times New Roman" w:cs="Times New Roman"/>
          <w:sz w:val="24"/>
          <w:szCs w:val="24"/>
        </w:rPr>
      </w:pPr>
      <w:r w:rsidRPr="003E0F31">
        <w:rPr>
          <w:rFonts w:ascii="Times New Roman" w:hAnsi="Times New Roman" w:cs="Times New Roman"/>
          <w:sz w:val="24"/>
          <w:szCs w:val="24"/>
        </w:rPr>
        <w:t xml:space="preserve">Han, Yurou, Chunhua Zhang, Xue Cui, Song Zhang, Jiang Chen, Shiyun Dong, and Adil Othman Abdullah. 2020. “Microstructure and Properties of a Novel Wear-and Corrosion-Resistant Stainless Steel Fabricated by Laser Melting Deposition.” </w:t>
      </w:r>
      <w:r w:rsidRPr="003E0F31">
        <w:rPr>
          <w:rFonts w:ascii="Times New Roman" w:hAnsi="Times New Roman" w:cs="Times New Roman"/>
          <w:i/>
          <w:iCs/>
          <w:sz w:val="24"/>
          <w:szCs w:val="24"/>
        </w:rPr>
        <w:t>Journal of Materials Research</w:t>
      </w:r>
      <w:r w:rsidRPr="003E0F31">
        <w:rPr>
          <w:rFonts w:ascii="Times New Roman" w:hAnsi="Times New Roman" w:cs="Times New Roman"/>
          <w:sz w:val="24"/>
          <w:szCs w:val="24"/>
        </w:rPr>
        <w:t xml:space="preserve"> 35 (15): 2006–15.</w:t>
      </w:r>
    </w:p>
    <w:p w14:paraId="2142F151" w14:textId="77777777" w:rsidR="00071940" w:rsidRPr="003E0F31" w:rsidRDefault="00071940" w:rsidP="00071940">
      <w:pPr>
        <w:pStyle w:val="Bibliography"/>
        <w:spacing w:after="240"/>
        <w:rPr>
          <w:rFonts w:ascii="Times New Roman" w:hAnsi="Times New Roman" w:cs="Times New Roman"/>
          <w:sz w:val="24"/>
          <w:szCs w:val="24"/>
        </w:rPr>
      </w:pPr>
      <w:r w:rsidRPr="003E0F31">
        <w:rPr>
          <w:rFonts w:ascii="Times New Roman" w:hAnsi="Times New Roman" w:cs="Times New Roman"/>
          <w:sz w:val="24"/>
          <w:szCs w:val="24"/>
        </w:rPr>
        <w:t xml:space="preserve">Harlow, Francis H., and J. Eddie Welch. 1965. “Numerical Calculation of Time-Dependent Viscous Incompressible Flow of Fluid with Free Surface.” </w:t>
      </w:r>
      <w:r w:rsidRPr="003E0F31">
        <w:rPr>
          <w:rFonts w:ascii="Times New Roman" w:hAnsi="Times New Roman" w:cs="Times New Roman"/>
          <w:i/>
          <w:iCs/>
          <w:sz w:val="24"/>
          <w:szCs w:val="24"/>
        </w:rPr>
        <w:t>The Physics of Fluids</w:t>
      </w:r>
      <w:r w:rsidRPr="003E0F31">
        <w:rPr>
          <w:rFonts w:ascii="Times New Roman" w:hAnsi="Times New Roman" w:cs="Times New Roman"/>
          <w:sz w:val="24"/>
          <w:szCs w:val="24"/>
        </w:rPr>
        <w:t xml:space="preserve"> 8 (12): 2182–89. https://doi.org/10.1063/1.1761178.</w:t>
      </w:r>
    </w:p>
    <w:p w14:paraId="20306567" w14:textId="77777777" w:rsidR="00071940" w:rsidRPr="003E0F31" w:rsidRDefault="00071940" w:rsidP="00071940">
      <w:pPr>
        <w:pStyle w:val="Bibliography"/>
        <w:spacing w:after="240"/>
        <w:rPr>
          <w:rFonts w:ascii="Times New Roman" w:hAnsi="Times New Roman" w:cs="Times New Roman"/>
          <w:sz w:val="24"/>
          <w:szCs w:val="24"/>
        </w:rPr>
      </w:pPr>
      <w:r w:rsidRPr="003E0F31">
        <w:rPr>
          <w:rFonts w:ascii="Times New Roman" w:hAnsi="Times New Roman" w:cs="Times New Roman"/>
          <w:sz w:val="24"/>
          <w:szCs w:val="24"/>
        </w:rPr>
        <w:t xml:space="preserve">Hesselbarth, Hanfried W., and I. R. Göbel. 1991. “Simulation of Recrystallization by Cellular Automata.” </w:t>
      </w:r>
      <w:r w:rsidRPr="003E0F31">
        <w:rPr>
          <w:rFonts w:ascii="Times New Roman" w:hAnsi="Times New Roman" w:cs="Times New Roman"/>
          <w:i/>
          <w:iCs/>
          <w:sz w:val="24"/>
          <w:szCs w:val="24"/>
        </w:rPr>
        <w:t>Acta Metallurgica et Materialia</w:t>
      </w:r>
      <w:r w:rsidRPr="003E0F31">
        <w:rPr>
          <w:rFonts w:ascii="Times New Roman" w:hAnsi="Times New Roman" w:cs="Times New Roman"/>
          <w:sz w:val="24"/>
          <w:szCs w:val="24"/>
        </w:rPr>
        <w:t xml:space="preserve"> 39 (9): 2135–43.</w:t>
      </w:r>
    </w:p>
    <w:p w14:paraId="7BAEE400" w14:textId="77777777" w:rsidR="00071940" w:rsidRPr="003E0F31" w:rsidRDefault="00071940" w:rsidP="00071940">
      <w:pPr>
        <w:pStyle w:val="Bibliography"/>
        <w:spacing w:after="240"/>
        <w:rPr>
          <w:rFonts w:ascii="Times New Roman" w:hAnsi="Times New Roman" w:cs="Times New Roman"/>
          <w:sz w:val="24"/>
          <w:szCs w:val="24"/>
        </w:rPr>
      </w:pPr>
      <w:r w:rsidRPr="003E0F31">
        <w:rPr>
          <w:rFonts w:ascii="Times New Roman" w:hAnsi="Times New Roman" w:cs="Times New Roman"/>
          <w:sz w:val="24"/>
          <w:szCs w:val="24"/>
        </w:rPr>
        <w:t xml:space="preserve">Hirt, C. W, and B. D Nichols. 1981. “Volume of Fluid (VOF) Method for the Dynamics of Free Boundaries.” </w:t>
      </w:r>
      <w:r w:rsidRPr="003E0F31">
        <w:rPr>
          <w:rFonts w:ascii="Times New Roman" w:hAnsi="Times New Roman" w:cs="Times New Roman"/>
          <w:i/>
          <w:iCs/>
          <w:sz w:val="24"/>
          <w:szCs w:val="24"/>
        </w:rPr>
        <w:t>Journal of Computational Physics</w:t>
      </w:r>
      <w:r w:rsidRPr="003E0F31">
        <w:rPr>
          <w:rFonts w:ascii="Times New Roman" w:hAnsi="Times New Roman" w:cs="Times New Roman"/>
          <w:sz w:val="24"/>
          <w:szCs w:val="24"/>
        </w:rPr>
        <w:t xml:space="preserve"> 39 (1): 201–25. https://doi.org/10.1016/0021-9991(81)90145-5.</w:t>
      </w:r>
    </w:p>
    <w:p w14:paraId="7F6DCE0E" w14:textId="77777777" w:rsidR="00071940" w:rsidRDefault="00071940" w:rsidP="00071940">
      <w:pPr>
        <w:pStyle w:val="Bibliography"/>
        <w:spacing w:after="240"/>
        <w:rPr>
          <w:rFonts w:ascii="Times New Roman" w:hAnsi="Times New Roman" w:cs="Times New Roman"/>
          <w:sz w:val="24"/>
          <w:szCs w:val="24"/>
        </w:rPr>
      </w:pPr>
      <w:r w:rsidRPr="003E0F31">
        <w:rPr>
          <w:rFonts w:ascii="Times New Roman" w:hAnsi="Times New Roman" w:cs="Times New Roman"/>
          <w:sz w:val="24"/>
          <w:szCs w:val="24"/>
        </w:rPr>
        <w:t>Horn, Timothy J., and Diana Gamzina. 2020. “Additive Manufacturing of Copper and Copper Alloys,” June. https://doi.org/10.31399/asm.hb.v24.a0006579.</w:t>
      </w:r>
    </w:p>
    <w:p w14:paraId="41C0C4CF" w14:textId="77777777" w:rsidR="00554C08" w:rsidRDefault="00554C08" w:rsidP="00554C08"/>
    <w:p w14:paraId="6B1C3B8D" w14:textId="1C8F900D" w:rsidR="00554C08" w:rsidRDefault="00554C08" w:rsidP="00554C08">
      <w:pPr>
        <w:pStyle w:val="Bibliography"/>
        <w:spacing w:after="240"/>
        <w:rPr>
          <w:rFonts w:ascii="Times New Roman" w:hAnsi="Times New Roman" w:cs="Times New Roman"/>
          <w:sz w:val="24"/>
          <w:szCs w:val="24"/>
        </w:rPr>
      </w:pPr>
      <w:r>
        <w:t>Hu, Z. and Mahadevan, S (2017)</w:t>
      </w:r>
      <w:r w:rsidRPr="003E0F31">
        <w:rPr>
          <w:rFonts w:ascii="Times New Roman" w:hAnsi="Times New Roman" w:cs="Times New Roman"/>
          <w:sz w:val="24"/>
          <w:szCs w:val="24"/>
        </w:rPr>
        <w:t>. “</w:t>
      </w:r>
      <w:r w:rsidRPr="00554C08">
        <w:rPr>
          <w:rFonts w:ascii="Times New Roman" w:hAnsi="Times New Roman" w:cs="Times New Roman"/>
          <w:sz w:val="24"/>
          <w:szCs w:val="24"/>
        </w:rPr>
        <w:t>Uncertainty quantification and management</w:t>
      </w:r>
      <w:r>
        <w:rPr>
          <w:rFonts w:ascii="Times New Roman" w:hAnsi="Times New Roman" w:cs="Times New Roman"/>
          <w:sz w:val="24"/>
          <w:szCs w:val="24"/>
        </w:rPr>
        <w:t xml:space="preserve"> </w:t>
      </w:r>
      <w:r w:rsidRPr="00554C08">
        <w:rPr>
          <w:rFonts w:ascii="Times New Roman" w:hAnsi="Times New Roman" w:cs="Times New Roman"/>
          <w:sz w:val="24"/>
          <w:szCs w:val="24"/>
        </w:rPr>
        <w:t>in additive manufacturing: current status, needs, and opportunities</w:t>
      </w:r>
      <w:r w:rsidRPr="003E0F31">
        <w:rPr>
          <w:rFonts w:ascii="Times New Roman" w:hAnsi="Times New Roman" w:cs="Times New Roman"/>
          <w:sz w:val="24"/>
          <w:szCs w:val="24"/>
        </w:rPr>
        <w:t>”</w:t>
      </w:r>
      <w:r>
        <w:rPr>
          <w:rFonts w:ascii="Times New Roman" w:hAnsi="Times New Roman" w:cs="Times New Roman"/>
          <w:sz w:val="24"/>
          <w:szCs w:val="24"/>
        </w:rPr>
        <w:t>, The International Journal of Advanced Manufacturing Technology, 93 (5-8), 2855-2874.</w:t>
      </w:r>
    </w:p>
    <w:p w14:paraId="6A98BBCA" w14:textId="77777777" w:rsidR="00554C08" w:rsidRPr="00554C08" w:rsidRDefault="00554C08" w:rsidP="001B068D"/>
    <w:p w14:paraId="3286EB3E" w14:textId="77777777" w:rsidR="00071940" w:rsidRPr="003E0F31" w:rsidRDefault="00071940" w:rsidP="00071940">
      <w:pPr>
        <w:pStyle w:val="Bibliography"/>
        <w:spacing w:after="240"/>
        <w:rPr>
          <w:rFonts w:ascii="Times New Roman" w:hAnsi="Times New Roman" w:cs="Times New Roman"/>
          <w:sz w:val="24"/>
          <w:szCs w:val="24"/>
        </w:rPr>
      </w:pPr>
      <w:r w:rsidRPr="003E0F31">
        <w:rPr>
          <w:rFonts w:ascii="Times New Roman" w:hAnsi="Times New Roman" w:cs="Times New Roman"/>
          <w:sz w:val="24"/>
          <w:szCs w:val="24"/>
        </w:rPr>
        <w:t>ISO/ASTM 52910: 2018 (E). 2018. “Additive Manufacturing—Design—Requirements, Guidelines and Recommendations.” International Organization for Standardization ISO Geneva, Switzerland.</w:t>
      </w:r>
    </w:p>
    <w:p w14:paraId="7CFB829C" w14:textId="77777777" w:rsidR="00071940" w:rsidRPr="003E0F31" w:rsidRDefault="00071940" w:rsidP="00071940">
      <w:pPr>
        <w:pStyle w:val="Bibliography"/>
        <w:spacing w:after="240"/>
        <w:rPr>
          <w:rFonts w:ascii="Times New Roman" w:hAnsi="Times New Roman" w:cs="Times New Roman"/>
          <w:sz w:val="24"/>
          <w:szCs w:val="24"/>
        </w:rPr>
      </w:pPr>
      <w:r w:rsidRPr="003E0F31">
        <w:rPr>
          <w:rFonts w:ascii="Times New Roman" w:hAnsi="Times New Roman" w:cs="Times New Roman"/>
          <w:sz w:val="24"/>
          <w:szCs w:val="24"/>
        </w:rPr>
        <w:t>“Joule Printing.” 2018. Digital Alloys. August 7, 2018. https://www.digitalalloys.com/blog/joule-printing/.</w:t>
      </w:r>
    </w:p>
    <w:p w14:paraId="57CE99C0" w14:textId="77777777" w:rsidR="00071940" w:rsidRPr="003E0F31" w:rsidRDefault="00071940" w:rsidP="00071940">
      <w:pPr>
        <w:pStyle w:val="Bibliography"/>
        <w:spacing w:after="240"/>
        <w:rPr>
          <w:rFonts w:ascii="Times New Roman" w:hAnsi="Times New Roman" w:cs="Times New Roman"/>
          <w:sz w:val="24"/>
          <w:szCs w:val="24"/>
        </w:rPr>
      </w:pPr>
      <w:r w:rsidRPr="003E0F31">
        <w:rPr>
          <w:rFonts w:ascii="Times New Roman" w:hAnsi="Times New Roman" w:cs="Times New Roman"/>
          <w:sz w:val="24"/>
          <w:szCs w:val="24"/>
        </w:rPr>
        <w:t>Kircher, R. S., A. M. Christensen, and K. W. Wurth. 2009. “Electron Beam Melted (EBM) Co-Cr-Mo Alloy for Orthopaedic Implant Applications.” https://repositories.lib.utexas.edu/items/7967af60-58ce-46ab-b054-adf9e92fb8bf.</w:t>
      </w:r>
    </w:p>
    <w:p w14:paraId="46635264" w14:textId="77777777" w:rsidR="00071940" w:rsidRPr="003E0F31" w:rsidRDefault="00071940" w:rsidP="00071940">
      <w:pPr>
        <w:pStyle w:val="Bibliography"/>
        <w:spacing w:after="240"/>
        <w:rPr>
          <w:rFonts w:ascii="Times New Roman" w:hAnsi="Times New Roman" w:cs="Times New Roman"/>
          <w:sz w:val="24"/>
          <w:szCs w:val="24"/>
        </w:rPr>
      </w:pPr>
      <w:r w:rsidRPr="003E0F31">
        <w:rPr>
          <w:rFonts w:ascii="Times New Roman" w:hAnsi="Times New Roman" w:cs="Times New Roman"/>
          <w:sz w:val="24"/>
          <w:szCs w:val="24"/>
        </w:rPr>
        <w:t xml:space="preserve">Körner, C. 2016. “Additive Manufacturing of Metallic Components by Selective Electron Beam Melting — a Review.” </w:t>
      </w:r>
      <w:r w:rsidRPr="003E0F31">
        <w:rPr>
          <w:rFonts w:ascii="Times New Roman" w:hAnsi="Times New Roman" w:cs="Times New Roman"/>
          <w:i/>
          <w:iCs/>
          <w:sz w:val="24"/>
          <w:szCs w:val="24"/>
        </w:rPr>
        <w:t>International Materials Reviews</w:t>
      </w:r>
      <w:r w:rsidRPr="003E0F31">
        <w:rPr>
          <w:rFonts w:ascii="Times New Roman" w:hAnsi="Times New Roman" w:cs="Times New Roman"/>
          <w:sz w:val="24"/>
          <w:szCs w:val="24"/>
        </w:rPr>
        <w:t xml:space="preserve"> 61 (5): 361–77. https://doi.org/10.1080/09506608.2016.1176289.</w:t>
      </w:r>
    </w:p>
    <w:p w14:paraId="6B5C8EEE" w14:textId="77777777" w:rsidR="00071940" w:rsidRPr="003E0F31" w:rsidRDefault="00071940" w:rsidP="00071940">
      <w:pPr>
        <w:pStyle w:val="Bibliography"/>
        <w:spacing w:after="240"/>
        <w:rPr>
          <w:rFonts w:ascii="Times New Roman" w:hAnsi="Times New Roman" w:cs="Times New Roman"/>
          <w:sz w:val="24"/>
          <w:szCs w:val="24"/>
        </w:rPr>
      </w:pPr>
      <w:r w:rsidRPr="003E0F31">
        <w:rPr>
          <w:rFonts w:ascii="Times New Roman" w:hAnsi="Times New Roman" w:cs="Times New Roman"/>
          <w:sz w:val="24"/>
          <w:szCs w:val="24"/>
        </w:rPr>
        <w:t xml:space="preserve">Kruth, Jean-Pierre, Ludo Froyen, Jonas Van Vaerenbergh, Peter Mercelis, Marleen Rombouts, and Bert Lauwers. 2004. “Selective Laser Melting of Iron-Based Powder.” </w:t>
      </w:r>
      <w:r w:rsidRPr="003E0F31">
        <w:rPr>
          <w:rFonts w:ascii="Times New Roman" w:hAnsi="Times New Roman" w:cs="Times New Roman"/>
          <w:i/>
          <w:iCs/>
          <w:sz w:val="24"/>
          <w:szCs w:val="24"/>
        </w:rPr>
        <w:t>Journal of Materials Processing Technology</w:t>
      </w:r>
      <w:r w:rsidRPr="003E0F31">
        <w:rPr>
          <w:rFonts w:ascii="Times New Roman" w:hAnsi="Times New Roman" w:cs="Times New Roman"/>
          <w:sz w:val="24"/>
          <w:szCs w:val="24"/>
        </w:rPr>
        <w:t xml:space="preserve"> 149 (1–3): 616–22.</w:t>
      </w:r>
    </w:p>
    <w:p w14:paraId="58E44109" w14:textId="77777777" w:rsidR="00071940" w:rsidRPr="003E0F31" w:rsidRDefault="00071940" w:rsidP="00071940">
      <w:pPr>
        <w:pStyle w:val="Bibliography"/>
        <w:spacing w:after="240"/>
        <w:rPr>
          <w:rFonts w:ascii="Times New Roman" w:hAnsi="Times New Roman" w:cs="Times New Roman"/>
          <w:sz w:val="24"/>
          <w:szCs w:val="24"/>
        </w:rPr>
      </w:pPr>
      <w:r w:rsidRPr="003E0F31">
        <w:rPr>
          <w:rFonts w:ascii="Times New Roman" w:hAnsi="Times New Roman" w:cs="Times New Roman"/>
          <w:sz w:val="24"/>
          <w:szCs w:val="24"/>
        </w:rPr>
        <w:lastRenderedPageBreak/>
        <w:t xml:space="preserve">Kyogoku, Hideki, and Toshi-Taka Ikeshoji. 2020. “A Review of Metal Additive Manufacturing Technologies: Mechanism of Defects Formation and Simulation of Melting and Solidification Phenomena in Laser Powder Bed Fusion Process.” </w:t>
      </w:r>
      <w:r w:rsidRPr="003E0F31">
        <w:rPr>
          <w:rFonts w:ascii="Times New Roman" w:hAnsi="Times New Roman" w:cs="Times New Roman"/>
          <w:i/>
          <w:iCs/>
          <w:sz w:val="24"/>
          <w:szCs w:val="24"/>
        </w:rPr>
        <w:t>Mechanical Engineering Reviews</w:t>
      </w:r>
      <w:r w:rsidRPr="003E0F31">
        <w:rPr>
          <w:rFonts w:ascii="Times New Roman" w:hAnsi="Times New Roman" w:cs="Times New Roman"/>
          <w:sz w:val="24"/>
          <w:szCs w:val="24"/>
        </w:rPr>
        <w:t xml:space="preserve"> 7 (1): 19–00182.</w:t>
      </w:r>
    </w:p>
    <w:p w14:paraId="479FEAC8" w14:textId="77777777" w:rsidR="00071940" w:rsidRPr="003E0F31" w:rsidRDefault="00071940" w:rsidP="00071940">
      <w:pPr>
        <w:pStyle w:val="Bibliography"/>
        <w:spacing w:after="240"/>
        <w:rPr>
          <w:rFonts w:ascii="Times New Roman" w:hAnsi="Times New Roman" w:cs="Times New Roman"/>
          <w:sz w:val="24"/>
          <w:szCs w:val="24"/>
        </w:rPr>
      </w:pPr>
      <w:r w:rsidRPr="003E0F31">
        <w:rPr>
          <w:rFonts w:ascii="Times New Roman" w:hAnsi="Times New Roman" w:cs="Times New Roman"/>
          <w:sz w:val="24"/>
          <w:szCs w:val="24"/>
        </w:rPr>
        <w:t xml:space="preserve">Langebeck, Anika, Annika Bohlen, Hannes Freisse, and Frank Vollertsen. 2020. “Additive Manufacturing with the Lightweight Material Aluminium Alloy EN AW-7075.” </w:t>
      </w:r>
      <w:r w:rsidRPr="003E0F31">
        <w:rPr>
          <w:rFonts w:ascii="Times New Roman" w:hAnsi="Times New Roman" w:cs="Times New Roman"/>
          <w:i/>
          <w:iCs/>
          <w:sz w:val="24"/>
          <w:szCs w:val="24"/>
        </w:rPr>
        <w:t>Welding in the World</w:t>
      </w:r>
      <w:r w:rsidRPr="003E0F31">
        <w:rPr>
          <w:rFonts w:ascii="Times New Roman" w:hAnsi="Times New Roman" w:cs="Times New Roman"/>
          <w:sz w:val="24"/>
          <w:szCs w:val="24"/>
        </w:rPr>
        <w:t xml:space="preserve"> 64 (3): 429–36. https://doi.org/10.1007/s40194-019-00831-z.</w:t>
      </w:r>
    </w:p>
    <w:p w14:paraId="5CFEE5CD" w14:textId="77777777" w:rsidR="00071940" w:rsidRPr="003E0F31" w:rsidRDefault="00071940" w:rsidP="00071940">
      <w:pPr>
        <w:pStyle w:val="Bibliography"/>
        <w:spacing w:after="240"/>
        <w:rPr>
          <w:rFonts w:ascii="Times New Roman" w:hAnsi="Times New Roman" w:cs="Times New Roman"/>
          <w:sz w:val="24"/>
          <w:szCs w:val="24"/>
        </w:rPr>
      </w:pPr>
      <w:r w:rsidRPr="003E0F31">
        <w:rPr>
          <w:rFonts w:ascii="Times New Roman" w:hAnsi="Times New Roman" w:cs="Times New Roman"/>
          <w:sz w:val="24"/>
          <w:szCs w:val="24"/>
        </w:rPr>
        <w:t xml:space="preserve">Lewandowski, John J., and Mohsen Seifi. 2016. “Metal Additive Manufacturing: A Review of Mechanical Properties.” </w:t>
      </w:r>
      <w:r w:rsidRPr="003E0F31">
        <w:rPr>
          <w:rFonts w:ascii="Times New Roman" w:hAnsi="Times New Roman" w:cs="Times New Roman"/>
          <w:i/>
          <w:iCs/>
          <w:sz w:val="24"/>
          <w:szCs w:val="24"/>
        </w:rPr>
        <w:t>Annual Review of Materials Research</w:t>
      </w:r>
      <w:r w:rsidRPr="003E0F31">
        <w:rPr>
          <w:rFonts w:ascii="Times New Roman" w:hAnsi="Times New Roman" w:cs="Times New Roman"/>
          <w:sz w:val="24"/>
          <w:szCs w:val="24"/>
        </w:rPr>
        <w:t xml:space="preserve"> 46 (1): 151–86. https://doi.org/10.1146/annurev-matsci-070115-032024.</w:t>
      </w:r>
    </w:p>
    <w:p w14:paraId="39C2DFEF" w14:textId="77777777" w:rsidR="00071940" w:rsidRPr="003E0F31" w:rsidRDefault="00071940" w:rsidP="00071940">
      <w:pPr>
        <w:pStyle w:val="Bibliography"/>
        <w:spacing w:after="240"/>
        <w:rPr>
          <w:rFonts w:ascii="Times New Roman" w:hAnsi="Times New Roman" w:cs="Times New Roman"/>
          <w:sz w:val="24"/>
          <w:szCs w:val="24"/>
        </w:rPr>
      </w:pPr>
      <w:r w:rsidRPr="003E0F31">
        <w:rPr>
          <w:rFonts w:ascii="Times New Roman" w:hAnsi="Times New Roman" w:cs="Times New Roman"/>
          <w:sz w:val="24"/>
          <w:szCs w:val="24"/>
        </w:rPr>
        <w:t xml:space="preserve">Li, J., and H. M. Wang. 2010. “Microstructure and Mechanical Properties of Rapid Directionally Solidified Ni-Base Superalloy Rene′ 41 by Laser Melting Deposition Manufacturing.” </w:t>
      </w:r>
      <w:r w:rsidRPr="003E0F31">
        <w:rPr>
          <w:rFonts w:ascii="Times New Roman" w:hAnsi="Times New Roman" w:cs="Times New Roman"/>
          <w:i/>
          <w:iCs/>
          <w:sz w:val="24"/>
          <w:szCs w:val="24"/>
        </w:rPr>
        <w:t>Materials Science and Engineering: A</w:t>
      </w:r>
      <w:r w:rsidRPr="003E0F31">
        <w:rPr>
          <w:rFonts w:ascii="Times New Roman" w:hAnsi="Times New Roman" w:cs="Times New Roman"/>
          <w:sz w:val="24"/>
          <w:szCs w:val="24"/>
        </w:rPr>
        <w:t xml:space="preserve"> 527 (18–19): 4823–29.</w:t>
      </w:r>
    </w:p>
    <w:p w14:paraId="4FB3F8EB" w14:textId="77777777" w:rsidR="00071940" w:rsidRPr="003E0F31" w:rsidRDefault="00071940" w:rsidP="00071940">
      <w:pPr>
        <w:pStyle w:val="Bibliography"/>
        <w:spacing w:after="240"/>
        <w:rPr>
          <w:rFonts w:ascii="Times New Roman" w:hAnsi="Times New Roman" w:cs="Times New Roman"/>
          <w:sz w:val="24"/>
          <w:szCs w:val="24"/>
        </w:rPr>
      </w:pPr>
      <w:r w:rsidRPr="003E0F31">
        <w:rPr>
          <w:rFonts w:ascii="Times New Roman" w:hAnsi="Times New Roman" w:cs="Times New Roman"/>
          <w:sz w:val="24"/>
          <w:szCs w:val="24"/>
        </w:rPr>
        <w:t xml:space="preserve">Liu, Yingang, Jingqi Zhang, Ranming Niu, Mohamad Bayat, Ying Zhou, Yu Yin, Qiyang Tan, et al. 2024. “Manufacturing of High Strength and High Conductivity Copper with Laser Powder Bed Fusion.” </w:t>
      </w:r>
      <w:r w:rsidRPr="003E0F31">
        <w:rPr>
          <w:rFonts w:ascii="Times New Roman" w:hAnsi="Times New Roman" w:cs="Times New Roman"/>
          <w:i/>
          <w:iCs/>
          <w:sz w:val="24"/>
          <w:szCs w:val="24"/>
        </w:rPr>
        <w:t>Nature Communications</w:t>
      </w:r>
      <w:r w:rsidRPr="003E0F31">
        <w:rPr>
          <w:rFonts w:ascii="Times New Roman" w:hAnsi="Times New Roman" w:cs="Times New Roman"/>
          <w:sz w:val="24"/>
          <w:szCs w:val="24"/>
        </w:rPr>
        <w:t xml:space="preserve"> 15 (1): 1283. https://doi.org/10.1038/s41467-024-45732-y.</w:t>
      </w:r>
    </w:p>
    <w:p w14:paraId="4319C6C4" w14:textId="77777777" w:rsidR="00D42F5B" w:rsidRDefault="00D42F5B" w:rsidP="00D42F5B">
      <w:pPr>
        <w:pStyle w:val="Bibliography"/>
        <w:spacing w:after="240"/>
        <w:rPr>
          <w:rFonts w:ascii="Times New Roman" w:hAnsi="Times New Roman" w:cs="Times New Roman"/>
          <w:sz w:val="24"/>
          <w:szCs w:val="24"/>
        </w:rPr>
      </w:pPr>
      <w:r>
        <w:t>Mahadevan, S., Nath, P., and Hu, Z. (2022)</w:t>
      </w:r>
      <w:r w:rsidRPr="003E0F31">
        <w:rPr>
          <w:rFonts w:ascii="Times New Roman" w:hAnsi="Times New Roman" w:cs="Times New Roman"/>
          <w:sz w:val="24"/>
          <w:szCs w:val="24"/>
        </w:rPr>
        <w:t>. “</w:t>
      </w:r>
      <w:r>
        <w:rPr>
          <w:rFonts w:ascii="Arial" w:hAnsi="Arial" w:cs="Arial"/>
          <w:color w:val="222222"/>
          <w:sz w:val="20"/>
          <w:szCs w:val="20"/>
          <w:shd w:val="clear" w:color="auto" w:fill="FFFFFF"/>
        </w:rPr>
        <w:t>Uncertainty quantification for additive manufacturing process improvement: Recent advances</w:t>
      </w:r>
      <w:r w:rsidRPr="003E0F31">
        <w:rPr>
          <w:rFonts w:ascii="Times New Roman" w:hAnsi="Times New Roman" w:cs="Times New Roman"/>
          <w:sz w:val="24"/>
          <w:szCs w:val="24"/>
        </w:rPr>
        <w:t>”</w:t>
      </w:r>
      <w:r>
        <w:rPr>
          <w:rFonts w:ascii="Times New Roman" w:hAnsi="Times New Roman" w:cs="Times New Roman"/>
          <w:sz w:val="24"/>
          <w:szCs w:val="24"/>
        </w:rPr>
        <w:t xml:space="preserve">, </w:t>
      </w:r>
      <w:r>
        <w:rPr>
          <w:rFonts w:ascii="Arial" w:hAnsi="Arial" w:cs="Arial"/>
          <w:i/>
          <w:iCs/>
          <w:color w:val="222222"/>
          <w:sz w:val="20"/>
          <w:szCs w:val="20"/>
          <w:shd w:val="clear" w:color="auto" w:fill="FFFFFF"/>
        </w:rPr>
        <w:t>ASCE-ASME Journal of Risk and Uncertainty in Engineering Systems, Part B: Mechanical Engineering</w:t>
      </w:r>
      <w:r>
        <w:rPr>
          <w:rFonts w:ascii="Times New Roman" w:hAnsi="Times New Roman" w:cs="Times New Roman"/>
          <w:sz w:val="24"/>
          <w:szCs w:val="24"/>
        </w:rPr>
        <w:t xml:space="preserve">, 8 (1), </w:t>
      </w:r>
      <w:r>
        <w:rPr>
          <w:rFonts w:ascii="Arial" w:hAnsi="Arial" w:cs="Arial"/>
          <w:color w:val="222222"/>
          <w:sz w:val="20"/>
          <w:szCs w:val="20"/>
          <w:shd w:val="clear" w:color="auto" w:fill="FFFFFF"/>
        </w:rPr>
        <w:t>p.01080</w:t>
      </w:r>
      <w:r>
        <w:rPr>
          <w:rFonts w:ascii="Times New Roman" w:hAnsi="Times New Roman" w:cs="Times New Roman"/>
          <w:sz w:val="24"/>
          <w:szCs w:val="24"/>
        </w:rPr>
        <w:t>1.</w:t>
      </w:r>
    </w:p>
    <w:p w14:paraId="4661399F" w14:textId="6D300050" w:rsidR="00071940" w:rsidRPr="003E0F31" w:rsidRDefault="00071940" w:rsidP="00071940">
      <w:pPr>
        <w:pStyle w:val="Bibliography"/>
        <w:spacing w:after="240"/>
        <w:rPr>
          <w:rFonts w:ascii="Times New Roman" w:hAnsi="Times New Roman" w:cs="Times New Roman"/>
          <w:sz w:val="24"/>
          <w:szCs w:val="24"/>
        </w:rPr>
      </w:pPr>
      <w:r w:rsidRPr="003E0F31">
        <w:rPr>
          <w:rFonts w:ascii="Times New Roman" w:hAnsi="Times New Roman" w:cs="Times New Roman"/>
          <w:sz w:val="24"/>
          <w:szCs w:val="24"/>
        </w:rPr>
        <w:t xml:space="preserve">Matthews, Manyalibo J., Gabe Guss, Saad A. Khairallah, Alexander M. Rubenchik, Philip J. Depond, and Wayne E. King. 2016. “Denudation of Metal Powder Layers in Laser Powder Bed Fusion Processes.” </w:t>
      </w:r>
      <w:r w:rsidRPr="003E0F31">
        <w:rPr>
          <w:rFonts w:ascii="Times New Roman" w:hAnsi="Times New Roman" w:cs="Times New Roman"/>
          <w:i/>
          <w:iCs/>
          <w:sz w:val="24"/>
          <w:szCs w:val="24"/>
        </w:rPr>
        <w:t>Acta Materialia</w:t>
      </w:r>
      <w:r w:rsidRPr="003E0F31">
        <w:rPr>
          <w:rFonts w:ascii="Times New Roman" w:hAnsi="Times New Roman" w:cs="Times New Roman"/>
          <w:sz w:val="24"/>
          <w:szCs w:val="24"/>
        </w:rPr>
        <w:t xml:space="preserve"> 114 (August): 33–42. https://doi.org/10.1016/j.actamat.2016.05.017.</w:t>
      </w:r>
    </w:p>
    <w:p w14:paraId="1AEC51F8" w14:textId="77777777" w:rsidR="00071940" w:rsidRPr="003E0F31" w:rsidRDefault="00071940" w:rsidP="00071940">
      <w:pPr>
        <w:pStyle w:val="Bibliography"/>
        <w:spacing w:after="240"/>
        <w:rPr>
          <w:rFonts w:ascii="Times New Roman" w:hAnsi="Times New Roman" w:cs="Times New Roman"/>
          <w:sz w:val="24"/>
          <w:szCs w:val="24"/>
        </w:rPr>
      </w:pPr>
      <w:r w:rsidRPr="003E0F31">
        <w:rPr>
          <w:rFonts w:ascii="Times New Roman" w:hAnsi="Times New Roman" w:cs="Times New Roman"/>
          <w:sz w:val="24"/>
          <w:szCs w:val="24"/>
        </w:rPr>
        <w:t>“Metal 3D Printers in 2023: A Comprehensive Guide.” n.d. Aniwaa. Accessed January 4, 2024. https://www.aniwaa.com/buyers-guide/3d-printers/best-metal-3d-printer/.</w:t>
      </w:r>
    </w:p>
    <w:p w14:paraId="77115C53" w14:textId="77777777" w:rsidR="00071940" w:rsidRPr="003E0F31" w:rsidRDefault="00071940" w:rsidP="00071940">
      <w:pPr>
        <w:pStyle w:val="Bibliography"/>
        <w:spacing w:after="240"/>
        <w:rPr>
          <w:rFonts w:ascii="Times New Roman" w:hAnsi="Times New Roman" w:cs="Times New Roman"/>
          <w:sz w:val="24"/>
          <w:szCs w:val="24"/>
        </w:rPr>
      </w:pPr>
      <w:r w:rsidRPr="003E0F31">
        <w:rPr>
          <w:rFonts w:ascii="Times New Roman" w:hAnsi="Times New Roman" w:cs="Times New Roman"/>
          <w:sz w:val="24"/>
          <w:szCs w:val="24"/>
        </w:rPr>
        <w:t>Mostafaei, Amir, Jerard V. Gordon, and Anthony D. Rollett. 2020. “Additive Manufacturing of Cobalt Alloys.” https://dl.asminternational.org/handbooks/edited-volume/119/chapter-abstract/2350206/Additive-Manufacturing-of-Cobalt-Alloys.</w:t>
      </w:r>
    </w:p>
    <w:p w14:paraId="700FD60F" w14:textId="77777777" w:rsidR="00071940" w:rsidRPr="003E0F31" w:rsidRDefault="00071940" w:rsidP="00071940">
      <w:pPr>
        <w:pStyle w:val="Bibliography"/>
        <w:spacing w:after="240"/>
        <w:rPr>
          <w:rFonts w:ascii="Times New Roman" w:hAnsi="Times New Roman" w:cs="Times New Roman"/>
          <w:sz w:val="24"/>
          <w:szCs w:val="24"/>
        </w:rPr>
      </w:pPr>
      <w:r w:rsidRPr="003E0F31">
        <w:rPr>
          <w:rFonts w:ascii="Times New Roman" w:hAnsi="Times New Roman" w:cs="Times New Roman"/>
          <w:sz w:val="24"/>
          <w:szCs w:val="24"/>
        </w:rPr>
        <w:t xml:space="preserve">Murr, L. E., E. Martinez, S. M. Gaytan, D. A. Ramirez, B. I. Machado, P. W. Shindo, J. L. Martinez, et al. 2011. “Microstructural Architecture, Microstructures, and Mechanical Properties for a Nickel-Base Superalloy Fabricated by Electron Beam Melting.” </w:t>
      </w:r>
      <w:r w:rsidRPr="003E0F31">
        <w:rPr>
          <w:rFonts w:ascii="Times New Roman" w:hAnsi="Times New Roman" w:cs="Times New Roman"/>
          <w:i/>
          <w:iCs/>
          <w:sz w:val="24"/>
          <w:szCs w:val="24"/>
        </w:rPr>
        <w:t>Metallurgical and Materials Transactions A</w:t>
      </w:r>
      <w:r w:rsidRPr="003E0F31">
        <w:rPr>
          <w:rFonts w:ascii="Times New Roman" w:hAnsi="Times New Roman" w:cs="Times New Roman"/>
          <w:sz w:val="24"/>
          <w:szCs w:val="24"/>
        </w:rPr>
        <w:t xml:space="preserve"> 42 (11): 3491–3508. https://doi.org/10.1007/s11661-011-0748-2.</w:t>
      </w:r>
    </w:p>
    <w:p w14:paraId="2A93EBAC" w14:textId="77777777" w:rsidR="00071940" w:rsidRPr="003E0F31" w:rsidRDefault="00071940" w:rsidP="00071940">
      <w:pPr>
        <w:pStyle w:val="Bibliography"/>
        <w:spacing w:after="240"/>
        <w:rPr>
          <w:rFonts w:ascii="Times New Roman" w:hAnsi="Times New Roman" w:cs="Times New Roman"/>
          <w:sz w:val="24"/>
          <w:szCs w:val="24"/>
        </w:rPr>
      </w:pPr>
      <w:r w:rsidRPr="003E0F31">
        <w:rPr>
          <w:rFonts w:ascii="Times New Roman" w:hAnsi="Times New Roman" w:cs="Times New Roman"/>
          <w:sz w:val="24"/>
          <w:szCs w:val="24"/>
        </w:rPr>
        <w:lastRenderedPageBreak/>
        <w:t xml:space="preserve">Najmon, Joel C., Sajjad Raeisi, and Andres Tovar. 2019. “Review of Additive Manufacturing Technologies and Applications in the Aerospace Industry.” </w:t>
      </w:r>
      <w:r w:rsidRPr="003E0F31">
        <w:rPr>
          <w:rFonts w:ascii="Times New Roman" w:hAnsi="Times New Roman" w:cs="Times New Roman"/>
          <w:i/>
          <w:iCs/>
          <w:sz w:val="24"/>
          <w:szCs w:val="24"/>
        </w:rPr>
        <w:t>Additive Manufacturing for the Aerospace Industry</w:t>
      </w:r>
      <w:r w:rsidRPr="003E0F31">
        <w:rPr>
          <w:rFonts w:ascii="Times New Roman" w:hAnsi="Times New Roman" w:cs="Times New Roman"/>
          <w:sz w:val="24"/>
          <w:szCs w:val="24"/>
        </w:rPr>
        <w:t>, 7–31.</w:t>
      </w:r>
    </w:p>
    <w:p w14:paraId="07C4E075" w14:textId="77777777" w:rsidR="00071940" w:rsidRPr="003E0F31" w:rsidRDefault="00071940" w:rsidP="00071940">
      <w:pPr>
        <w:pStyle w:val="Bibliography"/>
        <w:spacing w:after="240"/>
        <w:rPr>
          <w:rFonts w:ascii="Times New Roman" w:hAnsi="Times New Roman" w:cs="Times New Roman"/>
          <w:sz w:val="24"/>
          <w:szCs w:val="24"/>
        </w:rPr>
      </w:pPr>
      <w:r w:rsidRPr="003E0F31">
        <w:rPr>
          <w:rFonts w:ascii="Times New Roman" w:hAnsi="Times New Roman" w:cs="Times New Roman"/>
          <w:sz w:val="24"/>
          <w:szCs w:val="24"/>
        </w:rPr>
        <w:t>Onuike, Bonny, Bryan Heer, and Amit Bandyopadhyay. 2018. “Additive Manufacturing of Inconel 718—Copper Alloy Bimetallic Structure Using Laser Engineered Net Shaping (LENS</w:t>
      </w:r>
      <w:r w:rsidRPr="003E0F31">
        <w:rPr>
          <w:rFonts w:ascii="Times New Roman" w:hAnsi="Times New Roman" w:cs="Times New Roman"/>
          <w:sz w:val="24"/>
          <w:szCs w:val="24"/>
          <w:vertAlign w:val="superscript"/>
        </w:rPr>
        <w:t>TM</w:t>
      </w:r>
      <w:r w:rsidRPr="003E0F31">
        <w:rPr>
          <w:rFonts w:ascii="Times New Roman" w:hAnsi="Times New Roman" w:cs="Times New Roman"/>
          <w:sz w:val="24"/>
          <w:szCs w:val="24"/>
        </w:rPr>
        <w:t xml:space="preserve">).” </w:t>
      </w:r>
      <w:r w:rsidRPr="003E0F31">
        <w:rPr>
          <w:rFonts w:ascii="Times New Roman" w:hAnsi="Times New Roman" w:cs="Times New Roman"/>
          <w:i/>
          <w:iCs/>
          <w:sz w:val="24"/>
          <w:szCs w:val="24"/>
        </w:rPr>
        <w:t>Additive Manufacturing</w:t>
      </w:r>
      <w:r w:rsidRPr="003E0F31">
        <w:rPr>
          <w:rFonts w:ascii="Times New Roman" w:hAnsi="Times New Roman" w:cs="Times New Roman"/>
          <w:sz w:val="24"/>
          <w:szCs w:val="24"/>
        </w:rPr>
        <w:t xml:space="preserve"> 21 (May): 133–40. https://doi.org/10.1016/j.addma.2018.02.007.</w:t>
      </w:r>
    </w:p>
    <w:p w14:paraId="26E39A1C" w14:textId="77777777" w:rsidR="00071940" w:rsidRPr="003E0F31" w:rsidRDefault="00071940" w:rsidP="00071940">
      <w:pPr>
        <w:pStyle w:val="Bibliography"/>
        <w:spacing w:after="240"/>
        <w:rPr>
          <w:rFonts w:ascii="Times New Roman" w:hAnsi="Times New Roman" w:cs="Times New Roman"/>
          <w:sz w:val="24"/>
          <w:szCs w:val="24"/>
        </w:rPr>
      </w:pPr>
      <w:r w:rsidRPr="003E0F31">
        <w:rPr>
          <w:rFonts w:ascii="Times New Roman" w:hAnsi="Times New Roman" w:cs="Times New Roman"/>
          <w:sz w:val="24"/>
          <w:szCs w:val="24"/>
        </w:rPr>
        <w:t xml:space="preserve">Pei, Changhao, Wu Zeng, and Huang Yuan. 2020. “A Damage Evolution Model Based on Micro-Structural Characteristics for an Additive Manufactured Superalloy under Monotonic and Cyclic Loading Conditions.” </w:t>
      </w:r>
      <w:r w:rsidRPr="003E0F31">
        <w:rPr>
          <w:rFonts w:ascii="Times New Roman" w:hAnsi="Times New Roman" w:cs="Times New Roman"/>
          <w:i/>
          <w:iCs/>
          <w:sz w:val="24"/>
          <w:szCs w:val="24"/>
        </w:rPr>
        <w:t>International Journal of Fatigue</w:t>
      </w:r>
      <w:r w:rsidRPr="003E0F31">
        <w:rPr>
          <w:rFonts w:ascii="Times New Roman" w:hAnsi="Times New Roman" w:cs="Times New Roman"/>
          <w:sz w:val="24"/>
          <w:szCs w:val="24"/>
        </w:rPr>
        <w:t xml:space="preserve"> 131: 105279.</w:t>
      </w:r>
    </w:p>
    <w:p w14:paraId="049BE118" w14:textId="77777777" w:rsidR="00071940" w:rsidRPr="003E0F31" w:rsidRDefault="00071940" w:rsidP="00071940">
      <w:pPr>
        <w:pStyle w:val="Bibliography"/>
        <w:spacing w:after="240"/>
        <w:rPr>
          <w:rFonts w:ascii="Times New Roman" w:hAnsi="Times New Roman" w:cs="Times New Roman"/>
          <w:sz w:val="24"/>
          <w:szCs w:val="24"/>
        </w:rPr>
      </w:pPr>
      <w:r w:rsidRPr="003E0F31">
        <w:rPr>
          <w:rFonts w:ascii="Times New Roman" w:hAnsi="Times New Roman" w:cs="Times New Roman"/>
          <w:sz w:val="24"/>
          <w:szCs w:val="24"/>
        </w:rPr>
        <w:t xml:space="preserve">Qi, H B, Y N Yan, F Lin, W He, and R J Zhang. 2006. “Direct Metal Part Forming of 316L Stainless Steel Powder by Electron Beam Selective Melting.” </w:t>
      </w:r>
      <w:r w:rsidRPr="003E0F31">
        <w:rPr>
          <w:rFonts w:ascii="Times New Roman" w:hAnsi="Times New Roman" w:cs="Times New Roman"/>
          <w:i/>
          <w:iCs/>
          <w:sz w:val="24"/>
          <w:szCs w:val="24"/>
        </w:rPr>
        <w:t>Proceedings of the Institution of Mechanical Engineers, Part B: Journal of Engineering Manufacture</w:t>
      </w:r>
      <w:r w:rsidRPr="003E0F31">
        <w:rPr>
          <w:rFonts w:ascii="Times New Roman" w:hAnsi="Times New Roman" w:cs="Times New Roman"/>
          <w:sz w:val="24"/>
          <w:szCs w:val="24"/>
        </w:rPr>
        <w:t xml:space="preserve"> 220 (11): 1845–53. https://doi.org/10.1243/09544054JEM438.</w:t>
      </w:r>
    </w:p>
    <w:p w14:paraId="6B16FCAE" w14:textId="77777777" w:rsidR="00071940" w:rsidRPr="003E0F31" w:rsidRDefault="00071940" w:rsidP="00071940">
      <w:pPr>
        <w:pStyle w:val="Bibliography"/>
        <w:spacing w:after="240"/>
        <w:rPr>
          <w:rFonts w:ascii="Times New Roman" w:hAnsi="Times New Roman" w:cs="Times New Roman"/>
          <w:sz w:val="24"/>
          <w:szCs w:val="24"/>
        </w:rPr>
      </w:pPr>
      <w:r w:rsidRPr="003E0F31">
        <w:rPr>
          <w:rFonts w:ascii="Times New Roman" w:hAnsi="Times New Roman" w:cs="Times New Roman"/>
          <w:sz w:val="24"/>
          <w:szCs w:val="24"/>
        </w:rPr>
        <w:t xml:space="preserve">Qian, M. A., Wei Xu, Milan Brandt, and H. P. Tang. 2016. “Additive Manufacturing and Postprocessing of Ti-6Al-4V for Superior Mechanical Properties.” </w:t>
      </w:r>
      <w:r w:rsidRPr="003E0F31">
        <w:rPr>
          <w:rFonts w:ascii="Times New Roman" w:hAnsi="Times New Roman" w:cs="Times New Roman"/>
          <w:i/>
          <w:iCs/>
          <w:sz w:val="24"/>
          <w:szCs w:val="24"/>
        </w:rPr>
        <w:t>Mrs Bulletin</w:t>
      </w:r>
      <w:r w:rsidRPr="003E0F31">
        <w:rPr>
          <w:rFonts w:ascii="Times New Roman" w:hAnsi="Times New Roman" w:cs="Times New Roman"/>
          <w:sz w:val="24"/>
          <w:szCs w:val="24"/>
        </w:rPr>
        <w:t xml:space="preserve"> 41 (10): 775–84.</w:t>
      </w:r>
    </w:p>
    <w:p w14:paraId="6BE88A6E" w14:textId="77777777" w:rsidR="00071940" w:rsidRPr="003E0F31" w:rsidRDefault="00071940" w:rsidP="00071940">
      <w:pPr>
        <w:pStyle w:val="Bibliography"/>
        <w:spacing w:after="240"/>
        <w:rPr>
          <w:rFonts w:ascii="Times New Roman" w:hAnsi="Times New Roman" w:cs="Times New Roman"/>
          <w:sz w:val="24"/>
          <w:szCs w:val="24"/>
        </w:rPr>
      </w:pPr>
      <w:r w:rsidRPr="003E0F31">
        <w:rPr>
          <w:rFonts w:ascii="Times New Roman" w:hAnsi="Times New Roman" w:cs="Times New Roman"/>
          <w:sz w:val="24"/>
          <w:szCs w:val="24"/>
        </w:rPr>
        <w:t xml:space="preserve">Rafi, H. K., N. V. Karthik, Haijun Gong, Thomas L. Starr, and Brent E. Stucker. 2013. “Microstructures and Mechanical Properties of Ti6Al4V Parts Fabricated by Selective Laser Melting and Electron Beam Melting.” </w:t>
      </w:r>
      <w:r w:rsidRPr="003E0F31">
        <w:rPr>
          <w:rFonts w:ascii="Times New Roman" w:hAnsi="Times New Roman" w:cs="Times New Roman"/>
          <w:i/>
          <w:iCs/>
          <w:sz w:val="24"/>
          <w:szCs w:val="24"/>
        </w:rPr>
        <w:t>Journal of Materials Engineering and Performance</w:t>
      </w:r>
      <w:r w:rsidRPr="003E0F31">
        <w:rPr>
          <w:rFonts w:ascii="Times New Roman" w:hAnsi="Times New Roman" w:cs="Times New Roman"/>
          <w:sz w:val="24"/>
          <w:szCs w:val="24"/>
        </w:rPr>
        <w:t xml:space="preserve"> 22 (12): 3872–83. https://doi.org/10.1007/s11665-013-0658-0.</w:t>
      </w:r>
    </w:p>
    <w:p w14:paraId="53139B77" w14:textId="77777777" w:rsidR="00071940" w:rsidRPr="003E0F31" w:rsidRDefault="00071940" w:rsidP="00071940">
      <w:pPr>
        <w:pStyle w:val="Bibliography"/>
        <w:spacing w:after="240"/>
        <w:rPr>
          <w:rFonts w:ascii="Times New Roman" w:hAnsi="Times New Roman" w:cs="Times New Roman"/>
          <w:sz w:val="24"/>
          <w:szCs w:val="24"/>
        </w:rPr>
      </w:pPr>
      <w:r w:rsidRPr="003E0F31">
        <w:rPr>
          <w:rFonts w:ascii="Times New Roman" w:hAnsi="Times New Roman" w:cs="Times New Roman"/>
          <w:sz w:val="24"/>
          <w:szCs w:val="24"/>
        </w:rPr>
        <w:t xml:space="preserve">Raghupatruni, Prasad, and S. Anand Kumar. 2023. “Review of Microstructure and Mechanical Properties of Materials Manufactured by Direct Energy Deposition.” </w:t>
      </w:r>
      <w:r w:rsidRPr="003E0F31">
        <w:rPr>
          <w:rFonts w:ascii="Times New Roman" w:hAnsi="Times New Roman" w:cs="Times New Roman"/>
          <w:i/>
          <w:iCs/>
          <w:sz w:val="24"/>
          <w:szCs w:val="24"/>
        </w:rPr>
        <w:t>Advances in Metal Additive Manufacturing</w:t>
      </w:r>
      <w:r w:rsidRPr="003E0F31">
        <w:rPr>
          <w:rFonts w:ascii="Times New Roman" w:hAnsi="Times New Roman" w:cs="Times New Roman"/>
          <w:sz w:val="24"/>
          <w:szCs w:val="24"/>
        </w:rPr>
        <w:t>, 161–78.</w:t>
      </w:r>
    </w:p>
    <w:p w14:paraId="324007A9" w14:textId="09DF4CCF" w:rsidR="00071940" w:rsidRPr="003E0F31" w:rsidRDefault="00071940" w:rsidP="00071940">
      <w:pPr>
        <w:pStyle w:val="Bibliography"/>
        <w:spacing w:after="240"/>
        <w:rPr>
          <w:rFonts w:ascii="Times New Roman" w:hAnsi="Times New Roman" w:cs="Times New Roman"/>
          <w:sz w:val="24"/>
          <w:szCs w:val="24"/>
        </w:rPr>
      </w:pPr>
    </w:p>
    <w:p w14:paraId="5D72B9A8" w14:textId="77777777" w:rsidR="00071940" w:rsidRPr="003E0F31" w:rsidRDefault="00071940" w:rsidP="00071940">
      <w:pPr>
        <w:pStyle w:val="Bibliography"/>
        <w:spacing w:after="240"/>
        <w:rPr>
          <w:rFonts w:ascii="Times New Roman" w:hAnsi="Times New Roman" w:cs="Times New Roman"/>
          <w:sz w:val="24"/>
          <w:szCs w:val="24"/>
        </w:rPr>
      </w:pPr>
      <w:r w:rsidRPr="003E0F31">
        <w:rPr>
          <w:rFonts w:ascii="Times New Roman" w:hAnsi="Times New Roman" w:cs="Times New Roman"/>
          <w:sz w:val="24"/>
          <w:szCs w:val="24"/>
        </w:rPr>
        <w:t xml:space="preserve">Ren, Neng, Jun Li, Ruiyao Zhang, Chinnapat Panwisawas, Mingxu Xia, Hongbiao Dong, and Jianguo Li. 2023. “Solute Trapping and Non-Equilibrium Microstructure during Rapid Solidification of Additive Manufacturing.” </w:t>
      </w:r>
      <w:r w:rsidRPr="003E0F31">
        <w:rPr>
          <w:rFonts w:ascii="Times New Roman" w:hAnsi="Times New Roman" w:cs="Times New Roman"/>
          <w:i/>
          <w:iCs/>
          <w:sz w:val="24"/>
          <w:szCs w:val="24"/>
        </w:rPr>
        <w:t>Nature Communications</w:t>
      </w:r>
      <w:r w:rsidRPr="003E0F31">
        <w:rPr>
          <w:rFonts w:ascii="Times New Roman" w:hAnsi="Times New Roman" w:cs="Times New Roman"/>
          <w:sz w:val="24"/>
          <w:szCs w:val="24"/>
        </w:rPr>
        <w:t xml:space="preserve"> 14 (1): 7990.</w:t>
      </w:r>
    </w:p>
    <w:p w14:paraId="15494504" w14:textId="77777777" w:rsidR="00071940" w:rsidRPr="003E0F31" w:rsidRDefault="00071940" w:rsidP="00071940">
      <w:pPr>
        <w:pStyle w:val="Bibliography"/>
        <w:spacing w:after="240"/>
        <w:rPr>
          <w:rFonts w:ascii="Times New Roman" w:hAnsi="Times New Roman" w:cs="Times New Roman"/>
          <w:sz w:val="24"/>
          <w:szCs w:val="24"/>
        </w:rPr>
      </w:pPr>
      <w:r w:rsidRPr="003E0F31">
        <w:rPr>
          <w:rFonts w:ascii="Times New Roman" w:hAnsi="Times New Roman" w:cs="Times New Roman"/>
          <w:sz w:val="24"/>
          <w:szCs w:val="24"/>
        </w:rPr>
        <w:t xml:space="preserve">Sabelle, Matías, Magdalena Walczak, and Jorge Ramos-Grez. 2018. “Scanning Pattern Angle Effect on the Resulting Properties of Selective Laser Sintered Monolayers of Cu-Sn-Ni Powder.” </w:t>
      </w:r>
      <w:r w:rsidRPr="003E0F31">
        <w:rPr>
          <w:rFonts w:ascii="Times New Roman" w:hAnsi="Times New Roman" w:cs="Times New Roman"/>
          <w:i/>
          <w:iCs/>
          <w:sz w:val="24"/>
          <w:szCs w:val="24"/>
        </w:rPr>
        <w:t>Optics and Lasers in Engineering</w:t>
      </w:r>
      <w:r w:rsidRPr="003E0F31">
        <w:rPr>
          <w:rFonts w:ascii="Times New Roman" w:hAnsi="Times New Roman" w:cs="Times New Roman"/>
          <w:sz w:val="24"/>
          <w:szCs w:val="24"/>
        </w:rPr>
        <w:t xml:space="preserve"> 100: 1–8.</w:t>
      </w:r>
    </w:p>
    <w:p w14:paraId="36E95BE8" w14:textId="77777777" w:rsidR="00071940" w:rsidRPr="003E0F31" w:rsidRDefault="00071940" w:rsidP="00071940">
      <w:pPr>
        <w:pStyle w:val="Bibliography"/>
        <w:spacing w:after="240"/>
        <w:rPr>
          <w:rFonts w:ascii="Times New Roman" w:hAnsi="Times New Roman" w:cs="Times New Roman"/>
          <w:sz w:val="24"/>
          <w:szCs w:val="24"/>
        </w:rPr>
      </w:pPr>
      <w:r w:rsidRPr="003E0F31">
        <w:rPr>
          <w:rFonts w:ascii="Times New Roman" w:hAnsi="Times New Roman" w:cs="Times New Roman"/>
          <w:sz w:val="24"/>
          <w:szCs w:val="24"/>
        </w:rPr>
        <w:t xml:space="preserve">Salmoria, Gean V., Rodrigo A. Paggi, Alexandre Lago, and Valter E. Beal. 2011. “Microstructural and Mechanical Characterization of PA12/MWCNTs Nanocomposite Manufactured by Selective Laser Sintering.” </w:t>
      </w:r>
      <w:r w:rsidRPr="003E0F31">
        <w:rPr>
          <w:rFonts w:ascii="Times New Roman" w:hAnsi="Times New Roman" w:cs="Times New Roman"/>
          <w:i/>
          <w:iCs/>
          <w:sz w:val="24"/>
          <w:szCs w:val="24"/>
        </w:rPr>
        <w:t>Polymer Testing</w:t>
      </w:r>
      <w:r w:rsidRPr="003E0F31">
        <w:rPr>
          <w:rFonts w:ascii="Times New Roman" w:hAnsi="Times New Roman" w:cs="Times New Roman"/>
          <w:sz w:val="24"/>
          <w:szCs w:val="24"/>
        </w:rPr>
        <w:t xml:space="preserve"> 30 (6): 611–15.</w:t>
      </w:r>
    </w:p>
    <w:p w14:paraId="3177A8A0" w14:textId="77777777" w:rsidR="00071940" w:rsidRPr="003E0F31" w:rsidRDefault="00071940" w:rsidP="00071940">
      <w:pPr>
        <w:pStyle w:val="Bibliography"/>
        <w:spacing w:after="240"/>
        <w:rPr>
          <w:rFonts w:ascii="Times New Roman" w:hAnsi="Times New Roman" w:cs="Times New Roman"/>
          <w:sz w:val="24"/>
          <w:szCs w:val="24"/>
        </w:rPr>
      </w:pPr>
      <w:r w:rsidRPr="003E0F31">
        <w:rPr>
          <w:rFonts w:ascii="Times New Roman" w:hAnsi="Times New Roman" w:cs="Times New Roman"/>
          <w:sz w:val="24"/>
          <w:szCs w:val="24"/>
        </w:rPr>
        <w:lastRenderedPageBreak/>
        <w:t xml:space="preserve">Sanchez, Salomé, Peter Smith, Zhengkai Xu, Gabriele Gaspard, Christopher J. Hyde, Wessel W. Wits, Ian A. Ashcroft, Hao Chen, and Adam T. Clare. 2021. “Powder Bed Fusion of Nickel-Based Superalloys: A Review.” </w:t>
      </w:r>
      <w:r w:rsidRPr="003E0F31">
        <w:rPr>
          <w:rFonts w:ascii="Times New Roman" w:hAnsi="Times New Roman" w:cs="Times New Roman"/>
          <w:i/>
          <w:iCs/>
          <w:sz w:val="24"/>
          <w:szCs w:val="24"/>
        </w:rPr>
        <w:t>International Journal of Machine Tools and Manufacture</w:t>
      </w:r>
      <w:r w:rsidRPr="003E0F31">
        <w:rPr>
          <w:rFonts w:ascii="Times New Roman" w:hAnsi="Times New Roman" w:cs="Times New Roman"/>
          <w:sz w:val="24"/>
          <w:szCs w:val="24"/>
        </w:rPr>
        <w:t xml:space="preserve"> 165 (June): 103729. https://doi.org/10.1016/j.ijmachtools.2021.103729.</w:t>
      </w:r>
    </w:p>
    <w:p w14:paraId="568CD7B1" w14:textId="77777777" w:rsidR="00071940" w:rsidRPr="003E0F31" w:rsidRDefault="00071940" w:rsidP="00071940">
      <w:pPr>
        <w:pStyle w:val="Bibliography"/>
        <w:spacing w:after="240"/>
        <w:rPr>
          <w:rFonts w:ascii="Times New Roman" w:hAnsi="Times New Roman" w:cs="Times New Roman"/>
          <w:sz w:val="24"/>
          <w:szCs w:val="24"/>
        </w:rPr>
      </w:pPr>
      <w:r w:rsidRPr="003E0F31">
        <w:rPr>
          <w:rFonts w:ascii="Times New Roman" w:hAnsi="Times New Roman" w:cs="Times New Roman"/>
          <w:sz w:val="24"/>
          <w:szCs w:val="24"/>
        </w:rPr>
        <w:t xml:space="preserve">Sateesh, N. H., GC Mohan Kumar, Krishna Prasad, C. K. Srinivasa, and A. R. Vinod. 2014. “Microstructure and Mechanical Characterization of Laser Sintered Inconel-625 Superalloy.” </w:t>
      </w:r>
      <w:r w:rsidRPr="003E0F31">
        <w:rPr>
          <w:rFonts w:ascii="Times New Roman" w:hAnsi="Times New Roman" w:cs="Times New Roman"/>
          <w:i/>
          <w:iCs/>
          <w:sz w:val="24"/>
          <w:szCs w:val="24"/>
        </w:rPr>
        <w:t>Procedia Materials Science</w:t>
      </w:r>
      <w:r w:rsidRPr="003E0F31">
        <w:rPr>
          <w:rFonts w:ascii="Times New Roman" w:hAnsi="Times New Roman" w:cs="Times New Roman"/>
          <w:sz w:val="24"/>
          <w:szCs w:val="24"/>
        </w:rPr>
        <w:t xml:space="preserve"> 5: 772–79.</w:t>
      </w:r>
    </w:p>
    <w:p w14:paraId="743B8BC5" w14:textId="77777777" w:rsidR="00071940" w:rsidRPr="003E0F31" w:rsidRDefault="00071940" w:rsidP="00071940">
      <w:pPr>
        <w:pStyle w:val="Bibliography"/>
        <w:spacing w:after="240"/>
        <w:rPr>
          <w:rFonts w:ascii="Times New Roman" w:hAnsi="Times New Roman" w:cs="Times New Roman"/>
          <w:sz w:val="24"/>
          <w:szCs w:val="24"/>
        </w:rPr>
      </w:pPr>
      <w:r w:rsidRPr="003E0F31">
        <w:rPr>
          <w:rFonts w:ascii="Times New Roman" w:hAnsi="Times New Roman" w:cs="Times New Roman"/>
          <w:sz w:val="24"/>
          <w:szCs w:val="24"/>
        </w:rPr>
        <w:t xml:space="preserve">Scudino, S., C. Unterdörfer, K. G. Prashanth, Hooyar Attar, N. Ellendt, V. Uhlenwinkel, and J. Eckert. 2015. “Additive Manufacturing of Cu–10Sn Bronze.” </w:t>
      </w:r>
      <w:r w:rsidRPr="003E0F31">
        <w:rPr>
          <w:rFonts w:ascii="Times New Roman" w:hAnsi="Times New Roman" w:cs="Times New Roman"/>
          <w:i/>
          <w:iCs/>
          <w:sz w:val="24"/>
          <w:szCs w:val="24"/>
        </w:rPr>
        <w:t>Materials Letters</w:t>
      </w:r>
      <w:r w:rsidRPr="003E0F31">
        <w:rPr>
          <w:rFonts w:ascii="Times New Roman" w:hAnsi="Times New Roman" w:cs="Times New Roman"/>
          <w:sz w:val="24"/>
          <w:szCs w:val="24"/>
        </w:rPr>
        <w:t xml:space="preserve"> 156: 202–4.</w:t>
      </w:r>
    </w:p>
    <w:p w14:paraId="2B6E090B" w14:textId="77777777" w:rsidR="00071940" w:rsidRPr="003E0F31" w:rsidRDefault="00071940" w:rsidP="00071940">
      <w:pPr>
        <w:pStyle w:val="Bibliography"/>
        <w:spacing w:after="240"/>
        <w:rPr>
          <w:rFonts w:ascii="Times New Roman" w:hAnsi="Times New Roman" w:cs="Times New Roman"/>
          <w:sz w:val="24"/>
          <w:szCs w:val="24"/>
        </w:rPr>
      </w:pPr>
      <w:r w:rsidRPr="003E0F31">
        <w:rPr>
          <w:rFonts w:ascii="Times New Roman" w:hAnsi="Times New Roman" w:cs="Times New Roman"/>
          <w:sz w:val="24"/>
          <w:szCs w:val="24"/>
        </w:rPr>
        <w:t xml:space="preserve">Song, Changhui, Yongqiang Yang, Yunda Wang, Di Wang, and Jiakuo Yu. 2014. “Research on Rapid Manufacturing of CoCrMo Alloy Femoral Component Based on Selective Laser Melting.” </w:t>
      </w:r>
      <w:r w:rsidRPr="003E0F31">
        <w:rPr>
          <w:rFonts w:ascii="Times New Roman" w:hAnsi="Times New Roman" w:cs="Times New Roman"/>
          <w:i/>
          <w:iCs/>
          <w:sz w:val="24"/>
          <w:szCs w:val="24"/>
        </w:rPr>
        <w:t>The International Journal of Advanced Manufacturing Technology</w:t>
      </w:r>
      <w:r w:rsidRPr="003E0F31">
        <w:rPr>
          <w:rFonts w:ascii="Times New Roman" w:hAnsi="Times New Roman" w:cs="Times New Roman"/>
          <w:sz w:val="24"/>
          <w:szCs w:val="24"/>
        </w:rPr>
        <w:t xml:space="preserve"> 75 (1–4): 445–53. https://doi.org/10.1007/s00170-014-6150-7.</w:t>
      </w:r>
    </w:p>
    <w:p w14:paraId="375DA3DE" w14:textId="77777777" w:rsidR="00071940" w:rsidRPr="003E0F31" w:rsidRDefault="00071940" w:rsidP="00071940">
      <w:pPr>
        <w:pStyle w:val="Bibliography"/>
        <w:spacing w:after="240"/>
        <w:rPr>
          <w:rFonts w:ascii="Times New Roman" w:hAnsi="Times New Roman" w:cs="Times New Roman"/>
          <w:sz w:val="24"/>
          <w:szCs w:val="24"/>
        </w:rPr>
      </w:pPr>
      <w:r w:rsidRPr="003E0F31">
        <w:rPr>
          <w:rFonts w:ascii="Times New Roman" w:hAnsi="Times New Roman" w:cs="Times New Roman"/>
          <w:sz w:val="24"/>
          <w:szCs w:val="24"/>
        </w:rPr>
        <w:t xml:space="preserve">Stefanescu, Doru M., G. Upadhya, and D. Bandyopadhyay. 1990. “Heat Transfer-Solidification Kinetics Modeling of Solidification of Castings.” </w:t>
      </w:r>
      <w:r w:rsidRPr="003E0F31">
        <w:rPr>
          <w:rFonts w:ascii="Times New Roman" w:hAnsi="Times New Roman" w:cs="Times New Roman"/>
          <w:i/>
          <w:iCs/>
          <w:sz w:val="24"/>
          <w:szCs w:val="24"/>
        </w:rPr>
        <w:t>Metallurgical Transactions A</w:t>
      </w:r>
      <w:r w:rsidRPr="003E0F31">
        <w:rPr>
          <w:rFonts w:ascii="Times New Roman" w:hAnsi="Times New Roman" w:cs="Times New Roman"/>
          <w:sz w:val="24"/>
          <w:szCs w:val="24"/>
        </w:rPr>
        <w:t xml:space="preserve"> 21 (3): 997–1005. https://doi.org/10.1007/BF02656584.</w:t>
      </w:r>
    </w:p>
    <w:p w14:paraId="1E645052" w14:textId="77777777" w:rsidR="00071940" w:rsidRPr="003E0F31" w:rsidRDefault="00071940" w:rsidP="00071940">
      <w:pPr>
        <w:pStyle w:val="Bibliography"/>
        <w:spacing w:after="240"/>
        <w:rPr>
          <w:rFonts w:ascii="Times New Roman" w:hAnsi="Times New Roman" w:cs="Times New Roman"/>
          <w:sz w:val="24"/>
          <w:szCs w:val="24"/>
        </w:rPr>
      </w:pPr>
      <w:r w:rsidRPr="003E0F31">
        <w:rPr>
          <w:rFonts w:ascii="Times New Roman" w:hAnsi="Times New Roman" w:cs="Times New Roman"/>
          <w:sz w:val="24"/>
          <w:szCs w:val="24"/>
        </w:rPr>
        <w:t xml:space="preserve">Stefanescu, Doru Michael, Girish Upadhya, Dilip Kumar Bandyopadhyay, and In-Gann Chen. 1989. “Modeling the Evolution of Equiaxed Miorostructures in Castings.” </w:t>
      </w:r>
      <w:r w:rsidRPr="003E0F31">
        <w:rPr>
          <w:rFonts w:ascii="Times New Roman" w:hAnsi="Times New Roman" w:cs="Times New Roman"/>
          <w:i/>
          <w:iCs/>
          <w:sz w:val="24"/>
          <w:szCs w:val="24"/>
        </w:rPr>
        <w:t>JOM</w:t>
      </w:r>
      <w:r w:rsidRPr="003E0F31">
        <w:rPr>
          <w:rFonts w:ascii="Times New Roman" w:hAnsi="Times New Roman" w:cs="Times New Roman"/>
          <w:sz w:val="24"/>
          <w:szCs w:val="24"/>
        </w:rPr>
        <w:t xml:space="preserve"> 41 (2): 22–25. https://doi.org/10.1007/BF03220820.</w:t>
      </w:r>
    </w:p>
    <w:p w14:paraId="096A1702" w14:textId="77777777" w:rsidR="00071940" w:rsidRPr="003E0F31" w:rsidRDefault="00071940" w:rsidP="00071940">
      <w:pPr>
        <w:pStyle w:val="Bibliography"/>
        <w:spacing w:after="240"/>
        <w:rPr>
          <w:rFonts w:ascii="Times New Roman" w:hAnsi="Times New Roman" w:cs="Times New Roman"/>
          <w:sz w:val="24"/>
          <w:szCs w:val="24"/>
        </w:rPr>
      </w:pPr>
      <w:r w:rsidRPr="003E0F31">
        <w:rPr>
          <w:rFonts w:ascii="Times New Roman" w:hAnsi="Times New Roman" w:cs="Times New Roman"/>
          <w:sz w:val="24"/>
          <w:szCs w:val="24"/>
        </w:rPr>
        <w:t xml:space="preserve">Sun, Shi-Hai, Yuichiro Koizumi, Shingo Kurosu, Yun-Ping Li, and Akihiko Chiba. 2015. “Phase and Grain Size Inhomogeneity and Their Influences on Creep Behavior of Co–Cr–Mo Alloy Additive Manufactured by Electron Beam Melting.” </w:t>
      </w:r>
      <w:r w:rsidRPr="003E0F31">
        <w:rPr>
          <w:rFonts w:ascii="Times New Roman" w:hAnsi="Times New Roman" w:cs="Times New Roman"/>
          <w:i/>
          <w:iCs/>
          <w:sz w:val="24"/>
          <w:szCs w:val="24"/>
        </w:rPr>
        <w:t>Acta Materialia</w:t>
      </w:r>
      <w:r w:rsidRPr="003E0F31">
        <w:rPr>
          <w:rFonts w:ascii="Times New Roman" w:hAnsi="Times New Roman" w:cs="Times New Roman"/>
          <w:sz w:val="24"/>
          <w:szCs w:val="24"/>
        </w:rPr>
        <w:t xml:space="preserve"> 86: 305–18.</w:t>
      </w:r>
    </w:p>
    <w:p w14:paraId="46016A90" w14:textId="77777777" w:rsidR="00071940" w:rsidRPr="003E0F31" w:rsidRDefault="00071940" w:rsidP="00071940">
      <w:pPr>
        <w:pStyle w:val="Bibliography"/>
        <w:spacing w:after="240"/>
        <w:rPr>
          <w:rFonts w:ascii="Times New Roman" w:hAnsi="Times New Roman" w:cs="Times New Roman"/>
          <w:sz w:val="24"/>
          <w:szCs w:val="24"/>
        </w:rPr>
      </w:pPr>
      <w:r w:rsidRPr="003E0F31">
        <w:rPr>
          <w:rFonts w:ascii="Times New Roman" w:hAnsi="Times New Roman" w:cs="Times New Roman"/>
          <w:sz w:val="24"/>
          <w:szCs w:val="24"/>
        </w:rPr>
        <w:t xml:space="preserve">Sun, Shi-Hai, Yuichiro Koizumi, Shingo Kurosu, Yun-Ping Li, Hiroaki Matsumoto, and Akihiko Chiba. 2014. “Build Direction Dependence of Microstructure and High-Temperature Tensile Property of Co–Cr–Mo Alloy Fabricated by Electron Beam Melting.” </w:t>
      </w:r>
      <w:r w:rsidRPr="003E0F31">
        <w:rPr>
          <w:rFonts w:ascii="Times New Roman" w:hAnsi="Times New Roman" w:cs="Times New Roman"/>
          <w:i/>
          <w:iCs/>
          <w:sz w:val="24"/>
          <w:szCs w:val="24"/>
        </w:rPr>
        <w:t>Acta Materialia</w:t>
      </w:r>
      <w:r w:rsidRPr="003E0F31">
        <w:rPr>
          <w:rFonts w:ascii="Times New Roman" w:hAnsi="Times New Roman" w:cs="Times New Roman"/>
          <w:sz w:val="24"/>
          <w:szCs w:val="24"/>
        </w:rPr>
        <w:t xml:space="preserve"> 64: 154–68.</w:t>
      </w:r>
    </w:p>
    <w:p w14:paraId="3F61F10D" w14:textId="77777777" w:rsidR="00071940" w:rsidRPr="003E0F31" w:rsidRDefault="00071940" w:rsidP="00071940">
      <w:pPr>
        <w:pStyle w:val="Bibliography"/>
        <w:spacing w:after="240"/>
        <w:rPr>
          <w:rFonts w:ascii="Times New Roman" w:hAnsi="Times New Roman" w:cs="Times New Roman"/>
          <w:sz w:val="24"/>
          <w:szCs w:val="24"/>
        </w:rPr>
      </w:pPr>
      <w:r w:rsidRPr="003E0F31">
        <w:rPr>
          <w:rFonts w:ascii="Times New Roman" w:hAnsi="Times New Roman" w:cs="Times New Roman"/>
          <w:sz w:val="24"/>
          <w:szCs w:val="24"/>
        </w:rPr>
        <w:t xml:space="preserve">Tuncer, Nihan, and Animesh Bose. 2020. “Solid-State Metal Additive Manufacturing: A Review.” </w:t>
      </w:r>
      <w:r w:rsidRPr="003E0F31">
        <w:rPr>
          <w:rFonts w:ascii="Times New Roman" w:hAnsi="Times New Roman" w:cs="Times New Roman"/>
          <w:i/>
          <w:iCs/>
          <w:sz w:val="24"/>
          <w:szCs w:val="24"/>
        </w:rPr>
        <w:t>JOM</w:t>
      </w:r>
      <w:r w:rsidRPr="003E0F31">
        <w:rPr>
          <w:rFonts w:ascii="Times New Roman" w:hAnsi="Times New Roman" w:cs="Times New Roman"/>
          <w:sz w:val="24"/>
          <w:szCs w:val="24"/>
        </w:rPr>
        <w:t xml:space="preserve"> 72 (9): 3090–3111. https://doi.org/10.1007/s11837-020-04260-y.</w:t>
      </w:r>
    </w:p>
    <w:p w14:paraId="2B69584A" w14:textId="77777777" w:rsidR="00071940" w:rsidRPr="003E0F31" w:rsidRDefault="00071940" w:rsidP="00071940">
      <w:pPr>
        <w:pStyle w:val="Bibliography"/>
        <w:spacing w:after="240"/>
        <w:rPr>
          <w:rFonts w:ascii="Times New Roman" w:hAnsi="Times New Roman" w:cs="Times New Roman"/>
          <w:sz w:val="24"/>
          <w:szCs w:val="24"/>
        </w:rPr>
      </w:pPr>
      <w:r w:rsidRPr="003E0F31">
        <w:rPr>
          <w:rFonts w:ascii="Times New Roman" w:hAnsi="Times New Roman" w:cs="Times New Roman"/>
          <w:sz w:val="24"/>
          <w:szCs w:val="24"/>
        </w:rPr>
        <w:t xml:space="preserve">Turner, John A., James Belak, Nathan Barton, Matthew Bement, Neil Carlson, Robert Carson, Stephen DeWitt, Jean-Luc Fattebert, Neil Hodge, and Zechariah Jibben. 2022. “ExaAM: Metal Additive Manufacturing Simulation at the Fidelity of the Microstructure.” </w:t>
      </w:r>
      <w:r w:rsidRPr="003E0F31">
        <w:rPr>
          <w:rFonts w:ascii="Times New Roman" w:hAnsi="Times New Roman" w:cs="Times New Roman"/>
          <w:i/>
          <w:iCs/>
          <w:sz w:val="24"/>
          <w:szCs w:val="24"/>
        </w:rPr>
        <w:t>The International Journal of High Performance Computing Applications</w:t>
      </w:r>
      <w:r w:rsidRPr="003E0F31">
        <w:rPr>
          <w:rFonts w:ascii="Times New Roman" w:hAnsi="Times New Roman" w:cs="Times New Roman"/>
          <w:sz w:val="24"/>
          <w:szCs w:val="24"/>
        </w:rPr>
        <w:t xml:space="preserve"> 36 (1): 13–39.</w:t>
      </w:r>
    </w:p>
    <w:p w14:paraId="036CDD30" w14:textId="77777777" w:rsidR="00071940" w:rsidRPr="003E0F31" w:rsidRDefault="00071940" w:rsidP="00071940">
      <w:pPr>
        <w:pStyle w:val="Bibliography"/>
        <w:spacing w:after="240"/>
        <w:rPr>
          <w:rFonts w:ascii="Times New Roman" w:hAnsi="Times New Roman" w:cs="Times New Roman"/>
          <w:sz w:val="24"/>
          <w:szCs w:val="24"/>
        </w:rPr>
      </w:pPr>
      <w:r w:rsidRPr="003E0F31">
        <w:rPr>
          <w:rFonts w:ascii="Times New Roman" w:hAnsi="Times New Roman" w:cs="Times New Roman"/>
          <w:sz w:val="24"/>
          <w:szCs w:val="24"/>
        </w:rPr>
        <w:lastRenderedPageBreak/>
        <w:t xml:space="preserve">Urhal, Pinar, Andrew Weightman, Carl Diver, and Paulo Bartolo. 2019. “Robot Assisted Additive Manufacturing: A Review.” </w:t>
      </w:r>
      <w:r w:rsidRPr="003E0F31">
        <w:rPr>
          <w:rFonts w:ascii="Times New Roman" w:hAnsi="Times New Roman" w:cs="Times New Roman"/>
          <w:i/>
          <w:iCs/>
          <w:sz w:val="24"/>
          <w:szCs w:val="24"/>
        </w:rPr>
        <w:t>Robotics and Computer-Integrated Manufacturing</w:t>
      </w:r>
      <w:r w:rsidRPr="003E0F31">
        <w:rPr>
          <w:rFonts w:ascii="Times New Roman" w:hAnsi="Times New Roman" w:cs="Times New Roman"/>
          <w:sz w:val="24"/>
          <w:szCs w:val="24"/>
        </w:rPr>
        <w:t xml:space="preserve"> 59: 335–45.</w:t>
      </w:r>
    </w:p>
    <w:p w14:paraId="026E26CD" w14:textId="77777777" w:rsidR="00071940" w:rsidRPr="003E0F31" w:rsidRDefault="00071940" w:rsidP="00071940">
      <w:pPr>
        <w:pStyle w:val="Bibliography"/>
        <w:spacing w:after="240"/>
        <w:rPr>
          <w:rFonts w:ascii="Times New Roman" w:hAnsi="Times New Roman" w:cs="Times New Roman"/>
          <w:sz w:val="24"/>
          <w:szCs w:val="24"/>
        </w:rPr>
      </w:pPr>
      <w:r w:rsidRPr="003E0F31">
        <w:rPr>
          <w:rFonts w:ascii="Times New Roman" w:hAnsi="Times New Roman" w:cs="Times New Roman"/>
          <w:sz w:val="24"/>
          <w:szCs w:val="24"/>
        </w:rPr>
        <w:t xml:space="preserve">Vafadar, Ana, Ferdinando Guzzomi, Alexander Rassau, and Kevin Hayward. 2021. “Advances in Metal Additive Manufacturing: A Review of Common Processes, Industrial Applications, and Current Challenges.” </w:t>
      </w:r>
      <w:r w:rsidRPr="003E0F31">
        <w:rPr>
          <w:rFonts w:ascii="Times New Roman" w:hAnsi="Times New Roman" w:cs="Times New Roman"/>
          <w:i/>
          <w:iCs/>
          <w:sz w:val="24"/>
          <w:szCs w:val="24"/>
        </w:rPr>
        <w:t>Applied Sciences</w:t>
      </w:r>
      <w:r w:rsidRPr="003E0F31">
        <w:rPr>
          <w:rFonts w:ascii="Times New Roman" w:hAnsi="Times New Roman" w:cs="Times New Roman"/>
          <w:sz w:val="24"/>
          <w:szCs w:val="24"/>
        </w:rPr>
        <w:t xml:space="preserve"> 11 (3): 1213.</w:t>
      </w:r>
    </w:p>
    <w:p w14:paraId="56D327F7" w14:textId="77777777" w:rsidR="00071940" w:rsidRPr="003E0F31" w:rsidRDefault="00071940" w:rsidP="00071940">
      <w:pPr>
        <w:pStyle w:val="Bibliography"/>
        <w:spacing w:after="240"/>
        <w:rPr>
          <w:rFonts w:ascii="Times New Roman" w:hAnsi="Times New Roman" w:cs="Times New Roman"/>
          <w:sz w:val="24"/>
          <w:szCs w:val="24"/>
        </w:rPr>
      </w:pPr>
      <w:r w:rsidRPr="003E0F31">
        <w:rPr>
          <w:rFonts w:ascii="Times New Roman" w:hAnsi="Times New Roman" w:cs="Times New Roman"/>
          <w:sz w:val="24"/>
          <w:szCs w:val="24"/>
        </w:rPr>
        <w:t xml:space="preserve">Vahedi Nemani, Alireza, Mahya Ghaffari, Kazem Sabet Bokati, Nima Valizade, Elham Afshari, and Ali Nasiri. 2024. “Advancements in Additive Manufacturing for Copper-Based Alloys and Composites: A Comprehensive Review.” </w:t>
      </w:r>
      <w:r w:rsidRPr="003E0F31">
        <w:rPr>
          <w:rFonts w:ascii="Times New Roman" w:hAnsi="Times New Roman" w:cs="Times New Roman"/>
          <w:i/>
          <w:iCs/>
          <w:sz w:val="24"/>
          <w:szCs w:val="24"/>
        </w:rPr>
        <w:t>Journal of Manufacturing and Materials Processing</w:t>
      </w:r>
      <w:r w:rsidRPr="003E0F31">
        <w:rPr>
          <w:rFonts w:ascii="Times New Roman" w:hAnsi="Times New Roman" w:cs="Times New Roman"/>
          <w:sz w:val="24"/>
          <w:szCs w:val="24"/>
        </w:rPr>
        <w:t xml:space="preserve"> 8 (2): 54. https://doi.org/10.3390/jmmp8020054.</w:t>
      </w:r>
    </w:p>
    <w:p w14:paraId="7DB10FFC" w14:textId="77777777" w:rsidR="00071940" w:rsidRPr="003E0F31" w:rsidRDefault="00071940" w:rsidP="00071940">
      <w:pPr>
        <w:pStyle w:val="Bibliography"/>
        <w:spacing w:after="240"/>
        <w:rPr>
          <w:rFonts w:ascii="Times New Roman" w:hAnsi="Times New Roman" w:cs="Times New Roman"/>
          <w:sz w:val="24"/>
          <w:szCs w:val="24"/>
        </w:rPr>
      </w:pPr>
      <w:r w:rsidRPr="003E0F31">
        <w:rPr>
          <w:rFonts w:ascii="Times New Roman" w:hAnsi="Times New Roman" w:cs="Times New Roman"/>
          <w:sz w:val="24"/>
          <w:szCs w:val="24"/>
        </w:rPr>
        <w:t xml:space="preserve">Villafuerte, Julio. 2014. “Considering Cold Spray for Additive Manufacturing.” </w:t>
      </w:r>
      <w:r w:rsidRPr="003E0F31">
        <w:rPr>
          <w:rFonts w:ascii="Times New Roman" w:hAnsi="Times New Roman" w:cs="Times New Roman"/>
          <w:i/>
          <w:iCs/>
          <w:sz w:val="24"/>
          <w:szCs w:val="24"/>
        </w:rPr>
        <w:t>Advanced Materials &amp; Processes</w:t>
      </w:r>
      <w:r w:rsidRPr="003E0F31">
        <w:rPr>
          <w:rFonts w:ascii="Times New Roman" w:hAnsi="Times New Roman" w:cs="Times New Roman"/>
          <w:sz w:val="24"/>
          <w:szCs w:val="24"/>
        </w:rPr>
        <w:t xml:space="preserve"> 50: 50–52.</w:t>
      </w:r>
    </w:p>
    <w:p w14:paraId="0CBF44EA" w14:textId="77777777" w:rsidR="00071940" w:rsidRPr="003E0F31" w:rsidRDefault="00071940" w:rsidP="00071940">
      <w:pPr>
        <w:pStyle w:val="Bibliography"/>
        <w:spacing w:after="240"/>
        <w:rPr>
          <w:rFonts w:ascii="Times New Roman" w:hAnsi="Times New Roman" w:cs="Times New Roman"/>
          <w:sz w:val="24"/>
          <w:szCs w:val="24"/>
        </w:rPr>
      </w:pPr>
      <w:r w:rsidRPr="003E0F31">
        <w:rPr>
          <w:rFonts w:ascii="Times New Roman" w:hAnsi="Times New Roman" w:cs="Times New Roman"/>
          <w:sz w:val="24"/>
          <w:szCs w:val="24"/>
        </w:rPr>
        <w:t xml:space="preserve">Wang, Fude, Stewart Williams, Paul Colegrove, and Alphons A. Antonysamy. 2013. “Microstructure and Mechanical Properties of Wire and Arc Additive Manufactured Ti-6Al-4V.” </w:t>
      </w:r>
      <w:r w:rsidRPr="003E0F31">
        <w:rPr>
          <w:rFonts w:ascii="Times New Roman" w:hAnsi="Times New Roman" w:cs="Times New Roman"/>
          <w:i/>
          <w:iCs/>
          <w:sz w:val="24"/>
          <w:szCs w:val="24"/>
        </w:rPr>
        <w:t>Metallurgical and Materials Transactions A</w:t>
      </w:r>
      <w:r w:rsidRPr="003E0F31">
        <w:rPr>
          <w:rFonts w:ascii="Times New Roman" w:hAnsi="Times New Roman" w:cs="Times New Roman"/>
          <w:sz w:val="24"/>
          <w:szCs w:val="24"/>
        </w:rPr>
        <w:t xml:space="preserve"> 44 (2): 968–77. https://doi.org/10.1007/s11661-012-1444-6.</w:t>
      </w:r>
    </w:p>
    <w:p w14:paraId="20C37CFB" w14:textId="77777777" w:rsidR="00071940" w:rsidRPr="003E0F31" w:rsidRDefault="00071940" w:rsidP="00071940">
      <w:pPr>
        <w:pStyle w:val="Bibliography"/>
        <w:spacing w:after="240"/>
        <w:rPr>
          <w:rFonts w:ascii="Times New Roman" w:hAnsi="Times New Roman" w:cs="Times New Roman"/>
          <w:sz w:val="24"/>
          <w:szCs w:val="24"/>
        </w:rPr>
      </w:pPr>
      <w:r w:rsidRPr="003E0F31">
        <w:rPr>
          <w:rFonts w:ascii="Times New Roman" w:hAnsi="Times New Roman" w:cs="Times New Roman"/>
          <w:sz w:val="24"/>
          <w:szCs w:val="24"/>
        </w:rPr>
        <w:t>Wang, Fude, Williams, Stewart, Colgrove, Paul, and Antonysamy, Alphons. n.d. “Microstructure and Mechanical Properties of Wire and Arc Additive Manufactured Ti-6Al-4V | Metallurgical and Materials Transactions A.” Accessed March 26, 2024. https://link.springer.com/article/10.1007/s11661-012-1444-6.</w:t>
      </w:r>
    </w:p>
    <w:p w14:paraId="7F931F72" w14:textId="77777777" w:rsidR="00AE7DBC" w:rsidRDefault="00AE7DBC" w:rsidP="00071940">
      <w:pPr>
        <w:pStyle w:val="Bibliography"/>
        <w:spacing w:after="240"/>
        <w:rPr>
          <w:rFonts w:ascii="Times New Roman" w:hAnsi="Times New Roman" w:cs="Times New Roman"/>
          <w:sz w:val="24"/>
          <w:szCs w:val="24"/>
        </w:rPr>
      </w:pPr>
    </w:p>
    <w:p w14:paraId="025E49CC" w14:textId="1CB957EF" w:rsidR="00AE7DBC" w:rsidRDefault="00AE7DBC" w:rsidP="00071940">
      <w:pPr>
        <w:pStyle w:val="Bibliography"/>
        <w:spacing w:after="240"/>
        <w:rPr>
          <w:rFonts w:ascii="Times New Roman" w:hAnsi="Times New Roman" w:cs="Times New Roman"/>
          <w:sz w:val="24"/>
          <w:szCs w:val="24"/>
        </w:rPr>
      </w:pPr>
      <w:r>
        <w:rPr>
          <w:rFonts w:ascii="Segoe UI" w:hAnsi="Segoe UI" w:cs="Segoe UI"/>
          <w:color w:val="222222"/>
          <w:shd w:val="clear" w:color="auto" w:fill="FFFFFF"/>
        </w:rPr>
        <w:t xml:space="preserve">Wang, Z., Jiang, C., Liu, P., </w:t>
      </w:r>
      <w:r w:rsidRPr="00AE7DBC">
        <w:rPr>
          <w:rFonts w:ascii="Segoe UI" w:hAnsi="Segoe UI" w:cs="Segoe UI"/>
          <w:color w:val="222222"/>
          <w:shd w:val="clear" w:color="auto" w:fill="FFFFFF"/>
        </w:rPr>
        <w:t xml:space="preserve">Yang, </w:t>
      </w:r>
      <w:r>
        <w:rPr>
          <w:rFonts w:ascii="Segoe UI" w:hAnsi="Segoe UI" w:cs="Segoe UI"/>
          <w:color w:val="222222"/>
          <w:shd w:val="clear" w:color="auto" w:fill="FFFFFF"/>
        </w:rPr>
        <w:t xml:space="preserve">W., </w:t>
      </w:r>
      <w:r w:rsidRPr="00AE7DBC">
        <w:rPr>
          <w:rFonts w:ascii="Segoe UI" w:hAnsi="Segoe UI" w:cs="Segoe UI"/>
          <w:color w:val="222222"/>
          <w:shd w:val="clear" w:color="auto" w:fill="FFFFFF"/>
        </w:rPr>
        <w:t>Zhao,</w:t>
      </w:r>
      <w:r>
        <w:rPr>
          <w:rFonts w:ascii="Segoe UI" w:hAnsi="Segoe UI" w:cs="Segoe UI"/>
          <w:color w:val="222222"/>
          <w:shd w:val="clear" w:color="auto" w:fill="FFFFFF"/>
        </w:rPr>
        <w:t xml:space="preserve"> Y.,</w:t>
      </w:r>
      <w:r w:rsidRPr="00AE7DBC">
        <w:rPr>
          <w:rFonts w:ascii="Segoe UI" w:hAnsi="Segoe UI" w:cs="Segoe UI"/>
          <w:color w:val="222222"/>
          <w:shd w:val="clear" w:color="auto" w:fill="FFFFFF"/>
        </w:rPr>
        <w:t xml:space="preserve"> Horstemeyer, </w:t>
      </w:r>
      <w:r>
        <w:rPr>
          <w:rFonts w:ascii="Segoe UI" w:hAnsi="Segoe UI" w:cs="Segoe UI"/>
          <w:color w:val="222222"/>
          <w:shd w:val="clear" w:color="auto" w:fill="FFFFFF"/>
        </w:rPr>
        <w:t xml:space="preserve">M.F., </w:t>
      </w:r>
      <w:r w:rsidRPr="00AE7DBC">
        <w:rPr>
          <w:rFonts w:ascii="Segoe UI" w:hAnsi="Segoe UI" w:cs="Segoe UI"/>
          <w:color w:val="222222"/>
          <w:shd w:val="clear" w:color="auto" w:fill="FFFFFF"/>
        </w:rPr>
        <w:t xml:space="preserve">Chen, </w:t>
      </w:r>
      <w:r>
        <w:rPr>
          <w:rFonts w:ascii="Segoe UI" w:hAnsi="Segoe UI" w:cs="Segoe UI"/>
          <w:color w:val="222222"/>
          <w:shd w:val="clear" w:color="auto" w:fill="FFFFFF"/>
        </w:rPr>
        <w:t xml:space="preserve">L-Q., </w:t>
      </w:r>
      <w:r w:rsidRPr="00AE7DBC">
        <w:rPr>
          <w:rFonts w:ascii="Segoe UI" w:hAnsi="Segoe UI" w:cs="Segoe UI"/>
          <w:color w:val="222222"/>
          <w:shd w:val="clear" w:color="auto" w:fill="FFFFFF"/>
        </w:rPr>
        <w:t>Hu</w:t>
      </w:r>
      <w:r>
        <w:rPr>
          <w:rFonts w:ascii="Segoe UI" w:hAnsi="Segoe UI" w:cs="Segoe UI"/>
          <w:color w:val="222222"/>
          <w:shd w:val="clear" w:color="auto" w:fill="FFFFFF"/>
        </w:rPr>
        <w:t xml:space="preserve">, Z., and </w:t>
      </w:r>
      <w:r w:rsidRPr="00AE7DBC">
        <w:rPr>
          <w:rFonts w:ascii="Segoe UI" w:hAnsi="Segoe UI" w:cs="Segoe UI"/>
          <w:color w:val="222222"/>
          <w:shd w:val="clear" w:color="auto" w:fill="FFFFFF"/>
        </w:rPr>
        <w:t>Chen</w:t>
      </w:r>
      <w:r>
        <w:rPr>
          <w:rFonts w:ascii="Segoe UI" w:hAnsi="Segoe UI" w:cs="Segoe UI"/>
          <w:color w:val="222222"/>
          <w:shd w:val="clear" w:color="auto" w:fill="FFFFFF"/>
        </w:rPr>
        <w:t>, L. (2020) "Uncertainty quantification and reduction in metal additive manufacturing", </w:t>
      </w:r>
      <w:r>
        <w:rPr>
          <w:rFonts w:ascii="Segoe UI" w:hAnsi="Segoe UI" w:cs="Segoe UI"/>
          <w:i/>
          <w:iCs/>
          <w:color w:val="222222"/>
          <w:shd w:val="clear" w:color="auto" w:fill="FFFFFF"/>
        </w:rPr>
        <w:t>npj Comput Mater</w:t>
      </w:r>
      <w:r>
        <w:rPr>
          <w:rFonts w:ascii="Segoe UI" w:hAnsi="Segoe UI" w:cs="Segoe UI"/>
          <w:color w:val="222222"/>
          <w:shd w:val="clear" w:color="auto" w:fill="FFFFFF"/>
        </w:rPr>
        <w:t> </w:t>
      </w:r>
      <w:r w:rsidRPr="001B068D">
        <w:rPr>
          <w:rFonts w:ascii="Segoe UI" w:hAnsi="Segoe UI" w:cs="Segoe UI"/>
          <w:color w:val="222222"/>
          <w:shd w:val="clear" w:color="auto" w:fill="FFFFFF"/>
        </w:rPr>
        <w:t>6</w:t>
      </w:r>
      <w:r>
        <w:rPr>
          <w:rFonts w:ascii="Segoe UI" w:hAnsi="Segoe UI" w:cs="Segoe UI"/>
          <w:color w:val="222222"/>
          <w:shd w:val="clear" w:color="auto" w:fill="FFFFFF"/>
        </w:rPr>
        <w:t>, 175, https://doi.org/10.1038/s41524-020-00444-x.</w:t>
      </w:r>
    </w:p>
    <w:p w14:paraId="084683AD" w14:textId="2914145F" w:rsidR="00071940" w:rsidRPr="003E0F31" w:rsidRDefault="00071940" w:rsidP="00071940">
      <w:pPr>
        <w:pStyle w:val="Bibliography"/>
        <w:spacing w:after="240"/>
        <w:rPr>
          <w:rFonts w:ascii="Times New Roman" w:hAnsi="Times New Roman" w:cs="Times New Roman"/>
          <w:sz w:val="24"/>
          <w:szCs w:val="24"/>
        </w:rPr>
      </w:pPr>
      <w:r w:rsidRPr="003E0F31">
        <w:rPr>
          <w:rFonts w:ascii="Times New Roman" w:hAnsi="Times New Roman" w:cs="Times New Roman"/>
          <w:sz w:val="24"/>
          <w:szCs w:val="24"/>
        </w:rPr>
        <w:t xml:space="preserve">Wheat, Evan, Mihaela Vlasea, James Hinebaugh, and Craig Metcalfe. 2018. “Sinter Structure Analysis of Titanium Structures Fabricated via Binder Jetting Additive Manufacturing.” </w:t>
      </w:r>
      <w:r w:rsidRPr="003E0F31">
        <w:rPr>
          <w:rFonts w:ascii="Times New Roman" w:hAnsi="Times New Roman" w:cs="Times New Roman"/>
          <w:i/>
          <w:iCs/>
          <w:sz w:val="24"/>
          <w:szCs w:val="24"/>
        </w:rPr>
        <w:t>Materials &amp; Design</w:t>
      </w:r>
      <w:r w:rsidRPr="003E0F31">
        <w:rPr>
          <w:rFonts w:ascii="Times New Roman" w:hAnsi="Times New Roman" w:cs="Times New Roman"/>
          <w:sz w:val="24"/>
          <w:szCs w:val="24"/>
        </w:rPr>
        <w:t xml:space="preserve"> 156: 167–83.</w:t>
      </w:r>
    </w:p>
    <w:p w14:paraId="14364231" w14:textId="77777777" w:rsidR="00071940" w:rsidRPr="003E0F31" w:rsidRDefault="00071940" w:rsidP="00071940">
      <w:pPr>
        <w:pStyle w:val="Bibliography"/>
        <w:spacing w:after="240"/>
        <w:rPr>
          <w:rFonts w:ascii="Times New Roman" w:hAnsi="Times New Roman" w:cs="Times New Roman"/>
          <w:sz w:val="24"/>
          <w:szCs w:val="24"/>
        </w:rPr>
      </w:pPr>
      <w:r w:rsidRPr="003E0F31">
        <w:rPr>
          <w:rFonts w:ascii="Times New Roman" w:hAnsi="Times New Roman" w:cs="Times New Roman"/>
          <w:sz w:val="24"/>
          <w:szCs w:val="24"/>
        </w:rPr>
        <w:t xml:space="preserve">Wu, Bintao, Zengxi Pan, Donghong Ding, Dominic Cuiuri, Huijun Li, Jing Xu, and John Norrish. 2018. “A Review of the Wire Arc Additive Manufacturing of Metals: Properties, Defects and Quality Improvement.” </w:t>
      </w:r>
      <w:r w:rsidRPr="003E0F31">
        <w:rPr>
          <w:rFonts w:ascii="Times New Roman" w:hAnsi="Times New Roman" w:cs="Times New Roman"/>
          <w:i/>
          <w:iCs/>
          <w:sz w:val="24"/>
          <w:szCs w:val="24"/>
        </w:rPr>
        <w:t>Journal of Manufacturing Processes</w:t>
      </w:r>
      <w:r w:rsidRPr="003E0F31">
        <w:rPr>
          <w:rFonts w:ascii="Times New Roman" w:hAnsi="Times New Roman" w:cs="Times New Roman"/>
          <w:sz w:val="24"/>
          <w:szCs w:val="24"/>
        </w:rPr>
        <w:t xml:space="preserve"> 35 (October): 127–39. https://doi.org/10.1016/j.jmapro.2018.08.001.</w:t>
      </w:r>
    </w:p>
    <w:p w14:paraId="00960A13" w14:textId="77777777" w:rsidR="00071940" w:rsidRPr="003E0F31" w:rsidRDefault="00071940" w:rsidP="00071940">
      <w:pPr>
        <w:pStyle w:val="Bibliography"/>
        <w:spacing w:after="240"/>
        <w:rPr>
          <w:rFonts w:ascii="Times New Roman" w:hAnsi="Times New Roman" w:cs="Times New Roman"/>
          <w:sz w:val="24"/>
          <w:szCs w:val="24"/>
        </w:rPr>
      </w:pPr>
      <w:r w:rsidRPr="003E0F31">
        <w:rPr>
          <w:rFonts w:ascii="Times New Roman" w:hAnsi="Times New Roman" w:cs="Times New Roman"/>
          <w:sz w:val="24"/>
          <w:szCs w:val="24"/>
        </w:rPr>
        <w:t xml:space="preserve">Wu, Menghuai, Andreas Ludwig, and Abdellah Kharicha. 2019. “Volume-Averaged Modeling of Multiphase Flow Phenomena during Alloy Solidification.” </w:t>
      </w:r>
      <w:r w:rsidRPr="003E0F31">
        <w:rPr>
          <w:rFonts w:ascii="Times New Roman" w:hAnsi="Times New Roman" w:cs="Times New Roman"/>
          <w:i/>
          <w:iCs/>
          <w:sz w:val="24"/>
          <w:szCs w:val="24"/>
        </w:rPr>
        <w:t>Metals</w:t>
      </w:r>
      <w:r w:rsidRPr="003E0F31">
        <w:rPr>
          <w:rFonts w:ascii="Times New Roman" w:hAnsi="Times New Roman" w:cs="Times New Roman"/>
          <w:sz w:val="24"/>
          <w:szCs w:val="24"/>
        </w:rPr>
        <w:t xml:space="preserve"> 9 (2): 229.</w:t>
      </w:r>
    </w:p>
    <w:p w14:paraId="170D3E31" w14:textId="77777777" w:rsidR="00071940" w:rsidRPr="003E0F31" w:rsidRDefault="00071940" w:rsidP="00071940">
      <w:pPr>
        <w:pStyle w:val="Bibliography"/>
        <w:spacing w:after="240"/>
        <w:rPr>
          <w:rFonts w:ascii="Times New Roman" w:hAnsi="Times New Roman" w:cs="Times New Roman"/>
          <w:sz w:val="24"/>
          <w:szCs w:val="24"/>
        </w:rPr>
      </w:pPr>
      <w:r w:rsidRPr="003E0F31">
        <w:rPr>
          <w:rFonts w:ascii="Times New Roman" w:hAnsi="Times New Roman" w:cs="Times New Roman"/>
          <w:sz w:val="24"/>
          <w:szCs w:val="24"/>
        </w:rPr>
        <w:lastRenderedPageBreak/>
        <w:t xml:space="preserve">Xu, Wei, M. Brandt, S. Sun, J. Elambasseril, Q. Liu, K. Latham, K. Xia, and M. Qian. 2015. “Additive Manufacturing of Strong and Ductile Ti–6Al–4V by Selective Laser Melting via in Situ Martensite Decomposition.” </w:t>
      </w:r>
      <w:r w:rsidRPr="003E0F31">
        <w:rPr>
          <w:rFonts w:ascii="Times New Roman" w:hAnsi="Times New Roman" w:cs="Times New Roman"/>
          <w:i/>
          <w:iCs/>
          <w:sz w:val="24"/>
          <w:szCs w:val="24"/>
        </w:rPr>
        <w:t>Acta Materialia</w:t>
      </w:r>
      <w:r w:rsidRPr="003E0F31">
        <w:rPr>
          <w:rFonts w:ascii="Times New Roman" w:hAnsi="Times New Roman" w:cs="Times New Roman"/>
          <w:sz w:val="24"/>
          <w:szCs w:val="24"/>
        </w:rPr>
        <w:t xml:space="preserve"> 85: 74–84.</w:t>
      </w:r>
    </w:p>
    <w:p w14:paraId="7217959F" w14:textId="77777777" w:rsidR="00071940" w:rsidRPr="003E0F31" w:rsidRDefault="00071940" w:rsidP="00071940">
      <w:pPr>
        <w:pStyle w:val="Bibliography"/>
        <w:spacing w:after="240"/>
        <w:rPr>
          <w:rFonts w:ascii="Times New Roman" w:hAnsi="Times New Roman" w:cs="Times New Roman"/>
          <w:sz w:val="24"/>
          <w:szCs w:val="24"/>
        </w:rPr>
      </w:pPr>
      <w:r w:rsidRPr="003E0F31">
        <w:rPr>
          <w:rFonts w:ascii="Times New Roman" w:hAnsi="Times New Roman" w:cs="Times New Roman"/>
          <w:sz w:val="24"/>
          <w:szCs w:val="24"/>
        </w:rPr>
        <w:t xml:space="preserve">Yin, H., and S. D. Felicelli. 2010. “Dendrite Growth Simulation during Solidification in the LENS Process.” </w:t>
      </w:r>
      <w:r w:rsidRPr="003E0F31">
        <w:rPr>
          <w:rFonts w:ascii="Times New Roman" w:hAnsi="Times New Roman" w:cs="Times New Roman"/>
          <w:i/>
          <w:iCs/>
          <w:sz w:val="24"/>
          <w:szCs w:val="24"/>
        </w:rPr>
        <w:t>Acta Materialia</w:t>
      </w:r>
      <w:r w:rsidRPr="003E0F31">
        <w:rPr>
          <w:rFonts w:ascii="Times New Roman" w:hAnsi="Times New Roman" w:cs="Times New Roman"/>
          <w:sz w:val="24"/>
          <w:szCs w:val="24"/>
        </w:rPr>
        <w:t xml:space="preserve"> 58 (4): 1455–65.</w:t>
      </w:r>
    </w:p>
    <w:p w14:paraId="0DD3E678" w14:textId="77777777" w:rsidR="00071940" w:rsidRPr="003E0F31" w:rsidRDefault="00071940" w:rsidP="00071940">
      <w:pPr>
        <w:pStyle w:val="Bibliography"/>
        <w:spacing w:after="240"/>
        <w:rPr>
          <w:rFonts w:ascii="Times New Roman" w:hAnsi="Times New Roman" w:cs="Times New Roman"/>
          <w:sz w:val="24"/>
          <w:szCs w:val="24"/>
        </w:rPr>
      </w:pPr>
      <w:r w:rsidRPr="003E0F31">
        <w:rPr>
          <w:rFonts w:ascii="Times New Roman" w:hAnsi="Times New Roman" w:cs="Times New Roman"/>
          <w:sz w:val="24"/>
          <w:szCs w:val="24"/>
        </w:rPr>
        <w:t xml:space="preserve">Zhang, Shasha, Haihong Zhu, Luo Zhang, Wenqi Zhang, Huanqing Yang, and Xiaoyan Zeng. 2019a. “Microstructure and Properties in QCr0. 8 Alloy Produced by Selective Laser Melting with Different Heat Treatment.” </w:t>
      </w:r>
      <w:r w:rsidRPr="003E0F31">
        <w:rPr>
          <w:rFonts w:ascii="Times New Roman" w:hAnsi="Times New Roman" w:cs="Times New Roman"/>
          <w:i/>
          <w:iCs/>
          <w:sz w:val="24"/>
          <w:szCs w:val="24"/>
        </w:rPr>
        <w:t>Journal of Alloys and Compounds</w:t>
      </w:r>
      <w:r w:rsidRPr="003E0F31">
        <w:rPr>
          <w:rFonts w:ascii="Times New Roman" w:hAnsi="Times New Roman" w:cs="Times New Roman"/>
          <w:sz w:val="24"/>
          <w:szCs w:val="24"/>
        </w:rPr>
        <w:t xml:space="preserve"> 800: 286–93.</w:t>
      </w:r>
    </w:p>
    <w:p w14:paraId="153D4278" w14:textId="77777777" w:rsidR="00071940" w:rsidRPr="003E0F31" w:rsidRDefault="00071940" w:rsidP="00071940">
      <w:pPr>
        <w:pStyle w:val="Bibliography"/>
        <w:rPr>
          <w:rFonts w:ascii="Times New Roman" w:hAnsi="Times New Roman" w:cs="Times New Roman"/>
          <w:sz w:val="24"/>
          <w:szCs w:val="24"/>
        </w:rPr>
      </w:pPr>
      <w:r w:rsidRPr="003E0F31">
        <w:rPr>
          <w:rFonts w:ascii="Times New Roman" w:hAnsi="Times New Roman" w:cs="Times New Roman"/>
          <w:sz w:val="24"/>
          <w:szCs w:val="24"/>
        </w:rPr>
        <w:t xml:space="preserve">———. 2019b. “Microstructure and Properties of High Strength and High Conductivity Cu-Cr Alloy Components Fabricated by High Power Selective Laser Melting.” </w:t>
      </w:r>
      <w:r w:rsidRPr="003E0F31">
        <w:rPr>
          <w:rFonts w:ascii="Times New Roman" w:hAnsi="Times New Roman" w:cs="Times New Roman"/>
          <w:i/>
          <w:iCs/>
          <w:sz w:val="24"/>
          <w:szCs w:val="24"/>
        </w:rPr>
        <w:t>Materials Letters</w:t>
      </w:r>
      <w:r w:rsidRPr="003E0F31">
        <w:rPr>
          <w:rFonts w:ascii="Times New Roman" w:hAnsi="Times New Roman" w:cs="Times New Roman"/>
          <w:sz w:val="24"/>
          <w:szCs w:val="24"/>
        </w:rPr>
        <w:t xml:space="preserve"> 237: 306–9.</w:t>
      </w:r>
    </w:p>
    <w:p w14:paraId="4CC3592C" w14:textId="6A2BA3E6" w:rsidR="00071940" w:rsidRDefault="00071940" w:rsidP="00071940">
      <w:r w:rsidRPr="002E5F49">
        <w:fldChar w:fldCharType="end"/>
      </w:r>
      <w:r>
        <w:br w:type="page"/>
      </w:r>
    </w:p>
    <w:p w14:paraId="22FC0552" w14:textId="01C71027" w:rsidR="00071940" w:rsidRDefault="00071940">
      <w:r>
        <w:lastRenderedPageBreak/>
        <w:br w:type="page"/>
      </w:r>
    </w:p>
    <w:p w14:paraId="24D12DC0" w14:textId="77777777" w:rsidR="00071940" w:rsidRDefault="00071940"/>
    <w:p w14:paraId="012BC060" w14:textId="71C162E6" w:rsidR="00280FA2" w:rsidRDefault="00280FA2" w:rsidP="00280FA2">
      <w:pPr>
        <w:suppressAutoHyphens/>
        <w:spacing w:line="240" w:lineRule="atLeast"/>
        <w:rPr>
          <w:b/>
          <w:bCs/>
          <w:i/>
          <w:iCs/>
          <w:sz w:val="28"/>
          <w:szCs w:val="28"/>
        </w:rPr>
      </w:pPr>
      <w:r>
        <w:rPr>
          <w:b/>
          <w:bCs/>
          <w:i/>
          <w:iCs/>
          <w:sz w:val="28"/>
          <w:szCs w:val="28"/>
        </w:rPr>
        <w:t xml:space="preserve">Figures </w:t>
      </w:r>
    </w:p>
    <w:p w14:paraId="067FC3EC" w14:textId="77777777" w:rsidR="00280FA2" w:rsidRDefault="00280FA2" w:rsidP="00280FA2">
      <w:pPr>
        <w:suppressAutoHyphens/>
        <w:spacing w:line="240" w:lineRule="atLeast"/>
        <w:rPr>
          <w:b/>
          <w:bCs/>
          <w:i/>
          <w:iCs/>
          <w:spacing w:val="-3"/>
        </w:rPr>
      </w:pPr>
    </w:p>
    <w:p w14:paraId="6E8BEC2E" w14:textId="77777777" w:rsidR="00280FA2" w:rsidRDefault="00280FA2" w:rsidP="00280FA2">
      <w:pPr>
        <w:suppressAutoHyphens/>
        <w:spacing w:line="240" w:lineRule="atLeast"/>
        <w:rPr>
          <w:spacing w:val="-3"/>
        </w:rPr>
      </w:pPr>
      <w:r>
        <w:rPr>
          <w:b/>
          <w:bCs/>
          <w:i/>
          <w:iCs/>
          <w:spacing w:val="-3"/>
        </w:rPr>
        <w:t>SECTION 2</w:t>
      </w:r>
    </w:p>
    <w:p w14:paraId="08F095EF" w14:textId="0FA80473" w:rsidR="00280FA2" w:rsidRDefault="00280FA2" w:rsidP="00280FA2">
      <w:pPr>
        <w:suppressAutoHyphens/>
        <w:spacing w:line="240" w:lineRule="atLeast"/>
        <w:jc w:val="center"/>
        <w:rPr>
          <w:spacing w:val="-3"/>
        </w:rPr>
      </w:pPr>
      <w:r>
        <w:rPr>
          <w:noProof/>
          <w:spacing w:val="-3"/>
        </w:rPr>
        <w:drawing>
          <wp:inline distT="0" distB="0" distL="0" distR="0" wp14:anchorId="0BCE5B33" wp14:editId="1EDFED87">
            <wp:extent cx="4149090" cy="4252595"/>
            <wp:effectExtent l="0" t="0" r="381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1371">
                      <a:extLst>
                        <a:ext uri="{28A0092B-C50C-407E-A947-70E740481C1C}">
                          <a14:useLocalDpi xmlns:a14="http://schemas.microsoft.com/office/drawing/2010/main" val="0"/>
                        </a:ext>
                      </a:extLst>
                    </a:blip>
                    <a:srcRect/>
                    <a:stretch>
                      <a:fillRect/>
                    </a:stretch>
                  </pic:blipFill>
                  <pic:spPr bwMode="auto">
                    <a:xfrm>
                      <a:off x="0" y="0"/>
                      <a:ext cx="4149090" cy="4252595"/>
                    </a:xfrm>
                    <a:prstGeom prst="rect">
                      <a:avLst/>
                    </a:prstGeom>
                    <a:noFill/>
                    <a:ln>
                      <a:noFill/>
                    </a:ln>
                  </pic:spPr>
                </pic:pic>
              </a:graphicData>
            </a:graphic>
          </wp:inline>
        </w:drawing>
      </w:r>
    </w:p>
    <w:p w14:paraId="10B4B7BC" w14:textId="77777777" w:rsidR="00280FA2" w:rsidRPr="00C1702E" w:rsidRDefault="00280FA2" w:rsidP="00280FA2">
      <w:pPr>
        <w:tabs>
          <w:tab w:val="left" w:pos="-720"/>
          <w:tab w:val="left" w:pos="0"/>
          <w:tab w:val="left" w:pos="737"/>
        </w:tabs>
        <w:suppressAutoHyphens/>
        <w:spacing w:line="240" w:lineRule="atLeast"/>
        <w:ind w:left="1440" w:hanging="1440"/>
        <w:rPr>
          <w:spacing w:val="-3"/>
        </w:rPr>
      </w:pPr>
      <w:r w:rsidRPr="00C1702E">
        <w:rPr>
          <w:spacing w:val="-3"/>
        </w:rPr>
        <w:t>Figure 2.1</w:t>
      </w:r>
      <w:r>
        <w:rPr>
          <w:spacing w:val="-3"/>
        </w:rPr>
        <w:tab/>
      </w:r>
      <w:r w:rsidRPr="00C1702E">
        <w:rPr>
          <w:spacing w:val="-3"/>
        </w:rPr>
        <w:t>Two-dimensional illustration of the unit volume of material associated with a FEM (finite element model) node point (center black dot). The FEM mesh is shown as thin black lines, and the boundaries of the volumes associated with each node are represented by grey lines.</w:t>
      </w:r>
    </w:p>
    <w:p w14:paraId="7FF96CD4" w14:textId="7EB5E584" w:rsidR="00280FA2" w:rsidRPr="00C1702E" w:rsidRDefault="00280FA2" w:rsidP="00280FA2">
      <w:pPr>
        <w:tabs>
          <w:tab w:val="left" w:pos="-720"/>
          <w:tab w:val="left" w:pos="0"/>
          <w:tab w:val="left" w:pos="737"/>
        </w:tabs>
        <w:suppressAutoHyphens/>
        <w:spacing w:line="240" w:lineRule="atLeast"/>
        <w:ind w:left="1440" w:hanging="1440"/>
        <w:jc w:val="center"/>
        <w:rPr>
          <w:spacing w:val="-3"/>
        </w:rPr>
      </w:pPr>
      <w:r>
        <w:rPr>
          <w:noProof/>
          <w:spacing w:val="-3"/>
        </w:rPr>
        <w:lastRenderedPageBreak/>
        <w:drawing>
          <wp:inline distT="0" distB="0" distL="0" distR="0" wp14:anchorId="068D7D69" wp14:editId="20F55476">
            <wp:extent cx="3217545" cy="4356100"/>
            <wp:effectExtent l="0" t="0" r="1905" b="635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1372" cstate="print">
                      <a:extLst>
                        <a:ext uri="{28A0092B-C50C-407E-A947-70E740481C1C}">
                          <a14:useLocalDpi xmlns:a14="http://schemas.microsoft.com/office/drawing/2010/main" val="0"/>
                        </a:ext>
                      </a:extLst>
                    </a:blip>
                    <a:srcRect/>
                    <a:stretch>
                      <a:fillRect/>
                    </a:stretch>
                  </pic:blipFill>
                  <pic:spPr bwMode="auto">
                    <a:xfrm>
                      <a:off x="0" y="0"/>
                      <a:ext cx="3217545" cy="4356100"/>
                    </a:xfrm>
                    <a:prstGeom prst="rect">
                      <a:avLst/>
                    </a:prstGeom>
                    <a:noFill/>
                    <a:ln>
                      <a:noFill/>
                    </a:ln>
                  </pic:spPr>
                </pic:pic>
              </a:graphicData>
            </a:graphic>
          </wp:inline>
        </w:drawing>
      </w:r>
    </w:p>
    <w:p w14:paraId="1ED0F070" w14:textId="77777777" w:rsidR="00280FA2" w:rsidRDefault="00280FA2" w:rsidP="00280FA2">
      <w:pPr>
        <w:tabs>
          <w:tab w:val="left" w:pos="-720"/>
          <w:tab w:val="left" w:pos="0"/>
          <w:tab w:val="left" w:pos="720"/>
        </w:tabs>
        <w:suppressAutoHyphens/>
        <w:spacing w:line="240" w:lineRule="atLeast"/>
        <w:ind w:left="1440" w:hanging="1440"/>
        <w:rPr>
          <w:spacing w:val="-3"/>
        </w:rPr>
      </w:pPr>
      <w:r w:rsidRPr="00C1702E">
        <w:rPr>
          <w:spacing w:val="-3"/>
        </w:rPr>
        <w:t>Figure 2.2</w:t>
      </w:r>
      <w:r>
        <w:rPr>
          <w:spacing w:val="-3"/>
        </w:rPr>
        <w:tab/>
        <w:t>Schematic illustration of the averaging volume (e.g., RVE or representative volume element) containing (a) columnar dendritic crystals and (b) equiaxed dendritic crystals (</w:t>
      </w:r>
      <w:r>
        <w:t>Ni and Beckermann 1991)</w:t>
      </w:r>
      <w:r>
        <w:rPr>
          <w:spacing w:val="-3"/>
        </w:rPr>
        <w:t xml:space="preserve">. </w:t>
      </w:r>
    </w:p>
    <w:p w14:paraId="50A4B00F" w14:textId="24429CBA" w:rsidR="00280FA2" w:rsidRDefault="00280FA2" w:rsidP="00280FA2">
      <w:pPr>
        <w:tabs>
          <w:tab w:val="left" w:pos="-720"/>
          <w:tab w:val="left" w:pos="0"/>
          <w:tab w:val="left" w:pos="720"/>
        </w:tabs>
        <w:suppressAutoHyphens/>
        <w:spacing w:line="240" w:lineRule="atLeast"/>
        <w:ind w:left="1440" w:hanging="1440"/>
        <w:jc w:val="center"/>
        <w:rPr>
          <w:spacing w:val="-3"/>
        </w:rPr>
      </w:pPr>
      <w:r>
        <w:rPr>
          <w:noProof/>
          <w:spacing w:val="-3"/>
        </w:rPr>
        <w:lastRenderedPageBreak/>
        <w:drawing>
          <wp:inline distT="0" distB="0" distL="0" distR="0" wp14:anchorId="7D10DC5D" wp14:editId="1B944DAD">
            <wp:extent cx="4451350" cy="6064250"/>
            <wp:effectExtent l="0" t="0" r="635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1373" cstate="print">
                      <a:extLst>
                        <a:ext uri="{28A0092B-C50C-407E-A947-70E740481C1C}">
                          <a14:useLocalDpi xmlns:a14="http://schemas.microsoft.com/office/drawing/2010/main" val="0"/>
                        </a:ext>
                      </a:extLst>
                    </a:blip>
                    <a:srcRect/>
                    <a:stretch>
                      <a:fillRect/>
                    </a:stretch>
                  </pic:blipFill>
                  <pic:spPr bwMode="auto">
                    <a:xfrm>
                      <a:off x="0" y="0"/>
                      <a:ext cx="4451350" cy="6064250"/>
                    </a:xfrm>
                    <a:prstGeom prst="rect">
                      <a:avLst/>
                    </a:prstGeom>
                    <a:noFill/>
                    <a:ln>
                      <a:noFill/>
                    </a:ln>
                  </pic:spPr>
                </pic:pic>
              </a:graphicData>
            </a:graphic>
          </wp:inline>
        </w:drawing>
      </w:r>
    </w:p>
    <w:p w14:paraId="59031234" w14:textId="77777777" w:rsidR="00280FA2" w:rsidRDefault="00280FA2" w:rsidP="00280FA2">
      <w:pPr>
        <w:tabs>
          <w:tab w:val="left" w:pos="-720"/>
          <w:tab w:val="left" w:pos="0"/>
          <w:tab w:val="left" w:pos="720"/>
        </w:tabs>
        <w:suppressAutoHyphens/>
        <w:spacing w:line="240" w:lineRule="atLeast"/>
        <w:ind w:left="1440" w:hanging="1440"/>
        <w:rPr>
          <w:spacing w:val="-3"/>
        </w:rPr>
      </w:pPr>
      <w:r>
        <w:rPr>
          <w:spacing w:val="-3"/>
        </w:rPr>
        <w:t xml:space="preserve">Figure 2.3  </w:t>
      </w:r>
      <w:r>
        <w:rPr>
          <w:spacing w:val="-3"/>
        </w:rPr>
        <w:tab/>
        <w:t xml:space="preserve">Nature of the thermal contact between the metal and the mold and equivalent Newtonian model of the metal-mold interface. (a) The complex nature of the contact and different types of heat transfer occurring at the interface are shown schematically. At point A good local contact assures a higher heat conduction. As a consequence, </w:t>
      </w:r>
      <w:r>
        <w:rPr>
          <w:i/>
          <w:iCs/>
          <w:spacing w:val="-3"/>
        </w:rPr>
        <w:t>h</w:t>
      </w:r>
      <w:r>
        <w:rPr>
          <w:spacing w:val="-3"/>
          <w:vertAlign w:val="subscript"/>
        </w:rPr>
        <w:t>i</w:t>
      </w:r>
      <w:r>
        <w:rPr>
          <w:spacing w:val="-3"/>
        </w:rPr>
        <w:t xml:space="preserve"> will locally be higher than at the rest of the metal-mold interface. (b) The equivalent Newtonian model is based on an effective value of the gap, </w:t>
      </w:r>
      <w:r w:rsidRPr="00692568">
        <w:rPr>
          <w:spacing w:val="-3"/>
          <w:position w:val="-6"/>
        </w:rPr>
        <w:object w:dxaOrig="180" w:dyaOrig="220" w14:anchorId="0AE2D6F9">
          <v:shape id="_x0000_i1735" type="#_x0000_t75" style="width:7.5pt;height:14.05pt" o:ole="">
            <v:imagedata r:id="rId1374" o:title=""/>
          </v:shape>
          <o:OLEObject Type="Embed" ProgID="Equation.DSMT4" ShapeID="_x0000_i1735" DrawAspect="Content" ObjectID="_1840627301" r:id="rId1375"/>
        </w:object>
      </w:r>
      <w:r>
        <w:rPr>
          <w:spacing w:val="-3"/>
        </w:rPr>
        <w:t xml:space="preserve">, to yield an average value of </w:t>
      </w:r>
      <w:r w:rsidRPr="00F84448">
        <w:rPr>
          <w:i/>
          <w:spacing w:val="-3"/>
        </w:rPr>
        <w:t>h</w:t>
      </w:r>
      <w:r w:rsidRPr="00F84448">
        <w:rPr>
          <w:i/>
          <w:spacing w:val="-3"/>
          <w:vertAlign w:val="subscript"/>
        </w:rPr>
        <w:t>i</w:t>
      </w:r>
      <w:r>
        <w:rPr>
          <w:spacing w:val="-3"/>
        </w:rPr>
        <w:t xml:space="preserve">. </w:t>
      </w:r>
    </w:p>
    <w:p w14:paraId="65DE3E2A" w14:textId="0B1FC753" w:rsidR="00280FA2" w:rsidRDefault="00280FA2" w:rsidP="00280FA2">
      <w:pPr>
        <w:tabs>
          <w:tab w:val="left" w:pos="-720"/>
          <w:tab w:val="left" w:pos="0"/>
          <w:tab w:val="left" w:pos="720"/>
        </w:tabs>
        <w:suppressAutoHyphens/>
        <w:spacing w:line="240" w:lineRule="atLeast"/>
        <w:ind w:left="1440" w:hanging="1440"/>
        <w:jc w:val="center"/>
        <w:rPr>
          <w:spacing w:val="-3"/>
        </w:rPr>
      </w:pPr>
      <w:r>
        <w:rPr>
          <w:noProof/>
          <w:spacing w:val="-3"/>
        </w:rPr>
        <w:lastRenderedPageBreak/>
        <w:drawing>
          <wp:inline distT="0" distB="0" distL="0" distR="0" wp14:anchorId="3B5DB33F" wp14:editId="51DFA091">
            <wp:extent cx="5477510" cy="3545205"/>
            <wp:effectExtent l="0" t="0" r="889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1376">
                      <a:extLst>
                        <a:ext uri="{28A0092B-C50C-407E-A947-70E740481C1C}">
                          <a14:useLocalDpi xmlns:a14="http://schemas.microsoft.com/office/drawing/2010/main" val="0"/>
                        </a:ext>
                      </a:extLst>
                    </a:blip>
                    <a:srcRect/>
                    <a:stretch>
                      <a:fillRect/>
                    </a:stretch>
                  </pic:blipFill>
                  <pic:spPr bwMode="auto">
                    <a:xfrm>
                      <a:off x="0" y="0"/>
                      <a:ext cx="5477510" cy="3545205"/>
                    </a:xfrm>
                    <a:prstGeom prst="rect">
                      <a:avLst/>
                    </a:prstGeom>
                    <a:noFill/>
                    <a:ln>
                      <a:noFill/>
                    </a:ln>
                  </pic:spPr>
                </pic:pic>
              </a:graphicData>
            </a:graphic>
          </wp:inline>
        </w:drawing>
      </w:r>
    </w:p>
    <w:p w14:paraId="1A03B2F8" w14:textId="77777777" w:rsidR="00280FA2" w:rsidRDefault="00280FA2" w:rsidP="00280FA2">
      <w:pPr>
        <w:tabs>
          <w:tab w:val="left" w:pos="-720"/>
          <w:tab w:val="left" w:pos="0"/>
          <w:tab w:val="left" w:pos="720"/>
        </w:tabs>
        <w:suppressAutoHyphens/>
        <w:spacing w:line="240" w:lineRule="atLeast"/>
        <w:ind w:left="1440" w:hanging="1440"/>
        <w:rPr>
          <w:spacing w:val="-3"/>
        </w:rPr>
      </w:pPr>
      <w:r>
        <w:t xml:space="preserve">Figure 2.4  </w:t>
      </w:r>
      <w:r>
        <w:tab/>
        <w:t>Temperature vs. distance plot during metal solidification in a cooled mold for the real system (solid line) and for the virtual system (dashed line) used in the approximate heat flow calculation (</w:t>
      </w:r>
      <w:r w:rsidRPr="001B068D">
        <w:rPr>
          <w:highlight w:val="yellow"/>
        </w:rPr>
        <w:t>CLYNE and GARCIA 1980).</w:t>
      </w:r>
    </w:p>
    <w:p w14:paraId="1AF5822D" w14:textId="311A9BBF" w:rsidR="00280FA2" w:rsidRDefault="00280FA2" w:rsidP="00280FA2">
      <w:pPr>
        <w:tabs>
          <w:tab w:val="left" w:pos="-720"/>
        </w:tabs>
        <w:suppressAutoHyphens/>
        <w:spacing w:line="240" w:lineRule="atLeast"/>
        <w:jc w:val="center"/>
        <w:rPr>
          <w:spacing w:val="-3"/>
        </w:rPr>
      </w:pPr>
      <w:r>
        <w:rPr>
          <w:noProof/>
          <w:spacing w:val="-3"/>
        </w:rPr>
        <w:lastRenderedPageBreak/>
        <w:drawing>
          <wp:inline distT="0" distB="0" distL="0" distR="0" wp14:anchorId="14B258D9" wp14:editId="0485C99D">
            <wp:extent cx="4537710" cy="6331585"/>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1377" cstate="print">
                      <a:extLst>
                        <a:ext uri="{28A0092B-C50C-407E-A947-70E740481C1C}">
                          <a14:useLocalDpi xmlns:a14="http://schemas.microsoft.com/office/drawing/2010/main" val="0"/>
                        </a:ext>
                      </a:extLst>
                    </a:blip>
                    <a:srcRect/>
                    <a:stretch>
                      <a:fillRect/>
                    </a:stretch>
                  </pic:blipFill>
                  <pic:spPr bwMode="auto">
                    <a:xfrm>
                      <a:off x="0" y="0"/>
                      <a:ext cx="4537710" cy="6331585"/>
                    </a:xfrm>
                    <a:prstGeom prst="rect">
                      <a:avLst/>
                    </a:prstGeom>
                    <a:noFill/>
                    <a:ln>
                      <a:noFill/>
                    </a:ln>
                  </pic:spPr>
                </pic:pic>
              </a:graphicData>
            </a:graphic>
          </wp:inline>
        </w:drawing>
      </w:r>
    </w:p>
    <w:p w14:paraId="578FC705" w14:textId="281739FA" w:rsidR="00280FA2" w:rsidRDefault="00280FA2" w:rsidP="00280FA2">
      <w:pPr>
        <w:tabs>
          <w:tab w:val="left" w:pos="-720"/>
          <w:tab w:val="left" w:pos="0"/>
          <w:tab w:val="left" w:pos="720"/>
        </w:tabs>
        <w:suppressAutoHyphens/>
        <w:spacing w:line="240" w:lineRule="atLeast"/>
        <w:ind w:left="1440" w:hanging="1440"/>
        <w:rPr>
          <w:spacing w:val="-3"/>
        </w:rPr>
      </w:pPr>
      <w:r>
        <w:rPr>
          <w:spacing w:val="-3"/>
        </w:rPr>
        <w:t xml:space="preserve">Figure 2.5   </w:t>
      </w:r>
      <w:r>
        <w:rPr>
          <w:spacing w:val="-3"/>
        </w:rPr>
        <w:tab/>
        <w:t>Calculated temperature-time histories for two positions within a liquid layer 5</w:t>
      </w:r>
      <w:r w:rsidR="00780105">
        <w:rPr>
          <w:spacing w:val="-3"/>
        </w:rPr>
        <w:t xml:space="preserve"> µm</w:t>
      </w:r>
      <w:r>
        <w:rPr>
          <w:spacing w:val="-3"/>
        </w:rPr>
        <w:t xml:space="preserve"> and 50 μm from a chilling substrate. Nucleation occurs at the substrate surface at time, </w:t>
      </w:r>
      <w:r>
        <w:rPr>
          <w:i/>
          <w:iCs/>
          <w:spacing w:val="-3"/>
        </w:rPr>
        <w:t>t</w:t>
      </w:r>
      <w:r>
        <w:rPr>
          <w:spacing w:val="-3"/>
          <w:vertAlign w:val="subscript"/>
        </w:rPr>
        <w:t>N</w:t>
      </w:r>
      <w:r>
        <w:rPr>
          <w:spacing w:val="-3"/>
        </w:rPr>
        <w:t xml:space="preserve">, at an undercooling of </w:t>
      </w:r>
      <w:r w:rsidR="00780105">
        <w:rPr>
          <w:spacing w:val="-3"/>
        </w:rPr>
        <w:t>≈</w:t>
      </w:r>
      <w:r>
        <w:rPr>
          <w:spacing w:val="-3"/>
        </w:rPr>
        <w:t>0.4</w:t>
      </w:r>
      <w:r>
        <w:rPr>
          <w:i/>
          <w:iCs/>
          <w:spacing w:val="-3"/>
        </w:rPr>
        <w:t>L/C</w:t>
      </w:r>
      <w:r>
        <w:rPr>
          <w:spacing w:val="-3"/>
          <w:vertAlign w:val="subscript"/>
        </w:rPr>
        <w:t>p</w:t>
      </w:r>
      <w:r>
        <w:rPr>
          <w:spacing w:val="-3"/>
          <w:vertAlign w:val="superscript"/>
        </w:rPr>
        <w:t>L</w:t>
      </w:r>
      <w:r>
        <w:rPr>
          <w:spacing w:val="-3"/>
        </w:rPr>
        <w:t>. The recalescence after the passing of the liquid-solid interface is evident at both positions. CLYNE [1984].</w:t>
      </w:r>
    </w:p>
    <w:p w14:paraId="41D30061" w14:textId="2B332DE6" w:rsidR="00280FA2" w:rsidRDefault="00280FA2" w:rsidP="00280FA2">
      <w:pPr>
        <w:tabs>
          <w:tab w:val="left" w:pos="-720"/>
        </w:tabs>
        <w:suppressAutoHyphens/>
        <w:spacing w:line="240" w:lineRule="atLeast"/>
        <w:jc w:val="center"/>
        <w:rPr>
          <w:spacing w:val="-3"/>
        </w:rPr>
      </w:pPr>
      <w:r>
        <w:rPr>
          <w:noProof/>
          <w:spacing w:val="-3"/>
        </w:rPr>
        <w:lastRenderedPageBreak/>
        <w:drawing>
          <wp:inline distT="0" distB="0" distL="0" distR="0" wp14:anchorId="190731F5" wp14:editId="61B1FEB8">
            <wp:extent cx="4701540" cy="3079750"/>
            <wp:effectExtent l="0" t="0" r="3810" b="635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1378" cstate="print">
                      <a:extLst>
                        <a:ext uri="{28A0092B-C50C-407E-A947-70E740481C1C}">
                          <a14:useLocalDpi xmlns:a14="http://schemas.microsoft.com/office/drawing/2010/main" val="0"/>
                        </a:ext>
                      </a:extLst>
                    </a:blip>
                    <a:srcRect/>
                    <a:stretch>
                      <a:fillRect/>
                    </a:stretch>
                  </pic:blipFill>
                  <pic:spPr bwMode="auto">
                    <a:xfrm>
                      <a:off x="0" y="0"/>
                      <a:ext cx="4701540" cy="3079750"/>
                    </a:xfrm>
                    <a:prstGeom prst="rect">
                      <a:avLst/>
                    </a:prstGeom>
                    <a:noFill/>
                    <a:ln>
                      <a:noFill/>
                    </a:ln>
                  </pic:spPr>
                </pic:pic>
              </a:graphicData>
            </a:graphic>
          </wp:inline>
        </w:drawing>
      </w:r>
    </w:p>
    <w:p w14:paraId="56C262DA" w14:textId="77777777" w:rsidR="00280FA2" w:rsidRDefault="00280FA2" w:rsidP="00280FA2">
      <w:pPr>
        <w:tabs>
          <w:tab w:val="left" w:pos="-720"/>
          <w:tab w:val="left" w:pos="0"/>
          <w:tab w:val="left" w:pos="720"/>
        </w:tabs>
        <w:suppressAutoHyphens/>
        <w:spacing w:line="240" w:lineRule="atLeast"/>
        <w:ind w:left="1440" w:hanging="1440"/>
        <w:rPr>
          <w:spacing w:val="-3"/>
        </w:rPr>
      </w:pPr>
      <w:r>
        <w:rPr>
          <w:spacing w:val="-3"/>
        </w:rPr>
        <w:t xml:space="preserve">Figure 2.6  </w:t>
      </w:r>
      <w:r>
        <w:rPr>
          <w:spacing w:val="-3"/>
        </w:rPr>
        <w:tab/>
        <w:t xml:space="preserve">Calculated interface temperature (LEVI and MEHRABIAN [1982]) for the solidification of a powder particle initially undercooled by 1/2 </w:t>
      </w:r>
      <w:r>
        <w:rPr>
          <w:i/>
          <w:iCs/>
          <w:spacing w:val="-3"/>
        </w:rPr>
        <w:t>L/C</w:t>
      </w:r>
      <w:r>
        <w:rPr>
          <w:spacing w:val="-3"/>
          <w:vertAlign w:val="subscript"/>
        </w:rPr>
        <w:t>p</w:t>
      </w:r>
      <w:r>
        <w:rPr>
          <w:spacing w:val="-3"/>
          <w:vertAlign w:val="superscript"/>
        </w:rPr>
        <w:t>L</w:t>
      </w:r>
      <w:r>
        <w:rPr>
          <w:spacing w:val="-3"/>
        </w:rPr>
        <w:t xml:space="preserve">. The temperature rises and the velocity falls as growth proceeds from the point of nucleation on the powder surface across the powder particle. The effect of various values of the heat transfer coefficient </w:t>
      </w:r>
      <w:r>
        <w:rPr>
          <w:i/>
          <w:iCs/>
          <w:spacing w:val="-3"/>
        </w:rPr>
        <w:t>h</w:t>
      </w:r>
      <w:r>
        <w:rPr>
          <w:spacing w:val="-3"/>
          <w:vertAlign w:val="subscript"/>
        </w:rPr>
        <w:t>i</w:t>
      </w:r>
      <w:r>
        <w:rPr>
          <w:spacing w:val="-3"/>
        </w:rPr>
        <w:t xml:space="preserve"> is also shown. The velocity scale on the right was added by BOETTINGER and PEREPEZKO [1985].</w:t>
      </w:r>
    </w:p>
    <w:p w14:paraId="7A572852" w14:textId="5F8B0170" w:rsidR="00280FA2" w:rsidRDefault="00280FA2" w:rsidP="00280FA2">
      <w:pPr>
        <w:tabs>
          <w:tab w:val="left" w:pos="-720"/>
          <w:tab w:val="left" w:pos="0"/>
          <w:tab w:val="left" w:pos="720"/>
        </w:tabs>
        <w:suppressAutoHyphens/>
        <w:spacing w:line="240" w:lineRule="atLeast"/>
        <w:ind w:left="1440" w:hanging="1440"/>
        <w:jc w:val="center"/>
        <w:rPr>
          <w:spacing w:val="-3"/>
        </w:rPr>
      </w:pPr>
      <w:r>
        <w:rPr>
          <w:noProof/>
          <w:spacing w:val="-3"/>
        </w:rPr>
        <w:lastRenderedPageBreak/>
        <w:drawing>
          <wp:inline distT="0" distB="0" distL="0" distR="0" wp14:anchorId="44145587" wp14:editId="5D068E39">
            <wp:extent cx="5486400" cy="4287520"/>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1379">
                      <a:extLst>
                        <a:ext uri="{28A0092B-C50C-407E-A947-70E740481C1C}">
                          <a14:useLocalDpi xmlns:a14="http://schemas.microsoft.com/office/drawing/2010/main" val="0"/>
                        </a:ext>
                      </a:extLst>
                    </a:blip>
                    <a:srcRect/>
                    <a:stretch>
                      <a:fillRect/>
                    </a:stretch>
                  </pic:blipFill>
                  <pic:spPr bwMode="auto">
                    <a:xfrm>
                      <a:off x="0" y="0"/>
                      <a:ext cx="5486400" cy="4287520"/>
                    </a:xfrm>
                    <a:prstGeom prst="rect">
                      <a:avLst/>
                    </a:prstGeom>
                    <a:noFill/>
                    <a:ln>
                      <a:noFill/>
                    </a:ln>
                  </pic:spPr>
                </pic:pic>
              </a:graphicData>
            </a:graphic>
          </wp:inline>
        </w:drawing>
      </w:r>
    </w:p>
    <w:p w14:paraId="7CB2DDE7" w14:textId="77777777" w:rsidR="00280FA2" w:rsidRDefault="00280FA2" w:rsidP="00280FA2">
      <w:pPr>
        <w:ind w:left="1440" w:hanging="1440"/>
      </w:pPr>
      <w:r>
        <w:t xml:space="preserve">Figure  2.7. </w:t>
      </w:r>
      <w:r>
        <w:tab/>
        <w:t xml:space="preserve">(a) </w:t>
      </w:r>
      <w:r w:rsidRPr="00E87E02">
        <w:t>A shaded finite element model of an improved design of a casting for an alumi</w:t>
      </w:r>
      <w:r>
        <w:t>num transfer case housing; (b) e</w:t>
      </w:r>
      <w:r w:rsidRPr="00E87E02">
        <w:t>arly trial casting with serious mis-runs and other defects. (</w:t>
      </w:r>
      <w:r>
        <w:t xml:space="preserve">Courtesy </w:t>
      </w:r>
      <w:r w:rsidRPr="00E87E02">
        <w:t>Mahaney</w:t>
      </w:r>
      <w:r>
        <w:t xml:space="preserve"> </w:t>
      </w:r>
      <w:r w:rsidRPr="00E87E02">
        <w:t>and Kim</w:t>
      </w:r>
      <w:r>
        <w:t>, EKK Inc.)</w:t>
      </w:r>
      <w:r w:rsidRPr="00E87E02">
        <w:t>.</w:t>
      </w:r>
    </w:p>
    <w:p w14:paraId="74F7DA88" w14:textId="477916A5" w:rsidR="00280FA2" w:rsidRPr="00E87E02" w:rsidRDefault="00280FA2" w:rsidP="00280FA2">
      <w:pPr>
        <w:jc w:val="center"/>
      </w:pPr>
      <w:r>
        <w:rPr>
          <w:noProof/>
        </w:rPr>
        <w:lastRenderedPageBreak/>
        <w:drawing>
          <wp:inline distT="0" distB="0" distL="0" distR="0" wp14:anchorId="5B21E77F" wp14:editId="50938C45">
            <wp:extent cx="3804285" cy="3528060"/>
            <wp:effectExtent l="0" t="0" r="5715"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1380">
                      <a:extLst>
                        <a:ext uri="{28A0092B-C50C-407E-A947-70E740481C1C}">
                          <a14:useLocalDpi xmlns:a14="http://schemas.microsoft.com/office/drawing/2010/main" val="0"/>
                        </a:ext>
                      </a:extLst>
                    </a:blip>
                    <a:srcRect/>
                    <a:stretch>
                      <a:fillRect/>
                    </a:stretch>
                  </pic:blipFill>
                  <pic:spPr bwMode="auto">
                    <a:xfrm>
                      <a:off x="0" y="0"/>
                      <a:ext cx="3804285" cy="3528060"/>
                    </a:xfrm>
                    <a:prstGeom prst="rect">
                      <a:avLst/>
                    </a:prstGeom>
                    <a:noFill/>
                    <a:ln>
                      <a:noFill/>
                    </a:ln>
                  </pic:spPr>
                </pic:pic>
              </a:graphicData>
            </a:graphic>
          </wp:inline>
        </w:drawing>
      </w:r>
    </w:p>
    <w:p w14:paraId="638777BC" w14:textId="77777777" w:rsidR="00280FA2" w:rsidRDefault="00280FA2" w:rsidP="00280FA2">
      <w:pPr>
        <w:ind w:left="1440" w:hanging="1440"/>
        <w:rPr>
          <w:spacing w:val="-3"/>
        </w:rPr>
      </w:pPr>
      <w:r>
        <w:rPr>
          <w:spacing w:val="-3"/>
        </w:rPr>
        <w:t xml:space="preserve">Figure 2.8 </w:t>
      </w:r>
      <w:r>
        <w:rPr>
          <w:spacing w:val="-3"/>
        </w:rPr>
        <w:tab/>
      </w:r>
      <w:r w:rsidRPr="00D41D01">
        <w:rPr>
          <w:spacing w:val="-3"/>
        </w:rPr>
        <w:t>A map of final eutectic grain size (austenite) of a ductile iron casting computed using macro-microscopic modeling approach in ProCAST 3.0 (</w:t>
      </w:r>
      <w:r>
        <w:rPr>
          <w:spacing w:val="-3"/>
        </w:rPr>
        <w:t>Source</w:t>
      </w:r>
      <w:r w:rsidRPr="00D41D01">
        <w:rPr>
          <w:spacing w:val="-3"/>
        </w:rPr>
        <w:t>: UES Software, Inc., Dayton, OH – Current owner: ESI North America, , Columbia, MD, USA).</w:t>
      </w:r>
    </w:p>
    <w:p w14:paraId="5F094987" w14:textId="77777777" w:rsidR="00280FA2" w:rsidRDefault="00280FA2" w:rsidP="00280FA2">
      <w:pPr>
        <w:tabs>
          <w:tab w:val="left" w:pos="-720"/>
        </w:tabs>
        <w:suppressAutoHyphens/>
        <w:spacing w:line="240" w:lineRule="atLeast"/>
        <w:rPr>
          <w:spacing w:val="-3"/>
        </w:rPr>
      </w:pPr>
    </w:p>
    <w:p w14:paraId="02569EE8" w14:textId="77777777" w:rsidR="00280FA2" w:rsidRDefault="00280FA2" w:rsidP="00280FA2">
      <w:pPr>
        <w:tabs>
          <w:tab w:val="left" w:pos="-720"/>
        </w:tabs>
        <w:suppressAutoHyphens/>
        <w:spacing w:line="240" w:lineRule="atLeast"/>
        <w:rPr>
          <w:spacing w:val="-3"/>
        </w:rPr>
      </w:pPr>
    </w:p>
    <w:p w14:paraId="501ADC1C" w14:textId="77777777" w:rsidR="00280FA2" w:rsidRDefault="00280FA2" w:rsidP="00280FA2">
      <w:pPr>
        <w:tabs>
          <w:tab w:val="left" w:pos="-720"/>
        </w:tabs>
        <w:suppressAutoHyphens/>
        <w:spacing w:line="240" w:lineRule="atLeast"/>
        <w:rPr>
          <w:spacing w:val="-3"/>
        </w:rPr>
      </w:pPr>
      <w:r>
        <w:rPr>
          <w:b/>
          <w:bCs/>
          <w:i/>
          <w:iCs/>
          <w:spacing w:val="-3"/>
        </w:rPr>
        <w:br w:type="page"/>
      </w:r>
      <w:r>
        <w:rPr>
          <w:b/>
          <w:bCs/>
          <w:i/>
          <w:iCs/>
          <w:spacing w:val="-3"/>
        </w:rPr>
        <w:lastRenderedPageBreak/>
        <w:t>SECTION 3</w:t>
      </w:r>
    </w:p>
    <w:p w14:paraId="317AEFFF" w14:textId="77777777" w:rsidR="00280FA2" w:rsidRDefault="00280FA2" w:rsidP="00280FA2">
      <w:pPr>
        <w:tabs>
          <w:tab w:val="left" w:pos="-720"/>
        </w:tabs>
        <w:suppressAutoHyphens/>
        <w:spacing w:line="240" w:lineRule="atLeast"/>
        <w:rPr>
          <w:spacing w:val="-3"/>
        </w:rPr>
      </w:pPr>
    </w:p>
    <w:p w14:paraId="5455E19A" w14:textId="5AA46A79" w:rsidR="00280FA2" w:rsidRDefault="00280FA2" w:rsidP="00280FA2">
      <w:pPr>
        <w:tabs>
          <w:tab w:val="left" w:pos="-720"/>
        </w:tabs>
        <w:suppressAutoHyphens/>
        <w:spacing w:line="240" w:lineRule="atLeast"/>
        <w:jc w:val="center"/>
        <w:rPr>
          <w:spacing w:val="-3"/>
        </w:rPr>
      </w:pPr>
      <w:r>
        <w:rPr>
          <w:noProof/>
          <w:spacing w:val="-3"/>
        </w:rPr>
        <w:drawing>
          <wp:inline distT="0" distB="0" distL="0" distR="0" wp14:anchorId="3EBAC99B" wp14:editId="0AA11BBE">
            <wp:extent cx="4873625" cy="3916680"/>
            <wp:effectExtent l="0" t="0" r="3175" b="762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1381" cstate="print">
                      <a:extLst>
                        <a:ext uri="{28A0092B-C50C-407E-A947-70E740481C1C}">
                          <a14:useLocalDpi xmlns:a14="http://schemas.microsoft.com/office/drawing/2010/main" val="0"/>
                        </a:ext>
                      </a:extLst>
                    </a:blip>
                    <a:srcRect/>
                    <a:stretch>
                      <a:fillRect/>
                    </a:stretch>
                  </pic:blipFill>
                  <pic:spPr bwMode="auto">
                    <a:xfrm>
                      <a:off x="0" y="0"/>
                      <a:ext cx="4873625" cy="3916680"/>
                    </a:xfrm>
                    <a:prstGeom prst="rect">
                      <a:avLst/>
                    </a:prstGeom>
                    <a:noFill/>
                    <a:ln>
                      <a:noFill/>
                    </a:ln>
                  </pic:spPr>
                </pic:pic>
              </a:graphicData>
            </a:graphic>
          </wp:inline>
        </w:drawing>
      </w:r>
    </w:p>
    <w:p w14:paraId="7DBCB439" w14:textId="77777777" w:rsidR="00280FA2" w:rsidRDefault="00280FA2" w:rsidP="00280FA2">
      <w:pPr>
        <w:tabs>
          <w:tab w:val="left" w:pos="-720"/>
          <w:tab w:val="left" w:pos="0"/>
          <w:tab w:val="left" w:pos="720"/>
        </w:tabs>
        <w:suppressAutoHyphens/>
        <w:spacing w:line="240" w:lineRule="atLeast"/>
        <w:ind w:left="1440" w:hanging="1440"/>
        <w:rPr>
          <w:spacing w:val="-3"/>
        </w:rPr>
      </w:pPr>
      <w:r>
        <w:rPr>
          <w:spacing w:val="-3"/>
        </w:rPr>
        <w:t xml:space="preserve">Figure 3.1 </w:t>
      </w:r>
      <w:r>
        <w:rPr>
          <w:spacing w:val="-3"/>
        </w:rPr>
        <w:tab/>
        <w:t xml:space="preserve">Calculated Al-rich portion of the stable Al-Fe phase diagram is shown by solid lines. The </w:t>
      </w:r>
      <w:r>
        <w:rPr>
          <w:i/>
          <w:iCs/>
          <w:spacing w:val="-3"/>
        </w:rPr>
        <w:t>T</w:t>
      </w:r>
      <w:r>
        <w:rPr>
          <w:spacing w:val="-3"/>
          <w:vertAlign w:val="subscript"/>
        </w:rPr>
        <w:t>0</w:t>
      </w:r>
      <w:r>
        <w:rPr>
          <w:spacing w:val="-3"/>
        </w:rPr>
        <w:t xml:space="preserve"> for the solidification of Al solid solution is shown dashed. The solvus curves are omitted for clarity. </w:t>
      </w:r>
      <w:smartTag w:uri="urn:schemas-microsoft-com:office:smarttags" w:element="City">
        <w:smartTag w:uri="urn:schemas-microsoft-com:office:smarttags" w:element="place">
          <w:r>
            <w:rPr>
              <w:spacing w:val="-3"/>
            </w:rPr>
            <w:t>MURRAY</w:t>
          </w:r>
        </w:smartTag>
      </w:smartTag>
      <w:r>
        <w:rPr>
          <w:spacing w:val="-3"/>
        </w:rPr>
        <w:t xml:space="preserve"> [1983a].</w:t>
      </w:r>
    </w:p>
    <w:p w14:paraId="4B5AE265" w14:textId="54346F2E" w:rsidR="00280FA2" w:rsidRDefault="00280FA2" w:rsidP="00280FA2">
      <w:pPr>
        <w:tabs>
          <w:tab w:val="left" w:pos="-720"/>
        </w:tabs>
        <w:suppressAutoHyphens/>
        <w:spacing w:line="240" w:lineRule="atLeast"/>
        <w:jc w:val="center"/>
        <w:rPr>
          <w:spacing w:val="-3"/>
        </w:rPr>
      </w:pPr>
      <w:r>
        <w:rPr>
          <w:noProof/>
          <w:spacing w:val="-3"/>
        </w:rPr>
        <w:drawing>
          <wp:inline distT="0" distB="0" distL="0" distR="0" wp14:anchorId="1ED50A50" wp14:editId="23D3AD03">
            <wp:extent cx="4545965" cy="1949450"/>
            <wp:effectExtent l="0" t="0" r="6985"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1382" cstate="print">
                      <a:extLst>
                        <a:ext uri="{28A0092B-C50C-407E-A947-70E740481C1C}">
                          <a14:useLocalDpi xmlns:a14="http://schemas.microsoft.com/office/drawing/2010/main" val="0"/>
                        </a:ext>
                      </a:extLst>
                    </a:blip>
                    <a:srcRect/>
                    <a:stretch>
                      <a:fillRect/>
                    </a:stretch>
                  </pic:blipFill>
                  <pic:spPr bwMode="auto">
                    <a:xfrm>
                      <a:off x="0" y="0"/>
                      <a:ext cx="4545965" cy="1949450"/>
                    </a:xfrm>
                    <a:prstGeom prst="rect">
                      <a:avLst/>
                    </a:prstGeom>
                    <a:noFill/>
                    <a:ln>
                      <a:noFill/>
                    </a:ln>
                  </pic:spPr>
                </pic:pic>
              </a:graphicData>
            </a:graphic>
          </wp:inline>
        </w:drawing>
      </w:r>
    </w:p>
    <w:p w14:paraId="78AC27E9" w14:textId="77777777" w:rsidR="00280FA2" w:rsidRDefault="00280FA2" w:rsidP="00280FA2">
      <w:pPr>
        <w:tabs>
          <w:tab w:val="left" w:pos="-720"/>
          <w:tab w:val="left" w:pos="0"/>
          <w:tab w:val="left" w:pos="720"/>
        </w:tabs>
        <w:suppressAutoHyphens/>
        <w:spacing w:line="240" w:lineRule="atLeast"/>
        <w:ind w:left="1440" w:hanging="1440"/>
        <w:rPr>
          <w:spacing w:val="-3"/>
        </w:rPr>
      </w:pPr>
      <w:r>
        <w:rPr>
          <w:spacing w:val="-3"/>
        </w:rPr>
        <w:t xml:space="preserve">Figure 3.2 </w:t>
      </w:r>
      <w:r>
        <w:rPr>
          <w:spacing w:val="-3"/>
        </w:rPr>
        <w:tab/>
        <w:t xml:space="preserve">The shaded regions indicate thermodynamically allowed solid compositions </w:t>
      </w:r>
      <w:r>
        <w:rPr>
          <w:i/>
          <w:iCs/>
          <w:spacing w:val="-3"/>
        </w:rPr>
        <w:t>C</w:t>
      </w:r>
      <w:r>
        <w:rPr>
          <w:i/>
          <w:iCs/>
          <w:spacing w:val="-3"/>
          <w:vertAlign w:val="subscript"/>
        </w:rPr>
        <w:t>s</w:t>
      </w:r>
      <w:r>
        <w:rPr>
          <w:i/>
          <w:iCs/>
          <w:spacing w:val="-3"/>
          <w:vertAlign w:val="superscript"/>
        </w:rPr>
        <w:t>*</w:t>
      </w:r>
      <w:r>
        <w:rPr>
          <w:spacing w:val="-3"/>
        </w:rPr>
        <w:t xml:space="preserve"> that may be formed from liquid of composition </w:t>
      </w:r>
      <w:r>
        <w:rPr>
          <w:i/>
          <w:iCs/>
          <w:spacing w:val="-3"/>
        </w:rPr>
        <w:t>C</w:t>
      </w:r>
      <w:r>
        <w:rPr>
          <w:i/>
          <w:iCs/>
          <w:spacing w:val="-3"/>
          <w:vertAlign w:val="subscript"/>
        </w:rPr>
        <w:t>L</w:t>
      </w:r>
      <w:r>
        <w:rPr>
          <w:i/>
          <w:iCs/>
          <w:spacing w:val="-3"/>
          <w:vertAlign w:val="superscript"/>
        </w:rPr>
        <w:t>*</w:t>
      </w:r>
      <w:r>
        <w:rPr>
          <w:spacing w:val="-3"/>
        </w:rPr>
        <w:t xml:space="preserve"> at various temperatures. In (b) the </w:t>
      </w:r>
      <w:r>
        <w:rPr>
          <w:i/>
          <w:iCs/>
          <w:spacing w:val="-3"/>
        </w:rPr>
        <w:t>T</w:t>
      </w:r>
      <w:r>
        <w:rPr>
          <w:spacing w:val="-3"/>
          <w:vertAlign w:val="subscript"/>
        </w:rPr>
        <w:t>0</w:t>
      </w:r>
      <w:r>
        <w:rPr>
          <w:spacing w:val="-3"/>
        </w:rPr>
        <w:t xml:space="preserve"> temperature plunges and partitionless solidification is impossible for liquid of composition </w:t>
      </w:r>
      <w:r>
        <w:rPr>
          <w:i/>
          <w:iCs/>
          <w:spacing w:val="-3"/>
        </w:rPr>
        <w:t>C</w:t>
      </w:r>
      <w:r>
        <w:rPr>
          <w:i/>
          <w:iCs/>
          <w:spacing w:val="-3"/>
          <w:vertAlign w:val="subscript"/>
        </w:rPr>
        <w:t>L</w:t>
      </w:r>
      <w:r>
        <w:rPr>
          <w:i/>
          <w:iCs/>
          <w:spacing w:val="-3"/>
          <w:vertAlign w:val="superscript"/>
        </w:rPr>
        <w:t>*</w:t>
      </w:r>
      <w:r>
        <w:rPr>
          <w:spacing w:val="-3"/>
        </w:rPr>
        <w:t>. BOETTINGER [1982].</w:t>
      </w:r>
    </w:p>
    <w:p w14:paraId="7F841312" w14:textId="09B27AB2" w:rsidR="00280FA2" w:rsidRDefault="00280FA2" w:rsidP="00280FA2">
      <w:pPr>
        <w:tabs>
          <w:tab w:val="left" w:pos="-720"/>
        </w:tabs>
        <w:suppressAutoHyphens/>
        <w:spacing w:line="240" w:lineRule="atLeast"/>
        <w:jc w:val="center"/>
        <w:rPr>
          <w:spacing w:val="-3"/>
        </w:rPr>
      </w:pPr>
      <w:r>
        <w:rPr>
          <w:noProof/>
          <w:spacing w:val="-3"/>
        </w:rPr>
        <w:lastRenderedPageBreak/>
        <w:drawing>
          <wp:inline distT="0" distB="0" distL="0" distR="0" wp14:anchorId="6DF97215" wp14:editId="6C80CA09">
            <wp:extent cx="4606290" cy="2329180"/>
            <wp:effectExtent l="0" t="0" r="381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1383" cstate="print">
                      <a:extLst>
                        <a:ext uri="{28A0092B-C50C-407E-A947-70E740481C1C}">
                          <a14:useLocalDpi xmlns:a14="http://schemas.microsoft.com/office/drawing/2010/main" val="0"/>
                        </a:ext>
                      </a:extLst>
                    </a:blip>
                    <a:srcRect/>
                    <a:stretch>
                      <a:fillRect/>
                    </a:stretch>
                  </pic:blipFill>
                  <pic:spPr bwMode="auto">
                    <a:xfrm>
                      <a:off x="0" y="0"/>
                      <a:ext cx="4606290" cy="2329180"/>
                    </a:xfrm>
                    <a:prstGeom prst="rect">
                      <a:avLst/>
                    </a:prstGeom>
                    <a:noFill/>
                    <a:ln>
                      <a:noFill/>
                    </a:ln>
                  </pic:spPr>
                </pic:pic>
              </a:graphicData>
            </a:graphic>
          </wp:inline>
        </w:drawing>
      </w:r>
    </w:p>
    <w:p w14:paraId="08DC9C71" w14:textId="77777777" w:rsidR="00280FA2" w:rsidRDefault="00280FA2" w:rsidP="00280FA2">
      <w:pPr>
        <w:tabs>
          <w:tab w:val="left" w:pos="-720"/>
          <w:tab w:val="left" w:pos="0"/>
          <w:tab w:val="left" w:pos="720"/>
        </w:tabs>
        <w:suppressAutoHyphens/>
        <w:spacing w:line="240" w:lineRule="atLeast"/>
        <w:ind w:left="1440" w:hanging="1440"/>
        <w:rPr>
          <w:spacing w:val="-3"/>
        </w:rPr>
      </w:pPr>
      <w:r>
        <w:rPr>
          <w:spacing w:val="-3"/>
        </w:rPr>
        <w:t xml:space="preserve">Figure 3.3 </w:t>
      </w:r>
      <w:r>
        <w:rPr>
          <w:spacing w:val="-3"/>
        </w:rPr>
        <w:tab/>
        <w:t xml:space="preserve">Schematic representation of </w:t>
      </w:r>
      <w:r>
        <w:rPr>
          <w:i/>
          <w:iCs/>
          <w:spacing w:val="-3"/>
        </w:rPr>
        <w:t>T</w:t>
      </w:r>
      <w:r>
        <w:rPr>
          <w:spacing w:val="-3"/>
          <w:vertAlign w:val="subscript"/>
        </w:rPr>
        <w:t>0</w:t>
      </w:r>
      <w:r>
        <w:rPr>
          <w:spacing w:val="-3"/>
        </w:rPr>
        <w:t xml:space="preserve"> curves for liquid to crystal transformations  in  three  types of eutectic systems. BOETTINGER [1982].</w:t>
      </w:r>
    </w:p>
    <w:p w14:paraId="126A5B1E" w14:textId="091BE8A8" w:rsidR="00280FA2" w:rsidRDefault="00280FA2" w:rsidP="00280FA2">
      <w:pPr>
        <w:tabs>
          <w:tab w:val="left" w:pos="-720"/>
          <w:tab w:val="left" w:pos="0"/>
          <w:tab w:val="left" w:pos="720"/>
        </w:tabs>
        <w:suppressAutoHyphens/>
        <w:spacing w:line="240" w:lineRule="atLeast"/>
        <w:ind w:left="1440" w:hanging="1440"/>
        <w:jc w:val="center"/>
        <w:rPr>
          <w:spacing w:val="-3"/>
        </w:rPr>
      </w:pPr>
      <w:r>
        <w:rPr>
          <w:noProof/>
          <w:spacing w:val="-3"/>
        </w:rPr>
        <w:drawing>
          <wp:inline distT="0" distB="0" distL="0" distR="0" wp14:anchorId="159A735D" wp14:editId="013C808A">
            <wp:extent cx="5486400" cy="5003165"/>
            <wp:effectExtent l="0" t="0" r="0" b="6985"/>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1384">
                      <a:extLst>
                        <a:ext uri="{28A0092B-C50C-407E-A947-70E740481C1C}">
                          <a14:useLocalDpi xmlns:a14="http://schemas.microsoft.com/office/drawing/2010/main" val="0"/>
                        </a:ext>
                      </a:extLst>
                    </a:blip>
                    <a:srcRect/>
                    <a:stretch>
                      <a:fillRect/>
                    </a:stretch>
                  </pic:blipFill>
                  <pic:spPr bwMode="auto">
                    <a:xfrm>
                      <a:off x="0" y="0"/>
                      <a:ext cx="5486400" cy="5003165"/>
                    </a:xfrm>
                    <a:prstGeom prst="rect">
                      <a:avLst/>
                    </a:prstGeom>
                    <a:noFill/>
                    <a:ln>
                      <a:noFill/>
                    </a:ln>
                  </pic:spPr>
                </pic:pic>
              </a:graphicData>
            </a:graphic>
          </wp:inline>
        </w:drawing>
      </w:r>
    </w:p>
    <w:p w14:paraId="15364CFE" w14:textId="6A4CCDB5" w:rsidR="00280FA2" w:rsidRDefault="00280FA2" w:rsidP="00280FA2">
      <w:pPr>
        <w:tabs>
          <w:tab w:val="left" w:pos="-720"/>
        </w:tabs>
        <w:suppressAutoHyphens/>
        <w:spacing w:line="360" w:lineRule="atLeast"/>
        <w:ind w:left="1440" w:hanging="1440"/>
        <w:rPr>
          <w:spacing w:val="-3"/>
        </w:rPr>
      </w:pPr>
      <w:r>
        <w:rPr>
          <w:spacing w:val="-3"/>
        </w:rPr>
        <w:t xml:space="preserve">Figure  3.4  </w:t>
      </w:r>
      <w:r>
        <w:rPr>
          <w:spacing w:val="-3"/>
        </w:rPr>
        <w:tab/>
        <w:t>Calculated Co-Mo phase diagram (lines) and experimental points. Ansara et al</w:t>
      </w:r>
      <w:r w:rsidR="00575923">
        <w:rPr>
          <w:spacing w:val="-3"/>
        </w:rPr>
        <w:t>.</w:t>
      </w:r>
      <w:r>
        <w:rPr>
          <w:spacing w:val="-3"/>
        </w:rPr>
        <w:t xml:space="preserve"> [1998].</w:t>
      </w:r>
    </w:p>
    <w:p w14:paraId="5F345D80" w14:textId="2FC58EB4" w:rsidR="00280FA2" w:rsidRDefault="00280FA2" w:rsidP="00280FA2">
      <w:pPr>
        <w:tabs>
          <w:tab w:val="left" w:pos="-720"/>
        </w:tabs>
        <w:suppressAutoHyphens/>
        <w:spacing w:line="360" w:lineRule="atLeast"/>
        <w:jc w:val="center"/>
        <w:rPr>
          <w:spacing w:val="-3"/>
        </w:rPr>
      </w:pPr>
      <w:r>
        <w:rPr>
          <w:noProof/>
          <w:spacing w:val="-3"/>
        </w:rPr>
        <w:lastRenderedPageBreak/>
        <w:drawing>
          <wp:inline distT="0" distB="0" distL="0" distR="0" wp14:anchorId="61486145" wp14:editId="0C04D0A9">
            <wp:extent cx="3424555" cy="3131185"/>
            <wp:effectExtent l="0" t="0" r="4445"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1385">
                      <a:extLst>
                        <a:ext uri="{28A0092B-C50C-407E-A947-70E740481C1C}">
                          <a14:useLocalDpi xmlns:a14="http://schemas.microsoft.com/office/drawing/2010/main" val="0"/>
                        </a:ext>
                      </a:extLst>
                    </a:blip>
                    <a:srcRect/>
                    <a:stretch>
                      <a:fillRect/>
                    </a:stretch>
                  </pic:blipFill>
                  <pic:spPr bwMode="auto">
                    <a:xfrm>
                      <a:off x="0" y="0"/>
                      <a:ext cx="3424555" cy="3131185"/>
                    </a:xfrm>
                    <a:prstGeom prst="rect">
                      <a:avLst/>
                    </a:prstGeom>
                    <a:noFill/>
                    <a:ln>
                      <a:noFill/>
                    </a:ln>
                  </pic:spPr>
                </pic:pic>
              </a:graphicData>
            </a:graphic>
          </wp:inline>
        </w:drawing>
      </w:r>
    </w:p>
    <w:p w14:paraId="76F3DE4C" w14:textId="77777777" w:rsidR="00280FA2" w:rsidRDefault="00280FA2" w:rsidP="00280FA2">
      <w:pPr>
        <w:tabs>
          <w:tab w:val="left" w:pos="-720"/>
        </w:tabs>
        <w:suppressAutoHyphens/>
        <w:spacing w:line="360" w:lineRule="atLeast"/>
        <w:ind w:left="1440" w:hanging="1440"/>
        <w:rPr>
          <w:spacing w:val="-3"/>
        </w:rPr>
      </w:pPr>
      <w:r>
        <w:rPr>
          <w:spacing w:val="-3"/>
        </w:rPr>
        <w:t xml:space="preserve">Figure </w:t>
      </w:r>
      <w:r w:rsidRPr="005C752E">
        <w:rPr>
          <w:spacing w:val="-3"/>
        </w:rPr>
        <w:t xml:space="preserve"> </w:t>
      </w:r>
      <w:r>
        <w:rPr>
          <w:spacing w:val="-3"/>
        </w:rPr>
        <w:t>3.5</w:t>
      </w:r>
      <w:r w:rsidRPr="005C752E">
        <w:rPr>
          <w:spacing w:val="-3"/>
        </w:rPr>
        <w:t xml:space="preserve"> </w:t>
      </w:r>
      <w:r>
        <w:rPr>
          <w:spacing w:val="-3"/>
        </w:rPr>
        <w:tab/>
      </w:r>
      <w:r w:rsidRPr="005C752E">
        <w:rPr>
          <w:spacing w:val="-3"/>
        </w:rPr>
        <w:t>Schematic representation of a possible physical interpretation of the phase field variable. Adapted from M</w:t>
      </w:r>
      <w:r>
        <w:rPr>
          <w:spacing w:val="-3"/>
        </w:rPr>
        <w:t>i</w:t>
      </w:r>
      <w:r w:rsidRPr="005C752E">
        <w:rPr>
          <w:spacing w:val="-3"/>
        </w:rPr>
        <w:t>ke</w:t>
      </w:r>
      <w:r>
        <w:rPr>
          <w:spacing w:val="-3"/>
        </w:rPr>
        <w:t>e</w:t>
      </w:r>
      <w:r w:rsidRPr="005C752E">
        <w:rPr>
          <w:spacing w:val="-3"/>
        </w:rPr>
        <w:t>v and Chernov [</w:t>
      </w:r>
      <w:r>
        <w:rPr>
          <w:spacing w:val="-3"/>
        </w:rPr>
        <w:t>1991</w:t>
      </w:r>
      <w:r w:rsidRPr="005C752E">
        <w:rPr>
          <w:spacing w:val="-3"/>
        </w:rPr>
        <w:t>].</w:t>
      </w:r>
    </w:p>
    <w:p w14:paraId="04A411E8" w14:textId="7BA0F45B" w:rsidR="00280FA2" w:rsidRDefault="00280FA2" w:rsidP="00280FA2">
      <w:pPr>
        <w:tabs>
          <w:tab w:val="left" w:pos="-720"/>
        </w:tabs>
        <w:suppressAutoHyphens/>
        <w:spacing w:line="360" w:lineRule="atLeast"/>
        <w:jc w:val="center"/>
        <w:rPr>
          <w:spacing w:val="-3"/>
        </w:rPr>
      </w:pPr>
      <w:r>
        <w:rPr>
          <w:noProof/>
          <w:spacing w:val="-3"/>
        </w:rPr>
        <w:drawing>
          <wp:inline distT="0" distB="0" distL="0" distR="0" wp14:anchorId="30C86D88" wp14:editId="028D23BE">
            <wp:extent cx="2545080" cy="3873500"/>
            <wp:effectExtent l="0" t="0" r="762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1386">
                      <a:extLst>
                        <a:ext uri="{28A0092B-C50C-407E-A947-70E740481C1C}">
                          <a14:useLocalDpi xmlns:a14="http://schemas.microsoft.com/office/drawing/2010/main" val="0"/>
                        </a:ext>
                      </a:extLst>
                    </a:blip>
                    <a:srcRect/>
                    <a:stretch>
                      <a:fillRect/>
                    </a:stretch>
                  </pic:blipFill>
                  <pic:spPr bwMode="auto">
                    <a:xfrm>
                      <a:off x="0" y="0"/>
                      <a:ext cx="2545080" cy="3873500"/>
                    </a:xfrm>
                    <a:prstGeom prst="rect">
                      <a:avLst/>
                    </a:prstGeom>
                    <a:noFill/>
                    <a:ln>
                      <a:noFill/>
                    </a:ln>
                  </pic:spPr>
                </pic:pic>
              </a:graphicData>
            </a:graphic>
          </wp:inline>
        </w:drawing>
      </w:r>
    </w:p>
    <w:p w14:paraId="254FB458" w14:textId="77777777" w:rsidR="00280FA2" w:rsidRPr="00C258CA" w:rsidRDefault="00280FA2" w:rsidP="00280FA2">
      <w:pPr>
        <w:tabs>
          <w:tab w:val="left" w:pos="-720"/>
        </w:tabs>
        <w:suppressAutoHyphens/>
        <w:spacing w:line="360" w:lineRule="atLeast"/>
        <w:rPr>
          <w:spacing w:val="-3"/>
        </w:rPr>
      </w:pPr>
      <w:r>
        <w:rPr>
          <w:spacing w:val="-3"/>
        </w:rPr>
        <w:t xml:space="preserve">Figure </w:t>
      </w:r>
      <w:r w:rsidRPr="00C258CA">
        <w:rPr>
          <w:spacing w:val="-3"/>
        </w:rPr>
        <w:t xml:space="preserve"> </w:t>
      </w:r>
      <w:r>
        <w:rPr>
          <w:spacing w:val="-3"/>
        </w:rPr>
        <w:t>3.6</w:t>
      </w:r>
      <w:r w:rsidRPr="00C258CA">
        <w:rPr>
          <w:spacing w:val="-3"/>
        </w:rPr>
        <w:t xml:space="preserve"> </w:t>
      </w:r>
      <w:r>
        <w:rPr>
          <w:spacing w:val="-3"/>
        </w:rPr>
        <w:tab/>
      </w:r>
      <w:r w:rsidRPr="00C258CA">
        <w:rPr>
          <w:spacing w:val="-3"/>
        </w:rPr>
        <w:t xml:space="preserve">The functions </w:t>
      </w:r>
      <w:r w:rsidRPr="00C258CA">
        <w:rPr>
          <w:i/>
          <w:spacing w:val="-3"/>
        </w:rPr>
        <w:t>g(</w:t>
      </w:r>
      <w:r w:rsidRPr="00C258CA">
        <w:rPr>
          <w:i/>
          <w:spacing w:val="-3"/>
        </w:rPr>
        <w:sym w:font="Symbol" w:char="F066"/>
      </w:r>
      <w:r w:rsidRPr="00C258CA">
        <w:rPr>
          <w:i/>
          <w:spacing w:val="-3"/>
        </w:rPr>
        <w:t>)</w:t>
      </w:r>
      <w:r w:rsidRPr="00C258CA">
        <w:rPr>
          <w:spacing w:val="-3"/>
        </w:rPr>
        <w:t xml:space="preserve"> and </w:t>
      </w:r>
      <w:r w:rsidRPr="00C258CA">
        <w:rPr>
          <w:i/>
          <w:spacing w:val="-3"/>
        </w:rPr>
        <w:t>p(</w:t>
      </w:r>
      <w:r w:rsidRPr="00C258CA">
        <w:rPr>
          <w:i/>
          <w:spacing w:val="-3"/>
        </w:rPr>
        <w:sym w:font="Symbol" w:char="F066"/>
      </w:r>
      <w:r>
        <w:rPr>
          <w:i/>
          <w:spacing w:val="-3"/>
        </w:rPr>
        <w:t>).</w:t>
      </w:r>
    </w:p>
    <w:p w14:paraId="7DC65D3F" w14:textId="740CA7FE" w:rsidR="00280FA2" w:rsidRPr="00647046" w:rsidRDefault="00280FA2" w:rsidP="00280FA2">
      <w:pPr>
        <w:tabs>
          <w:tab w:val="left" w:pos="-720"/>
        </w:tabs>
        <w:suppressAutoHyphens/>
        <w:spacing w:line="360" w:lineRule="atLeast"/>
        <w:jc w:val="center"/>
        <w:rPr>
          <w:spacing w:val="-3"/>
        </w:rPr>
      </w:pPr>
      <w:r>
        <w:rPr>
          <w:noProof/>
          <w:spacing w:val="-3"/>
        </w:rPr>
        <w:lastRenderedPageBreak/>
        <w:drawing>
          <wp:inline distT="0" distB="0" distL="0" distR="0" wp14:anchorId="141ECF9A" wp14:editId="6FBB006F">
            <wp:extent cx="2777490" cy="4572000"/>
            <wp:effectExtent l="0" t="0" r="381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1387">
                      <a:extLst>
                        <a:ext uri="{28A0092B-C50C-407E-A947-70E740481C1C}">
                          <a14:useLocalDpi xmlns:a14="http://schemas.microsoft.com/office/drawing/2010/main" val="0"/>
                        </a:ext>
                      </a:extLst>
                    </a:blip>
                    <a:srcRect/>
                    <a:stretch>
                      <a:fillRect/>
                    </a:stretch>
                  </pic:blipFill>
                  <pic:spPr bwMode="auto">
                    <a:xfrm>
                      <a:off x="0" y="0"/>
                      <a:ext cx="2777490" cy="4572000"/>
                    </a:xfrm>
                    <a:prstGeom prst="rect">
                      <a:avLst/>
                    </a:prstGeom>
                    <a:noFill/>
                    <a:ln>
                      <a:noFill/>
                    </a:ln>
                  </pic:spPr>
                </pic:pic>
              </a:graphicData>
            </a:graphic>
          </wp:inline>
        </w:drawing>
      </w:r>
    </w:p>
    <w:p w14:paraId="3DF42C74" w14:textId="77777777" w:rsidR="00280FA2" w:rsidRDefault="00280FA2" w:rsidP="00280FA2">
      <w:pPr>
        <w:tabs>
          <w:tab w:val="left" w:pos="-720"/>
        </w:tabs>
        <w:suppressAutoHyphens/>
        <w:spacing w:line="360" w:lineRule="atLeast"/>
        <w:ind w:left="1440" w:hanging="1440"/>
        <w:rPr>
          <w:spacing w:val="-3"/>
        </w:rPr>
      </w:pPr>
      <w:r>
        <w:rPr>
          <w:spacing w:val="-3"/>
        </w:rPr>
        <w:t xml:space="preserve">Figure </w:t>
      </w:r>
      <w:r w:rsidRPr="005279D3">
        <w:rPr>
          <w:spacing w:val="-3"/>
        </w:rPr>
        <w:t xml:space="preserve"> 3</w:t>
      </w:r>
      <w:r>
        <w:rPr>
          <w:spacing w:val="-3"/>
        </w:rPr>
        <w:t>.7</w:t>
      </w:r>
      <w:r w:rsidRPr="005279D3">
        <w:rPr>
          <w:spacing w:val="-3"/>
        </w:rPr>
        <w:t xml:space="preserve"> </w:t>
      </w:r>
      <w:r>
        <w:rPr>
          <w:spacing w:val="-3"/>
        </w:rPr>
        <w:tab/>
      </w:r>
      <w:r w:rsidRPr="005279D3">
        <w:rPr>
          <w:spacing w:val="-3"/>
        </w:rPr>
        <w:t xml:space="preserve">Variation of the phase field parameter, </w:t>
      </w:r>
      <w:r w:rsidRPr="005279D3">
        <w:rPr>
          <w:i/>
          <w:spacing w:val="-3"/>
        </w:rPr>
        <w:sym w:font="Symbol" w:char="F066"/>
      </w:r>
      <w:r w:rsidRPr="005279D3">
        <w:rPr>
          <w:spacing w:val="-3"/>
        </w:rPr>
        <w:t xml:space="preserve">, and the energy/unit volume, </w:t>
      </w:r>
      <w:r w:rsidRPr="005279D3">
        <w:rPr>
          <w:i/>
          <w:spacing w:val="-3"/>
        </w:rPr>
        <w:t>f(</w:t>
      </w:r>
      <w:r w:rsidRPr="005279D3">
        <w:rPr>
          <w:i/>
          <w:spacing w:val="-3"/>
        </w:rPr>
        <w:sym w:font="Symbol" w:char="F066"/>
      </w:r>
      <w:r w:rsidRPr="005279D3">
        <w:rPr>
          <w:i/>
          <w:spacing w:val="-3"/>
        </w:rPr>
        <w:t>)+½</w:t>
      </w:r>
      <w:r w:rsidRPr="005279D3">
        <w:rPr>
          <w:i/>
          <w:spacing w:val="-3"/>
        </w:rPr>
        <w:sym w:font="Symbol" w:char="F065"/>
      </w:r>
      <w:r w:rsidRPr="005279D3">
        <w:rPr>
          <w:i/>
          <w:spacing w:val="-3"/>
          <w:vertAlign w:val="subscript"/>
        </w:rPr>
        <w:sym w:font="Symbol" w:char="F066"/>
      </w:r>
      <w:r w:rsidRPr="005279D3">
        <w:rPr>
          <w:i/>
          <w:spacing w:val="-3"/>
          <w:vertAlign w:val="superscript"/>
        </w:rPr>
        <w:t>2</w:t>
      </w:r>
      <w:r w:rsidRPr="005279D3">
        <w:rPr>
          <w:i/>
          <w:spacing w:val="-3"/>
        </w:rPr>
        <w:t>(</w:t>
      </w:r>
      <w:r w:rsidRPr="005279D3">
        <w:rPr>
          <w:i/>
          <w:spacing w:val="-3"/>
        </w:rPr>
        <w:sym w:font="Symbol" w:char="F0D1"/>
      </w:r>
      <w:r w:rsidRPr="005279D3">
        <w:rPr>
          <w:i/>
          <w:spacing w:val="-3"/>
        </w:rPr>
        <w:sym w:font="Symbol" w:char="F066"/>
      </w:r>
      <w:r w:rsidRPr="005279D3">
        <w:rPr>
          <w:i/>
          <w:spacing w:val="-3"/>
        </w:rPr>
        <w:t>)</w:t>
      </w:r>
      <w:r w:rsidRPr="005279D3">
        <w:rPr>
          <w:i/>
          <w:spacing w:val="-3"/>
          <w:vertAlign w:val="superscript"/>
        </w:rPr>
        <w:t>2</w:t>
      </w:r>
      <w:r w:rsidRPr="005279D3">
        <w:rPr>
          <w:spacing w:val="-3"/>
        </w:rPr>
        <w:t xml:space="preserve">, with distance, </w:t>
      </w:r>
      <w:r w:rsidRPr="005279D3">
        <w:rPr>
          <w:i/>
          <w:spacing w:val="-3"/>
        </w:rPr>
        <w:t>x</w:t>
      </w:r>
      <w:r w:rsidRPr="005279D3">
        <w:rPr>
          <w:spacing w:val="-3"/>
        </w:rPr>
        <w:t>, across a stationary flat liquid-solid interface at the melting point in a pure material.</w:t>
      </w:r>
    </w:p>
    <w:p w14:paraId="5B5A2DA3" w14:textId="5EB05D34" w:rsidR="00280FA2" w:rsidRDefault="00280FA2" w:rsidP="00280FA2">
      <w:pPr>
        <w:tabs>
          <w:tab w:val="left" w:pos="-720"/>
        </w:tabs>
        <w:suppressAutoHyphens/>
        <w:spacing w:line="360" w:lineRule="atLeast"/>
        <w:ind w:left="1440" w:hanging="1440"/>
        <w:jc w:val="center"/>
        <w:rPr>
          <w:spacing w:val="-3"/>
        </w:rPr>
      </w:pPr>
      <w:r>
        <w:rPr>
          <w:noProof/>
          <w:spacing w:val="-3"/>
        </w:rPr>
        <w:lastRenderedPageBreak/>
        <w:drawing>
          <wp:inline distT="0" distB="0" distL="0" distR="0" wp14:anchorId="7D0F0E93" wp14:editId="770A3C18">
            <wp:extent cx="2320290" cy="4925695"/>
            <wp:effectExtent l="0" t="0" r="3810" b="825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1388">
                      <a:extLst>
                        <a:ext uri="{28A0092B-C50C-407E-A947-70E740481C1C}">
                          <a14:useLocalDpi xmlns:a14="http://schemas.microsoft.com/office/drawing/2010/main" val="0"/>
                        </a:ext>
                      </a:extLst>
                    </a:blip>
                    <a:srcRect/>
                    <a:stretch>
                      <a:fillRect/>
                    </a:stretch>
                  </pic:blipFill>
                  <pic:spPr bwMode="auto">
                    <a:xfrm>
                      <a:off x="0" y="0"/>
                      <a:ext cx="2320290" cy="4925695"/>
                    </a:xfrm>
                    <a:prstGeom prst="rect">
                      <a:avLst/>
                    </a:prstGeom>
                    <a:noFill/>
                    <a:ln>
                      <a:noFill/>
                    </a:ln>
                  </pic:spPr>
                </pic:pic>
              </a:graphicData>
            </a:graphic>
          </wp:inline>
        </w:drawing>
      </w:r>
    </w:p>
    <w:p w14:paraId="2D95BBB4" w14:textId="77777777" w:rsidR="00280FA2" w:rsidRDefault="00280FA2" w:rsidP="00280FA2">
      <w:pPr>
        <w:tabs>
          <w:tab w:val="left" w:pos="-720"/>
        </w:tabs>
        <w:suppressAutoHyphens/>
        <w:spacing w:line="360" w:lineRule="atLeast"/>
        <w:ind w:left="1440" w:hanging="1440"/>
        <w:rPr>
          <w:spacing w:val="-3"/>
        </w:rPr>
      </w:pPr>
      <w:r>
        <w:rPr>
          <w:spacing w:val="-3"/>
        </w:rPr>
        <w:t xml:space="preserve">Figure </w:t>
      </w:r>
      <w:r w:rsidRPr="00F113AF">
        <w:rPr>
          <w:spacing w:val="-3"/>
        </w:rPr>
        <w:t xml:space="preserve"> </w:t>
      </w:r>
      <w:r>
        <w:rPr>
          <w:spacing w:val="-3"/>
        </w:rPr>
        <w:t xml:space="preserve">3.8 </w:t>
      </w:r>
      <w:r>
        <w:rPr>
          <w:spacing w:val="-3"/>
        </w:rPr>
        <w:tab/>
      </w:r>
      <w:r w:rsidRPr="00F113AF">
        <w:rPr>
          <w:spacing w:val="-3"/>
        </w:rPr>
        <w:t xml:space="preserve">(a) The alloy free energy function </w:t>
      </w:r>
      <w:r w:rsidRPr="00F113AF">
        <w:rPr>
          <w:i/>
          <w:spacing w:val="-3"/>
        </w:rPr>
        <w:t>f(</w:t>
      </w:r>
      <w:r w:rsidRPr="00F113AF">
        <w:rPr>
          <w:i/>
          <w:spacing w:val="-3"/>
        </w:rPr>
        <w:sym w:font="Symbol" w:char="F066"/>
      </w:r>
      <w:r w:rsidRPr="00F113AF">
        <w:rPr>
          <w:i/>
          <w:spacing w:val="-3"/>
        </w:rPr>
        <w:t>,c,T)</w:t>
      </w:r>
      <w:r w:rsidRPr="00F113AF">
        <w:rPr>
          <w:spacing w:val="-3"/>
        </w:rPr>
        <w:t xml:space="preserve"> for a temperature, </w:t>
      </w:r>
      <w:r w:rsidRPr="00F113AF">
        <w:rPr>
          <w:i/>
          <w:spacing w:val="-3"/>
        </w:rPr>
        <w:t>T</w:t>
      </w:r>
      <w:r w:rsidRPr="00F113AF">
        <w:rPr>
          <w:spacing w:val="-3"/>
        </w:rPr>
        <w:t>, between the pure component melting points (</w:t>
      </w:r>
      <w:r w:rsidRPr="00F113AF">
        <w:rPr>
          <w:i/>
          <w:spacing w:val="-3"/>
        </w:rPr>
        <w:t>T</w:t>
      </w:r>
      <w:r w:rsidRPr="00F113AF">
        <w:rPr>
          <w:i/>
          <w:spacing w:val="-3"/>
        </w:rPr>
        <w:fldChar w:fldCharType="begin"/>
      </w:r>
      <w:r w:rsidRPr="00F113AF">
        <w:rPr>
          <w:i/>
          <w:spacing w:val="-3"/>
        </w:rPr>
        <w:instrText>EQ \O(</w:instrText>
      </w:r>
      <w:r w:rsidRPr="00F113AF">
        <w:rPr>
          <w:i/>
          <w:spacing w:val="-3"/>
          <w:vertAlign w:val="subscript"/>
        </w:rPr>
        <w:instrText>M</w:instrText>
      </w:r>
      <w:r w:rsidRPr="00F113AF">
        <w:rPr>
          <w:i/>
          <w:spacing w:val="-3"/>
          <w:vertAlign w:val="superscript"/>
        </w:rPr>
        <w:instrText>,B</w:instrText>
      </w:r>
      <w:r w:rsidRPr="00F113AF">
        <w:rPr>
          <w:i/>
          <w:spacing w:val="-3"/>
        </w:rPr>
        <w:instrText>)</w:instrText>
      </w:r>
      <w:r w:rsidRPr="00F113AF">
        <w:rPr>
          <w:spacing w:val="-3"/>
        </w:rPr>
        <w:fldChar w:fldCharType="end"/>
      </w:r>
      <w:r>
        <w:rPr>
          <w:spacing w:val="-3"/>
        </w:rPr>
        <w:t xml:space="preserve"> </w:t>
      </w:r>
      <w:r w:rsidRPr="00F113AF">
        <w:rPr>
          <w:i/>
          <w:spacing w:val="-3"/>
        </w:rPr>
        <w:t>&lt;</w:t>
      </w:r>
      <w:r>
        <w:rPr>
          <w:i/>
          <w:spacing w:val="-3"/>
        </w:rPr>
        <w:t xml:space="preserve"> </w:t>
      </w:r>
      <w:r w:rsidRPr="00F113AF">
        <w:rPr>
          <w:i/>
          <w:spacing w:val="-3"/>
        </w:rPr>
        <w:t>T</w:t>
      </w:r>
      <w:r>
        <w:rPr>
          <w:i/>
          <w:spacing w:val="-3"/>
        </w:rPr>
        <w:t xml:space="preserve"> </w:t>
      </w:r>
      <w:r w:rsidRPr="00F113AF">
        <w:rPr>
          <w:i/>
          <w:spacing w:val="-3"/>
        </w:rPr>
        <w:t>&lt;</w:t>
      </w:r>
      <w:r>
        <w:rPr>
          <w:i/>
          <w:spacing w:val="-3"/>
        </w:rPr>
        <w:t xml:space="preserve"> </w:t>
      </w:r>
      <w:r w:rsidRPr="00F113AF">
        <w:rPr>
          <w:i/>
          <w:spacing w:val="-3"/>
        </w:rPr>
        <w:t>T</w:t>
      </w:r>
      <w:r w:rsidRPr="00F113AF">
        <w:rPr>
          <w:i/>
          <w:spacing w:val="-3"/>
        </w:rPr>
        <w:fldChar w:fldCharType="begin"/>
      </w:r>
      <w:r w:rsidRPr="00F113AF">
        <w:rPr>
          <w:i/>
          <w:spacing w:val="-3"/>
        </w:rPr>
        <w:instrText>EQ \O(</w:instrText>
      </w:r>
      <w:r w:rsidRPr="00F113AF">
        <w:rPr>
          <w:i/>
          <w:spacing w:val="-3"/>
          <w:vertAlign w:val="subscript"/>
        </w:rPr>
        <w:instrText>M</w:instrText>
      </w:r>
      <w:r w:rsidRPr="00F113AF">
        <w:rPr>
          <w:i/>
          <w:spacing w:val="-3"/>
          <w:vertAlign w:val="superscript"/>
        </w:rPr>
        <w:instrText>,A</w:instrText>
      </w:r>
      <w:r w:rsidRPr="00F113AF">
        <w:rPr>
          <w:i/>
          <w:spacing w:val="-3"/>
        </w:rPr>
        <w:instrText>)</w:instrText>
      </w:r>
      <w:r w:rsidRPr="00F113AF">
        <w:rPr>
          <w:spacing w:val="-3"/>
        </w:rPr>
        <w:fldChar w:fldCharType="end"/>
      </w:r>
      <w:r w:rsidRPr="00F113AF">
        <w:rPr>
          <w:spacing w:val="-3"/>
        </w:rPr>
        <w:t xml:space="preserve">) The locus of </w:t>
      </w:r>
      <w:r w:rsidRPr="00F113AF">
        <w:rPr>
          <w:i/>
          <w:spacing w:val="-3"/>
        </w:rPr>
        <w:sym w:font="Symbol" w:char="F066"/>
      </w:r>
      <w:r w:rsidRPr="00F113AF">
        <w:rPr>
          <w:spacing w:val="-3"/>
        </w:rPr>
        <w:t xml:space="preserve"> and </w:t>
      </w:r>
      <w:r w:rsidRPr="00F113AF">
        <w:rPr>
          <w:i/>
          <w:spacing w:val="-3"/>
        </w:rPr>
        <w:t>c</w:t>
      </w:r>
      <w:r w:rsidRPr="00F113AF">
        <w:rPr>
          <w:spacing w:val="-3"/>
        </w:rPr>
        <w:t xml:space="preserve"> through the thin interfacial region is shown dotted. (b) Projection of (a) along the </w:t>
      </w:r>
      <w:r w:rsidRPr="00F113AF">
        <w:rPr>
          <w:i/>
          <w:spacing w:val="-3"/>
        </w:rPr>
        <w:sym w:font="Symbol" w:char="F066"/>
      </w:r>
      <w:r w:rsidRPr="00F113AF">
        <w:rPr>
          <w:spacing w:val="-3"/>
        </w:rPr>
        <w:t xml:space="preserve"> axis showing</w:t>
      </w:r>
      <w:r>
        <w:rPr>
          <w:spacing w:val="-3"/>
        </w:rPr>
        <w:t xml:space="preserve"> </w:t>
      </w:r>
      <w:r w:rsidRPr="00F113AF">
        <w:rPr>
          <w:spacing w:val="-3"/>
        </w:rPr>
        <w:t xml:space="preserve">the common tangent line. The free energy surface is only shown for 0&lt; </w:t>
      </w:r>
      <w:r w:rsidRPr="00F113AF">
        <w:rPr>
          <w:i/>
          <w:spacing w:val="-3"/>
        </w:rPr>
        <w:sym w:font="Symbol" w:char="F066"/>
      </w:r>
      <w:r w:rsidRPr="00F113AF">
        <w:rPr>
          <w:i/>
          <w:spacing w:val="-3"/>
        </w:rPr>
        <w:t xml:space="preserve"> </w:t>
      </w:r>
      <w:r w:rsidRPr="00F113AF">
        <w:rPr>
          <w:spacing w:val="-3"/>
        </w:rPr>
        <w:t>&lt;1.</w:t>
      </w:r>
    </w:p>
    <w:p w14:paraId="644EBB09" w14:textId="77777777" w:rsidR="00280FA2" w:rsidRDefault="00280FA2" w:rsidP="00280FA2">
      <w:pPr>
        <w:tabs>
          <w:tab w:val="left" w:pos="-720"/>
        </w:tabs>
        <w:suppressAutoHyphens/>
        <w:spacing w:line="360" w:lineRule="atLeast"/>
        <w:ind w:left="1440" w:hanging="1440"/>
        <w:rPr>
          <w:spacing w:val="-3"/>
        </w:rPr>
      </w:pPr>
      <w:r>
        <w:rPr>
          <w:spacing w:val="-3"/>
        </w:rPr>
        <w:br w:type="page"/>
      </w:r>
    </w:p>
    <w:p w14:paraId="3B6A2F85" w14:textId="77777777" w:rsidR="00280FA2" w:rsidRDefault="00280FA2" w:rsidP="00280FA2">
      <w:pPr>
        <w:tabs>
          <w:tab w:val="left" w:pos="-720"/>
        </w:tabs>
        <w:suppressAutoHyphens/>
        <w:spacing w:line="240" w:lineRule="atLeast"/>
        <w:rPr>
          <w:spacing w:val="-3"/>
        </w:rPr>
      </w:pPr>
    </w:p>
    <w:p w14:paraId="73ADE6B1" w14:textId="77777777" w:rsidR="00280FA2" w:rsidRDefault="00280FA2" w:rsidP="00280FA2">
      <w:pPr>
        <w:tabs>
          <w:tab w:val="left" w:pos="-720"/>
        </w:tabs>
        <w:suppressAutoHyphens/>
        <w:spacing w:line="240" w:lineRule="atLeast"/>
        <w:rPr>
          <w:spacing w:val="-3"/>
        </w:rPr>
      </w:pPr>
    </w:p>
    <w:p w14:paraId="71780B49" w14:textId="77777777" w:rsidR="00280FA2" w:rsidRDefault="00280FA2" w:rsidP="00280FA2">
      <w:pPr>
        <w:tabs>
          <w:tab w:val="left" w:pos="-720"/>
        </w:tabs>
        <w:suppressAutoHyphens/>
        <w:spacing w:line="240" w:lineRule="atLeast"/>
        <w:rPr>
          <w:b/>
          <w:bCs/>
          <w:i/>
          <w:iCs/>
          <w:spacing w:val="-3"/>
        </w:rPr>
      </w:pPr>
      <w:r>
        <w:rPr>
          <w:b/>
          <w:bCs/>
          <w:i/>
          <w:iCs/>
          <w:spacing w:val="-3"/>
        </w:rPr>
        <w:t>SECTION 4</w:t>
      </w:r>
    </w:p>
    <w:p w14:paraId="2555DA72" w14:textId="77777777" w:rsidR="00280FA2" w:rsidRDefault="00280FA2" w:rsidP="00280FA2">
      <w:pPr>
        <w:tabs>
          <w:tab w:val="left" w:pos="-720"/>
        </w:tabs>
        <w:suppressAutoHyphens/>
        <w:spacing w:line="240" w:lineRule="atLeast"/>
        <w:rPr>
          <w:spacing w:val="-3"/>
        </w:rPr>
      </w:pPr>
    </w:p>
    <w:p w14:paraId="69AA02AE" w14:textId="184B3E87" w:rsidR="00280FA2" w:rsidRDefault="00280FA2" w:rsidP="00280FA2">
      <w:pPr>
        <w:tabs>
          <w:tab w:val="left" w:pos="-720"/>
        </w:tabs>
        <w:suppressAutoHyphens/>
        <w:spacing w:line="240" w:lineRule="atLeast"/>
        <w:jc w:val="center"/>
        <w:rPr>
          <w:spacing w:val="-3"/>
        </w:rPr>
      </w:pPr>
      <w:r>
        <w:rPr>
          <w:noProof/>
          <w:spacing w:val="-3"/>
        </w:rPr>
        <w:drawing>
          <wp:inline distT="0" distB="0" distL="0" distR="0" wp14:anchorId="45AF101E" wp14:editId="3EDFB6BB">
            <wp:extent cx="5469255" cy="5736590"/>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1389" cstate="print">
                      <a:extLst>
                        <a:ext uri="{28A0092B-C50C-407E-A947-70E740481C1C}">
                          <a14:useLocalDpi xmlns:a14="http://schemas.microsoft.com/office/drawing/2010/main" val="0"/>
                        </a:ext>
                      </a:extLst>
                    </a:blip>
                    <a:srcRect/>
                    <a:stretch>
                      <a:fillRect/>
                    </a:stretch>
                  </pic:blipFill>
                  <pic:spPr bwMode="auto">
                    <a:xfrm>
                      <a:off x="0" y="0"/>
                      <a:ext cx="5469255" cy="5736590"/>
                    </a:xfrm>
                    <a:prstGeom prst="rect">
                      <a:avLst/>
                    </a:prstGeom>
                    <a:noFill/>
                    <a:ln>
                      <a:noFill/>
                    </a:ln>
                  </pic:spPr>
                </pic:pic>
              </a:graphicData>
            </a:graphic>
          </wp:inline>
        </w:drawing>
      </w:r>
    </w:p>
    <w:p w14:paraId="3A35C10D" w14:textId="77777777" w:rsidR="00280FA2" w:rsidRDefault="00280FA2" w:rsidP="00280FA2">
      <w:pPr>
        <w:tabs>
          <w:tab w:val="left" w:pos="-720"/>
          <w:tab w:val="left" w:pos="0"/>
          <w:tab w:val="left" w:pos="720"/>
        </w:tabs>
        <w:suppressAutoHyphens/>
        <w:spacing w:line="240" w:lineRule="atLeast"/>
        <w:ind w:left="1440" w:hanging="1440"/>
        <w:rPr>
          <w:spacing w:val="-3"/>
        </w:rPr>
      </w:pPr>
      <w:r>
        <w:rPr>
          <w:spacing w:val="-3"/>
        </w:rPr>
        <w:t xml:space="preserve">Figure 4.1 </w:t>
      </w:r>
      <w:r>
        <w:rPr>
          <w:spacing w:val="-3"/>
        </w:rPr>
        <w:tab/>
        <w:t>Volume, surface and total values of the free energy of a crystal cluster as a function of radius,</w:t>
      </w:r>
      <w:r>
        <w:rPr>
          <w:i/>
          <w:iCs/>
          <w:spacing w:val="-3"/>
        </w:rPr>
        <w:t xml:space="preserve"> r,</w:t>
      </w:r>
      <w:r>
        <w:rPr>
          <w:spacing w:val="-3"/>
        </w:rPr>
        <w:t xml:space="preserve"> at three temperatures: (a)</w:t>
      </w:r>
      <w:r>
        <w:rPr>
          <w:i/>
          <w:iCs/>
          <w:spacing w:val="-3"/>
        </w:rPr>
        <w:t xml:space="preserve"> T&gt;T</w:t>
      </w:r>
      <w:r>
        <w:rPr>
          <w:spacing w:val="-3"/>
          <w:vertAlign w:val="subscript"/>
        </w:rPr>
        <w:t>m</w:t>
      </w:r>
      <w:r>
        <w:rPr>
          <w:spacing w:val="-3"/>
        </w:rPr>
        <w:t xml:space="preserve">, (b) </w:t>
      </w:r>
      <w:r>
        <w:rPr>
          <w:i/>
          <w:iCs/>
          <w:spacing w:val="-3"/>
        </w:rPr>
        <w:t>T</w:t>
      </w:r>
      <w:r>
        <w:rPr>
          <w:spacing w:val="-3"/>
        </w:rPr>
        <w:t>=</w:t>
      </w:r>
      <w:r>
        <w:rPr>
          <w:i/>
          <w:iCs/>
          <w:spacing w:val="-3"/>
        </w:rPr>
        <w:t>T</w:t>
      </w:r>
      <w:r>
        <w:rPr>
          <w:spacing w:val="-3"/>
          <w:vertAlign w:val="subscript"/>
        </w:rPr>
        <w:t>m</w:t>
      </w:r>
      <w:r>
        <w:rPr>
          <w:spacing w:val="-3"/>
        </w:rPr>
        <w:t>, and (c)</w:t>
      </w:r>
      <w:r>
        <w:rPr>
          <w:i/>
          <w:iCs/>
          <w:spacing w:val="-3"/>
        </w:rPr>
        <w:t xml:space="preserve"> T&lt;T</w:t>
      </w:r>
      <w:r>
        <w:rPr>
          <w:spacing w:val="-3"/>
          <w:vertAlign w:val="subscript"/>
        </w:rPr>
        <w:t>m</w:t>
      </w:r>
      <w:r>
        <w:rPr>
          <w:spacing w:val="-3"/>
        </w:rPr>
        <w:t>. KURZ and FISHER [1989].</w:t>
      </w:r>
    </w:p>
    <w:p w14:paraId="3B3BE285" w14:textId="29E21DE1" w:rsidR="00280FA2" w:rsidRDefault="00280FA2" w:rsidP="00280FA2">
      <w:pPr>
        <w:tabs>
          <w:tab w:val="left" w:pos="-720"/>
        </w:tabs>
        <w:suppressAutoHyphens/>
        <w:spacing w:line="240" w:lineRule="atLeast"/>
        <w:jc w:val="center"/>
        <w:rPr>
          <w:spacing w:val="-3"/>
        </w:rPr>
      </w:pPr>
      <w:r>
        <w:rPr>
          <w:noProof/>
          <w:spacing w:val="-3"/>
        </w:rPr>
        <w:lastRenderedPageBreak/>
        <w:drawing>
          <wp:inline distT="0" distB="0" distL="0" distR="0" wp14:anchorId="680A2C55" wp14:editId="76F4BF6E">
            <wp:extent cx="4545965" cy="3666490"/>
            <wp:effectExtent l="0" t="0" r="6985"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1390" cstate="print">
                      <a:extLst>
                        <a:ext uri="{28A0092B-C50C-407E-A947-70E740481C1C}">
                          <a14:useLocalDpi xmlns:a14="http://schemas.microsoft.com/office/drawing/2010/main" val="0"/>
                        </a:ext>
                      </a:extLst>
                    </a:blip>
                    <a:srcRect/>
                    <a:stretch>
                      <a:fillRect/>
                    </a:stretch>
                  </pic:blipFill>
                  <pic:spPr bwMode="auto">
                    <a:xfrm>
                      <a:off x="0" y="0"/>
                      <a:ext cx="4545965" cy="3666490"/>
                    </a:xfrm>
                    <a:prstGeom prst="rect">
                      <a:avLst/>
                    </a:prstGeom>
                    <a:noFill/>
                    <a:ln>
                      <a:noFill/>
                    </a:ln>
                  </pic:spPr>
                </pic:pic>
              </a:graphicData>
            </a:graphic>
          </wp:inline>
        </w:drawing>
      </w:r>
    </w:p>
    <w:p w14:paraId="036DD725" w14:textId="77777777" w:rsidR="00280FA2" w:rsidRDefault="00280FA2" w:rsidP="00280FA2">
      <w:pPr>
        <w:tabs>
          <w:tab w:val="left" w:pos="-720"/>
          <w:tab w:val="left" w:pos="0"/>
          <w:tab w:val="left" w:pos="720"/>
        </w:tabs>
        <w:suppressAutoHyphens/>
        <w:spacing w:line="240" w:lineRule="atLeast"/>
        <w:ind w:left="1440" w:hanging="1440"/>
        <w:rPr>
          <w:spacing w:val="-3"/>
        </w:rPr>
      </w:pPr>
      <w:r>
        <w:rPr>
          <w:spacing w:val="-3"/>
        </w:rPr>
        <w:t xml:space="preserve">Figure 4.2 </w:t>
      </w:r>
      <w:r>
        <w:rPr>
          <w:spacing w:val="-3"/>
        </w:rPr>
        <w:tab/>
        <w:t>Schematic comparison of (a) homogeneous and (b) heterogeneous nucleation of a crystal in a supercooled liquid. The interface energies are assumed to be isotropic and in (b) the catalytic surface is assumed to be flat.</w:t>
      </w:r>
    </w:p>
    <w:p w14:paraId="27E35D37" w14:textId="794CFA79" w:rsidR="00280FA2" w:rsidRDefault="00280FA2" w:rsidP="00280FA2">
      <w:pPr>
        <w:tabs>
          <w:tab w:val="left" w:pos="-720"/>
        </w:tabs>
        <w:suppressAutoHyphens/>
        <w:spacing w:line="240" w:lineRule="atLeast"/>
        <w:jc w:val="center"/>
        <w:rPr>
          <w:spacing w:val="-3"/>
        </w:rPr>
      </w:pPr>
      <w:r>
        <w:rPr>
          <w:noProof/>
          <w:spacing w:val="-3"/>
        </w:rPr>
        <w:drawing>
          <wp:inline distT="0" distB="0" distL="0" distR="0" wp14:anchorId="6953A61F" wp14:editId="1DF91058">
            <wp:extent cx="4425315" cy="3373120"/>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1391" cstate="print">
                      <a:extLst>
                        <a:ext uri="{28A0092B-C50C-407E-A947-70E740481C1C}">
                          <a14:useLocalDpi xmlns:a14="http://schemas.microsoft.com/office/drawing/2010/main" val="0"/>
                        </a:ext>
                      </a:extLst>
                    </a:blip>
                    <a:srcRect/>
                    <a:stretch>
                      <a:fillRect/>
                    </a:stretch>
                  </pic:blipFill>
                  <pic:spPr bwMode="auto">
                    <a:xfrm>
                      <a:off x="0" y="0"/>
                      <a:ext cx="4425315" cy="3373120"/>
                    </a:xfrm>
                    <a:prstGeom prst="rect">
                      <a:avLst/>
                    </a:prstGeom>
                    <a:noFill/>
                    <a:ln>
                      <a:noFill/>
                    </a:ln>
                  </pic:spPr>
                </pic:pic>
              </a:graphicData>
            </a:graphic>
          </wp:inline>
        </w:drawing>
      </w:r>
    </w:p>
    <w:p w14:paraId="587BD85A" w14:textId="77777777" w:rsidR="00280FA2" w:rsidRDefault="00280FA2" w:rsidP="00280FA2">
      <w:pPr>
        <w:tabs>
          <w:tab w:val="left" w:pos="-720"/>
          <w:tab w:val="left" w:pos="0"/>
          <w:tab w:val="left" w:pos="720"/>
        </w:tabs>
        <w:suppressAutoHyphens/>
        <w:spacing w:line="240" w:lineRule="atLeast"/>
        <w:ind w:left="1440" w:hanging="1440"/>
        <w:rPr>
          <w:spacing w:val="-3"/>
        </w:rPr>
      </w:pPr>
      <w:r>
        <w:rPr>
          <w:spacing w:val="-3"/>
        </w:rPr>
        <w:t xml:space="preserve">Figure 4.3 </w:t>
      </w:r>
      <w:r>
        <w:rPr>
          <w:spacing w:val="-3"/>
        </w:rPr>
        <w:tab/>
        <w:t>Sample configuration for different supercooling methods. PEREPEZKO and ANDERSON [1980].</w:t>
      </w:r>
    </w:p>
    <w:p w14:paraId="2227D894" w14:textId="77777777" w:rsidR="00280FA2" w:rsidRDefault="00280FA2" w:rsidP="00280FA2">
      <w:pPr>
        <w:tabs>
          <w:tab w:val="left" w:pos="-720"/>
        </w:tabs>
        <w:suppressAutoHyphens/>
        <w:spacing w:line="240" w:lineRule="atLeast"/>
        <w:rPr>
          <w:spacing w:val="-3"/>
        </w:rPr>
      </w:pPr>
    </w:p>
    <w:p w14:paraId="6DAC5E1C" w14:textId="3A605100" w:rsidR="00280FA2" w:rsidRDefault="00280FA2" w:rsidP="00280FA2">
      <w:pPr>
        <w:tabs>
          <w:tab w:val="left" w:pos="-720"/>
          <w:tab w:val="left" w:pos="0"/>
          <w:tab w:val="left" w:pos="720"/>
        </w:tabs>
        <w:suppressAutoHyphens/>
        <w:spacing w:line="240" w:lineRule="atLeast"/>
        <w:ind w:left="1440" w:hanging="1440"/>
        <w:jc w:val="center"/>
        <w:rPr>
          <w:spacing w:val="-3"/>
        </w:rPr>
      </w:pPr>
      <w:r>
        <w:rPr>
          <w:noProof/>
          <w:spacing w:val="-3"/>
        </w:rPr>
        <w:lastRenderedPageBreak/>
        <w:drawing>
          <wp:inline distT="0" distB="0" distL="0" distR="0" wp14:anchorId="4918ED05" wp14:editId="25334164">
            <wp:extent cx="5486400" cy="3666490"/>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1392">
                      <a:extLst>
                        <a:ext uri="{28A0092B-C50C-407E-A947-70E740481C1C}">
                          <a14:useLocalDpi xmlns:a14="http://schemas.microsoft.com/office/drawing/2010/main" val="0"/>
                        </a:ext>
                      </a:extLst>
                    </a:blip>
                    <a:srcRect/>
                    <a:stretch>
                      <a:fillRect/>
                    </a:stretch>
                  </pic:blipFill>
                  <pic:spPr bwMode="auto">
                    <a:xfrm>
                      <a:off x="0" y="0"/>
                      <a:ext cx="5486400" cy="3666490"/>
                    </a:xfrm>
                    <a:prstGeom prst="rect">
                      <a:avLst/>
                    </a:prstGeom>
                    <a:noFill/>
                    <a:ln>
                      <a:noFill/>
                    </a:ln>
                  </pic:spPr>
                </pic:pic>
              </a:graphicData>
            </a:graphic>
          </wp:inline>
        </w:drawing>
      </w:r>
    </w:p>
    <w:p w14:paraId="08A348CB" w14:textId="5739B901" w:rsidR="00280FA2" w:rsidRDefault="00280FA2" w:rsidP="00280FA2">
      <w:pPr>
        <w:tabs>
          <w:tab w:val="left" w:pos="-720"/>
          <w:tab w:val="left" w:pos="0"/>
          <w:tab w:val="left" w:pos="720"/>
        </w:tabs>
        <w:suppressAutoHyphens/>
        <w:spacing w:line="240" w:lineRule="atLeast"/>
        <w:ind w:left="1440" w:hanging="1440"/>
        <w:rPr>
          <w:spacing w:val="-3"/>
        </w:rPr>
      </w:pPr>
      <w:r>
        <w:rPr>
          <w:spacing w:val="-3"/>
        </w:rPr>
        <w:t xml:space="preserve">Fig 4.4 </w:t>
      </w:r>
      <w:r>
        <w:rPr>
          <w:spacing w:val="-3"/>
        </w:rPr>
        <w:tab/>
        <w:t xml:space="preserve">Liquid-solid interface energy for pure </w:t>
      </w:r>
      <w:r w:rsidR="008A29DE">
        <w:rPr>
          <w:spacing w:val="-3"/>
        </w:rPr>
        <w:t xml:space="preserve">bcc </w:t>
      </w:r>
      <w:r>
        <w:rPr>
          <w:spacing w:val="-3"/>
        </w:rPr>
        <w:t xml:space="preserve">and </w:t>
      </w:r>
      <w:r w:rsidR="008A29DE">
        <w:rPr>
          <w:spacing w:val="-3"/>
        </w:rPr>
        <w:t xml:space="preserve">fcc </w:t>
      </w:r>
      <w:r>
        <w:rPr>
          <w:spacing w:val="-3"/>
        </w:rPr>
        <w:t>metals calculated by the capillary fluctuation method using EAM potentials The plot shows the correlation of the normalized interface energy with heat of fusion for the two structures (Hoyt et al. [2006]).</w:t>
      </w:r>
    </w:p>
    <w:p w14:paraId="7B2C4785" w14:textId="0E1CA5F2" w:rsidR="00280FA2" w:rsidRDefault="00280FA2" w:rsidP="00280FA2">
      <w:pPr>
        <w:tabs>
          <w:tab w:val="left" w:pos="-720"/>
          <w:tab w:val="left" w:pos="0"/>
          <w:tab w:val="left" w:pos="720"/>
        </w:tabs>
        <w:suppressAutoHyphens/>
        <w:spacing w:line="240" w:lineRule="atLeast"/>
        <w:ind w:left="1440" w:hanging="1440"/>
        <w:jc w:val="center"/>
        <w:rPr>
          <w:spacing w:val="-3"/>
        </w:rPr>
      </w:pPr>
      <w:r>
        <w:rPr>
          <w:noProof/>
          <w:spacing w:val="-3"/>
        </w:rPr>
        <w:lastRenderedPageBreak/>
        <w:drawing>
          <wp:inline distT="0" distB="0" distL="0" distR="0" wp14:anchorId="5C49B906" wp14:editId="10AED39E">
            <wp:extent cx="3027680" cy="5365750"/>
            <wp:effectExtent l="0" t="0" r="1270" b="635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1393" cstate="print">
                      <a:extLst>
                        <a:ext uri="{28A0092B-C50C-407E-A947-70E740481C1C}">
                          <a14:useLocalDpi xmlns:a14="http://schemas.microsoft.com/office/drawing/2010/main" val="0"/>
                        </a:ext>
                      </a:extLst>
                    </a:blip>
                    <a:srcRect/>
                    <a:stretch>
                      <a:fillRect/>
                    </a:stretch>
                  </pic:blipFill>
                  <pic:spPr bwMode="auto">
                    <a:xfrm>
                      <a:off x="0" y="0"/>
                      <a:ext cx="3027680" cy="5365750"/>
                    </a:xfrm>
                    <a:prstGeom prst="rect">
                      <a:avLst/>
                    </a:prstGeom>
                    <a:noFill/>
                    <a:ln>
                      <a:noFill/>
                    </a:ln>
                  </pic:spPr>
                </pic:pic>
              </a:graphicData>
            </a:graphic>
          </wp:inline>
        </w:drawing>
      </w:r>
    </w:p>
    <w:p w14:paraId="6CC0A6DC" w14:textId="77777777" w:rsidR="00280FA2" w:rsidRDefault="00280FA2" w:rsidP="00280FA2">
      <w:pPr>
        <w:tabs>
          <w:tab w:val="left" w:pos="-720"/>
          <w:tab w:val="left" w:pos="0"/>
          <w:tab w:val="left" w:pos="720"/>
        </w:tabs>
        <w:suppressAutoHyphens/>
        <w:spacing w:line="240" w:lineRule="atLeast"/>
        <w:ind w:left="1440" w:hanging="1440"/>
        <w:rPr>
          <w:spacing w:val="-3"/>
        </w:rPr>
      </w:pPr>
      <w:r>
        <w:rPr>
          <w:spacing w:val="-3"/>
        </w:rPr>
        <w:t xml:space="preserve">Figure 4.5 </w:t>
      </w:r>
      <w:r>
        <w:rPr>
          <w:spacing w:val="-3"/>
        </w:rPr>
        <w:tab/>
        <w:t>Schematic free energy versus composition curves for liquid and solid at three temperatures: (a) above the liquidus for composition X</w:t>
      </w:r>
      <w:r>
        <w:rPr>
          <w:spacing w:val="-3"/>
          <w:vertAlign w:val="subscript"/>
        </w:rPr>
        <w:t>L</w:t>
      </w:r>
      <w:r>
        <w:rPr>
          <w:spacing w:val="-3"/>
        </w:rPr>
        <w:t>, (b) at the liquidus, and (c) below the liquidus at an arbitrary nucleation temperature. The composition of a nucleus, X</w:t>
      </w:r>
      <w:r>
        <w:rPr>
          <w:spacing w:val="-3"/>
          <w:vertAlign w:val="subscript"/>
        </w:rPr>
        <w:t>N</w:t>
      </w:r>
      <w:r>
        <w:rPr>
          <w:spacing w:val="-3"/>
        </w:rPr>
        <w:t xml:space="preserve">, that maximizes the free energy change at the temperature given in (c) is given by the parallel tangent construction. THOMPSON and SPAEPEN [1983]. </w:t>
      </w:r>
    </w:p>
    <w:p w14:paraId="35CE3557" w14:textId="412A7720" w:rsidR="00280FA2" w:rsidRDefault="00280FA2" w:rsidP="00280FA2">
      <w:pPr>
        <w:tabs>
          <w:tab w:val="left" w:pos="-720"/>
        </w:tabs>
        <w:suppressAutoHyphens/>
        <w:spacing w:line="240" w:lineRule="atLeast"/>
        <w:jc w:val="center"/>
        <w:rPr>
          <w:spacing w:val="-3"/>
        </w:rPr>
      </w:pPr>
      <w:r>
        <w:rPr>
          <w:noProof/>
          <w:spacing w:val="-3"/>
        </w:rPr>
        <w:lastRenderedPageBreak/>
        <w:drawing>
          <wp:inline distT="0" distB="0" distL="0" distR="0" wp14:anchorId="134BFDB7" wp14:editId="2008E7BC">
            <wp:extent cx="3743960" cy="4356100"/>
            <wp:effectExtent l="0" t="0" r="8890" b="635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1394" cstate="print">
                      <a:extLst>
                        <a:ext uri="{28A0092B-C50C-407E-A947-70E740481C1C}">
                          <a14:useLocalDpi xmlns:a14="http://schemas.microsoft.com/office/drawing/2010/main" val="0"/>
                        </a:ext>
                      </a:extLst>
                    </a:blip>
                    <a:srcRect/>
                    <a:stretch>
                      <a:fillRect/>
                    </a:stretch>
                  </pic:blipFill>
                  <pic:spPr bwMode="auto">
                    <a:xfrm>
                      <a:off x="0" y="0"/>
                      <a:ext cx="3743960" cy="4356100"/>
                    </a:xfrm>
                    <a:prstGeom prst="rect">
                      <a:avLst/>
                    </a:prstGeom>
                    <a:noFill/>
                    <a:ln>
                      <a:noFill/>
                    </a:ln>
                  </pic:spPr>
                </pic:pic>
              </a:graphicData>
            </a:graphic>
          </wp:inline>
        </w:drawing>
      </w:r>
    </w:p>
    <w:p w14:paraId="42E12857" w14:textId="77777777" w:rsidR="00280FA2" w:rsidRDefault="00280FA2" w:rsidP="00280FA2">
      <w:pPr>
        <w:tabs>
          <w:tab w:val="left" w:pos="-720"/>
          <w:tab w:val="left" w:pos="0"/>
          <w:tab w:val="left" w:pos="720"/>
        </w:tabs>
        <w:suppressAutoHyphens/>
        <w:spacing w:line="240" w:lineRule="atLeast"/>
        <w:ind w:left="1440" w:hanging="1440"/>
        <w:rPr>
          <w:spacing w:val="-3"/>
        </w:rPr>
      </w:pPr>
      <w:r>
        <w:rPr>
          <w:spacing w:val="-3"/>
        </w:rPr>
        <w:t xml:space="preserve">Figure 4.6 </w:t>
      </w:r>
      <w:r>
        <w:rPr>
          <w:spacing w:val="-3"/>
        </w:rPr>
        <w:tab/>
        <w:t xml:space="preserve">Summary of nucleation temperatures for Pb-Sb alloys which generally follow the liquidus slope (RICHMOND </w:t>
      </w:r>
      <w:r>
        <w:rPr>
          <w:i/>
          <w:iCs/>
          <w:spacing w:val="-3"/>
        </w:rPr>
        <w:t>et al</w:t>
      </w:r>
      <w:r>
        <w:rPr>
          <w:spacing w:val="-3"/>
        </w:rPr>
        <w:t>. [1983]).  Supercooling trends at different levels are produced by different droplet surface coating treatments.</w:t>
      </w:r>
    </w:p>
    <w:p w14:paraId="52D5745C" w14:textId="38E8BFAE" w:rsidR="00280FA2" w:rsidRDefault="00280FA2" w:rsidP="00280FA2">
      <w:pPr>
        <w:tabs>
          <w:tab w:val="left" w:pos="-720"/>
        </w:tabs>
        <w:suppressAutoHyphens/>
        <w:spacing w:line="240" w:lineRule="atLeast"/>
        <w:jc w:val="center"/>
        <w:rPr>
          <w:spacing w:val="-3"/>
        </w:rPr>
      </w:pPr>
      <w:r>
        <w:rPr>
          <w:noProof/>
          <w:spacing w:val="-3"/>
        </w:rPr>
        <w:lastRenderedPageBreak/>
        <w:drawing>
          <wp:inline distT="0" distB="0" distL="0" distR="0" wp14:anchorId="6551037C" wp14:editId="2CCBC31D">
            <wp:extent cx="3545205" cy="3234690"/>
            <wp:effectExtent l="0" t="0" r="0" b="381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1395" cstate="print">
                      <a:extLst>
                        <a:ext uri="{28A0092B-C50C-407E-A947-70E740481C1C}">
                          <a14:useLocalDpi xmlns:a14="http://schemas.microsoft.com/office/drawing/2010/main" val="0"/>
                        </a:ext>
                      </a:extLst>
                    </a:blip>
                    <a:srcRect/>
                    <a:stretch>
                      <a:fillRect/>
                    </a:stretch>
                  </pic:blipFill>
                  <pic:spPr bwMode="auto">
                    <a:xfrm>
                      <a:off x="0" y="0"/>
                      <a:ext cx="3545205" cy="3234690"/>
                    </a:xfrm>
                    <a:prstGeom prst="rect">
                      <a:avLst/>
                    </a:prstGeom>
                    <a:noFill/>
                    <a:ln>
                      <a:noFill/>
                    </a:ln>
                  </pic:spPr>
                </pic:pic>
              </a:graphicData>
            </a:graphic>
          </wp:inline>
        </w:drawing>
      </w:r>
    </w:p>
    <w:p w14:paraId="61DDD6B2" w14:textId="77777777" w:rsidR="00280FA2" w:rsidRDefault="00280FA2" w:rsidP="00280FA2">
      <w:pPr>
        <w:tabs>
          <w:tab w:val="left" w:pos="-720"/>
          <w:tab w:val="left" w:pos="0"/>
          <w:tab w:val="left" w:pos="720"/>
        </w:tabs>
        <w:suppressAutoHyphens/>
        <w:spacing w:line="240" w:lineRule="atLeast"/>
        <w:ind w:left="1440" w:hanging="1440"/>
        <w:rPr>
          <w:spacing w:val="-3"/>
        </w:rPr>
      </w:pPr>
      <w:r>
        <w:rPr>
          <w:spacing w:val="-3"/>
        </w:rPr>
        <w:t xml:space="preserve">Figure 4.7 </w:t>
      </w:r>
      <w:r>
        <w:rPr>
          <w:spacing w:val="-3"/>
        </w:rPr>
        <w:tab/>
        <w:t>The stable Pb-Sn phase diagram (solid line), including measured and calculated metastable extensions (dashed line) of liquidus and solidus curves (FECHT and PEREPEZKO [1989]).</w:t>
      </w:r>
    </w:p>
    <w:p w14:paraId="16824C60" w14:textId="22831B54" w:rsidR="00280FA2" w:rsidRDefault="00280FA2" w:rsidP="00280FA2">
      <w:pPr>
        <w:tabs>
          <w:tab w:val="left" w:pos="-720"/>
          <w:tab w:val="left" w:pos="0"/>
          <w:tab w:val="left" w:pos="720"/>
        </w:tabs>
        <w:suppressAutoHyphens/>
        <w:spacing w:line="240" w:lineRule="atLeast"/>
        <w:ind w:left="1440" w:hanging="1440"/>
        <w:jc w:val="center"/>
        <w:rPr>
          <w:spacing w:val="-3"/>
        </w:rPr>
      </w:pPr>
      <w:r>
        <w:rPr>
          <w:noProof/>
          <w:spacing w:val="-3"/>
        </w:rPr>
        <w:drawing>
          <wp:inline distT="0" distB="0" distL="0" distR="0" wp14:anchorId="6FFF9A1D" wp14:editId="4008892B">
            <wp:extent cx="3157220" cy="3209290"/>
            <wp:effectExtent l="0" t="0" r="508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1396">
                      <a:extLst>
                        <a:ext uri="{28A0092B-C50C-407E-A947-70E740481C1C}">
                          <a14:useLocalDpi xmlns:a14="http://schemas.microsoft.com/office/drawing/2010/main" val="0"/>
                        </a:ext>
                      </a:extLst>
                    </a:blip>
                    <a:srcRect/>
                    <a:stretch>
                      <a:fillRect/>
                    </a:stretch>
                  </pic:blipFill>
                  <pic:spPr bwMode="auto">
                    <a:xfrm>
                      <a:off x="0" y="0"/>
                      <a:ext cx="3157220" cy="3209290"/>
                    </a:xfrm>
                    <a:prstGeom prst="rect">
                      <a:avLst/>
                    </a:prstGeom>
                    <a:noFill/>
                    <a:ln>
                      <a:noFill/>
                    </a:ln>
                  </pic:spPr>
                </pic:pic>
              </a:graphicData>
            </a:graphic>
          </wp:inline>
        </w:drawing>
      </w:r>
    </w:p>
    <w:p w14:paraId="1FB8ACF5" w14:textId="77777777" w:rsidR="00280FA2" w:rsidRDefault="00280FA2" w:rsidP="00280FA2">
      <w:pPr>
        <w:tabs>
          <w:tab w:val="left" w:pos="-720"/>
          <w:tab w:val="left" w:pos="0"/>
          <w:tab w:val="left" w:pos="720"/>
        </w:tabs>
        <w:suppressAutoHyphens/>
        <w:spacing w:line="240" w:lineRule="atLeast"/>
        <w:ind w:left="1440" w:hanging="1440"/>
        <w:rPr>
          <w:spacing w:val="-3"/>
        </w:rPr>
      </w:pPr>
      <w:r>
        <w:rPr>
          <w:spacing w:val="-3"/>
        </w:rPr>
        <w:t xml:space="preserve">Figure 4.8 </w:t>
      </w:r>
      <w:r>
        <w:rPr>
          <w:spacing w:val="-3"/>
        </w:rPr>
        <w:tab/>
        <w:t xml:space="preserve">Free growth model of GREER et al. [2000], which shows that  heterogeneous nucleation on a catalytic surface of limited lateral extent can not produce growth until the triple junction between liquid, solid and heterogeneity reaches the edge of the catalytic surface and the size. When the solid reaches the critical hemispherical condition it is free to effectively produce solidification.  </w:t>
      </w:r>
    </w:p>
    <w:p w14:paraId="0AD001AF" w14:textId="77777777" w:rsidR="00280FA2" w:rsidRDefault="00280FA2" w:rsidP="00280FA2">
      <w:pPr>
        <w:tabs>
          <w:tab w:val="left" w:pos="-720"/>
          <w:tab w:val="left" w:pos="0"/>
          <w:tab w:val="left" w:pos="720"/>
        </w:tabs>
        <w:suppressAutoHyphens/>
        <w:spacing w:line="240" w:lineRule="atLeast"/>
        <w:ind w:left="1440" w:hanging="1440"/>
        <w:rPr>
          <w:spacing w:val="-3"/>
        </w:rPr>
      </w:pPr>
    </w:p>
    <w:p w14:paraId="68DD3F68" w14:textId="77777777" w:rsidR="00280FA2" w:rsidRDefault="00280FA2" w:rsidP="00280FA2">
      <w:pPr>
        <w:tabs>
          <w:tab w:val="left" w:pos="-720"/>
        </w:tabs>
        <w:suppressAutoHyphens/>
        <w:spacing w:line="240" w:lineRule="atLeast"/>
        <w:rPr>
          <w:spacing w:val="-3"/>
        </w:rPr>
      </w:pPr>
    </w:p>
    <w:p w14:paraId="0AD678C3" w14:textId="77777777" w:rsidR="00280FA2" w:rsidRDefault="00280FA2" w:rsidP="00280FA2">
      <w:pPr>
        <w:tabs>
          <w:tab w:val="left" w:pos="-720"/>
        </w:tabs>
        <w:suppressAutoHyphens/>
        <w:spacing w:line="240" w:lineRule="atLeast"/>
        <w:rPr>
          <w:spacing w:val="-3"/>
        </w:rPr>
      </w:pPr>
      <w:r>
        <w:rPr>
          <w:b/>
          <w:bCs/>
          <w:i/>
          <w:iCs/>
          <w:spacing w:val="-3"/>
        </w:rPr>
        <w:t>SECTION 5</w:t>
      </w:r>
    </w:p>
    <w:p w14:paraId="60E38D9B" w14:textId="77777777" w:rsidR="00280FA2" w:rsidRDefault="00280FA2" w:rsidP="00280FA2">
      <w:pPr>
        <w:tabs>
          <w:tab w:val="left" w:pos="-720"/>
        </w:tabs>
        <w:suppressAutoHyphens/>
        <w:spacing w:line="240" w:lineRule="atLeast"/>
        <w:rPr>
          <w:spacing w:val="-3"/>
        </w:rPr>
      </w:pPr>
    </w:p>
    <w:p w14:paraId="14BC5910" w14:textId="1F202B6B" w:rsidR="00280FA2" w:rsidRDefault="00280FA2" w:rsidP="00280FA2">
      <w:pPr>
        <w:tabs>
          <w:tab w:val="left" w:pos="-720"/>
        </w:tabs>
        <w:suppressAutoHyphens/>
        <w:spacing w:line="240" w:lineRule="atLeast"/>
        <w:jc w:val="center"/>
        <w:rPr>
          <w:spacing w:val="-3"/>
        </w:rPr>
      </w:pPr>
      <w:r>
        <w:rPr>
          <w:noProof/>
          <w:spacing w:val="-3"/>
        </w:rPr>
        <w:drawing>
          <wp:inline distT="0" distB="0" distL="0" distR="0" wp14:anchorId="3BC84438" wp14:editId="4FE8B099">
            <wp:extent cx="3890645" cy="3347085"/>
            <wp:effectExtent l="0" t="0" r="0" b="5715"/>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1397" cstate="print">
                      <a:extLst>
                        <a:ext uri="{28A0092B-C50C-407E-A947-70E740481C1C}">
                          <a14:useLocalDpi xmlns:a14="http://schemas.microsoft.com/office/drawing/2010/main" val="0"/>
                        </a:ext>
                      </a:extLst>
                    </a:blip>
                    <a:srcRect/>
                    <a:stretch>
                      <a:fillRect/>
                    </a:stretch>
                  </pic:blipFill>
                  <pic:spPr bwMode="auto">
                    <a:xfrm>
                      <a:off x="0" y="0"/>
                      <a:ext cx="3890645" cy="3347085"/>
                    </a:xfrm>
                    <a:prstGeom prst="rect">
                      <a:avLst/>
                    </a:prstGeom>
                    <a:noFill/>
                    <a:ln>
                      <a:noFill/>
                    </a:ln>
                  </pic:spPr>
                </pic:pic>
              </a:graphicData>
            </a:graphic>
          </wp:inline>
        </w:drawing>
      </w:r>
    </w:p>
    <w:p w14:paraId="18B187EB" w14:textId="77777777" w:rsidR="00280FA2" w:rsidRDefault="00280FA2" w:rsidP="00280FA2">
      <w:pPr>
        <w:tabs>
          <w:tab w:val="left" w:pos="-720"/>
          <w:tab w:val="left" w:pos="0"/>
          <w:tab w:val="left" w:pos="720"/>
        </w:tabs>
        <w:suppressAutoHyphens/>
        <w:spacing w:line="240" w:lineRule="atLeast"/>
        <w:ind w:left="1440" w:hanging="1440"/>
        <w:rPr>
          <w:spacing w:val="-3"/>
        </w:rPr>
      </w:pPr>
      <w:r>
        <w:rPr>
          <w:spacing w:val="-3"/>
        </w:rPr>
        <w:t>Figure  5.1</w:t>
      </w:r>
      <w:r>
        <w:rPr>
          <w:spacing w:val="-3"/>
        </w:rPr>
        <w:tab/>
        <w:t xml:space="preserve">Surface configuration showing increasing roughness with decreasing values of </w:t>
      </w:r>
      <w:r>
        <w:rPr>
          <w:i/>
          <w:iCs/>
          <w:spacing w:val="-3"/>
        </w:rPr>
        <w:t>L</w:t>
      </w:r>
      <w:r>
        <w:rPr>
          <w:spacing w:val="-3"/>
          <w:vertAlign w:val="subscript"/>
        </w:rPr>
        <w:t>m</w:t>
      </w:r>
      <w:r>
        <w:rPr>
          <w:spacing w:val="-3"/>
        </w:rPr>
        <w:t>/</w:t>
      </w:r>
      <w:r>
        <w:rPr>
          <w:i/>
          <w:iCs/>
          <w:spacing w:val="-3"/>
        </w:rPr>
        <w:t>RT</w:t>
      </w:r>
      <w:r>
        <w:rPr>
          <w:spacing w:val="-3"/>
          <w:vertAlign w:val="subscript"/>
        </w:rPr>
        <w:t>m</w:t>
      </w:r>
      <w:r>
        <w:rPr>
          <w:spacing w:val="-3"/>
        </w:rPr>
        <w:t xml:space="preserve"> (LEAMY and GILMER [1974]). </w:t>
      </w:r>
      <w:r>
        <w:rPr>
          <w:spacing w:val="-3"/>
        </w:rPr>
        <w:br/>
      </w:r>
    </w:p>
    <w:p w14:paraId="6DB7F253" w14:textId="5CEF13BA" w:rsidR="00280FA2" w:rsidRDefault="00280FA2" w:rsidP="00280FA2">
      <w:pPr>
        <w:tabs>
          <w:tab w:val="left" w:pos="-720"/>
        </w:tabs>
        <w:suppressAutoHyphens/>
        <w:spacing w:line="240" w:lineRule="atLeast"/>
        <w:jc w:val="center"/>
        <w:rPr>
          <w:spacing w:val="-3"/>
        </w:rPr>
      </w:pPr>
      <w:r>
        <w:rPr>
          <w:noProof/>
          <w:spacing w:val="-3"/>
        </w:rPr>
        <w:lastRenderedPageBreak/>
        <w:drawing>
          <wp:inline distT="0" distB="0" distL="0" distR="0" wp14:anchorId="0CEDF196" wp14:editId="6BB6690B">
            <wp:extent cx="4416425" cy="3942080"/>
            <wp:effectExtent l="0" t="0" r="3175" b="127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1398" cstate="print">
                      <a:extLst>
                        <a:ext uri="{28A0092B-C50C-407E-A947-70E740481C1C}">
                          <a14:useLocalDpi xmlns:a14="http://schemas.microsoft.com/office/drawing/2010/main" val="0"/>
                        </a:ext>
                      </a:extLst>
                    </a:blip>
                    <a:srcRect/>
                    <a:stretch>
                      <a:fillRect/>
                    </a:stretch>
                  </pic:blipFill>
                  <pic:spPr bwMode="auto">
                    <a:xfrm>
                      <a:off x="0" y="0"/>
                      <a:ext cx="4416425" cy="3942080"/>
                    </a:xfrm>
                    <a:prstGeom prst="rect">
                      <a:avLst/>
                    </a:prstGeom>
                    <a:noFill/>
                    <a:ln>
                      <a:noFill/>
                    </a:ln>
                  </pic:spPr>
                </pic:pic>
              </a:graphicData>
            </a:graphic>
          </wp:inline>
        </w:drawing>
      </w:r>
    </w:p>
    <w:p w14:paraId="44D83D95" w14:textId="77777777" w:rsidR="00280FA2" w:rsidRDefault="00280FA2" w:rsidP="00280FA2">
      <w:pPr>
        <w:tabs>
          <w:tab w:val="left" w:pos="-720"/>
          <w:tab w:val="left" w:pos="0"/>
          <w:tab w:val="left" w:pos="720"/>
        </w:tabs>
        <w:suppressAutoHyphens/>
        <w:spacing w:line="240" w:lineRule="atLeast"/>
        <w:ind w:left="1440" w:hanging="1440"/>
        <w:rPr>
          <w:spacing w:val="-3"/>
        </w:rPr>
      </w:pPr>
      <w:r>
        <w:rPr>
          <w:spacing w:val="-3"/>
        </w:rPr>
        <w:t xml:space="preserve">Figure  5.2 </w:t>
      </w:r>
      <w:r>
        <w:rPr>
          <w:spacing w:val="-3"/>
        </w:rPr>
        <w:tab/>
        <w:t xml:space="preserve">Trajectories of the molecules in layers parallel to a (111) interface going from solid (layer 5) into the liquid (layer 8) that were obtained by molecular dynamics simulations by BROUGHTON </w:t>
      </w:r>
      <w:r>
        <w:rPr>
          <w:i/>
          <w:iCs/>
          <w:spacing w:val="-3"/>
        </w:rPr>
        <w:t>et al.</w:t>
      </w:r>
      <w:r>
        <w:rPr>
          <w:spacing w:val="-3"/>
        </w:rPr>
        <w:t xml:space="preserve"> [1981].</w:t>
      </w:r>
    </w:p>
    <w:p w14:paraId="36BF5878" w14:textId="5E644EC9" w:rsidR="00280FA2" w:rsidRDefault="00280FA2" w:rsidP="00280FA2">
      <w:pPr>
        <w:tabs>
          <w:tab w:val="left" w:pos="-720"/>
        </w:tabs>
        <w:suppressAutoHyphens/>
        <w:spacing w:line="240" w:lineRule="atLeast"/>
        <w:jc w:val="center"/>
        <w:rPr>
          <w:spacing w:val="-3"/>
        </w:rPr>
      </w:pPr>
      <w:r>
        <w:rPr>
          <w:noProof/>
          <w:spacing w:val="-3"/>
        </w:rPr>
        <w:drawing>
          <wp:inline distT="0" distB="0" distL="0" distR="0" wp14:anchorId="1F59C7C8" wp14:editId="552E4914">
            <wp:extent cx="4295775" cy="3209290"/>
            <wp:effectExtent l="0" t="0" r="9525"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1399" cstate="print">
                      <a:extLst>
                        <a:ext uri="{28A0092B-C50C-407E-A947-70E740481C1C}">
                          <a14:useLocalDpi xmlns:a14="http://schemas.microsoft.com/office/drawing/2010/main" val="0"/>
                        </a:ext>
                      </a:extLst>
                    </a:blip>
                    <a:srcRect/>
                    <a:stretch>
                      <a:fillRect/>
                    </a:stretch>
                  </pic:blipFill>
                  <pic:spPr bwMode="auto">
                    <a:xfrm>
                      <a:off x="0" y="0"/>
                      <a:ext cx="4295775" cy="3209290"/>
                    </a:xfrm>
                    <a:prstGeom prst="rect">
                      <a:avLst/>
                    </a:prstGeom>
                    <a:noFill/>
                    <a:ln>
                      <a:noFill/>
                    </a:ln>
                  </pic:spPr>
                </pic:pic>
              </a:graphicData>
            </a:graphic>
          </wp:inline>
        </w:drawing>
      </w:r>
    </w:p>
    <w:p w14:paraId="65B1B72D" w14:textId="77777777" w:rsidR="00280FA2" w:rsidRDefault="00280FA2" w:rsidP="00280FA2">
      <w:pPr>
        <w:tabs>
          <w:tab w:val="left" w:pos="-720"/>
          <w:tab w:val="left" w:pos="0"/>
          <w:tab w:val="left" w:pos="720"/>
        </w:tabs>
        <w:suppressAutoHyphens/>
        <w:spacing w:line="240" w:lineRule="atLeast"/>
        <w:ind w:left="1440" w:hanging="1440"/>
        <w:rPr>
          <w:spacing w:val="-3"/>
        </w:rPr>
      </w:pPr>
      <w:r>
        <w:rPr>
          <w:spacing w:val="-3"/>
        </w:rPr>
        <w:t xml:space="preserve">Figure  5.3  </w:t>
      </w:r>
      <w:r>
        <w:rPr>
          <w:spacing w:val="-3"/>
        </w:rPr>
        <w:tab/>
        <w:t>Growth rate versus interface supercooling according to the three classical laws of interface kinetics.</w:t>
      </w:r>
    </w:p>
    <w:p w14:paraId="6DCD3367" w14:textId="4D2C902D" w:rsidR="00280FA2" w:rsidRDefault="00280FA2" w:rsidP="00280FA2">
      <w:pPr>
        <w:tabs>
          <w:tab w:val="left" w:pos="-720"/>
          <w:tab w:val="left" w:pos="0"/>
          <w:tab w:val="left" w:pos="720"/>
        </w:tabs>
        <w:suppressAutoHyphens/>
        <w:spacing w:line="240" w:lineRule="atLeast"/>
        <w:ind w:left="1440" w:hanging="1440"/>
        <w:rPr>
          <w:spacing w:val="-3"/>
        </w:rPr>
      </w:pPr>
      <w:r>
        <w:rPr>
          <w:noProof/>
          <w:spacing w:val="-3"/>
        </w:rPr>
        <w:lastRenderedPageBreak/>
        <w:drawing>
          <wp:inline distT="0" distB="0" distL="0" distR="0" wp14:anchorId="525217A6" wp14:editId="116B1C6D">
            <wp:extent cx="4744720" cy="4451350"/>
            <wp:effectExtent l="0" t="0" r="0" b="635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1400" cstate="print">
                      <a:extLst>
                        <a:ext uri="{28A0092B-C50C-407E-A947-70E740481C1C}">
                          <a14:useLocalDpi xmlns:a14="http://schemas.microsoft.com/office/drawing/2010/main" val="0"/>
                        </a:ext>
                      </a:extLst>
                    </a:blip>
                    <a:srcRect/>
                    <a:stretch>
                      <a:fillRect/>
                    </a:stretch>
                  </pic:blipFill>
                  <pic:spPr bwMode="auto">
                    <a:xfrm>
                      <a:off x="0" y="0"/>
                      <a:ext cx="4744720" cy="4451350"/>
                    </a:xfrm>
                    <a:prstGeom prst="rect">
                      <a:avLst/>
                    </a:prstGeom>
                    <a:noFill/>
                    <a:ln>
                      <a:noFill/>
                    </a:ln>
                  </pic:spPr>
                </pic:pic>
              </a:graphicData>
            </a:graphic>
          </wp:inline>
        </w:drawing>
      </w:r>
    </w:p>
    <w:p w14:paraId="7439F27F" w14:textId="77777777" w:rsidR="00280FA2" w:rsidRDefault="00280FA2" w:rsidP="00280FA2">
      <w:pPr>
        <w:tabs>
          <w:tab w:val="left" w:pos="-720"/>
          <w:tab w:val="left" w:pos="0"/>
          <w:tab w:val="left" w:pos="720"/>
        </w:tabs>
        <w:suppressAutoHyphens/>
        <w:spacing w:line="240" w:lineRule="atLeast"/>
        <w:ind w:left="1440" w:hanging="1440"/>
        <w:rPr>
          <w:spacing w:val="-3"/>
        </w:rPr>
      </w:pPr>
      <w:r>
        <w:rPr>
          <w:spacing w:val="-3"/>
        </w:rPr>
        <w:t xml:space="preserve">Figure  5.4 </w:t>
      </w:r>
      <w:r>
        <w:rPr>
          <w:spacing w:val="-3"/>
        </w:rPr>
        <w:tab/>
        <w:t xml:space="preserve">Plot of interface temperature vs. liquid composition </w:t>
      </w:r>
      <w:r>
        <w:rPr>
          <w:i/>
          <w:iCs/>
          <w:spacing w:val="-3"/>
        </w:rPr>
        <w:t>C</w:t>
      </w:r>
      <w:r>
        <w:rPr>
          <w:i/>
          <w:iCs/>
          <w:spacing w:val="-3"/>
          <w:vertAlign w:val="subscript"/>
        </w:rPr>
        <w:t>L</w:t>
      </w:r>
      <w:r>
        <w:rPr>
          <w:i/>
          <w:iCs/>
          <w:spacing w:val="-3"/>
          <w:vertAlign w:val="superscript"/>
        </w:rPr>
        <w:t>*</w:t>
      </w:r>
      <w:r>
        <w:rPr>
          <w:spacing w:val="-3"/>
        </w:rPr>
        <w:t xml:space="preserve"> at the interface for  a fixed solid composition, (</w:t>
      </w:r>
      <w:r>
        <w:rPr>
          <w:i/>
          <w:iCs/>
          <w:spacing w:val="-3"/>
        </w:rPr>
        <w:t>C</w:t>
      </w:r>
      <w:r>
        <w:rPr>
          <w:spacing w:val="-3"/>
          <w:vertAlign w:val="subscript"/>
        </w:rPr>
        <w:t>s</w:t>
      </w:r>
      <w:r>
        <w:rPr>
          <w:spacing w:val="-3"/>
          <w:vertAlign w:val="superscript"/>
        </w:rPr>
        <w:t>*</w:t>
      </w:r>
      <w:r>
        <w:rPr>
          <w:spacing w:val="-3"/>
        </w:rPr>
        <w:t>= 5 at %), forming at the indicated velocities (in m/s) superimposed on the phase diagram.</w:t>
      </w:r>
    </w:p>
    <w:p w14:paraId="6E18EA8B" w14:textId="0E73CD5F" w:rsidR="00280FA2" w:rsidRDefault="00280FA2" w:rsidP="00280FA2">
      <w:pPr>
        <w:tabs>
          <w:tab w:val="left" w:pos="-720"/>
        </w:tabs>
        <w:suppressAutoHyphens/>
        <w:spacing w:line="240" w:lineRule="atLeast"/>
        <w:jc w:val="center"/>
        <w:rPr>
          <w:spacing w:val="-3"/>
        </w:rPr>
      </w:pPr>
      <w:r>
        <w:rPr>
          <w:noProof/>
          <w:spacing w:val="-3"/>
        </w:rPr>
        <w:lastRenderedPageBreak/>
        <w:drawing>
          <wp:inline distT="0" distB="0" distL="0" distR="0" wp14:anchorId="32622CE6" wp14:editId="213F3899">
            <wp:extent cx="4718685" cy="3813175"/>
            <wp:effectExtent l="0" t="0" r="5715"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1401" cstate="print">
                      <a:extLst>
                        <a:ext uri="{28A0092B-C50C-407E-A947-70E740481C1C}">
                          <a14:useLocalDpi xmlns:a14="http://schemas.microsoft.com/office/drawing/2010/main" val="0"/>
                        </a:ext>
                      </a:extLst>
                    </a:blip>
                    <a:srcRect/>
                    <a:stretch>
                      <a:fillRect/>
                    </a:stretch>
                  </pic:blipFill>
                  <pic:spPr bwMode="auto">
                    <a:xfrm>
                      <a:off x="0" y="0"/>
                      <a:ext cx="4718685" cy="3813175"/>
                    </a:xfrm>
                    <a:prstGeom prst="rect">
                      <a:avLst/>
                    </a:prstGeom>
                    <a:noFill/>
                    <a:ln>
                      <a:noFill/>
                    </a:ln>
                  </pic:spPr>
                </pic:pic>
              </a:graphicData>
            </a:graphic>
          </wp:inline>
        </w:drawing>
      </w:r>
    </w:p>
    <w:p w14:paraId="4CEAD2CD" w14:textId="7BFBA1BF" w:rsidR="00280FA2" w:rsidRDefault="00280FA2" w:rsidP="00280FA2">
      <w:pPr>
        <w:tabs>
          <w:tab w:val="left" w:pos="-720"/>
          <w:tab w:val="left" w:pos="0"/>
          <w:tab w:val="left" w:pos="720"/>
        </w:tabs>
        <w:suppressAutoHyphens/>
        <w:spacing w:line="240" w:lineRule="atLeast"/>
        <w:ind w:left="1440" w:hanging="1440"/>
        <w:rPr>
          <w:spacing w:val="-3"/>
        </w:rPr>
      </w:pPr>
      <w:r>
        <w:rPr>
          <w:spacing w:val="-3"/>
        </w:rPr>
        <w:t xml:space="preserve">Figure  5.5 </w:t>
      </w:r>
      <w:r>
        <w:rPr>
          <w:spacing w:val="-3"/>
        </w:rPr>
        <w:tab/>
        <w:t xml:space="preserve">Kinetic interface condition diagram for ideal liquid and solid with pure component melting points as shown, pure component entropies of fusion equal to </w:t>
      </w:r>
      <w:r>
        <w:rPr>
          <w:i/>
          <w:iCs/>
          <w:spacing w:val="-3"/>
        </w:rPr>
        <w:t>R</w:t>
      </w:r>
      <w:r>
        <w:rPr>
          <w:spacing w:val="-3"/>
        </w:rPr>
        <w:t xml:space="preserve">, and </w:t>
      </w:r>
      <w:r>
        <w:rPr>
          <w:i/>
          <w:iCs/>
          <w:spacing w:val="-3"/>
        </w:rPr>
        <w:t>V</w:t>
      </w:r>
      <w:r>
        <w:rPr>
          <w:spacing w:val="-3"/>
          <w:vertAlign w:val="subscript"/>
        </w:rPr>
        <w:t>C</w:t>
      </w:r>
      <w:r>
        <w:rPr>
          <w:spacing w:val="-3"/>
        </w:rPr>
        <w:t>/</w:t>
      </w:r>
      <w:r>
        <w:rPr>
          <w:i/>
          <w:iCs/>
          <w:spacing w:val="-3"/>
        </w:rPr>
        <w:t>V</w:t>
      </w:r>
      <w:r>
        <w:rPr>
          <w:spacing w:val="-3"/>
          <w:vertAlign w:val="subscript"/>
        </w:rPr>
        <w:t>D</w:t>
      </w:r>
      <w:r w:rsidR="00575923">
        <w:rPr>
          <w:spacing w:val="-3"/>
          <w:vertAlign w:val="subscript"/>
        </w:rPr>
        <w:t xml:space="preserve"> </w:t>
      </w:r>
      <w:r>
        <w:rPr>
          <w:spacing w:val="-3"/>
        </w:rPr>
        <w:t>=</w:t>
      </w:r>
      <w:r w:rsidR="00575923">
        <w:rPr>
          <w:spacing w:val="-3"/>
        </w:rPr>
        <w:t xml:space="preserve"> </w:t>
      </w:r>
      <w:r>
        <w:rPr>
          <w:spacing w:val="-3"/>
        </w:rPr>
        <w:t xml:space="preserve">100.  Dashed lines: equilibrium liquidus and solidus labeled  zero, dash-dot lines: kinetic liquidus and solidus at different interface velocity given as values of </w:t>
      </w:r>
      <w:r>
        <w:rPr>
          <w:i/>
          <w:iCs/>
          <w:spacing w:val="-3"/>
        </w:rPr>
        <w:t>V</w:t>
      </w:r>
      <w:r>
        <w:rPr>
          <w:spacing w:val="-3"/>
        </w:rPr>
        <w:t>/</w:t>
      </w:r>
      <w:r>
        <w:rPr>
          <w:i/>
          <w:iCs/>
          <w:spacing w:val="-3"/>
        </w:rPr>
        <w:t>V</w:t>
      </w:r>
      <w:r>
        <w:rPr>
          <w:spacing w:val="-3"/>
          <w:vertAlign w:val="subscript"/>
        </w:rPr>
        <w:t>D</w:t>
      </w:r>
      <w:r>
        <w:rPr>
          <w:spacing w:val="-3"/>
        </w:rPr>
        <w:t xml:space="preserve">, dotted line: </w:t>
      </w:r>
      <w:r>
        <w:rPr>
          <w:i/>
          <w:iCs/>
          <w:spacing w:val="-3"/>
        </w:rPr>
        <w:t>T</w:t>
      </w:r>
      <w:r>
        <w:rPr>
          <w:spacing w:val="-3"/>
          <w:vertAlign w:val="subscript"/>
        </w:rPr>
        <w:t>0</w:t>
      </w:r>
      <w:r>
        <w:rPr>
          <w:spacing w:val="-3"/>
        </w:rPr>
        <w:t xml:space="preserve"> curve (AZIZ and KAPLAN [1988]).</w:t>
      </w:r>
    </w:p>
    <w:p w14:paraId="67A5E97F" w14:textId="77777777" w:rsidR="00280FA2" w:rsidRDefault="00280FA2" w:rsidP="00280FA2">
      <w:pPr>
        <w:tabs>
          <w:tab w:val="left" w:pos="-720"/>
          <w:tab w:val="left" w:pos="0"/>
          <w:tab w:val="left" w:pos="720"/>
        </w:tabs>
        <w:suppressAutoHyphens/>
        <w:spacing w:line="240" w:lineRule="atLeast"/>
        <w:ind w:left="1440" w:hanging="1440"/>
        <w:rPr>
          <w:spacing w:val="-3"/>
        </w:rPr>
      </w:pPr>
      <w:r>
        <w:rPr>
          <w:spacing w:val="-3"/>
        </w:rPr>
        <w:br w:type="page"/>
      </w:r>
    </w:p>
    <w:p w14:paraId="62FBA3F9" w14:textId="77777777" w:rsidR="00280FA2" w:rsidRDefault="00280FA2" w:rsidP="00280FA2">
      <w:pPr>
        <w:tabs>
          <w:tab w:val="left" w:pos="-720"/>
        </w:tabs>
        <w:suppressAutoHyphens/>
        <w:spacing w:line="240" w:lineRule="atLeast"/>
        <w:rPr>
          <w:spacing w:val="-3"/>
        </w:rPr>
      </w:pPr>
      <w:r>
        <w:rPr>
          <w:b/>
          <w:bCs/>
          <w:i/>
          <w:iCs/>
          <w:spacing w:val="-3"/>
        </w:rPr>
        <w:lastRenderedPageBreak/>
        <w:t>SECTION 6</w:t>
      </w:r>
    </w:p>
    <w:p w14:paraId="6ACE6471" w14:textId="77777777" w:rsidR="00280FA2" w:rsidRDefault="00280FA2" w:rsidP="00280FA2">
      <w:pPr>
        <w:tabs>
          <w:tab w:val="left" w:pos="-720"/>
        </w:tabs>
        <w:suppressAutoHyphens/>
        <w:spacing w:line="240" w:lineRule="atLeast"/>
        <w:rPr>
          <w:spacing w:val="-3"/>
        </w:rPr>
      </w:pPr>
    </w:p>
    <w:p w14:paraId="0AF02CDA" w14:textId="1C8BF2F3" w:rsidR="00280FA2" w:rsidRDefault="00280FA2" w:rsidP="00280FA2">
      <w:pPr>
        <w:tabs>
          <w:tab w:val="left" w:pos="-720"/>
        </w:tabs>
        <w:suppressAutoHyphens/>
        <w:spacing w:line="240" w:lineRule="atLeast"/>
        <w:jc w:val="center"/>
        <w:rPr>
          <w:spacing w:val="-3"/>
        </w:rPr>
      </w:pPr>
      <w:r>
        <w:rPr>
          <w:noProof/>
          <w:spacing w:val="-3"/>
        </w:rPr>
        <w:drawing>
          <wp:inline distT="0" distB="0" distL="0" distR="0" wp14:anchorId="7B61351D" wp14:editId="719FDA70">
            <wp:extent cx="5477510" cy="2682875"/>
            <wp:effectExtent l="0" t="0" r="8890" b="3175"/>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1402">
                      <a:extLst>
                        <a:ext uri="{28A0092B-C50C-407E-A947-70E740481C1C}">
                          <a14:useLocalDpi xmlns:a14="http://schemas.microsoft.com/office/drawing/2010/main" val="0"/>
                        </a:ext>
                      </a:extLst>
                    </a:blip>
                    <a:srcRect/>
                    <a:stretch>
                      <a:fillRect/>
                    </a:stretch>
                  </pic:blipFill>
                  <pic:spPr bwMode="auto">
                    <a:xfrm>
                      <a:off x="0" y="0"/>
                      <a:ext cx="5477510" cy="2682875"/>
                    </a:xfrm>
                    <a:prstGeom prst="rect">
                      <a:avLst/>
                    </a:prstGeom>
                    <a:noFill/>
                    <a:ln>
                      <a:noFill/>
                    </a:ln>
                  </pic:spPr>
                </pic:pic>
              </a:graphicData>
            </a:graphic>
          </wp:inline>
        </w:drawing>
      </w:r>
    </w:p>
    <w:p w14:paraId="3AF56CF4" w14:textId="77777777" w:rsidR="00280FA2" w:rsidRDefault="00280FA2" w:rsidP="00280FA2">
      <w:pPr>
        <w:tabs>
          <w:tab w:val="left" w:pos="-720"/>
          <w:tab w:val="left" w:pos="0"/>
          <w:tab w:val="left" w:pos="720"/>
        </w:tabs>
        <w:suppressAutoHyphens/>
        <w:spacing w:line="240" w:lineRule="atLeast"/>
        <w:ind w:left="1440" w:hanging="2160"/>
        <w:rPr>
          <w:spacing w:val="-3"/>
        </w:rPr>
      </w:pPr>
      <w:r>
        <w:rPr>
          <w:spacing w:val="-3"/>
        </w:rPr>
        <w:tab/>
        <w:t xml:space="preserve">Figure  6.1  </w:t>
      </w:r>
      <w:r>
        <w:rPr>
          <w:spacing w:val="-3"/>
        </w:rPr>
        <w:tab/>
        <w:t>Solute distribution remaining in the solid</w:t>
      </w:r>
      <w:r>
        <w:rPr>
          <w:i/>
          <w:iCs/>
          <w:spacing w:val="-3"/>
        </w:rPr>
        <w:t xml:space="preserve"> after</w:t>
      </w:r>
      <w:r>
        <w:rPr>
          <w:spacing w:val="-3"/>
        </w:rPr>
        <w:t xml:space="preserve"> one-dimensional  solidification: (a) equilibrium freezing; (b) complete liquid mixing with no solid diffusion; (c) diffusion in liquid only; (d) partial mixing in liquid, including convection.</w:t>
      </w:r>
    </w:p>
    <w:p w14:paraId="7461AA99" w14:textId="77777777" w:rsidR="00280FA2" w:rsidRDefault="00280FA2" w:rsidP="00280FA2">
      <w:pPr>
        <w:tabs>
          <w:tab w:val="left" w:pos="-720"/>
          <w:tab w:val="left" w:pos="0"/>
          <w:tab w:val="left" w:pos="720"/>
        </w:tabs>
        <w:suppressAutoHyphens/>
        <w:spacing w:line="240" w:lineRule="atLeast"/>
        <w:ind w:left="1440" w:hanging="2160"/>
        <w:rPr>
          <w:spacing w:val="-3"/>
        </w:rPr>
      </w:pPr>
      <w:r>
        <w:rPr>
          <w:spacing w:val="-3"/>
        </w:rPr>
        <w:br w:type="page"/>
      </w:r>
    </w:p>
    <w:p w14:paraId="61DAA73E" w14:textId="77777777" w:rsidR="00280FA2" w:rsidRDefault="00280FA2" w:rsidP="00280FA2">
      <w:pPr>
        <w:tabs>
          <w:tab w:val="left" w:pos="-720"/>
          <w:tab w:val="left" w:pos="0"/>
          <w:tab w:val="left" w:pos="720"/>
        </w:tabs>
        <w:suppressAutoHyphens/>
        <w:spacing w:line="240" w:lineRule="atLeast"/>
        <w:ind w:left="1440" w:hanging="2160"/>
        <w:rPr>
          <w:spacing w:val="-3"/>
        </w:rPr>
      </w:pPr>
    </w:p>
    <w:p w14:paraId="1C4ED283" w14:textId="538EE065" w:rsidR="00280FA2" w:rsidRDefault="00280FA2" w:rsidP="00280FA2">
      <w:pPr>
        <w:tabs>
          <w:tab w:val="left" w:pos="-720"/>
        </w:tabs>
        <w:suppressAutoHyphens/>
        <w:spacing w:line="240" w:lineRule="atLeast"/>
        <w:jc w:val="center"/>
        <w:rPr>
          <w:spacing w:val="-3"/>
        </w:rPr>
      </w:pPr>
      <w:r>
        <w:rPr>
          <w:noProof/>
          <w:spacing w:val="-3"/>
        </w:rPr>
        <w:drawing>
          <wp:inline distT="0" distB="0" distL="0" distR="0" wp14:anchorId="5B3F9743" wp14:editId="6FA82924">
            <wp:extent cx="4416425" cy="3631565"/>
            <wp:effectExtent l="0" t="0" r="3175" b="6985"/>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1403" cstate="print">
                      <a:extLst>
                        <a:ext uri="{28A0092B-C50C-407E-A947-70E740481C1C}">
                          <a14:useLocalDpi xmlns:a14="http://schemas.microsoft.com/office/drawing/2010/main" val="0"/>
                        </a:ext>
                      </a:extLst>
                    </a:blip>
                    <a:srcRect/>
                    <a:stretch>
                      <a:fillRect/>
                    </a:stretch>
                  </pic:blipFill>
                  <pic:spPr bwMode="auto">
                    <a:xfrm>
                      <a:off x="0" y="0"/>
                      <a:ext cx="4416425" cy="3631565"/>
                    </a:xfrm>
                    <a:prstGeom prst="rect">
                      <a:avLst/>
                    </a:prstGeom>
                    <a:noFill/>
                    <a:ln>
                      <a:noFill/>
                    </a:ln>
                  </pic:spPr>
                </pic:pic>
              </a:graphicData>
            </a:graphic>
          </wp:inline>
        </w:drawing>
      </w:r>
    </w:p>
    <w:p w14:paraId="16EEAF07" w14:textId="77777777" w:rsidR="00280FA2" w:rsidRDefault="00280FA2" w:rsidP="00280FA2">
      <w:pPr>
        <w:tabs>
          <w:tab w:val="left" w:pos="-720"/>
          <w:tab w:val="left" w:pos="0"/>
          <w:tab w:val="left" w:pos="720"/>
        </w:tabs>
        <w:suppressAutoHyphens/>
        <w:spacing w:line="240" w:lineRule="atLeast"/>
        <w:ind w:left="1440" w:hanging="1440"/>
        <w:rPr>
          <w:spacing w:val="-3"/>
        </w:rPr>
      </w:pPr>
      <w:r>
        <w:rPr>
          <w:spacing w:val="-3"/>
        </w:rPr>
        <w:t xml:space="preserve">Figure  6.2  </w:t>
      </w:r>
      <w:r>
        <w:rPr>
          <w:spacing w:val="-3"/>
        </w:rPr>
        <w:tab/>
        <w:t xml:space="preserve">Development of initial and final transient during steady-state diffusion controlled planar solidification for an alloy of composition </w:t>
      </w:r>
      <w:r>
        <w:rPr>
          <w:i/>
          <w:iCs/>
          <w:spacing w:val="-3"/>
        </w:rPr>
        <w:t>C</w:t>
      </w:r>
      <w:r>
        <w:rPr>
          <w:spacing w:val="-3"/>
          <w:vertAlign w:val="subscript"/>
        </w:rPr>
        <w:t>0</w:t>
      </w:r>
      <w:r>
        <w:rPr>
          <w:spacing w:val="-3"/>
        </w:rPr>
        <w:t>( KURZ and FISHER [1989]).</w:t>
      </w:r>
    </w:p>
    <w:p w14:paraId="5DBD654D" w14:textId="38FDE145" w:rsidR="00280FA2" w:rsidRDefault="00280FA2" w:rsidP="00280FA2">
      <w:pPr>
        <w:tabs>
          <w:tab w:val="left" w:pos="-720"/>
        </w:tabs>
        <w:suppressAutoHyphens/>
        <w:spacing w:line="240" w:lineRule="atLeast"/>
        <w:jc w:val="center"/>
        <w:rPr>
          <w:spacing w:val="-3"/>
        </w:rPr>
      </w:pPr>
      <w:r>
        <w:rPr>
          <w:noProof/>
          <w:spacing w:val="-3"/>
        </w:rPr>
        <w:drawing>
          <wp:inline distT="0" distB="0" distL="0" distR="0" wp14:anchorId="319ADDC0" wp14:editId="17D8B518">
            <wp:extent cx="4718685" cy="2812415"/>
            <wp:effectExtent l="0" t="0" r="5715" b="6985"/>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1404" cstate="print">
                      <a:extLst>
                        <a:ext uri="{28A0092B-C50C-407E-A947-70E740481C1C}">
                          <a14:useLocalDpi xmlns:a14="http://schemas.microsoft.com/office/drawing/2010/main" val="0"/>
                        </a:ext>
                      </a:extLst>
                    </a:blip>
                    <a:srcRect/>
                    <a:stretch>
                      <a:fillRect/>
                    </a:stretch>
                  </pic:blipFill>
                  <pic:spPr bwMode="auto">
                    <a:xfrm>
                      <a:off x="0" y="0"/>
                      <a:ext cx="4718685" cy="2812415"/>
                    </a:xfrm>
                    <a:prstGeom prst="rect">
                      <a:avLst/>
                    </a:prstGeom>
                    <a:noFill/>
                    <a:ln>
                      <a:noFill/>
                    </a:ln>
                  </pic:spPr>
                </pic:pic>
              </a:graphicData>
            </a:graphic>
          </wp:inline>
        </w:drawing>
      </w:r>
    </w:p>
    <w:p w14:paraId="45E418EF" w14:textId="77777777" w:rsidR="00280FA2" w:rsidRDefault="00280FA2" w:rsidP="00280FA2">
      <w:pPr>
        <w:tabs>
          <w:tab w:val="left" w:pos="-720"/>
          <w:tab w:val="left" w:pos="0"/>
          <w:tab w:val="left" w:pos="720"/>
        </w:tabs>
        <w:suppressAutoHyphens/>
        <w:spacing w:line="240" w:lineRule="atLeast"/>
        <w:ind w:left="1440" w:hanging="1440"/>
        <w:rPr>
          <w:spacing w:val="-3"/>
        </w:rPr>
      </w:pPr>
      <w:r>
        <w:rPr>
          <w:spacing w:val="-3"/>
        </w:rPr>
        <w:t xml:space="preserve">Figure  6.3 </w:t>
      </w:r>
      <w:r>
        <w:rPr>
          <w:spacing w:val="-3"/>
        </w:rPr>
        <w:tab/>
        <w:t>Temperature and solute profile for</w:t>
      </w:r>
      <w:r>
        <w:rPr>
          <w:i/>
          <w:iCs/>
          <w:spacing w:val="-3"/>
        </w:rPr>
        <w:t xml:space="preserve"> k</w:t>
      </w:r>
      <w:r>
        <w:rPr>
          <w:spacing w:val="-3"/>
          <w:vertAlign w:val="subscript"/>
        </w:rPr>
        <w:t>E</w:t>
      </w:r>
      <w:r>
        <w:rPr>
          <w:spacing w:val="-3"/>
        </w:rPr>
        <w:t xml:space="preserve"> &lt; 1 as a function of distance </w:t>
      </w:r>
      <w:r>
        <w:rPr>
          <w:i/>
          <w:iCs/>
          <w:spacing w:val="-3"/>
        </w:rPr>
        <w:t>z</w:t>
      </w:r>
      <w:r>
        <w:rPr>
          <w:spacing w:val="-3"/>
        </w:rPr>
        <w:t xml:space="preserve"> measured from the L-S interface when constrained growth at a velocity </w:t>
      </w:r>
      <w:r>
        <w:rPr>
          <w:i/>
          <w:iCs/>
          <w:spacing w:val="-3"/>
        </w:rPr>
        <w:t>V</w:t>
      </w:r>
      <w:r>
        <w:rPr>
          <w:spacing w:val="-3"/>
        </w:rPr>
        <w:t xml:space="preserve"> occurs for a binary alloy. The concept of constitutional supercooling is shown ahead of the interface. </w:t>
      </w:r>
    </w:p>
    <w:p w14:paraId="5A9D5A1F" w14:textId="13B8754C" w:rsidR="00280FA2" w:rsidRDefault="00280FA2" w:rsidP="00280FA2">
      <w:pPr>
        <w:tabs>
          <w:tab w:val="left" w:pos="-720"/>
        </w:tabs>
        <w:suppressAutoHyphens/>
        <w:spacing w:line="240" w:lineRule="atLeast"/>
        <w:rPr>
          <w:spacing w:val="-3"/>
        </w:rPr>
      </w:pPr>
      <w:r>
        <w:rPr>
          <w:noProof/>
          <w:spacing w:val="-3"/>
        </w:rPr>
        <w:lastRenderedPageBreak/>
        <w:drawing>
          <wp:inline distT="0" distB="0" distL="0" distR="0" wp14:anchorId="1D39E49F" wp14:editId="1396B634">
            <wp:extent cx="5486400" cy="3631565"/>
            <wp:effectExtent l="0" t="0" r="0" b="6985"/>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1405" cstate="print">
                      <a:extLst>
                        <a:ext uri="{28A0092B-C50C-407E-A947-70E740481C1C}">
                          <a14:useLocalDpi xmlns:a14="http://schemas.microsoft.com/office/drawing/2010/main" val="0"/>
                        </a:ext>
                      </a:extLst>
                    </a:blip>
                    <a:srcRect/>
                    <a:stretch>
                      <a:fillRect/>
                    </a:stretch>
                  </pic:blipFill>
                  <pic:spPr bwMode="auto">
                    <a:xfrm>
                      <a:off x="0" y="0"/>
                      <a:ext cx="5486400" cy="3631565"/>
                    </a:xfrm>
                    <a:prstGeom prst="rect">
                      <a:avLst/>
                    </a:prstGeom>
                    <a:noFill/>
                    <a:ln>
                      <a:noFill/>
                    </a:ln>
                  </pic:spPr>
                </pic:pic>
              </a:graphicData>
            </a:graphic>
          </wp:inline>
        </w:drawing>
      </w:r>
    </w:p>
    <w:p w14:paraId="6197342C" w14:textId="77777777" w:rsidR="00280FA2" w:rsidRDefault="00280FA2" w:rsidP="00280FA2">
      <w:pPr>
        <w:tabs>
          <w:tab w:val="left" w:pos="-720"/>
          <w:tab w:val="left" w:pos="0"/>
          <w:tab w:val="left" w:pos="720"/>
        </w:tabs>
        <w:suppressAutoHyphens/>
        <w:spacing w:line="240" w:lineRule="atLeast"/>
        <w:ind w:left="1440" w:hanging="1440"/>
        <w:rPr>
          <w:spacing w:val="-3"/>
        </w:rPr>
      </w:pPr>
      <w:r>
        <w:rPr>
          <w:spacing w:val="-3"/>
        </w:rPr>
        <w:t xml:space="preserve">Figure  6.4 </w:t>
      </w:r>
      <w:r>
        <w:rPr>
          <w:spacing w:val="-3"/>
        </w:rPr>
        <w:tab/>
        <w:t>Summary of the results of interface stability theory for Al-rich Al-Cu alloys (CORIELL and BOETTINGER [1994]).</w:t>
      </w:r>
    </w:p>
    <w:p w14:paraId="00B95ED2" w14:textId="77777777" w:rsidR="00280FA2" w:rsidRDefault="00280FA2" w:rsidP="00280FA2">
      <w:pPr>
        <w:tabs>
          <w:tab w:val="left" w:pos="-720"/>
        </w:tabs>
        <w:suppressAutoHyphens/>
        <w:spacing w:line="240" w:lineRule="atLeast"/>
        <w:rPr>
          <w:spacing w:val="-3"/>
        </w:rPr>
      </w:pPr>
    </w:p>
    <w:p w14:paraId="627741CE" w14:textId="2FA97C09" w:rsidR="00280FA2" w:rsidRDefault="00280FA2" w:rsidP="00280FA2">
      <w:pPr>
        <w:tabs>
          <w:tab w:val="left" w:pos="-720"/>
          <w:tab w:val="left" w:pos="0"/>
          <w:tab w:val="left" w:pos="720"/>
        </w:tabs>
        <w:suppressAutoHyphens/>
        <w:spacing w:line="240" w:lineRule="atLeast"/>
        <w:ind w:left="1440" w:hanging="1440"/>
        <w:jc w:val="center"/>
        <w:rPr>
          <w:spacing w:val="-3"/>
        </w:rPr>
      </w:pPr>
      <w:r>
        <w:rPr>
          <w:noProof/>
          <w:spacing w:val="-3"/>
        </w:rPr>
        <w:lastRenderedPageBreak/>
        <w:drawing>
          <wp:inline distT="0" distB="0" distL="0" distR="0" wp14:anchorId="51046162" wp14:editId="2CF379DC">
            <wp:extent cx="4088765" cy="6047105"/>
            <wp:effectExtent l="0" t="0" r="6985"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1406" cstate="print">
                      <a:extLst>
                        <a:ext uri="{28A0092B-C50C-407E-A947-70E740481C1C}">
                          <a14:useLocalDpi xmlns:a14="http://schemas.microsoft.com/office/drawing/2010/main" val="0"/>
                        </a:ext>
                      </a:extLst>
                    </a:blip>
                    <a:srcRect/>
                    <a:stretch>
                      <a:fillRect/>
                    </a:stretch>
                  </pic:blipFill>
                  <pic:spPr bwMode="auto">
                    <a:xfrm>
                      <a:off x="0" y="0"/>
                      <a:ext cx="4088765" cy="6047105"/>
                    </a:xfrm>
                    <a:prstGeom prst="rect">
                      <a:avLst/>
                    </a:prstGeom>
                    <a:noFill/>
                    <a:ln>
                      <a:noFill/>
                    </a:ln>
                  </pic:spPr>
                </pic:pic>
              </a:graphicData>
            </a:graphic>
          </wp:inline>
        </w:drawing>
      </w:r>
    </w:p>
    <w:p w14:paraId="1424596D" w14:textId="77777777" w:rsidR="00280FA2" w:rsidRDefault="00280FA2" w:rsidP="00280FA2">
      <w:pPr>
        <w:tabs>
          <w:tab w:val="left" w:pos="-720"/>
          <w:tab w:val="left" w:pos="0"/>
          <w:tab w:val="left" w:pos="720"/>
        </w:tabs>
        <w:suppressAutoHyphens/>
        <w:spacing w:line="240" w:lineRule="atLeast"/>
        <w:ind w:left="1440" w:hanging="1440"/>
        <w:rPr>
          <w:spacing w:val="-3"/>
        </w:rPr>
      </w:pPr>
      <w:r>
        <w:rPr>
          <w:spacing w:val="-3"/>
        </w:rPr>
        <w:t xml:space="preserve">Figure  6.5 </w:t>
      </w:r>
      <w:r>
        <w:rPr>
          <w:spacing w:val="-3"/>
        </w:rPr>
        <w:tab/>
        <w:t>Evolution of the segregation substructure as a function of constitutional supercooling shown by decanting the interface (left) and slightly  behind it  by  metallographic sectioning (right). The growth direction is normal to the page. The amount of CS increases from (a) to (d). Magnifications: a) left: x 100, right: x 100; b) left: x 100, right: x 50; c) left: x 150, right: x 50; d) left: x 50, right: x 150 (BILONI [1970]).</w:t>
      </w:r>
    </w:p>
    <w:p w14:paraId="51876484" w14:textId="566D782B" w:rsidR="00280FA2" w:rsidRDefault="00280FA2" w:rsidP="00280FA2">
      <w:pPr>
        <w:tabs>
          <w:tab w:val="left" w:pos="-720"/>
        </w:tabs>
        <w:suppressAutoHyphens/>
        <w:spacing w:line="240" w:lineRule="atLeast"/>
        <w:jc w:val="center"/>
        <w:rPr>
          <w:spacing w:val="-3"/>
        </w:rPr>
      </w:pPr>
      <w:r>
        <w:rPr>
          <w:noProof/>
          <w:spacing w:val="-3"/>
        </w:rPr>
        <w:lastRenderedPageBreak/>
        <w:drawing>
          <wp:inline distT="0" distB="0" distL="0" distR="0" wp14:anchorId="3018BA3B" wp14:editId="1AE70D3C">
            <wp:extent cx="5486400" cy="3157220"/>
            <wp:effectExtent l="0" t="0" r="0" b="508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1407" cstate="print">
                      <a:extLst>
                        <a:ext uri="{28A0092B-C50C-407E-A947-70E740481C1C}">
                          <a14:useLocalDpi xmlns:a14="http://schemas.microsoft.com/office/drawing/2010/main" val="0"/>
                        </a:ext>
                      </a:extLst>
                    </a:blip>
                    <a:srcRect/>
                    <a:stretch>
                      <a:fillRect/>
                    </a:stretch>
                  </pic:blipFill>
                  <pic:spPr bwMode="auto">
                    <a:xfrm>
                      <a:off x="0" y="0"/>
                      <a:ext cx="5486400" cy="3157220"/>
                    </a:xfrm>
                    <a:prstGeom prst="rect">
                      <a:avLst/>
                    </a:prstGeom>
                    <a:noFill/>
                    <a:ln>
                      <a:noFill/>
                    </a:ln>
                  </pic:spPr>
                </pic:pic>
              </a:graphicData>
            </a:graphic>
          </wp:inline>
        </w:drawing>
      </w:r>
    </w:p>
    <w:p w14:paraId="52280574" w14:textId="77777777" w:rsidR="00280FA2" w:rsidRDefault="00280FA2" w:rsidP="00280FA2">
      <w:pPr>
        <w:tabs>
          <w:tab w:val="left" w:pos="-720"/>
          <w:tab w:val="left" w:pos="0"/>
          <w:tab w:val="left" w:pos="720"/>
        </w:tabs>
        <w:suppressAutoHyphens/>
        <w:spacing w:line="240" w:lineRule="atLeast"/>
        <w:ind w:left="1440" w:hanging="1440"/>
        <w:rPr>
          <w:spacing w:val="-3"/>
        </w:rPr>
      </w:pPr>
      <w:r>
        <w:rPr>
          <w:spacing w:val="-3"/>
        </w:rPr>
        <w:t xml:space="preserve">Figure  6.6 </w:t>
      </w:r>
      <w:r>
        <w:rPr>
          <w:spacing w:val="-3"/>
        </w:rPr>
        <w:tab/>
        <w:t>(a) Velocity-dependence of measured partition coefficient of Sn in (100) Si.</w:t>
      </w:r>
      <w:r>
        <w:rPr>
          <w:i/>
          <w:iCs/>
          <w:spacing w:val="-3"/>
        </w:rPr>
        <w:t xml:space="preserve"> k</w:t>
      </w:r>
      <w:r>
        <w:rPr>
          <w:spacing w:val="-3"/>
          <w:vertAlign w:val="subscript"/>
        </w:rPr>
        <w:t>E</w:t>
      </w:r>
      <w:r>
        <w:rPr>
          <w:spacing w:val="-3"/>
        </w:rPr>
        <w:t xml:space="preserve">=0.016. Data are fit with </w:t>
      </w:r>
      <w:r>
        <w:rPr>
          <w:i/>
          <w:iCs/>
          <w:spacing w:val="-3"/>
        </w:rPr>
        <w:t>V</w:t>
      </w:r>
      <w:r>
        <w:rPr>
          <w:spacing w:val="-3"/>
          <w:vertAlign w:val="subscript"/>
        </w:rPr>
        <w:t>D</w:t>
      </w:r>
      <w:r>
        <w:rPr>
          <w:spacing w:val="-3"/>
        </w:rPr>
        <w:t>=17 m/s. (b) Critical concentration above which cellular breakdown occurs: dashed curve stability theory using</w:t>
      </w:r>
      <w:r>
        <w:rPr>
          <w:i/>
          <w:iCs/>
          <w:spacing w:val="-3"/>
        </w:rPr>
        <w:t xml:space="preserve"> k</w:t>
      </w:r>
      <w:r>
        <w:rPr>
          <w:spacing w:val="-3"/>
          <w:vertAlign w:val="subscript"/>
        </w:rPr>
        <w:t>E</w:t>
      </w:r>
      <w:r>
        <w:rPr>
          <w:spacing w:val="-3"/>
        </w:rPr>
        <w:t xml:space="preserve">; solid line, stability theory using velocity dependent </w:t>
      </w:r>
      <w:r>
        <w:rPr>
          <w:i/>
          <w:iCs/>
          <w:spacing w:val="-3"/>
        </w:rPr>
        <w:t>k(V)</w:t>
      </w:r>
      <w:r>
        <w:rPr>
          <w:spacing w:val="-3"/>
        </w:rPr>
        <w:t xml:space="preserve"> and</w:t>
      </w:r>
      <w:r>
        <w:rPr>
          <w:i/>
          <w:iCs/>
          <w:spacing w:val="-3"/>
        </w:rPr>
        <w:t xml:space="preserve"> m</w:t>
      </w:r>
      <w:r>
        <w:rPr>
          <w:spacing w:val="-3"/>
          <w:vertAlign w:val="subscript"/>
        </w:rPr>
        <w:t>L</w:t>
      </w:r>
      <w:r>
        <w:rPr>
          <w:i/>
          <w:iCs/>
          <w:spacing w:val="-3"/>
        </w:rPr>
        <w:t>(V)</w:t>
      </w:r>
      <w:r>
        <w:rPr>
          <w:spacing w:val="-3"/>
        </w:rPr>
        <w:t xml:space="preserve"> (HOAGLUND </w:t>
      </w:r>
      <w:r>
        <w:rPr>
          <w:i/>
          <w:iCs/>
          <w:spacing w:val="-3"/>
        </w:rPr>
        <w:t>et al.</w:t>
      </w:r>
      <w:r>
        <w:rPr>
          <w:spacing w:val="-3"/>
        </w:rPr>
        <w:t xml:space="preserve"> [1991]).</w:t>
      </w:r>
    </w:p>
    <w:p w14:paraId="64660363" w14:textId="19D60D3F" w:rsidR="00280FA2" w:rsidRDefault="00280FA2" w:rsidP="00280FA2">
      <w:pPr>
        <w:tabs>
          <w:tab w:val="left" w:pos="-720"/>
        </w:tabs>
        <w:suppressAutoHyphens/>
        <w:spacing w:line="240" w:lineRule="atLeast"/>
        <w:jc w:val="center"/>
        <w:rPr>
          <w:spacing w:val="-3"/>
        </w:rPr>
      </w:pPr>
      <w:r>
        <w:rPr>
          <w:noProof/>
          <w:spacing w:val="-3"/>
        </w:rPr>
        <w:drawing>
          <wp:inline distT="0" distB="0" distL="0" distR="0" wp14:anchorId="3FAD23CE" wp14:editId="5C03DAA0">
            <wp:extent cx="2233930" cy="3191510"/>
            <wp:effectExtent l="0" t="0" r="0" b="889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1408" cstate="print">
                      <a:extLst>
                        <a:ext uri="{28A0092B-C50C-407E-A947-70E740481C1C}">
                          <a14:useLocalDpi xmlns:a14="http://schemas.microsoft.com/office/drawing/2010/main" val="0"/>
                        </a:ext>
                      </a:extLst>
                    </a:blip>
                    <a:srcRect/>
                    <a:stretch>
                      <a:fillRect/>
                    </a:stretch>
                  </pic:blipFill>
                  <pic:spPr bwMode="auto">
                    <a:xfrm>
                      <a:off x="0" y="0"/>
                      <a:ext cx="2233930" cy="3191510"/>
                    </a:xfrm>
                    <a:prstGeom prst="rect">
                      <a:avLst/>
                    </a:prstGeom>
                    <a:noFill/>
                    <a:ln>
                      <a:noFill/>
                    </a:ln>
                  </pic:spPr>
                </pic:pic>
              </a:graphicData>
            </a:graphic>
          </wp:inline>
        </w:drawing>
      </w:r>
    </w:p>
    <w:p w14:paraId="389CDB69" w14:textId="582E6F74" w:rsidR="00280FA2" w:rsidRDefault="00280FA2" w:rsidP="00280FA2">
      <w:pPr>
        <w:tabs>
          <w:tab w:val="left" w:pos="-720"/>
          <w:tab w:val="left" w:pos="0"/>
          <w:tab w:val="left" w:pos="720"/>
        </w:tabs>
        <w:suppressAutoHyphens/>
        <w:spacing w:line="240" w:lineRule="atLeast"/>
        <w:ind w:left="1440" w:hanging="1440"/>
        <w:rPr>
          <w:spacing w:val="-3"/>
        </w:rPr>
      </w:pPr>
      <w:r>
        <w:rPr>
          <w:spacing w:val="-3"/>
        </w:rPr>
        <w:t xml:space="preserve">Figure  6.7 </w:t>
      </w:r>
      <w:r>
        <w:rPr>
          <w:spacing w:val="-3"/>
        </w:rPr>
        <w:tab/>
        <w:t>Macroscopic interface shape  across the full diameter of 4</w:t>
      </w:r>
      <w:r w:rsidR="00575923">
        <w:rPr>
          <w:spacing w:val="-3"/>
        </w:rPr>
        <w:t xml:space="preserve"> </w:t>
      </w:r>
      <w:r>
        <w:rPr>
          <w:spacing w:val="-3"/>
        </w:rPr>
        <w:t xml:space="preserve">mm for an Al-10%Cu alloy grown at </w:t>
      </w:r>
      <w:r>
        <w:rPr>
          <w:i/>
          <w:iCs/>
          <w:spacing w:val="-3"/>
        </w:rPr>
        <w:t>V</w:t>
      </w:r>
      <w:r>
        <w:rPr>
          <w:spacing w:val="-3"/>
        </w:rPr>
        <w:t>=2.8x10</w:t>
      </w:r>
      <w:r>
        <w:rPr>
          <w:spacing w:val="-3"/>
          <w:vertAlign w:val="superscript"/>
        </w:rPr>
        <w:t>-4</w:t>
      </w:r>
      <w:r w:rsidR="00575923">
        <w:rPr>
          <w:spacing w:val="-3"/>
          <w:vertAlign w:val="superscript"/>
        </w:rPr>
        <w:t xml:space="preserve"> </w:t>
      </w:r>
      <w:r>
        <w:rPr>
          <w:spacing w:val="-3"/>
        </w:rPr>
        <w:t xml:space="preserve">cm/s and </w:t>
      </w:r>
      <w:r>
        <w:rPr>
          <w:i/>
          <w:iCs/>
          <w:spacing w:val="-3"/>
        </w:rPr>
        <w:t>G</w:t>
      </w:r>
      <w:r>
        <w:rPr>
          <w:spacing w:val="-3"/>
          <w:vertAlign w:val="subscript"/>
        </w:rPr>
        <w:t>L</w:t>
      </w:r>
      <w:r>
        <w:rPr>
          <w:spacing w:val="-3"/>
        </w:rPr>
        <w:t>=60</w:t>
      </w:r>
      <w:r w:rsidR="00575923">
        <w:rPr>
          <w:spacing w:val="-3"/>
        </w:rPr>
        <w:t xml:space="preserve"> </w:t>
      </w:r>
      <w:r>
        <w:rPr>
          <w:spacing w:val="-3"/>
        </w:rPr>
        <w:t xml:space="preserve">K/cm due to solute convection (BURDEN </w:t>
      </w:r>
      <w:r>
        <w:rPr>
          <w:i/>
          <w:iCs/>
          <w:spacing w:val="-3"/>
        </w:rPr>
        <w:t>et al.</w:t>
      </w:r>
      <w:r>
        <w:rPr>
          <w:spacing w:val="-3"/>
        </w:rPr>
        <w:t xml:space="preserve"> [1973]).</w:t>
      </w:r>
    </w:p>
    <w:p w14:paraId="749A1AF1" w14:textId="77777777" w:rsidR="00280FA2" w:rsidRDefault="00280FA2" w:rsidP="00280FA2">
      <w:pPr>
        <w:tabs>
          <w:tab w:val="left" w:pos="-720"/>
        </w:tabs>
        <w:suppressAutoHyphens/>
        <w:spacing w:line="240" w:lineRule="atLeast"/>
        <w:rPr>
          <w:spacing w:val="-3"/>
        </w:rPr>
      </w:pPr>
    </w:p>
    <w:p w14:paraId="57087A8C" w14:textId="77777777" w:rsidR="00280FA2" w:rsidRDefault="00280FA2" w:rsidP="00280FA2">
      <w:pPr>
        <w:tabs>
          <w:tab w:val="left" w:pos="-720"/>
        </w:tabs>
        <w:suppressAutoHyphens/>
        <w:spacing w:line="240" w:lineRule="atLeast"/>
        <w:rPr>
          <w:spacing w:val="-3"/>
        </w:rPr>
      </w:pPr>
    </w:p>
    <w:p w14:paraId="7B523562" w14:textId="77777777" w:rsidR="00280FA2" w:rsidRDefault="00280FA2" w:rsidP="00280FA2">
      <w:pPr>
        <w:tabs>
          <w:tab w:val="left" w:pos="-720"/>
        </w:tabs>
        <w:suppressAutoHyphens/>
        <w:spacing w:line="240" w:lineRule="atLeast"/>
        <w:rPr>
          <w:spacing w:val="-3"/>
        </w:rPr>
      </w:pPr>
      <w:r>
        <w:rPr>
          <w:b/>
          <w:bCs/>
          <w:i/>
          <w:iCs/>
          <w:spacing w:val="-3"/>
        </w:rPr>
        <w:lastRenderedPageBreak/>
        <w:t>SECTION 7</w:t>
      </w:r>
    </w:p>
    <w:p w14:paraId="1BD6D95B" w14:textId="77777777" w:rsidR="00280FA2" w:rsidRDefault="00280FA2" w:rsidP="00280FA2">
      <w:pPr>
        <w:tabs>
          <w:tab w:val="left" w:pos="-720"/>
        </w:tabs>
        <w:suppressAutoHyphens/>
        <w:spacing w:line="240" w:lineRule="atLeast"/>
        <w:rPr>
          <w:spacing w:val="-3"/>
        </w:rPr>
      </w:pPr>
    </w:p>
    <w:p w14:paraId="1C5D2924" w14:textId="0B30AE1C" w:rsidR="00280FA2" w:rsidRDefault="00280FA2" w:rsidP="00280FA2">
      <w:pPr>
        <w:tabs>
          <w:tab w:val="left" w:pos="-720"/>
        </w:tabs>
        <w:suppressAutoHyphens/>
        <w:spacing w:line="240" w:lineRule="atLeast"/>
        <w:jc w:val="center"/>
        <w:rPr>
          <w:spacing w:val="-3"/>
        </w:rPr>
      </w:pPr>
      <w:r>
        <w:rPr>
          <w:noProof/>
          <w:spacing w:val="-3"/>
        </w:rPr>
        <w:drawing>
          <wp:inline distT="0" distB="0" distL="0" distR="0" wp14:anchorId="70435C6A" wp14:editId="0F7A25AB">
            <wp:extent cx="3312795" cy="2760345"/>
            <wp:effectExtent l="0" t="0" r="1905" b="1905"/>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1409" cstate="print">
                      <a:extLst>
                        <a:ext uri="{28A0092B-C50C-407E-A947-70E740481C1C}">
                          <a14:useLocalDpi xmlns:a14="http://schemas.microsoft.com/office/drawing/2010/main" val="0"/>
                        </a:ext>
                      </a:extLst>
                    </a:blip>
                    <a:srcRect/>
                    <a:stretch>
                      <a:fillRect/>
                    </a:stretch>
                  </pic:blipFill>
                  <pic:spPr bwMode="auto">
                    <a:xfrm>
                      <a:off x="0" y="0"/>
                      <a:ext cx="3312795" cy="2760345"/>
                    </a:xfrm>
                    <a:prstGeom prst="rect">
                      <a:avLst/>
                    </a:prstGeom>
                    <a:noFill/>
                    <a:ln>
                      <a:noFill/>
                    </a:ln>
                  </pic:spPr>
                </pic:pic>
              </a:graphicData>
            </a:graphic>
          </wp:inline>
        </w:drawing>
      </w:r>
    </w:p>
    <w:p w14:paraId="3CFFFC95" w14:textId="77777777" w:rsidR="00280FA2" w:rsidRPr="00A945D2" w:rsidRDefault="00280FA2" w:rsidP="00280FA2">
      <w:pPr>
        <w:tabs>
          <w:tab w:val="left" w:pos="-720"/>
          <w:tab w:val="left" w:pos="0"/>
          <w:tab w:val="left" w:pos="720"/>
        </w:tabs>
        <w:suppressAutoHyphens/>
        <w:spacing w:line="240" w:lineRule="atLeast"/>
        <w:ind w:left="1440" w:hanging="1440"/>
        <w:rPr>
          <w:color w:val="FF0000"/>
          <w:spacing w:val="-3"/>
        </w:rPr>
      </w:pPr>
      <w:r>
        <w:rPr>
          <w:spacing w:val="-3"/>
        </w:rPr>
        <w:t xml:space="preserve">Figure  7.1 </w:t>
      </w:r>
      <w:r>
        <w:rPr>
          <w:spacing w:val="-3"/>
        </w:rPr>
        <w:tab/>
        <w:t xml:space="preserve">Calculated relationship between growth velocity and tip radius for dendritic growth of Ag-15 wt% Cu for a bulk supercooling of </w:t>
      </w:r>
      <w:r w:rsidRPr="001B068D">
        <w:rPr>
          <w:spacing w:val="-3"/>
          <w:highlight w:val="yellow"/>
        </w:rPr>
        <w:t>50K</w:t>
      </w:r>
      <w:r>
        <w:rPr>
          <w:spacing w:val="-3"/>
        </w:rPr>
        <w:t xml:space="preserve">, as given by Eqn. 7.7. Point </w:t>
      </w:r>
      <w:r>
        <w:rPr>
          <w:i/>
          <w:iCs/>
          <w:spacing w:val="-3"/>
        </w:rPr>
        <w:t>M</w:t>
      </w:r>
      <w:r>
        <w:rPr>
          <w:spacing w:val="-3"/>
        </w:rPr>
        <w:t xml:space="preserve"> corresponds to the maximum growth rate hypothesis and point </w:t>
      </w:r>
      <w:r>
        <w:rPr>
          <w:i/>
          <w:iCs/>
          <w:spacing w:val="-3"/>
        </w:rPr>
        <w:t>S</w:t>
      </w:r>
      <w:r>
        <w:rPr>
          <w:spacing w:val="-3"/>
        </w:rPr>
        <w:t xml:space="preserve"> is the operating point of the dendrite corresponding to the marginal stability hypothesis, Eqn. 7.8, shown dashed. </w:t>
      </w:r>
    </w:p>
    <w:p w14:paraId="4389A3F0" w14:textId="2AEEA7B9" w:rsidR="00280FA2" w:rsidRDefault="00280FA2" w:rsidP="00280FA2">
      <w:pPr>
        <w:tabs>
          <w:tab w:val="left" w:pos="-720"/>
        </w:tabs>
        <w:suppressAutoHyphens/>
        <w:spacing w:line="240" w:lineRule="atLeast"/>
        <w:jc w:val="center"/>
        <w:rPr>
          <w:spacing w:val="-3"/>
        </w:rPr>
      </w:pPr>
      <w:r>
        <w:rPr>
          <w:noProof/>
          <w:spacing w:val="-3"/>
        </w:rPr>
        <w:lastRenderedPageBreak/>
        <w:drawing>
          <wp:inline distT="0" distB="0" distL="0" distR="0" wp14:anchorId="633D52C1" wp14:editId="2F880024">
            <wp:extent cx="4796155" cy="4934585"/>
            <wp:effectExtent l="0" t="0" r="4445"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1410" cstate="print">
                      <a:extLst>
                        <a:ext uri="{28A0092B-C50C-407E-A947-70E740481C1C}">
                          <a14:useLocalDpi xmlns:a14="http://schemas.microsoft.com/office/drawing/2010/main" val="0"/>
                        </a:ext>
                      </a:extLst>
                    </a:blip>
                    <a:srcRect/>
                    <a:stretch>
                      <a:fillRect/>
                    </a:stretch>
                  </pic:blipFill>
                  <pic:spPr bwMode="auto">
                    <a:xfrm>
                      <a:off x="0" y="0"/>
                      <a:ext cx="4796155" cy="4934585"/>
                    </a:xfrm>
                    <a:prstGeom prst="rect">
                      <a:avLst/>
                    </a:prstGeom>
                    <a:noFill/>
                    <a:ln>
                      <a:noFill/>
                    </a:ln>
                  </pic:spPr>
                </pic:pic>
              </a:graphicData>
            </a:graphic>
          </wp:inline>
        </w:drawing>
      </w:r>
    </w:p>
    <w:p w14:paraId="126316CA" w14:textId="77777777" w:rsidR="00280FA2" w:rsidRDefault="00280FA2" w:rsidP="00280FA2">
      <w:pPr>
        <w:tabs>
          <w:tab w:val="left" w:pos="-720"/>
          <w:tab w:val="left" w:pos="0"/>
          <w:tab w:val="left" w:pos="720"/>
        </w:tabs>
        <w:suppressAutoHyphens/>
        <w:spacing w:line="240" w:lineRule="atLeast"/>
        <w:ind w:left="1440" w:hanging="1440"/>
        <w:rPr>
          <w:spacing w:val="-3"/>
        </w:rPr>
      </w:pPr>
      <w:r>
        <w:rPr>
          <w:spacing w:val="-3"/>
        </w:rPr>
        <w:t xml:space="preserve">Figure  7.2 </w:t>
      </w:r>
      <w:r>
        <w:rPr>
          <w:spacing w:val="-3"/>
        </w:rPr>
        <w:tab/>
        <w:t>Plots of calculations for free dendritic growth of Ag</w:t>
      </w:r>
      <w:r>
        <w:rPr>
          <w:spacing w:val="-3"/>
        </w:rPr>
        <w:noBreakHyphen/>
        <w:t xml:space="preserve">15 </w:t>
      </w:r>
      <w:r w:rsidRPr="001B068D">
        <w:rPr>
          <w:spacing w:val="-3"/>
          <w:highlight w:val="yellow"/>
        </w:rPr>
        <w:t>wt%</w:t>
      </w:r>
      <w:r>
        <w:rPr>
          <w:spacing w:val="-3"/>
        </w:rPr>
        <w:t xml:space="preserve"> Cu for various supercoolings below the liquidus,</w:t>
      </w:r>
      <w:r>
        <w:rPr>
          <w:i/>
          <w:iCs/>
          <w:spacing w:val="-3"/>
        </w:rPr>
        <w:t xml:space="preserve"> ΔT</w:t>
      </w:r>
      <w:r>
        <w:rPr>
          <w:spacing w:val="-3"/>
        </w:rPr>
        <w:t xml:space="preserve">: (a) growth velocity, </w:t>
      </w:r>
      <w:r>
        <w:rPr>
          <w:i/>
          <w:iCs/>
          <w:spacing w:val="-3"/>
        </w:rPr>
        <w:t>V</w:t>
      </w:r>
      <w:r>
        <w:rPr>
          <w:spacing w:val="-3"/>
        </w:rPr>
        <w:t xml:space="preserve">; (b) non-equilibrium partition coefficient, </w:t>
      </w:r>
      <w:r>
        <w:rPr>
          <w:i/>
          <w:iCs/>
          <w:spacing w:val="-3"/>
        </w:rPr>
        <w:t>k</w:t>
      </w:r>
      <w:r w:rsidRPr="00D30FB8">
        <w:rPr>
          <w:iCs/>
          <w:spacing w:val="-3"/>
        </w:rPr>
        <w:t>(</w:t>
      </w:r>
      <w:r>
        <w:rPr>
          <w:spacing w:val="-3"/>
        </w:rPr>
        <w:t>V</w:t>
      </w:r>
      <w:r w:rsidRPr="00D30FB8">
        <w:rPr>
          <w:iCs/>
          <w:spacing w:val="-3"/>
        </w:rPr>
        <w:t>)</w:t>
      </w:r>
      <w:r>
        <w:rPr>
          <w:spacing w:val="-3"/>
        </w:rPr>
        <w:t xml:space="preserve">; (c) solid composition at the dendrite tip, </w:t>
      </w:r>
      <w:r>
        <w:rPr>
          <w:i/>
          <w:iCs/>
          <w:spacing w:val="-3"/>
        </w:rPr>
        <w:t>C</w:t>
      </w:r>
      <w:r>
        <w:rPr>
          <w:spacing w:val="-3"/>
          <w:vertAlign w:val="subscript"/>
        </w:rPr>
        <w:t>S</w:t>
      </w:r>
      <w:r>
        <w:rPr>
          <w:spacing w:val="-3"/>
          <w:vertAlign w:val="superscript"/>
        </w:rPr>
        <w:t>*</w:t>
      </w:r>
      <w:r>
        <w:rPr>
          <w:spacing w:val="-3"/>
        </w:rPr>
        <w:t>; and (d) tip radius</w:t>
      </w:r>
      <w:r>
        <w:rPr>
          <w:i/>
          <w:iCs/>
          <w:spacing w:val="-3"/>
        </w:rPr>
        <w:t xml:space="preserve"> r.(</w:t>
      </w:r>
      <w:r>
        <w:rPr>
          <w:spacing w:val="-3"/>
        </w:rPr>
        <w:t xml:space="preserve"> BOETTINGER</w:t>
      </w:r>
      <w:r>
        <w:rPr>
          <w:i/>
          <w:iCs/>
          <w:spacing w:val="-3"/>
        </w:rPr>
        <w:t xml:space="preserve"> et al.</w:t>
      </w:r>
      <w:r>
        <w:rPr>
          <w:spacing w:val="-3"/>
        </w:rPr>
        <w:t xml:space="preserve"> [1988b]).</w:t>
      </w:r>
    </w:p>
    <w:p w14:paraId="7E6E0CBC" w14:textId="7DCE5AD8" w:rsidR="00280FA2" w:rsidRDefault="00280FA2" w:rsidP="00280FA2">
      <w:pPr>
        <w:tabs>
          <w:tab w:val="left" w:pos="-720"/>
        </w:tabs>
        <w:suppressAutoHyphens/>
        <w:spacing w:line="240" w:lineRule="atLeast"/>
        <w:jc w:val="center"/>
        <w:rPr>
          <w:spacing w:val="-3"/>
        </w:rPr>
      </w:pPr>
      <w:r>
        <w:rPr>
          <w:noProof/>
          <w:spacing w:val="-3"/>
        </w:rPr>
        <w:lastRenderedPageBreak/>
        <w:drawing>
          <wp:inline distT="0" distB="0" distL="0" distR="0" wp14:anchorId="429CA6E1" wp14:editId="393E8BDA">
            <wp:extent cx="3890645" cy="6288405"/>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1411" cstate="print">
                      <a:extLst>
                        <a:ext uri="{28A0092B-C50C-407E-A947-70E740481C1C}">
                          <a14:useLocalDpi xmlns:a14="http://schemas.microsoft.com/office/drawing/2010/main" val="0"/>
                        </a:ext>
                      </a:extLst>
                    </a:blip>
                    <a:srcRect/>
                    <a:stretch>
                      <a:fillRect/>
                    </a:stretch>
                  </pic:blipFill>
                  <pic:spPr bwMode="auto">
                    <a:xfrm>
                      <a:off x="0" y="0"/>
                      <a:ext cx="3890645" cy="6288405"/>
                    </a:xfrm>
                    <a:prstGeom prst="rect">
                      <a:avLst/>
                    </a:prstGeom>
                    <a:noFill/>
                    <a:ln>
                      <a:noFill/>
                    </a:ln>
                  </pic:spPr>
                </pic:pic>
              </a:graphicData>
            </a:graphic>
          </wp:inline>
        </w:drawing>
      </w:r>
    </w:p>
    <w:p w14:paraId="5EEB81D4" w14:textId="311D6135" w:rsidR="00280FA2" w:rsidRDefault="00280FA2" w:rsidP="00280FA2">
      <w:pPr>
        <w:tabs>
          <w:tab w:val="left" w:pos="-720"/>
          <w:tab w:val="left" w:pos="0"/>
          <w:tab w:val="left" w:pos="720"/>
        </w:tabs>
        <w:suppressAutoHyphens/>
        <w:spacing w:line="240" w:lineRule="atLeast"/>
        <w:ind w:left="1440" w:hanging="1440"/>
        <w:rPr>
          <w:spacing w:val="-3"/>
        </w:rPr>
      </w:pPr>
      <w:r>
        <w:rPr>
          <w:spacing w:val="-3"/>
        </w:rPr>
        <w:t xml:space="preserve">Figure  7.3 </w:t>
      </w:r>
      <w:r>
        <w:rPr>
          <w:spacing w:val="-3"/>
        </w:rPr>
        <w:tab/>
        <w:t>Calculated dendrite tip radius (a) and tip temperature (b) for Ag-Cu alloys of the noted compositions as a function of velocity for constrained growth at a temperature gradient of 10</w:t>
      </w:r>
      <w:r>
        <w:rPr>
          <w:spacing w:val="-3"/>
          <w:vertAlign w:val="superscript"/>
        </w:rPr>
        <w:t>5</w:t>
      </w:r>
      <w:r w:rsidR="00575923">
        <w:rPr>
          <w:spacing w:val="-3"/>
          <w:vertAlign w:val="superscript"/>
        </w:rPr>
        <w:t xml:space="preserve"> </w:t>
      </w:r>
      <w:r>
        <w:rPr>
          <w:i/>
          <w:iCs/>
          <w:spacing w:val="-3"/>
        </w:rPr>
        <w:t>K</w:t>
      </w:r>
      <w:r>
        <w:rPr>
          <w:spacing w:val="-3"/>
        </w:rPr>
        <w:t xml:space="preserve">/cm. In (b) the liquidus temperature is shown dashed. (KURZ, </w:t>
      </w:r>
      <w:r>
        <w:rPr>
          <w:i/>
          <w:iCs/>
          <w:spacing w:val="-3"/>
        </w:rPr>
        <w:t>et al.</w:t>
      </w:r>
      <w:r>
        <w:rPr>
          <w:spacing w:val="-3"/>
        </w:rPr>
        <w:t xml:space="preserve"> [1986]).</w:t>
      </w:r>
    </w:p>
    <w:p w14:paraId="0BE093D6" w14:textId="43653AA4" w:rsidR="00280FA2" w:rsidRDefault="00280FA2" w:rsidP="00280FA2">
      <w:pPr>
        <w:tabs>
          <w:tab w:val="left" w:pos="-720"/>
          <w:tab w:val="left" w:pos="0"/>
          <w:tab w:val="left" w:pos="720"/>
        </w:tabs>
        <w:suppressAutoHyphens/>
        <w:spacing w:line="240" w:lineRule="atLeast"/>
        <w:ind w:left="1440" w:hanging="1440"/>
        <w:jc w:val="center"/>
        <w:rPr>
          <w:spacing w:val="-3"/>
        </w:rPr>
      </w:pPr>
      <w:r>
        <w:rPr>
          <w:noProof/>
          <w:spacing w:val="-3"/>
        </w:rPr>
        <w:lastRenderedPageBreak/>
        <w:drawing>
          <wp:inline distT="0" distB="0" distL="0" distR="0" wp14:anchorId="0EBAEDBE" wp14:editId="0E359916">
            <wp:extent cx="4338955" cy="3614420"/>
            <wp:effectExtent l="0" t="0" r="4445" b="508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1412" cstate="print">
                      <a:extLst>
                        <a:ext uri="{28A0092B-C50C-407E-A947-70E740481C1C}">
                          <a14:useLocalDpi xmlns:a14="http://schemas.microsoft.com/office/drawing/2010/main" val="0"/>
                        </a:ext>
                      </a:extLst>
                    </a:blip>
                    <a:srcRect/>
                    <a:stretch>
                      <a:fillRect/>
                    </a:stretch>
                  </pic:blipFill>
                  <pic:spPr bwMode="auto">
                    <a:xfrm>
                      <a:off x="0" y="0"/>
                      <a:ext cx="4338955" cy="3614420"/>
                    </a:xfrm>
                    <a:prstGeom prst="rect">
                      <a:avLst/>
                    </a:prstGeom>
                    <a:noFill/>
                    <a:ln>
                      <a:noFill/>
                    </a:ln>
                  </pic:spPr>
                </pic:pic>
              </a:graphicData>
            </a:graphic>
          </wp:inline>
        </w:drawing>
      </w:r>
    </w:p>
    <w:p w14:paraId="419428D9" w14:textId="77777777" w:rsidR="00280FA2" w:rsidRDefault="00280FA2" w:rsidP="00280FA2">
      <w:pPr>
        <w:tabs>
          <w:tab w:val="left" w:pos="-720"/>
        </w:tabs>
        <w:suppressAutoHyphens/>
        <w:spacing w:line="240" w:lineRule="atLeast"/>
        <w:jc w:val="center"/>
        <w:rPr>
          <w:spacing w:val="-3"/>
        </w:rPr>
      </w:pPr>
    </w:p>
    <w:p w14:paraId="6BEFD7D5" w14:textId="3558F881" w:rsidR="00280FA2" w:rsidRDefault="00280FA2" w:rsidP="00280FA2">
      <w:pPr>
        <w:tabs>
          <w:tab w:val="left" w:pos="-720"/>
          <w:tab w:val="left" w:pos="0"/>
          <w:tab w:val="left" w:pos="720"/>
        </w:tabs>
        <w:suppressAutoHyphens/>
        <w:spacing w:line="240" w:lineRule="atLeast"/>
        <w:ind w:left="1440" w:hanging="1440"/>
        <w:rPr>
          <w:spacing w:val="-3"/>
        </w:rPr>
      </w:pPr>
      <w:r>
        <w:rPr>
          <w:spacing w:val="-3"/>
        </w:rPr>
        <w:t xml:space="preserve">Figure  7.4 </w:t>
      </w:r>
      <w:r>
        <w:rPr>
          <w:spacing w:val="-3"/>
        </w:rPr>
        <w:tab/>
        <w:t>Comparison of theoretical and measured dendrite growth velocities as a function of alloy composition for a fixed bulk supercooling below the liquidus of 0.5</w:t>
      </w:r>
      <w:r w:rsidR="00575923">
        <w:rPr>
          <w:spacing w:val="-3"/>
        </w:rPr>
        <w:t xml:space="preserve"> </w:t>
      </w:r>
      <w:r>
        <w:rPr>
          <w:spacing w:val="-3"/>
        </w:rPr>
        <w:t xml:space="preserve">K for succinonitrile-acetone alloys (CHOPRA </w:t>
      </w:r>
      <w:r>
        <w:rPr>
          <w:i/>
          <w:iCs/>
          <w:spacing w:val="-3"/>
        </w:rPr>
        <w:t>et al.</w:t>
      </w:r>
      <w:r>
        <w:rPr>
          <w:spacing w:val="-3"/>
        </w:rPr>
        <w:t xml:space="preserve"> [1988]).</w:t>
      </w:r>
    </w:p>
    <w:p w14:paraId="6B37FFC3" w14:textId="592998E2" w:rsidR="00280FA2" w:rsidRDefault="00280FA2" w:rsidP="00280FA2">
      <w:pPr>
        <w:tabs>
          <w:tab w:val="left" w:pos="-720"/>
        </w:tabs>
        <w:suppressAutoHyphens/>
        <w:spacing w:line="240" w:lineRule="atLeast"/>
        <w:jc w:val="center"/>
        <w:rPr>
          <w:spacing w:val="-3"/>
        </w:rPr>
      </w:pPr>
      <w:r>
        <w:rPr>
          <w:noProof/>
          <w:spacing w:val="-3"/>
        </w:rPr>
        <w:drawing>
          <wp:inline distT="0" distB="0" distL="0" distR="0" wp14:anchorId="343F49FF" wp14:editId="3F99E6BC">
            <wp:extent cx="4261485" cy="3088005"/>
            <wp:effectExtent l="0" t="0" r="5715"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1413" cstate="print">
                      <a:extLst>
                        <a:ext uri="{28A0092B-C50C-407E-A947-70E740481C1C}">
                          <a14:useLocalDpi xmlns:a14="http://schemas.microsoft.com/office/drawing/2010/main" val="0"/>
                        </a:ext>
                      </a:extLst>
                    </a:blip>
                    <a:srcRect/>
                    <a:stretch>
                      <a:fillRect/>
                    </a:stretch>
                  </pic:blipFill>
                  <pic:spPr bwMode="auto">
                    <a:xfrm>
                      <a:off x="0" y="0"/>
                      <a:ext cx="4261485" cy="3088005"/>
                    </a:xfrm>
                    <a:prstGeom prst="rect">
                      <a:avLst/>
                    </a:prstGeom>
                    <a:noFill/>
                    <a:ln>
                      <a:noFill/>
                    </a:ln>
                  </pic:spPr>
                </pic:pic>
              </a:graphicData>
            </a:graphic>
          </wp:inline>
        </w:drawing>
      </w:r>
    </w:p>
    <w:p w14:paraId="5E5BBF91" w14:textId="77777777" w:rsidR="00280FA2" w:rsidRDefault="00280FA2" w:rsidP="00280FA2">
      <w:pPr>
        <w:tabs>
          <w:tab w:val="left" w:pos="-720"/>
          <w:tab w:val="left" w:pos="0"/>
          <w:tab w:val="left" w:pos="720"/>
        </w:tabs>
        <w:suppressAutoHyphens/>
        <w:spacing w:line="240" w:lineRule="atLeast"/>
        <w:ind w:left="1440" w:hanging="1440"/>
        <w:rPr>
          <w:spacing w:val="-3"/>
        </w:rPr>
      </w:pPr>
      <w:r>
        <w:rPr>
          <w:spacing w:val="-3"/>
        </w:rPr>
        <w:t xml:space="preserve">Figure  7.5 </w:t>
      </w:r>
      <w:r>
        <w:rPr>
          <w:spacing w:val="-3"/>
        </w:rPr>
        <w:tab/>
        <w:t xml:space="preserve">Comparison of theoretical and measured dendrite growth velocities as a function of bulk supercooling below the liquidus for pure Ni and two Ni-B alloys. ECKLER </w:t>
      </w:r>
      <w:r>
        <w:rPr>
          <w:i/>
          <w:iCs/>
          <w:spacing w:val="-3"/>
        </w:rPr>
        <w:t>et al.</w:t>
      </w:r>
      <w:r>
        <w:rPr>
          <w:spacing w:val="-3"/>
        </w:rPr>
        <w:t xml:space="preserve"> [1992].</w:t>
      </w:r>
    </w:p>
    <w:p w14:paraId="00D114E4" w14:textId="22EAAB06" w:rsidR="00280FA2" w:rsidRDefault="00280FA2" w:rsidP="00280FA2">
      <w:pPr>
        <w:tabs>
          <w:tab w:val="left" w:pos="-720"/>
        </w:tabs>
        <w:suppressAutoHyphens/>
        <w:spacing w:line="240" w:lineRule="atLeast"/>
        <w:jc w:val="center"/>
        <w:rPr>
          <w:spacing w:val="-3"/>
        </w:rPr>
      </w:pPr>
      <w:r>
        <w:rPr>
          <w:noProof/>
          <w:spacing w:val="-3"/>
        </w:rPr>
        <w:lastRenderedPageBreak/>
        <w:drawing>
          <wp:inline distT="0" distB="0" distL="0" distR="0" wp14:anchorId="7B068969" wp14:editId="5D0FBB86">
            <wp:extent cx="4615180" cy="3467735"/>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1414" cstate="print">
                      <a:extLst>
                        <a:ext uri="{28A0092B-C50C-407E-A947-70E740481C1C}">
                          <a14:useLocalDpi xmlns:a14="http://schemas.microsoft.com/office/drawing/2010/main" val="0"/>
                        </a:ext>
                      </a:extLst>
                    </a:blip>
                    <a:srcRect/>
                    <a:stretch>
                      <a:fillRect/>
                    </a:stretch>
                  </pic:blipFill>
                  <pic:spPr bwMode="auto">
                    <a:xfrm>
                      <a:off x="0" y="0"/>
                      <a:ext cx="4615180" cy="3467735"/>
                    </a:xfrm>
                    <a:prstGeom prst="rect">
                      <a:avLst/>
                    </a:prstGeom>
                    <a:noFill/>
                    <a:ln>
                      <a:noFill/>
                    </a:ln>
                  </pic:spPr>
                </pic:pic>
              </a:graphicData>
            </a:graphic>
          </wp:inline>
        </w:drawing>
      </w:r>
    </w:p>
    <w:p w14:paraId="701B21ED" w14:textId="77777777" w:rsidR="00280FA2" w:rsidRDefault="00280FA2" w:rsidP="00280FA2">
      <w:pPr>
        <w:tabs>
          <w:tab w:val="left" w:pos="-720"/>
          <w:tab w:val="left" w:pos="0"/>
          <w:tab w:val="left" w:pos="720"/>
        </w:tabs>
        <w:suppressAutoHyphens/>
        <w:spacing w:line="240" w:lineRule="atLeast"/>
        <w:ind w:left="1440" w:hanging="1440"/>
        <w:rPr>
          <w:spacing w:val="-3"/>
        </w:rPr>
      </w:pPr>
      <w:r>
        <w:rPr>
          <w:spacing w:val="-3"/>
        </w:rPr>
        <w:t xml:space="preserve">Figure  7.6 </w:t>
      </w:r>
      <w:r>
        <w:rPr>
          <w:spacing w:val="-3"/>
        </w:rPr>
        <w:tab/>
        <w:t>Measured average composition (circles) of cells of the Ag-rich phase in a Ag</w:t>
      </w:r>
      <w:r>
        <w:rPr>
          <w:spacing w:val="-3"/>
        </w:rPr>
        <w:noBreakHyphen/>
        <w:t xml:space="preserve">15 </w:t>
      </w:r>
      <w:r w:rsidRPr="001B068D">
        <w:rPr>
          <w:spacing w:val="-3"/>
          <w:highlight w:val="yellow"/>
        </w:rPr>
        <w:t>wt</w:t>
      </w:r>
      <w:r>
        <w:rPr>
          <w:spacing w:val="-3"/>
        </w:rPr>
        <w:t xml:space="preserve">% Cu alloy as a function of solidification velocity (BOETTINGER </w:t>
      </w:r>
      <w:r>
        <w:rPr>
          <w:i/>
          <w:iCs/>
          <w:spacing w:val="-3"/>
        </w:rPr>
        <w:t>et al.</w:t>
      </w:r>
      <w:r>
        <w:rPr>
          <w:spacing w:val="-3"/>
        </w:rPr>
        <w:t xml:space="preserve"> [1987]).  The three curves are: i) the predictions of dendritic growth theory with velocity dependent partition coefficient, (solid curve), ii) without the velocity dependent partition coefficient, curve labeled IV/MS, iii) the older Burden-Hunt model labeled BH (KURZ </w:t>
      </w:r>
      <w:r>
        <w:rPr>
          <w:i/>
          <w:iCs/>
          <w:spacing w:val="-3"/>
        </w:rPr>
        <w:t>et al.</w:t>
      </w:r>
      <w:r>
        <w:rPr>
          <w:spacing w:val="-3"/>
        </w:rPr>
        <w:t xml:space="preserve"> [1988]). </w:t>
      </w:r>
    </w:p>
    <w:p w14:paraId="5BF17CA7" w14:textId="68598A1A" w:rsidR="00280FA2" w:rsidRDefault="00280FA2" w:rsidP="00280FA2">
      <w:pPr>
        <w:tabs>
          <w:tab w:val="left" w:pos="-720"/>
        </w:tabs>
        <w:suppressAutoHyphens/>
        <w:spacing w:line="240" w:lineRule="atLeast"/>
        <w:jc w:val="center"/>
        <w:rPr>
          <w:spacing w:val="-3"/>
        </w:rPr>
      </w:pPr>
      <w:r>
        <w:rPr>
          <w:noProof/>
          <w:spacing w:val="-3"/>
        </w:rPr>
        <w:drawing>
          <wp:inline distT="0" distB="0" distL="0" distR="0" wp14:anchorId="44D26FD0" wp14:editId="1F67680F">
            <wp:extent cx="4787900" cy="2846705"/>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1415" cstate="print">
                      <a:extLst>
                        <a:ext uri="{28A0092B-C50C-407E-A947-70E740481C1C}">
                          <a14:useLocalDpi xmlns:a14="http://schemas.microsoft.com/office/drawing/2010/main" val="0"/>
                        </a:ext>
                      </a:extLst>
                    </a:blip>
                    <a:srcRect/>
                    <a:stretch>
                      <a:fillRect/>
                    </a:stretch>
                  </pic:blipFill>
                  <pic:spPr bwMode="auto">
                    <a:xfrm>
                      <a:off x="0" y="0"/>
                      <a:ext cx="4787900" cy="2846705"/>
                    </a:xfrm>
                    <a:prstGeom prst="rect">
                      <a:avLst/>
                    </a:prstGeom>
                    <a:noFill/>
                    <a:ln>
                      <a:noFill/>
                    </a:ln>
                  </pic:spPr>
                </pic:pic>
              </a:graphicData>
            </a:graphic>
          </wp:inline>
        </w:drawing>
      </w:r>
    </w:p>
    <w:p w14:paraId="5A480C46" w14:textId="77777777" w:rsidR="00280FA2" w:rsidRDefault="00280FA2" w:rsidP="00280FA2">
      <w:pPr>
        <w:tabs>
          <w:tab w:val="left" w:pos="-720"/>
          <w:tab w:val="left" w:pos="0"/>
          <w:tab w:val="left" w:pos="720"/>
        </w:tabs>
        <w:suppressAutoHyphens/>
        <w:spacing w:line="240" w:lineRule="atLeast"/>
        <w:ind w:left="1440" w:hanging="1440"/>
        <w:rPr>
          <w:spacing w:val="-3"/>
        </w:rPr>
      </w:pPr>
      <w:r>
        <w:rPr>
          <w:spacing w:val="-3"/>
        </w:rPr>
        <w:t xml:space="preserve">Figure  7.7 </w:t>
      </w:r>
      <w:r>
        <w:rPr>
          <w:spacing w:val="-3"/>
        </w:rPr>
        <w:tab/>
        <w:t>Schematic illustration of primary spacing adjustment mechanism for cells and dendrites (HUNT and Lu [1996]).</w:t>
      </w:r>
    </w:p>
    <w:p w14:paraId="190BD211" w14:textId="0F511415" w:rsidR="00280FA2" w:rsidRDefault="00280FA2" w:rsidP="00280FA2">
      <w:pPr>
        <w:tabs>
          <w:tab w:val="left" w:pos="-720"/>
        </w:tabs>
        <w:suppressAutoHyphens/>
        <w:spacing w:line="240" w:lineRule="atLeast"/>
        <w:jc w:val="center"/>
        <w:rPr>
          <w:spacing w:val="-3"/>
        </w:rPr>
      </w:pPr>
      <w:r>
        <w:rPr>
          <w:noProof/>
          <w:spacing w:val="-3"/>
        </w:rPr>
        <w:lastRenderedPageBreak/>
        <w:drawing>
          <wp:inline distT="0" distB="0" distL="0" distR="0" wp14:anchorId="58186357" wp14:editId="3C93DB4E">
            <wp:extent cx="3950970" cy="4744720"/>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1416">
                      <a:extLst>
                        <a:ext uri="{28A0092B-C50C-407E-A947-70E740481C1C}">
                          <a14:useLocalDpi xmlns:a14="http://schemas.microsoft.com/office/drawing/2010/main" val="0"/>
                        </a:ext>
                      </a:extLst>
                    </a:blip>
                    <a:srcRect/>
                    <a:stretch>
                      <a:fillRect/>
                    </a:stretch>
                  </pic:blipFill>
                  <pic:spPr bwMode="auto">
                    <a:xfrm>
                      <a:off x="0" y="0"/>
                      <a:ext cx="3950970" cy="4744720"/>
                    </a:xfrm>
                    <a:prstGeom prst="rect">
                      <a:avLst/>
                    </a:prstGeom>
                    <a:noFill/>
                    <a:ln>
                      <a:noFill/>
                    </a:ln>
                  </pic:spPr>
                </pic:pic>
              </a:graphicData>
            </a:graphic>
          </wp:inline>
        </w:drawing>
      </w:r>
    </w:p>
    <w:p w14:paraId="75869A95" w14:textId="77777777" w:rsidR="00280FA2" w:rsidRDefault="00280FA2" w:rsidP="00280FA2">
      <w:pPr>
        <w:tabs>
          <w:tab w:val="left" w:pos="-720"/>
          <w:tab w:val="left" w:pos="0"/>
          <w:tab w:val="left" w:pos="720"/>
        </w:tabs>
        <w:suppressAutoHyphens/>
        <w:spacing w:line="240" w:lineRule="atLeast"/>
        <w:ind w:left="1440" w:hanging="1440"/>
        <w:rPr>
          <w:spacing w:val="-3"/>
        </w:rPr>
      </w:pPr>
      <w:r>
        <w:rPr>
          <w:spacing w:val="-3"/>
        </w:rPr>
        <w:t xml:space="preserve">Figure 7.8 </w:t>
      </w:r>
      <w:r>
        <w:rPr>
          <w:spacing w:val="-3"/>
        </w:rPr>
        <w:tab/>
        <w:t xml:space="preserve">Comparison of the predicted ranges of cell/dendrite primary spacings with experimental results: (a) succinonitrile-0.35 </w:t>
      </w:r>
      <w:r w:rsidRPr="001B068D">
        <w:rPr>
          <w:spacing w:val="-3"/>
          <w:highlight w:val="yellow"/>
        </w:rPr>
        <w:t>wt</w:t>
      </w:r>
      <w:r>
        <w:rPr>
          <w:spacing w:val="-3"/>
        </w:rPr>
        <w:t>% acetone; (b) Al-0.</w:t>
      </w:r>
      <w:r w:rsidRPr="001B068D">
        <w:rPr>
          <w:spacing w:val="-3"/>
          <w:highlight w:val="yellow"/>
        </w:rPr>
        <w:t>34wt</w:t>
      </w:r>
      <w:r>
        <w:rPr>
          <w:spacing w:val="-3"/>
        </w:rPr>
        <w:t>% Si-0.</w:t>
      </w:r>
      <w:r w:rsidRPr="001B068D">
        <w:rPr>
          <w:spacing w:val="-3"/>
          <w:highlight w:val="yellow"/>
        </w:rPr>
        <w:t>14wt</w:t>
      </w:r>
      <w:r>
        <w:rPr>
          <w:spacing w:val="-3"/>
        </w:rPr>
        <w:t>%Mg (HUNT and Lu [1996]).</w:t>
      </w:r>
    </w:p>
    <w:p w14:paraId="47E5401D" w14:textId="5B3336B8" w:rsidR="00280FA2" w:rsidRDefault="00280FA2" w:rsidP="00280FA2">
      <w:pPr>
        <w:tabs>
          <w:tab w:val="left" w:pos="-720"/>
          <w:tab w:val="left" w:pos="0"/>
          <w:tab w:val="left" w:pos="720"/>
        </w:tabs>
        <w:suppressAutoHyphens/>
        <w:spacing w:line="240" w:lineRule="atLeast"/>
        <w:ind w:left="1440" w:hanging="1440"/>
        <w:jc w:val="center"/>
        <w:rPr>
          <w:spacing w:val="-3"/>
        </w:rPr>
      </w:pPr>
      <w:r>
        <w:rPr>
          <w:noProof/>
          <w:spacing w:val="-3"/>
        </w:rPr>
        <w:lastRenderedPageBreak/>
        <w:drawing>
          <wp:inline distT="0" distB="0" distL="0" distR="0" wp14:anchorId="3AA7E635" wp14:editId="7DF92CA8">
            <wp:extent cx="3424555" cy="3424555"/>
            <wp:effectExtent l="0" t="0" r="4445" b="4445"/>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1417">
                      <a:extLst>
                        <a:ext uri="{28A0092B-C50C-407E-A947-70E740481C1C}">
                          <a14:useLocalDpi xmlns:a14="http://schemas.microsoft.com/office/drawing/2010/main" val="0"/>
                        </a:ext>
                      </a:extLst>
                    </a:blip>
                    <a:srcRect/>
                    <a:stretch>
                      <a:fillRect/>
                    </a:stretch>
                  </pic:blipFill>
                  <pic:spPr bwMode="auto">
                    <a:xfrm>
                      <a:off x="0" y="0"/>
                      <a:ext cx="3424555" cy="3424555"/>
                    </a:xfrm>
                    <a:prstGeom prst="rect">
                      <a:avLst/>
                    </a:prstGeom>
                    <a:noFill/>
                    <a:ln>
                      <a:noFill/>
                    </a:ln>
                  </pic:spPr>
                </pic:pic>
              </a:graphicData>
            </a:graphic>
          </wp:inline>
        </w:drawing>
      </w:r>
    </w:p>
    <w:p w14:paraId="40D96749" w14:textId="77777777" w:rsidR="00280FA2" w:rsidRPr="003769D2" w:rsidRDefault="00280FA2" w:rsidP="00280FA2">
      <w:pPr>
        <w:tabs>
          <w:tab w:val="left" w:pos="-720"/>
          <w:tab w:val="left" w:pos="0"/>
          <w:tab w:val="left" w:pos="720"/>
        </w:tabs>
        <w:suppressAutoHyphens/>
        <w:spacing w:line="240" w:lineRule="atLeast"/>
        <w:ind w:left="1440" w:hanging="1440"/>
        <w:rPr>
          <w:spacing w:val="-3"/>
        </w:rPr>
      </w:pPr>
      <w:r>
        <w:rPr>
          <w:spacing w:val="-3"/>
        </w:rPr>
        <w:t xml:space="preserve">Figure 7.9  </w:t>
      </w:r>
      <w:r>
        <w:rPr>
          <w:spacing w:val="-3"/>
        </w:rPr>
        <w:tab/>
      </w:r>
      <w:r w:rsidRPr="003769D2">
        <w:rPr>
          <w:spacing w:val="-3"/>
        </w:rPr>
        <w:t>Range of spacing</w:t>
      </w:r>
      <w:r>
        <w:rPr>
          <w:spacing w:val="-3"/>
        </w:rPr>
        <w:t>s</w:t>
      </w:r>
      <w:r w:rsidRPr="003769D2">
        <w:rPr>
          <w:spacing w:val="-3"/>
        </w:rPr>
        <w:t xml:space="preserve"> </w:t>
      </w:r>
      <w:r>
        <w:rPr>
          <w:spacing w:val="-3"/>
        </w:rPr>
        <w:t xml:space="preserve">for the existence of finger </w:t>
      </w:r>
      <w:r w:rsidRPr="003769D2">
        <w:rPr>
          <w:spacing w:val="-3"/>
        </w:rPr>
        <w:t>and</w:t>
      </w:r>
      <w:r>
        <w:rPr>
          <w:spacing w:val="-3"/>
        </w:rPr>
        <w:t xml:space="preserve"> </w:t>
      </w:r>
      <w:r w:rsidRPr="003769D2">
        <w:rPr>
          <w:spacing w:val="-3"/>
        </w:rPr>
        <w:t>needle axisymmetric steady-state growth solutions as a function</w:t>
      </w:r>
      <w:r>
        <w:rPr>
          <w:spacing w:val="-3"/>
        </w:rPr>
        <w:t xml:space="preserve"> </w:t>
      </w:r>
      <w:r w:rsidRPr="003769D2">
        <w:rPr>
          <w:spacing w:val="-3"/>
        </w:rPr>
        <w:t xml:space="preserve">of growth velocity for G=38 K/cm, </w:t>
      </w:r>
      <w:r>
        <w:rPr>
          <w:spacing w:val="-3"/>
        </w:rPr>
        <w:t>C</w:t>
      </w:r>
      <w:r w:rsidRPr="003769D2">
        <w:rPr>
          <w:spacing w:val="-3"/>
          <w:vertAlign w:val="subscript"/>
        </w:rPr>
        <w:t>0</w:t>
      </w:r>
      <w:r w:rsidRPr="003769D2">
        <w:rPr>
          <w:spacing w:val="-3"/>
        </w:rPr>
        <w:t>=0.</w:t>
      </w:r>
      <w:r w:rsidRPr="001B068D">
        <w:rPr>
          <w:spacing w:val="-3"/>
          <w:highlight w:val="yellow"/>
        </w:rPr>
        <w:t>7 wt</w:t>
      </w:r>
      <w:r w:rsidRPr="003769D2">
        <w:rPr>
          <w:spacing w:val="-3"/>
        </w:rPr>
        <w:t xml:space="preserve"> %, and </w:t>
      </w:r>
      <w:r>
        <w:rPr>
          <w:spacing w:val="-3"/>
        </w:rPr>
        <w:t xml:space="preserve">anisotropy </w:t>
      </w:r>
      <w:r w:rsidRPr="003769D2">
        <w:rPr>
          <w:spacing w:val="-3"/>
          <w:position w:val="-6"/>
        </w:rPr>
        <w:object w:dxaOrig="200" w:dyaOrig="220" w14:anchorId="563764C8">
          <v:shape id="_x0000_i1736" type="#_x0000_t75" style="width:7.5pt;height:14.05pt" o:ole="">
            <v:imagedata r:id="rId1418" o:title=""/>
          </v:shape>
          <o:OLEObject Type="Embed" ProgID="Equation.DSMT4" ShapeID="_x0000_i1736" DrawAspect="Content" ObjectID="_1840627302" r:id="rId1419"/>
        </w:object>
      </w:r>
      <w:r w:rsidRPr="003769D2">
        <w:rPr>
          <w:spacing w:val="-3"/>
        </w:rPr>
        <w:t xml:space="preserve">=0.01. Three different growth regimes can be distinguished </w:t>
      </w:r>
      <w:r>
        <w:rPr>
          <w:spacing w:val="-3"/>
        </w:rPr>
        <w:t xml:space="preserve">a) </w:t>
      </w:r>
      <w:r w:rsidRPr="003769D2">
        <w:rPr>
          <w:spacing w:val="-3"/>
        </w:rPr>
        <w:t>with</w:t>
      </w:r>
      <w:r>
        <w:rPr>
          <w:spacing w:val="-3"/>
        </w:rPr>
        <w:t xml:space="preserve"> </w:t>
      </w:r>
      <w:r w:rsidRPr="003769D2">
        <w:rPr>
          <w:spacing w:val="-3"/>
        </w:rPr>
        <w:t xml:space="preserve">only fingers for low velocity, </w:t>
      </w:r>
      <w:r>
        <w:rPr>
          <w:spacing w:val="-3"/>
        </w:rPr>
        <w:t xml:space="preserve">b) </w:t>
      </w:r>
      <w:r w:rsidRPr="003769D2">
        <w:rPr>
          <w:spacing w:val="-3"/>
        </w:rPr>
        <w:t>distinct branches of</w:t>
      </w:r>
      <w:r>
        <w:rPr>
          <w:spacing w:val="-3"/>
        </w:rPr>
        <w:t xml:space="preserve"> </w:t>
      </w:r>
      <w:r w:rsidRPr="003769D2">
        <w:rPr>
          <w:spacing w:val="-3"/>
        </w:rPr>
        <w:t xml:space="preserve">finger and needle solutions for intermediate velocities, and </w:t>
      </w:r>
      <w:r>
        <w:rPr>
          <w:spacing w:val="-3"/>
        </w:rPr>
        <w:t xml:space="preserve">c) </w:t>
      </w:r>
      <w:r w:rsidRPr="003769D2">
        <w:rPr>
          <w:spacing w:val="-3"/>
        </w:rPr>
        <w:t>merging of these branches into a single branch with a</w:t>
      </w:r>
      <w:r>
        <w:rPr>
          <w:spacing w:val="-3"/>
        </w:rPr>
        <w:t xml:space="preserve"> </w:t>
      </w:r>
      <w:r w:rsidRPr="003769D2">
        <w:rPr>
          <w:spacing w:val="-3"/>
        </w:rPr>
        <w:t>continuous shape evolution from finger to needle with increasing</w:t>
      </w:r>
      <w:r>
        <w:rPr>
          <w:spacing w:val="-3"/>
        </w:rPr>
        <w:t xml:space="preserve"> </w:t>
      </w:r>
      <w:r w:rsidRPr="003769D2">
        <w:rPr>
          <w:spacing w:val="-3"/>
        </w:rPr>
        <w:t>spacing</w:t>
      </w:r>
      <w:r>
        <w:rPr>
          <w:spacing w:val="-3"/>
        </w:rPr>
        <w:t xml:space="preserve"> (</w:t>
      </w:r>
      <w:r w:rsidRPr="003769D2">
        <w:rPr>
          <w:rFonts w:ascii="Times-Roman" w:hAnsi="Times-Roman" w:cs="Times-Roman"/>
        </w:rPr>
        <w:t>Gurevich et al</w:t>
      </w:r>
      <w:r>
        <w:rPr>
          <w:rFonts w:ascii="Times-Roman" w:hAnsi="Times-Roman" w:cs="Times-Roman"/>
        </w:rPr>
        <w:t>.</w:t>
      </w:r>
      <w:r w:rsidRPr="003769D2">
        <w:rPr>
          <w:rFonts w:ascii="Times-Roman" w:hAnsi="Times-Roman" w:cs="Times-Roman"/>
        </w:rPr>
        <w:t xml:space="preserve"> [2010]</w:t>
      </w:r>
      <w:r>
        <w:rPr>
          <w:rFonts w:ascii="Times-Roman" w:hAnsi="Times-Roman" w:cs="Times-Roman"/>
        </w:rPr>
        <w:t>).</w:t>
      </w:r>
    </w:p>
    <w:p w14:paraId="6F5C31AF" w14:textId="4180A201" w:rsidR="00280FA2" w:rsidRDefault="00280FA2" w:rsidP="00280FA2">
      <w:pPr>
        <w:tabs>
          <w:tab w:val="left" w:pos="-720"/>
        </w:tabs>
        <w:suppressAutoHyphens/>
        <w:spacing w:line="240" w:lineRule="atLeast"/>
        <w:jc w:val="center"/>
        <w:rPr>
          <w:spacing w:val="-3"/>
        </w:rPr>
      </w:pPr>
      <w:r>
        <w:rPr>
          <w:noProof/>
          <w:spacing w:val="-3"/>
        </w:rPr>
        <w:lastRenderedPageBreak/>
        <w:drawing>
          <wp:inline distT="0" distB="0" distL="0" distR="0" wp14:anchorId="26222B38" wp14:editId="769DD0FD">
            <wp:extent cx="2915920" cy="4356100"/>
            <wp:effectExtent l="0" t="0" r="0" b="635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1420" cstate="print">
                      <a:extLst>
                        <a:ext uri="{28A0092B-C50C-407E-A947-70E740481C1C}">
                          <a14:useLocalDpi xmlns:a14="http://schemas.microsoft.com/office/drawing/2010/main" val="0"/>
                        </a:ext>
                      </a:extLst>
                    </a:blip>
                    <a:srcRect/>
                    <a:stretch>
                      <a:fillRect/>
                    </a:stretch>
                  </pic:blipFill>
                  <pic:spPr bwMode="auto">
                    <a:xfrm>
                      <a:off x="0" y="0"/>
                      <a:ext cx="2915920" cy="4356100"/>
                    </a:xfrm>
                    <a:prstGeom prst="rect">
                      <a:avLst/>
                    </a:prstGeom>
                    <a:noFill/>
                    <a:ln>
                      <a:noFill/>
                    </a:ln>
                  </pic:spPr>
                </pic:pic>
              </a:graphicData>
            </a:graphic>
          </wp:inline>
        </w:drawing>
      </w:r>
    </w:p>
    <w:p w14:paraId="3EEB026E" w14:textId="77777777" w:rsidR="00280FA2" w:rsidRDefault="00280FA2" w:rsidP="00280FA2">
      <w:pPr>
        <w:tabs>
          <w:tab w:val="left" w:pos="-720"/>
          <w:tab w:val="left" w:pos="0"/>
          <w:tab w:val="left" w:pos="720"/>
        </w:tabs>
        <w:suppressAutoHyphens/>
        <w:spacing w:line="240" w:lineRule="atLeast"/>
        <w:ind w:left="1440" w:hanging="1440"/>
        <w:rPr>
          <w:spacing w:val="-3"/>
        </w:rPr>
      </w:pPr>
      <w:r>
        <w:rPr>
          <w:spacing w:val="-3"/>
        </w:rPr>
        <w:t xml:space="preserve">Figure  7.10 </w:t>
      </w:r>
      <w:r>
        <w:rPr>
          <w:spacing w:val="-3"/>
        </w:rPr>
        <w:tab/>
        <w:t xml:space="preserve">Superposition of time-lapse photographs of the growth of a succinonitrile dendrite. Sidebranch evolution on the {100} branching sheets is evident (HUANG and GLICKSMAN [1981]). </w:t>
      </w:r>
    </w:p>
    <w:p w14:paraId="58C9198A" w14:textId="1C6F8915" w:rsidR="00280FA2" w:rsidRDefault="00280FA2" w:rsidP="00280FA2">
      <w:pPr>
        <w:tabs>
          <w:tab w:val="left" w:pos="-720"/>
          <w:tab w:val="left" w:pos="0"/>
          <w:tab w:val="left" w:pos="720"/>
        </w:tabs>
        <w:suppressAutoHyphens/>
        <w:spacing w:line="240" w:lineRule="atLeast"/>
        <w:ind w:left="1440" w:hanging="1440"/>
        <w:jc w:val="center"/>
        <w:rPr>
          <w:spacing w:val="-3"/>
        </w:rPr>
      </w:pPr>
      <w:r>
        <w:rPr>
          <w:noProof/>
          <w:spacing w:val="-3"/>
        </w:rPr>
        <w:lastRenderedPageBreak/>
        <w:drawing>
          <wp:inline distT="0" distB="0" distL="0" distR="0" wp14:anchorId="07E0BFAA" wp14:editId="21C84E46">
            <wp:extent cx="4114800" cy="408051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1421">
                      <a:extLst>
                        <a:ext uri="{28A0092B-C50C-407E-A947-70E740481C1C}">
                          <a14:useLocalDpi xmlns:a14="http://schemas.microsoft.com/office/drawing/2010/main" val="0"/>
                        </a:ext>
                      </a:extLst>
                    </a:blip>
                    <a:srcRect/>
                    <a:stretch>
                      <a:fillRect/>
                    </a:stretch>
                  </pic:blipFill>
                  <pic:spPr bwMode="auto">
                    <a:xfrm>
                      <a:off x="0" y="0"/>
                      <a:ext cx="4114800" cy="4080510"/>
                    </a:xfrm>
                    <a:prstGeom prst="rect">
                      <a:avLst/>
                    </a:prstGeom>
                    <a:noFill/>
                    <a:ln>
                      <a:noFill/>
                    </a:ln>
                  </pic:spPr>
                </pic:pic>
              </a:graphicData>
            </a:graphic>
          </wp:inline>
        </w:drawing>
      </w:r>
    </w:p>
    <w:p w14:paraId="35E5AC55" w14:textId="5C7B5220" w:rsidR="00280FA2" w:rsidRDefault="00280FA2" w:rsidP="00280FA2">
      <w:pPr>
        <w:tabs>
          <w:tab w:val="left" w:pos="-720"/>
          <w:tab w:val="left" w:pos="0"/>
          <w:tab w:val="left" w:pos="720"/>
        </w:tabs>
        <w:suppressAutoHyphens/>
        <w:spacing w:line="240" w:lineRule="atLeast"/>
        <w:ind w:left="1440" w:hanging="1440"/>
      </w:pPr>
      <w:r w:rsidRPr="00EE429A">
        <w:t>Fig</w:t>
      </w:r>
      <w:r>
        <w:t>ure</w:t>
      </w:r>
      <w:r w:rsidRPr="00EE429A">
        <w:t xml:space="preserve"> </w:t>
      </w:r>
      <w:r>
        <w:t>7.11</w:t>
      </w:r>
      <w:r w:rsidRPr="00EE429A">
        <w:t>.</w:t>
      </w:r>
      <w:r>
        <w:tab/>
        <w:t xml:space="preserve">Phase field simulations of dendritic growth showing the variation of composition in the liquid and in the solid.  </w:t>
      </w:r>
      <w:r w:rsidRPr="00EE429A">
        <w:t>Plots showing the effects of variations in the solid diffusivity</w:t>
      </w:r>
      <w:r>
        <w:t xml:space="preserve">: (a) </w:t>
      </w:r>
      <w:r w:rsidRPr="00EE429A">
        <w:t>(c)</w:t>
      </w:r>
      <w:r>
        <w:t xml:space="preserve"> </w:t>
      </w:r>
      <w:r w:rsidRPr="00EE429A">
        <w:t xml:space="preserve">show the solute profile for </w:t>
      </w:r>
      <w:r>
        <w:rPr>
          <w:i/>
          <w:iCs/>
        </w:rPr>
        <w:t>D</w:t>
      </w:r>
      <w:r w:rsidRPr="00B551EF">
        <w:rPr>
          <w:i/>
          <w:iCs/>
          <w:vertAlign w:val="subscript"/>
        </w:rPr>
        <w:t>S</w:t>
      </w:r>
      <w:r>
        <w:rPr>
          <w:i/>
          <w:iCs/>
        </w:rPr>
        <w:t>/D</w:t>
      </w:r>
      <w:r w:rsidRPr="00B551EF">
        <w:rPr>
          <w:i/>
          <w:iCs/>
          <w:vertAlign w:val="subscript"/>
        </w:rPr>
        <w:t>L</w:t>
      </w:r>
      <w:r w:rsidRPr="00EE429A">
        <w:rPr>
          <w:i/>
          <w:iCs/>
        </w:rPr>
        <w:t xml:space="preserve"> </w:t>
      </w:r>
      <w:r w:rsidRPr="00EE429A">
        <w:t>= 10</w:t>
      </w:r>
      <w:r w:rsidRPr="00B551EF">
        <w:rPr>
          <w:vertAlign w:val="superscript"/>
        </w:rPr>
        <w:t>-4</w:t>
      </w:r>
      <w:r w:rsidRPr="00EE429A">
        <w:t>, and (b), (d) show the solute profile for</w:t>
      </w:r>
      <w:r>
        <w:t xml:space="preserve"> </w:t>
      </w:r>
      <w:r w:rsidRPr="00EE429A">
        <w:rPr>
          <w:i/>
          <w:iCs/>
        </w:rPr>
        <w:t>D</w:t>
      </w:r>
      <w:r w:rsidRPr="00B551EF">
        <w:rPr>
          <w:i/>
          <w:iCs/>
          <w:vertAlign w:val="subscript"/>
        </w:rPr>
        <w:t>S</w:t>
      </w:r>
      <w:r>
        <w:rPr>
          <w:i/>
          <w:iCs/>
        </w:rPr>
        <w:t>/D</w:t>
      </w:r>
      <w:r w:rsidRPr="00B551EF">
        <w:rPr>
          <w:i/>
          <w:iCs/>
          <w:vertAlign w:val="subscript"/>
        </w:rPr>
        <w:t>L</w:t>
      </w:r>
      <w:r w:rsidRPr="00EE429A">
        <w:rPr>
          <w:i/>
          <w:iCs/>
        </w:rPr>
        <w:t xml:space="preserve"> </w:t>
      </w:r>
      <w:r w:rsidRPr="00EE429A">
        <w:t>= 10</w:t>
      </w:r>
      <w:r w:rsidRPr="00B551EF">
        <w:rPr>
          <w:vertAlign w:val="superscript"/>
        </w:rPr>
        <w:t>-1</w:t>
      </w:r>
      <w:r w:rsidRPr="00EE429A">
        <w:t>. (</w:t>
      </w:r>
      <w:r>
        <w:t>a</w:t>
      </w:r>
      <w:r w:rsidRPr="00EE429A">
        <w:t>) and (</w:t>
      </w:r>
      <w:r>
        <w:t>b</w:t>
      </w:r>
      <w:r w:rsidRPr="00EE429A">
        <w:t>) show the tip region and (</w:t>
      </w:r>
      <w:r>
        <w:t>c</w:t>
      </w:r>
      <w:r w:rsidRPr="00EE429A">
        <w:t>) and (</w:t>
      </w:r>
      <w:r>
        <w:t>d</w:t>
      </w:r>
      <w:r w:rsidRPr="00EE429A">
        <w:t>) show</w:t>
      </w:r>
      <w:r>
        <w:t xml:space="preserve"> the</w:t>
      </w:r>
      <w:r w:rsidRPr="00EE429A">
        <w:t xml:space="preserve"> interdendritic region. </w:t>
      </w:r>
      <w:r>
        <w:t xml:space="preserve">The bulk alloy concentration is </w:t>
      </w:r>
      <w:r w:rsidRPr="006A38E0">
        <w:t>0.408</w:t>
      </w:r>
      <w:r>
        <w:t xml:space="preserve"> </w:t>
      </w:r>
      <w:r w:rsidR="0019711B">
        <w:t xml:space="preserve">(mass fraction) </w:t>
      </w:r>
      <w:r>
        <w:t>and t</w:t>
      </w:r>
      <w:r w:rsidRPr="00EE429A">
        <w:t>hree contours for 0.397, 0.399 and 0.4005</w:t>
      </w:r>
      <w:r>
        <w:t xml:space="preserve"> are</w:t>
      </w:r>
      <w:r w:rsidRPr="00EE429A">
        <w:t xml:space="preserve"> </w:t>
      </w:r>
      <w:r>
        <w:t>shown in the solid as thin black lines (Warren and Boettinger [1995]).</w:t>
      </w:r>
    </w:p>
    <w:p w14:paraId="4711139E" w14:textId="77777777" w:rsidR="00280FA2" w:rsidRDefault="00280FA2" w:rsidP="00280FA2">
      <w:pPr>
        <w:tabs>
          <w:tab w:val="left" w:pos="-720"/>
          <w:tab w:val="left" w:pos="0"/>
          <w:tab w:val="left" w:pos="720"/>
        </w:tabs>
        <w:suppressAutoHyphens/>
        <w:spacing w:line="240" w:lineRule="atLeast"/>
        <w:ind w:left="1440" w:hanging="1440"/>
      </w:pPr>
      <w:r>
        <w:br w:type="page"/>
      </w:r>
    </w:p>
    <w:p w14:paraId="752A6CF6" w14:textId="78DF9E03" w:rsidR="00280FA2" w:rsidRDefault="00280FA2" w:rsidP="00280FA2">
      <w:pPr>
        <w:tabs>
          <w:tab w:val="left" w:pos="-720"/>
          <w:tab w:val="left" w:pos="0"/>
          <w:tab w:val="left" w:pos="720"/>
        </w:tabs>
        <w:suppressAutoHyphens/>
        <w:spacing w:line="240" w:lineRule="atLeast"/>
        <w:ind w:left="1440" w:hanging="1440"/>
        <w:jc w:val="center"/>
      </w:pPr>
      <w:r>
        <w:rPr>
          <w:noProof/>
        </w:rPr>
        <w:lastRenderedPageBreak/>
        <w:drawing>
          <wp:inline distT="0" distB="0" distL="0" distR="0" wp14:anchorId="542598B3" wp14:editId="3CA3F44A">
            <wp:extent cx="2225675" cy="1915160"/>
            <wp:effectExtent l="0" t="0" r="3175" b="889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1422" cstate="print">
                      <a:extLst>
                        <a:ext uri="{28A0092B-C50C-407E-A947-70E740481C1C}">
                          <a14:useLocalDpi xmlns:a14="http://schemas.microsoft.com/office/drawing/2010/main" val="0"/>
                        </a:ext>
                      </a:extLst>
                    </a:blip>
                    <a:srcRect/>
                    <a:stretch>
                      <a:fillRect/>
                    </a:stretch>
                  </pic:blipFill>
                  <pic:spPr bwMode="auto">
                    <a:xfrm>
                      <a:off x="0" y="0"/>
                      <a:ext cx="2225675" cy="1915160"/>
                    </a:xfrm>
                    <a:prstGeom prst="rect">
                      <a:avLst/>
                    </a:prstGeom>
                    <a:noFill/>
                    <a:ln>
                      <a:noFill/>
                    </a:ln>
                  </pic:spPr>
                </pic:pic>
              </a:graphicData>
            </a:graphic>
          </wp:inline>
        </w:drawing>
      </w:r>
    </w:p>
    <w:p w14:paraId="77A30E07" w14:textId="05216BF2" w:rsidR="00280FA2" w:rsidRDefault="00280FA2" w:rsidP="00280FA2">
      <w:pPr>
        <w:tabs>
          <w:tab w:val="left" w:pos="-720"/>
          <w:tab w:val="left" w:pos="0"/>
          <w:tab w:val="left" w:pos="720"/>
        </w:tabs>
        <w:suppressAutoHyphens/>
        <w:spacing w:line="240" w:lineRule="atLeast"/>
        <w:ind w:left="1440" w:hanging="1440"/>
        <w:jc w:val="center"/>
      </w:pPr>
      <w:r>
        <w:rPr>
          <w:noProof/>
        </w:rPr>
        <w:drawing>
          <wp:inline distT="0" distB="0" distL="0" distR="0" wp14:anchorId="415FF0DB" wp14:editId="14E73679">
            <wp:extent cx="2441575" cy="240665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1423" cstate="print">
                      <a:extLst>
                        <a:ext uri="{28A0092B-C50C-407E-A947-70E740481C1C}">
                          <a14:useLocalDpi xmlns:a14="http://schemas.microsoft.com/office/drawing/2010/main" val="0"/>
                        </a:ext>
                      </a:extLst>
                    </a:blip>
                    <a:srcRect/>
                    <a:stretch>
                      <a:fillRect/>
                    </a:stretch>
                  </pic:blipFill>
                  <pic:spPr bwMode="auto">
                    <a:xfrm>
                      <a:off x="0" y="0"/>
                      <a:ext cx="2441575" cy="2406650"/>
                    </a:xfrm>
                    <a:prstGeom prst="rect">
                      <a:avLst/>
                    </a:prstGeom>
                    <a:noFill/>
                    <a:ln>
                      <a:noFill/>
                    </a:ln>
                  </pic:spPr>
                </pic:pic>
              </a:graphicData>
            </a:graphic>
          </wp:inline>
        </w:drawing>
      </w:r>
    </w:p>
    <w:p w14:paraId="455E1BB4" w14:textId="4E6DBEAF" w:rsidR="00280FA2" w:rsidRDefault="00280FA2" w:rsidP="00280FA2">
      <w:pPr>
        <w:tabs>
          <w:tab w:val="left" w:pos="-720"/>
          <w:tab w:val="left" w:pos="0"/>
          <w:tab w:val="left" w:pos="720"/>
        </w:tabs>
        <w:suppressAutoHyphens/>
        <w:spacing w:line="240" w:lineRule="atLeast"/>
        <w:ind w:left="1440" w:hanging="1440"/>
        <w:jc w:val="center"/>
      </w:pPr>
      <w:r>
        <w:rPr>
          <w:noProof/>
        </w:rPr>
        <w:drawing>
          <wp:inline distT="0" distB="0" distL="0" distR="0" wp14:anchorId="18A7D5A2" wp14:editId="1F605A1D">
            <wp:extent cx="2449830" cy="2165350"/>
            <wp:effectExtent l="0" t="0" r="7620" b="635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1424" cstate="print">
                      <a:extLst>
                        <a:ext uri="{28A0092B-C50C-407E-A947-70E740481C1C}">
                          <a14:useLocalDpi xmlns:a14="http://schemas.microsoft.com/office/drawing/2010/main" val="0"/>
                        </a:ext>
                      </a:extLst>
                    </a:blip>
                    <a:srcRect/>
                    <a:stretch>
                      <a:fillRect/>
                    </a:stretch>
                  </pic:blipFill>
                  <pic:spPr bwMode="auto">
                    <a:xfrm>
                      <a:off x="0" y="0"/>
                      <a:ext cx="2449830" cy="2165350"/>
                    </a:xfrm>
                    <a:prstGeom prst="rect">
                      <a:avLst/>
                    </a:prstGeom>
                    <a:noFill/>
                    <a:ln>
                      <a:noFill/>
                    </a:ln>
                  </pic:spPr>
                </pic:pic>
              </a:graphicData>
            </a:graphic>
          </wp:inline>
        </w:drawing>
      </w:r>
    </w:p>
    <w:p w14:paraId="4659974A" w14:textId="77777777" w:rsidR="00280FA2" w:rsidRDefault="00280FA2" w:rsidP="00280FA2">
      <w:pPr>
        <w:tabs>
          <w:tab w:val="left" w:pos="-720"/>
          <w:tab w:val="left" w:pos="0"/>
          <w:tab w:val="left" w:pos="720"/>
        </w:tabs>
        <w:suppressAutoHyphens/>
        <w:spacing w:line="240" w:lineRule="atLeast"/>
        <w:ind w:left="1440" w:hanging="1440"/>
      </w:pPr>
    </w:p>
    <w:p w14:paraId="760DD5FC" w14:textId="77777777" w:rsidR="00280FA2" w:rsidRPr="00D30FB8" w:rsidRDefault="00280FA2" w:rsidP="00280FA2">
      <w:pPr>
        <w:tabs>
          <w:tab w:val="left" w:pos="-720"/>
          <w:tab w:val="left" w:pos="0"/>
          <w:tab w:val="left" w:pos="720"/>
        </w:tabs>
        <w:suppressAutoHyphens/>
        <w:spacing w:line="240" w:lineRule="atLeast"/>
        <w:ind w:left="1440" w:hanging="1440"/>
        <w:rPr>
          <w:color w:val="FF0000"/>
          <w:spacing w:val="-3"/>
        </w:rPr>
      </w:pPr>
      <w:r>
        <w:t>Figure 7.12</w:t>
      </w:r>
      <w:r>
        <w:tab/>
        <w:t xml:space="preserve">Details of the microsegregation computed for dendritic growth Boettinger and </w:t>
      </w:r>
      <w:smartTag w:uri="urn:schemas-microsoft-com:office:smarttags" w:element="City">
        <w:smartTag w:uri="urn:schemas-microsoft-com:office:smarttags" w:element="place">
          <w:r>
            <w:t>Warren</w:t>
          </w:r>
        </w:smartTag>
      </w:smartTag>
      <w:r>
        <w:t xml:space="preserve"> [1996].  a) portion of phase diagram showing</w:t>
      </w:r>
      <w:r w:rsidRPr="00A466EC">
        <w:t xml:space="preserve"> </w:t>
      </w:r>
      <w:r>
        <w:t xml:space="preserve">the bulk alloy composition of 0.408 and the liquid and solid compositions at the nucleation temperature; b) composition histogram and c)  concentration vs. solid fraction in the solidified material compared  to a Scheil prediction. </w:t>
      </w:r>
    </w:p>
    <w:p w14:paraId="0BD7182A" w14:textId="77777777" w:rsidR="00280FA2" w:rsidRDefault="00280FA2" w:rsidP="00280FA2">
      <w:pPr>
        <w:tabs>
          <w:tab w:val="left" w:pos="-720"/>
          <w:tab w:val="left" w:pos="0"/>
          <w:tab w:val="left" w:pos="720"/>
        </w:tabs>
        <w:suppressAutoHyphens/>
        <w:spacing w:line="240" w:lineRule="atLeast"/>
        <w:ind w:left="1440" w:hanging="1440"/>
        <w:rPr>
          <w:spacing w:val="-3"/>
        </w:rPr>
      </w:pPr>
    </w:p>
    <w:p w14:paraId="55C6C139" w14:textId="6587A9DC" w:rsidR="00280FA2" w:rsidRDefault="00280FA2" w:rsidP="00280FA2">
      <w:pPr>
        <w:tabs>
          <w:tab w:val="left" w:pos="-720"/>
          <w:tab w:val="left" w:pos="0"/>
          <w:tab w:val="left" w:pos="720"/>
        </w:tabs>
        <w:suppressAutoHyphens/>
        <w:spacing w:line="240" w:lineRule="atLeast"/>
        <w:ind w:left="1440" w:hanging="1440"/>
        <w:jc w:val="center"/>
        <w:rPr>
          <w:spacing w:val="-3"/>
        </w:rPr>
      </w:pPr>
      <w:r>
        <w:rPr>
          <w:noProof/>
          <w:spacing w:val="-3"/>
        </w:rPr>
        <w:lastRenderedPageBreak/>
        <w:drawing>
          <wp:inline distT="0" distB="0" distL="0" distR="0" wp14:anchorId="79BB53AE" wp14:editId="03BFF81B">
            <wp:extent cx="3847465" cy="5814060"/>
            <wp:effectExtent l="0" t="0" r="635"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1425" cstate="print">
                      <a:extLst>
                        <a:ext uri="{28A0092B-C50C-407E-A947-70E740481C1C}">
                          <a14:useLocalDpi xmlns:a14="http://schemas.microsoft.com/office/drawing/2010/main" val="0"/>
                        </a:ext>
                      </a:extLst>
                    </a:blip>
                    <a:srcRect/>
                    <a:stretch>
                      <a:fillRect/>
                    </a:stretch>
                  </pic:blipFill>
                  <pic:spPr bwMode="auto">
                    <a:xfrm>
                      <a:off x="0" y="0"/>
                      <a:ext cx="3847465" cy="5814060"/>
                    </a:xfrm>
                    <a:prstGeom prst="rect">
                      <a:avLst/>
                    </a:prstGeom>
                    <a:noFill/>
                    <a:ln>
                      <a:noFill/>
                    </a:ln>
                  </pic:spPr>
                </pic:pic>
              </a:graphicData>
            </a:graphic>
          </wp:inline>
        </w:drawing>
      </w:r>
    </w:p>
    <w:p w14:paraId="44EF89DD" w14:textId="77777777" w:rsidR="00280FA2" w:rsidRDefault="00280FA2" w:rsidP="00280FA2">
      <w:pPr>
        <w:tabs>
          <w:tab w:val="left" w:pos="-720"/>
          <w:tab w:val="left" w:pos="0"/>
          <w:tab w:val="left" w:pos="720"/>
        </w:tabs>
        <w:suppressAutoHyphens/>
        <w:spacing w:line="240" w:lineRule="atLeast"/>
        <w:ind w:left="1440" w:hanging="1440"/>
        <w:rPr>
          <w:spacing w:val="-3"/>
        </w:rPr>
      </w:pPr>
      <w:r>
        <w:rPr>
          <w:spacing w:val="-3"/>
        </w:rPr>
        <w:t>Figure  7.13</w:t>
      </w:r>
      <w:r>
        <w:rPr>
          <w:spacing w:val="-3"/>
        </w:rPr>
        <w:tab/>
        <w:t>Conceptual model of cellular/dendritic freezing showing: (a) portion of the phase diagram; (b) schematic temperature distribution in the melt; (c) distribution of solute within the liquid in the mushy zone; (d) representation of plate-like, unbranched dendrites showing the position of a characteristic elemental volume (BRODY and FLEMINGS [1966]).</w:t>
      </w:r>
    </w:p>
    <w:p w14:paraId="3488BB2D" w14:textId="4EC4398E" w:rsidR="00280FA2" w:rsidRDefault="00280FA2" w:rsidP="00280FA2">
      <w:pPr>
        <w:tabs>
          <w:tab w:val="left" w:pos="-720"/>
          <w:tab w:val="left" w:pos="0"/>
          <w:tab w:val="left" w:pos="720"/>
        </w:tabs>
        <w:suppressAutoHyphens/>
        <w:spacing w:line="240" w:lineRule="atLeast"/>
        <w:ind w:left="1440" w:hanging="1440"/>
        <w:rPr>
          <w:spacing w:val="-3"/>
        </w:rPr>
      </w:pPr>
      <w:r>
        <w:rPr>
          <w:noProof/>
          <w:spacing w:val="-3"/>
        </w:rPr>
        <w:lastRenderedPageBreak/>
        <w:drawing>
          <wp:inline distT="0" distB="0" distL="0" distR="0" wp14:anchorId="22864461" wp14:editId="6F6D4A31">
            <wp:extent cx="5486400" cy="3269615"/>
            <wp:effectExtent l="0" t="0" r="0" b="698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1426">
                      <a:extLst>
                        <a:ext uri="{28A0092B-C50C-407E-A947-70E740481C1C}">
                          <a14:useLocalDpi xmlns:a14="http://schemas.microsoft.com/office/drawing/2010/main" val="0"/>
                        </a:ext>
                      </a:extLst>
                    </a:blip>
                    <a:srcRect/>
                    <a:stretch>
                      <a:fillRect/>
                    </a:stretch>
                  </pic:blipFill>
                  <pic:spPr bwMode="auto">
                    <a:xfrm>
                      <a:off x="0" y="0"/>
                      <a:ext cx="5486400" cy="3269615"/>
                    </a:xfrm>
                    <a:prstGeom prst="rect">
                      <a:avLst/>
                    </a:prstGeom>
                    <a:noFill/>
                    <a:ln>
                      <a:noFill/>
                    </a:ln>
                  </pic:spPr>
                </pic:pic>
              </a:graphicData>
            </a:graphic>
          </wp:inline>
        </w:drawing>
      </w:r>
    </w:p>
    <w:p w14:paraId="7C8189A8" w14:textId="77777777" w:rsidR="00280FA2" w:rsidRPr="00A945D2" w:rsidRDefault="00280FA2" w:rsidP="00280FA2">
      <w:pPr>
        <w:tabs>
          <w:tab w:val="left" w:pos="-720"/>
          <w:tab w:val="left" w:pos="0"/>
          <w:tab w:val="left" w:pos="720"/>
        </w:tabs>
        <w:suppressAutoHyphens/>
        <w:spacing w:line="240" w:lineRule="atLeast"/>
        <w:ind w:left="1440" w:hanging="1440"/>
        <w:rPr>
          <w:color w:val="FF0000"/>
          <w:spacing w:val="-3"/>
        </w:rPr>
      </w:pPr>
      <w:r>
        <w:rPr>
          <w:spacing w:val="-3"/>
        </w:rPr>
        <w:t xml:space="preserve">Figure 7.14  </w:t>
      </w:r>
      <w:r>
        <w:rPr>
          <w:spacing w:val="-3"/>
        </w:rPr>
        <w:tab/>
        <w:t xml:space="preserve">Schematic of the interface shape and microstructure produced during dendritic solidification of three binary alloys with different phase diagrams.  </w:t>
      </w:r>
    </w:p>
    <w:p w14:paraId="108AE9D8" w14:textId="424F6DBB" w:rsidR="00280FA2" w:rsidRDefault="00280FA2" w:rsidP="00280FA2">
      <w:pPr>
        <w:tabs>
          <w:tab w:val="left" w:pos="-720"/>
        </w:tabs>
        <w:suppressAutoHyphens/>
        <w:spacing w:line="240" w:lineRule="atLeast"/>
        <w:jc w:val="center"/>
        <w:rPr>
          <w:spacing w:val="-3"/>
        </w:rPr>
      </w:pPr>
      <w:r>
        <w:rPr>
          <w:noProof/>
          <w:spacing w:val="-3"/>
        </w:rPr>
        <w:drawing>
          <wp:inline distT="0" distB="0" distL="0" distR="0" wp14:anchorId="13FA14FB" wp14:editId="32DF79C6">
            <wp:extent cx="4209415" cy="3830320"/>
            <wp:effectExtent l="0" t="0" r="635"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1427">
                      <a:extLst>
                        <a:ext uri="{28A0092B-C50C-407E-A947-70E740481C1C}">
                          <a14:useLocalDpi xmlns:a14="http://schemas.microsoft.com/office/drawing/2010/main" val="0"/>
                        </a:ext>
                      </a:extLst>
                    </a:blip>
                    <a:srcRect/>
                    <a:stretch>
                      <a:fillRect/>
                    </a:stretch>
                  </pic:blipFill>
                  <pic:spPr bwMode="auto">
                    <a:xfrm>
                      <a:off x="0" y="0"/>
                      <a:ext cx="4209415" cy="3830320"/>
                    </a:xfrm>
                    <a:prstGeom prst="rect">
                      <a:avLst/>
                    </a:prstGeom>
                    <a:noFill/>
                    <a:ln>
                      <a:noFill/>
                    </a:ln>
                  </pic:spPr>
                </pic:pic>
              </a:graphicData>
            </a:graphic>
          </wp:inline>
        </w:drawing>
      </w:r>
    </w:p>
    <w:p w14:paraId="3C39C807" w14:textId="77777777" w:rsidR="00280FA2" w:rsidRDefault="00280FA2" w:rsidP="00280FA2">
      <w:pPr>
        <w:tabs>
          <w:tab w:val="left" w:pos="-720"/>
          <w:tab w:val="left" w:pos="0"/>
          <w:tab w:val="left" w:pos="720"/>
        </w:tabs>
        <w:suppressAutoHyphens/>
        <w:spacing w:line="240" w:lineRule="atLeast"/>
        <w:ind w:left="1440" w:hanging="1440"/>
        <w:rPr>
          <w:color w:val="FF0000"/>
          <w:spacing w:val="-3"/>
        </w:rPr>
      </w:pPr>
      <w:r>
        <w:rPr>
          <w:spacing w:val="-3"/>
        </w:rPr>
        <w:t xml:space="preserve">Figure  7.15 </w:t>
      </w:r>
      <w:r>
        <w:rPr>
          <w:spacing w:val="-3"/>
        </w:rPr>
        <w:tab/>
        <w:t xml:space="preserve">Comparison by Tong and Beckermann [1998] of various microsegregation models with the data experimental data of Bendersky and Boettinger[1985]. </w:t>
      </w:r>
    </w:p>
    <w:p w14:paraId="0FBB961A" w14:textId="5302D3E1" w:rsidR="00280FA2" w:rsidRDefault="00280FA2" w:rsidP="00280FA2">
      <w:pPr>
        <w:tabs>
          <w:tab w:val="left" w:pos="-720"/>
        </w:tabs>
        <w:suppressAutoHyphens/>
        <w:spacing w:line="240" w:lineRule="atLeast"/>
        <w:jc w:val="center"/>
        <w:rPr>
          <w:spacing w:val="-3"/>
        </w:rPr>
      </w:pPr>
      <w:r>
        <w:rPr>
          <w:noProof/>
          <w:spacing w:val="-3"/>
        </w:rPr>
        <w:lastRenderedPageBreak/>
        <w:drawing>
          <wp:inline distT="0" distB="0" distL="0" distR="0" wp14:anchorId="7C03AF8E" wp14:editId="476A45C1">
            <wp:extent cx="2191385" cy="3726815"/>
            <wp:effectExtent l="0" t="0" r="0" b="698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1428">
                      <a:extLst>
                        <a:ext uri="{28A0092B-C50C-407E-A947-70E740481C1C}">
                          <a14:useLocalDpi xmlns:a14="http://schemas.microsoft.com/office/drawing/2010/main" val="0"/>
                        </a:ext>
                      </a:extLst>
                    </a:blip>
                    <a:srcRect/>
                    <a:stretch>
                      <a:fillRect/>
                    </a:stretch>
                  </pic:blipFill>
                  <pic:spPr bwMode="auto">
                    <a:xfrm>
                      <a:off x="0" y="0"/>
                      <a:ext cx="2191385" cy="3726815"/>
                    </a:xfrm>
                    <a:prstGeom prst="rect">
                      <a:avLst/>
                    </a:prstGeom>
                    <a:noFill/>
                    <a:ln>
                      <a:noFill/>
                    </a:ln>
                  </pic:spPr>
                </pic:pic>
              </a:graphicData>
            </a:graphic>
          </wp:inline>
        </w:drawing>
      </w:r>
      <w:r>
        <w:rPr>
          <w:noProof/>
          <w:spacing w:val="-3"/>
        </w:rPr>
        <w:drawing>
          <wp:inline distT="0" distB="0" distL="0" distR="0" wp14:anchorId="3472DAA4" wp14:editId="3DB1D204">
            <wp:extent cx="2338070" cy="3631565"/>
            <wp:effectExtent l="0" t="0" r="5080" b="698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1429">
                      <a:extLst>
                        <a:ext uri="{28A0092B-C50C-407E-A947-70E740481C1C}">
                          <a14:useLocalDpi xmlns:a14="http://schemas.microsoft.com/office/drawing/2010/main" val="0"/>
                        </a:ext>
                      </a:extLst>
                    </a:blip>
                    <a:srcRect/>
                    <a:stretch>
                      <a:fillRect/>
                    </a:stretch>
                  </pic:blipFill>
                  <pic:spPr bwMode="auto">
                    <a:xfrm>
                      <a:off x="0" y="0"/>
                      <a:ext cx="2338070" cy="3631565"/>
                    </a:xfrm>
                    <a:prstGeom prst="rect">
                      <a:avLst/>
                    </a:prstGeom>
                    <a:noFill/>
                    <a:ln>
                      <a:noFill/>
                    </a:ln>
                  </pic:spPr>
                </pic:pic>
              </a:graphicData>
            </a:graphic>
          </wp:inline>
        </w:drawing>
      </w:r>
      <w:r>
        <w:rPr>
          <w:noProof/>
          <w:spacing w:val="-3"/>
        </w:rPr>
        <w:drawing>
          <wp:inline distT="0" distB="0" distL="0" distR="0" wp14:anchorId="353A8964" wp14:editId="26117F1B">
            <wp:extent cx="2130425" cy="3614420"/>
            <wp:effectExtent l="0" t="0" r="3175" b="508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1430">
                      <a:extLst>
                        <a:ext uri="{28A0092B-C50C-407E-A947-70E740481C1C}">
                          <a14:useLocalDpi xmlns:a14="http://schemas.microsoft.com/office/drawing/2010/main" val="0"/>
                        </a:ext>
                      </a:extLst>
                    </a:blip>
                    <a:srcRect/>
                    <a:stretch>
                      <a:fillRect/>
                    </a:stretch>
                  </pic:blipFill>
                  <pic:spPr bwMode="auto">
                    <a:xfrm>
                      <a:off x="0" y="0"/>
                      <a:ext cx="2130425" cy="3614420"/>
                    </a:xfrm>
                    <a:prstGeom prst="rect">
                      <a:avLst/>
                    </a:prstGeom>
                    <a:noFill/>
                    <a:ln>
                      <a:noFill/>
                    </a:ln>
                  </pic:spPr>
                </pic:pic>
              </a:graphicData>
            </a:graphic>
          </wp:inline>
        </w:drawing>
      </w:r>
    </w:p>
    <w:p w14:paraId="2A7A29F4" w14:textId="77777777" w:rsidR="00280FA2" w:rsidRDefault="00280FA2" w:rsidP="00280FA2">
      <w:pPr>
        <w:tabs>
          <w:tab w:val="left" w:pos="-720"/>
          <w:tab w:val="left" w:pos="0"/>
          <w:tab w:val="left" w:pos="720"/>
        </w:tabs>
        <w:suppressAutoHyphens/>
        <w:spacing w:line="240" w:lineRule="atLeast"/>
        <w:ind w:left="1440" w:hanging="1440"/>
        <w:rPr>
          <w:spacing w:val="-3"/>
        </w:rPr>
      </w:pPr>
      <w:r>
        <w:rPr>
          <w:spacing w:val="-3"/>
        </w:rPr>
        <w:t xml:space="preserve">Figure 7.16 </w:t>
      </w:r>
      <w:r>
        <w:rPr>
          <w:spacing w:val="-3"/>
        </w:rPr>
        <w:tab/>
        <w:t xml:space="preserve">Schematic of the interface shape and microstructure produced during dendritic solidification of three ternary alloys with different phase diagrams. </w:t>
      </w:r>
    </w:p>
    <w:p w14:paraId="2BA84C8F" w14:textId="36FACC00" w:rsidR="00280FA2" w:rsidRDefault="00280FA2" w:rsidP="00280FA2">
      <w:pPr>
        <w:tabs>
          <w:tab w:val="left" w:pos="-720"/>
          <w:tab w:val="left" w:pos="0"/>
          <w:tab w:val="left" w:pos="720"/>
        </w:tabs>
        <w:suppressAutoHyphens/>
        <w:spacing w:line="240" w:lineRule="atLeast"/>
        <w:ind w:left="1440" w:hanging="1440"/>
        <w:rPr>
          <w:spacing w:val="-3"/>
        </w:rPr>
      </w:pPr>
      <w:r>
        <w:rPr>
          <w:noProof/>
          <w:spacing w:val="-3"/>
        </w:rPr>
        <w:lastRenderedPageBreak/>
        <w:drawing>
          <wp:inline distT="0" distB="0" distL="0" distR="0" wp14:anchorId="21B58391" wp14:editId="3D95CD89">
            <wp:extent cx="2587625" cy="2372360"/>
            <wp:effectExtent l="0" t="0" r="3175" b="889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1431">
                      <a:extLst>
                        <a:ext uri="{28A0092B-C50C-407E-A947-70E740481C1C}">
                          <a14:useLocalDpi xmlns:a14="http://schemas.microsoft.com/office/drawing/2010/main" val="0"/>
                        </a:ext>
                      </a:extLst>
                    </a:blip>
                    <a:srcRect/>
                    <a:stretch>
                      <a:fillRect/>
                    </a:stretch>
                  </pic:blipFill>
                  <pic:spPr bwMode="auto">
                    <a:xfrm>
                      <a:off x="0" y="0"/>
                      <a:ext cx="2587625" cy="2372360"/>
                    </a:xfrm>
                    <a:prstGeom prst="rect">
                      <a:avLst/>
                    </a:prstGeom>
                    <a:noFill/>
                    <a:ln>
                      <a:noFill/>
                    </a:ln>
                  </pic:spPr>
                </pic:pic>
              </a:graphicData>
            </a:graphic>
          </wp:inline>
        </w:drawing>
      </w:r>
      <w:r>
        <w:rPr>
          <w:noProof/>
          <w:spacing w:val="-3"/>
        </w:rPr>
        <w:drawing>
          <wp:inline distT="0" distB="0" distL="0" distR="0" wp14:anchorId="4B851B08" wp14:editId="64ECB6A6">
            <wp:extent cx="2484120" cy="2312035"/>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1432">
                      <a:extLst>
                        <a:ext uri="{28A0092B-C50C-407E-A947-70E740481C1C}">
                          <a14:useLocalDpi xmlns:a14="http://schemas.microsoft.com/office/drawing/2010/main" val="0"/>
                        </a:ext>
                      </a:extLst>
                    </a:blip>
                    <a:srcRect/>
                    <a:stretch>
                      <a:fillRect/>
                    </a:stretch>
                  </pic:blipFill>
                  <pic:spPr bwMode="auto">
                    <a:xfrm>
                      <a:off x="0" y="0"/>
                      <a:ext cx="2484120" cy="2312035"/>
                    </a:xfrm>
                    <a:prstGeom prst="rect">
                      <a:avLst/>
                    </a:prstGeom>
                    <a:noFill/>
                    <a:ln>
                      <a:noFill/>
                    </a:ln>
                  </pic:spPr>
                </pic:pic>
              </a:graphicData>
            </a:graphic>
          </wp:inline>
        </w:drawing>
      </w:r>
    </w:p>
    <w:p w14:paraId="728DD865" w14:textId="77777777" w:rsidR="00280FA2" w:rsidRDefault="00280FA2" w:rsidP="00280FA2">
      <w:pPr>
        <w:tabs>
          <w:tab w:val="left" w:pos="-720"/>
        </w:tabs>
        <w:suppressAutoHyphens/>
        <w:spacing w:line="360" w:lineRule="atLeast"/>
        <w:ind w:left="1440" w:hanging="1440"/>
        <w:rPr>
          <w:spacing w:val="-3"/>
        </w:rPr>
      </w:pPr>
      <w:r>
        <w:rPr>
          <w:rFonts w:ascii="Times-Roman" w:hAnsi="Times-Roman" w:cs="Times-Roman"/>
        </w:rPr>
        <w:t>Figure 7.17</w:t>
      </w:r>
      <w:r w:rsidRPr="00053EF3">
        <w:rPr>
          <w:spacing w:val="-3"/>
        </w:rPr>
        <w:t xml:space="preserve"> Ni-Cr-Zr; a) liquidus surface; b) isothermal section at 1473 K. The red circle shows the location of the initial composition and the red arrow the path of the liquid phase composition during Scheil solidification</w:t>
      </w:r>
      <w:r>
        <w:rPr>
          <w:spacing w:val="-3"/>
        </w:rPr>
        <w:t xml:space="preserve"> (Boettinger et al. [2010]).</w:t>
      </w:r>
    </w:p>
    <w:p w14:paraId="46B3A1B6" w14:textId="2C88203E" w:rsidR="00280FA2" w:rsidRDefault="00280FA2" w:rsidP="00280FA2">
      <w:pPr>
        <w:tabs>
          <w:tab w:val="left" w:pos="-720"/>
        </w:tabs>
        <w:suppressAutoHyphens/>
        <w:spacing w:line="360" w:lineRule="atLeast"/>
        <w:ind w:left="1440" w:hanging="1440"/>
        <w:rPr>
          <w:spacing w:val="-3"/>
        </w:rPr>
      </w:pPr>
      <w:r>
        <w:rPr>
          <w:noProof/>
          <w:spacing w:val="-3"/>
        </w:rPr>
        <w:drawing>
          <wp:inline distT="0" distB="0" distL="0" distR="0" wp14:anchorId="4C6AD514" wp14:editId="57672F22">
            <wp:extent cx="2708910" cy="2449830"/>
            <wp:effectExtent l="0" t="0" r="0" b="762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1433">
                      <a:extLst>
                        <a:ext uri="{28A0092B-C50C-407E-A947-70E740481C1C}">
                          <a14:useLocalDpi xmlns:a14="http://schemas.microsoft.com/office/drawing/2010/main" val="0"/>
                        </a:ext>
                      </a:extLst>
                    </a:blip>
                    <a:srcRect/>
                    <a:stretch>
                      <a:fillRect/>
                    </a:stretch>
                  </pic:blipFill>
                  <pic:spPr bwMode="auto">
                    <a:xfrm>
                      <a:off x="0" y="0"/>
                      <a:ext cx="2708910" cy="2449830"/>
                    </a:xfrm>
                    <a:prstGeom prst="rect">
                      <a:avLst/>
                    </a:prstGeom>
                    <a:noFill/>
                    <a:ln>
                      <a:noFill/>
                    </a:ln>
                  </pic:spPr>
                </pic:pic>
              </a:graphicData>
            </a:graphic>
          </wp:inline>
        </w:drawing>
      </w:r>
      <w:r>
        <w:rPr>
          <w:noProof/>
          <w:spacing w:val="-3"/>
        </w:rPr>
        <w:drawing>
          <wp:inline distT="0" distB="0" distL="0" distR="0" wp14:anchorId="397D2B92" wp14:editId="251A537D">
            <wp:extent cx="2648585" cy="2493010"/>
            <wp:effectExtent l="0" t="0" r="0" b="254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1434">
                      <a:extLst>
                        <a:ext uri="{28A0092B-C50C-407E-A947-70E740481C1C}">
                          <a14:useLocalDpi xmlns:a14="http://schemas.microsoft.com/office/drawing/2010/main" val="0"/>
                        </a:ext>
                      </a:extLst>
                    </a:blip>
                    <a:srcRect/>
                    <a:stretch>
                      <a:fillRect/>
                    </a:stretch>
                  </pic:blipFill>
                  <pic:spPr bwMode="auto">
                    <a:xfrm>
                      <a:off x="0" y="0"/>
                      <a:ext cx="2648585" cy="2493010"/>
                    </a:xfrm>
                    <a:prstGeom prst="rect">
                      <a:avLst/>
                    </a:prstGeom>
                    <a:noFill/>
                    <a:ln>
                      <a:noFill/>
                    </a:ln>
                  </pic:spPr>
                </pic:pic>
              </a:graphicData>
            </a:graphic>
          </wp:inline>
        </w:drawing>
      </w:r>
    </w:p>
    <w:p w14:paraId="744FA93E" w14:textId="77777777" w:rsidR="00280FA2" w:rsidRDefault="00280FA2" w:rsidP="00280FA2">
      <w:pPr>
        <w:tabs>
          <w:tab w:val="left" w:pos="-720"/>
        </w:tabs>
        <w:suppressAutoHyphens/>
        <w:spacing w:line="360" w:lineRule="atLeast"/>
        <w:ind w:left="1440" w:hanging="1440"/>
        <w:rPr>
          <w:spacing w:val="-3"/>
        </w:rPr>
      </w:pPr>
      <w:r w:rsidRPr="00053EF3">
        <w:rPr>
          <w:spacing w:val="-3"/>
        </w:rPr>
        <w:t xml:space="preserve">Figure </w:t>
      </w:r>
      <w:r>
        <w:rPr>
          <w:spacing w:val="-3"/>
        </w:rPr>
        <w:t xml:space="preserve">7.18. </w:t>
      </w:r>
      <w:r w:rsidRPr="00053EF3">
        <w:rPr>
          <w:spacing w:val="-3"/>
        </w:rPr>
        <w:t xml:space="preserve"> Ni-20.6 at.%Cr-33.5 at.%Zr alloy; a) fraction solid vs. temperature plot and b) Cr and Zr composition of liquid and solid phases during solidification. The relationship during solidification among temperature, fraction solid and phase compositions are indicated </w:t>
      </w:r>
      <w:r>
        <w:rPr>
          <w:spacing w:val="-3"/>
        </w:rPr>
        <w:t xml:space="preserve">with </w:t>
      </w:r>
      <w:r w:rsidRPr="00053EF3">
        <w:rPr>
          <w:spacing w:val="-3"/>
        </w:rPr>
        <w:t>lette</w:t>
      </w:r>
      <w:r>
        <w:rPr>
          <w:spacing w:val="-3"/>
        </w:rPr>
        <w:t>rs a through e.</w:t>
      </w:r>
    </w:p>
    <w:p w14:paraId="2F1C9F78" w14:textId="77777777" w:rsidR="00280FA2" w:rsidRDefault="00280FA2" w:rsidP="00280FA2">
      <w:pPr>
        <w:tabs>
          <w:tab w:val="left" w:pos="-720"/>
        </w:tabs>
        <w:suppressAutoHyphens/>
        <w:spacing w:line="360" w:lineRule="atLeast"/>
        <w:ind w:left="1440" w:hanging="1440"/>
        <w:rPr>
          <w:spacing w:val="-3"/>
        </w:rPr>
      </w:pPr>
      <w:r>
        <w:rPr>
          <w:spacing w:val="-3"/>
        </w:rPr>
        <w:br w:type="page"/>
      </w:r>
    </w:p>
    <w:p w14:paraId="781E8074" w14:textId="77777777" w:rsidR="00280FA2" w:rsidRDefault="00280FA2" w:rsidP="00280FA2">
      <w:pPr>
        <w:tabs>
          <w:tab w:val="left" w:pos="-720"/>
        </w:tabs>
        <w:suppressAutoHyphens/>
        <w:spacing w:line="240" w:lineRule="atLeast"/>
        <w:rPr>
          <w:spacing w:val="-3"/>
        </w:rPr>
      </w:pPr>
    </w:p>
    <w:p w14:paraId="4532D561" w14:textId="77777777" w:rsidR="00280FA2" w:rsidRDefault="00280FA2" w:rsidP="00280FA2">
      <w:pPr>
        <w:tabs>
          <w:tab w:val="left" w:pos="-720"/>
        </w:tabs>
        <w:suppressAutoHyphens/>
        <w:spacing w:line="240" w:lineRule="atLeast"/>
        <w:rPr>
          <w:spacing w:val="-3"/>
        </w:rPr>
      </w:pPr>
    </w:p>
    <w:p w14:paraId="4A30D22A" w14:textId="77777777" w:rsidR="00280FA2" w:rsidRDefault="00280FA2" w:rsidP="00280FA2">
      <w:pPr>
        <w:tabs>
          <w:tab w:val="left" w:pos="-720"/>
        </w:tabs>
        <w:suppressAutoHyphens/>
        <w:spacing w:line="240" w:lineRule="atLeast"/>
        <w:rPr>
          <w:b/>
          <w:bCs/>
          <w:i/>
          <w:iCs/>
          <w:spacing w:val="-3"/>
        </w:rPr>
      </w:pPr>
      <w:r>
        <w:rPr>
          <w:b/>
          <w:bCs/>
          <w:i/>
          <w:iCs/>
          <w:spacing w:val="-3"/>
        </w:rPr>
        <w:t>SECTION 8</w:t>
      </w:r>
    </w:p>
    <w:p w14:paraId="4DFB6CA0" w14:textId="77777777" w:rsidR="00280FA2" w:rsidRDefault="00280FA2" w:rsidP="00280FA2">
      <w:pPr>
        <w:tabs>
          <w:tab w:val="left" w:pos="-720"/>
        </w:tabs>
        <w:suppressAutoHyphens/>
        <w:spacing w:line="240" w:lineRule="atLeast"/>
        <w:rPr>
          <w:spacing w:val="-3"/>
        </w:rPr>
      </w:pPr>
    </w:p>
    <w:p w14:paraId="41830806" w14:textId="267558A8" w:rsidR="00280FA2" w:rsidRDefault="00280FA2" w:rsidP="00280FA2">
      <w:pPr>
        <w:tabs>
          <w:tab w:val="left" w:pos="-720"/>
        </w:tabs>
        <w:suppressAutoHyphens/>
        <w:spacing w:line="240" w:lineRule="atLeast"/>
        <w:jc w:val="center"/>
        <w:rPr>
          <w:spacing w:val="-3"/>
        </w:rPr>
      </w:pPr>
      <w:r>
        <w:rPr>
          <w:noProof/>
          <w:spacing w:val="-3"/>
        </w:rPr>
        <w:drawing>
          <wp:inline distT="0" distB="0" distL="0" distR="0" wp14:anchorId="11FD4893" wp14:editId="725D6386">
            <wp:extent cx="3580130" cy="5193030"/>
            <wp:effectExtent l="0" t="0" r="1270" b="762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1435" cstate="print">
                      <a:extLst>
                        <a:ext uri="{28A0092B-C50C-407E-A947-70E740481C1C}">
                          <a14:useLocalDpi xmlns:a14="http://schemas.microsoft.com/office/drawing/2010/main" val="0"/>
                        </a:ext>
                      </a:extLst>
                    </a:blip>
                    <a:srcRect/>
                    <a:stretch>
                      <a:fillRect/>
                    </a:stretch>
                  </pic:blipFill>
                  <pic:spPr bwMode="auto">
                    <a:xfrm>
                      <a:off x="0" y="0"/>
                      <a:ext cx="3580130" cy="5193030"/>
                    </a:xfrm>
                    <a:prstGeom prst="rect">
                      <a:avLst/>
                    </a:prstGeom>
                    <a:noFill/>
                    <a:ln>
                      <a:noFill/>
                    </a:ln>
                  </pic:spPr>
                </pic:pic>
              </a:graphicData>
            </a:graphic>
          </wp:inline>
        </w:drawing>
      </w:r>
    </w:p>
    <w:p w14:paraId="5AD7961C" w14:textId="77777777" w:rsidR="00280FA2" w:rsidRDefault="00280FA2" w:rsidP="00280FA2">
      <w:pPr>
        <w:tabs>
          <w:tab w:val="left" w:pos="-720"/>
          <w:tab w:val="left" w:pos="0"/>
          <w:tab w:val="left" w:pos="720"/>
        </w:tabs>
        <w:suppressAutoHyphens/>
        <w:spacing w:line="240" w:lineRule="atLeast"/>
        <w:ind w:left="1440" w:hanging="1440"/>
        <w:rPr>
          <w:spacing w:val="-3"/>
        </w:rPr>
      </w:pPr>
      <w:r>
        <w:rPr>
          <w:spacing w:val="-3"/>
        </w:rPr>
        <w:t>Figure  8.1</w:t>
      </w:r>
      <w:r>
        <w:rPr>
          <w:spacing w:val="-3"/>
        </w:rPr>
        <w:tab/>
        <w:t xml:space="preserve">(a) Liquid composition (%B) across an </w:t>
      </w:r>
      <w:r>
        <w:rPr>
          <w:i/>
          <w:iCs/>
          <w:spacing w:val="-3"/>
        </w:rPr>
        <w:t>α - β</w:t>
      </w:r>
      <w:r>
        <w:rPr>
          <w:spacing w:val="-3"/>
        </w:rPr>
        <w:t xml:space="preserve"> interface. (b) Contributions to the total supercooling (</w:t>
      </w:r>
      <w:r>
        <w:rPr>
          <w:i/>
          <w:iCs/>
          <w:spacing w:val="-3"/>
        </w:rPr>
        <w:t>ΔT</w:t>
      </w:r>
      <w:r>
        <w:rPr>
          <w:spacing w:val="-3"/>
        </w:rPr>
        <w:t xml:space="preserve">) existing at the L-S interface, </w:t>
      </w:r>
      <w:r>
        <w:rPr>
          <w:i/>
          <w:iCs/>
          <w:spacing w:val="-3"/>
        </w:rPr>
        <w:t>ΔT</w:t>
      </w:r>
      <w:r>
        <w:rPr>
          <w:spacing w:val="-3"/>
          <w:vertAlign w:val="subscript"/>
        </w:rPr>
        <w:t>D</w:t>
      </w:r>
      <w:r>
        <w:rPr>
          <w:spacing w:val="-3"/>
        </w:rPr>
        <w:t xml:space="preserve">, </w:t>
      </w:r>
      <w:r>
        <w:rPr>
          <w:i/>
          <w:iCs/>
          <w:spacing w:val="-3"/>
        </w:rPr>
        <w:t>ΔT</w:t>
      </w:r>
      <w:r>
        <w:rPr>
          <w:spacing w:val="-3"/>
          <w:vertAlign w:val="subscript"/>
        </w:rPr>
        <w:t>c</w:t>
      </w:r>
      <w:r>
        <w:rPr>
          <w:spacing w:val="-3"/>
        </w:rPr>
        <w:t xml:space="preserve">, and </w:t>
      </w:r>
      <w:r>
        <w:rPr>
          <w:i/>
          <w:iCs/>
          <w:spacing w:val="-3"/>
        </w:rPr>
        <w:t>ΔT</w:t>
      </w:r>
      <w:r>
        <w:rPr>
          <w:spacing w:val="-3"/>
          <w:vertAlign w:val="subscript"/>
        </w:rPr>
        <w:t>K</w:t>
      </w:r>
      <w:r>
        <w:rPr>
          <w:spacing w:val="-3"/>
        </w:rPr>
        <w:t xml:space="preserve"> are the solute, curvature and kinetic supercoolings respectively. (c) Shape of the lamellar L-S liquid interface. HUNT and JACKSON [1966].</w:t>
      </w:r>
    </w:p>
    <w:p w14:paraId="1BA69866" w14:textId="1FE711A3" w:rsidR="00280FA2" w:rsidRDefault="00280FA2" w:rsidP="00280FA2">
      <w:pPr>
        <w:tabs>
          <w:tab w:val="left" w:pos="-720"/>
        </w:tabs>
        <w:suppressAutoHyphens/>
        <w:spacing w:line="240" w:lineRule="atLeast"/>
        <w:jc w:val="center"/>
        <w:rPr>
          <w:spacing w:val="-3"/>
        </w:rPr>
      </w:pPr>
      <w:r>
        <w:rPr>
          <w:noProof/>
          <w:spacing w:val="-3"/>
        </w:rPr>
        <w:lastRenderedPageBreak/>
        <w:drawing>
          <wp:inline distT="0" distB="0" distL="0" distR="0" wp14:anchorId="3CD5DC49" wp14:editId="2EB63A4B">
            <wp:extent cx="4002405" cy="3364230"/>
            <wp:effectExtent l="0" t="0" r="0" b="762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1436">
                      <a:extLst>
                        <a:ext uri="{28A0092B-C50C-407E-A947-70E740481C1C}">
                          <a14:useLocalDpi xmlns:a14="http://schemas.microsoft.com/office/drawing/2010/main" val="0"/>
                        </a:ext>
                      </a:extLst>
                    </a:blip>
                    <a:srcRect/>
                    <a:stretch>
                      <a:fillRect/>
                    </a:stretch>
                  </pic:blipFill>
                  <pic:spPr bwMode="auto">
                    <a:xfrm>
                      <a:off x="0" y="0"/>
                      <a:ext cx="4002405" cy="3364230"/>
                    </a:xfrm>
                    <a:prstGeom prst="rect">
                      <a:avLst/>
                    </a:prstGeom>
                    <a:noFill/>
                    <a:ln>
                      <a:noFill/>
                    </a:ln>
                  </pic:spPr>
                </pic:pic>
              </a:graphicData>
            </a:graphic>
          </wp:inline>
        </w:drawing>
      </w:r>
    </w:p>
    <w:p w14:paraId="61314DEE" w14:textId="77777777" w:rsidR="00280FA2" w:rsidRDefault="00280FA2" w:rsidP="00280FA2">
      <w:pPr>
        <w:tabs>
          <w:tab w:val="left" w:pos="-720"/>
          <w:tab w:val="left" w:pos="0"/>
          <w:tab w:val="left" w:pos="720"/>
        </w:tabs>
        <w:suppressAutoHyphens/>
        <w:spacing w:line="240" w:lineRule="atLeast"/>
        <w:ind w:left="1440" w:hanging="1440"/>
        <w:rPr>
          <w:spacing w:val="-3"/>
        </w:rPr>
      </w:pPr>
      <w:r>
        <w:rPr>
          <w:spacing w:val="-3"/>
        </w:rPr>
        <w:t>Figure 8.2</w:t>
      </w:r>
      <w:r>
        <w:rPr>
          <w:spacing w:val="-3"/>
        </w:rPr>
        <w:tab/>
        <w:t xml:space="preserve">Interface supercooling, </w:t>
      </w:r>
      <w:r>
        <w:rPr>
          <w:i/>
          <w:iCs/>
          <w:spacing w:val="-3"/>
        </w:rPr>
        <w:t>ΔT</w:t>
      </w:r>
      <w:r>
        <w:rPr>
          <w:spacing w:val="-3"/>
        </w:rPr>
        <w:t xml:space="preserve">, as a function of lamellar spacing, </w:t>
      </w:r>
      <w:r>
        <w:rPr>
          <w:i/>
          <w:iCs/>
          <w:spacing w:val="-3"/>
        </w:rPr>
        <w:t>λ</w:t>
      </w:r>
      <w:r>
        <w:rPr>
          <w:spacing w:val="-3"/>
          <w:vertAlign w:val="subscript"/>
        </w:rPr>
        <w:t>E</w:t>
      </w:r>
      <w:r>
        <w:rPr>
          <w:spacing w:val="-3"/>
        </w:rPr>
        <w:t xml:space="preserve">, for different growth rates, </w:t>
      </w:r>
      <w:r>
        <w:rPr>
          <w:i/>
          <w:iCs/>
          <w:spacing w:val="-3"/>
        </w:rPr>
        <w:t>V</w:t>
      </w:r>
      <w:r>
        <w:rPr>
          <w:spacing w:val="-3"/>
        </w:rPr>
        <w:t xml:space="preserve"> using Eqn. 8.2 for </w:t>
      </w:r>
      <w:r>
        <w:rPr>
          <w:i/>
          <w:iCs/>
          <w:spacing w:val="-3"/>
        </w:rPr>
        <w:t>CBr</w:t>
      </w:r>
      <w:r>
        <w:rPr>
          <w:spacing w:val="-3"/>
          <w:vertAlign w:val="subscript"/>
        </w:rPr>
        <w:t>2</w:t>
      </w:r>
      <w:r>
        <w:rPr>
          <w:i/>
          <w:iCs/>
          <w:spacing w:val="-3"/>
        </w:rPr>
        <w:t>-C</w:t>
      </w:r>
      <w:r>
        <w:rPr>
          <w:spacing w:val="-3"/>
          <w:vertAlign w:val="subscript"/>
        </w:rPr>
        <w:t>2</w:t>
      </w:r>
      <w:r>
        <w:rPr>
          <w:i/>
          <w:iCs/>
          <w:spacing w:val="-3"/>
        </w:rPr>
        <w:t>Cl</w:t>
      </w:r>
      <w:r>
        <w:rPr>
          <w:spacing w:val="-3"/>
          <w:vertAlign w:val="subscript"/>
        </w:rPr>
        <w:t>6</w:t>
      </w:r>
      <w:r>
        <w:rPr>
          <w:spacing w:val="-3"/>
        </w:rPr>
        <w:t xml:space="preserve"> organic eutectic. The vertical arrows show the theoretical minimum (extremum) and maximum spacings for stable lamellar growth. Also shown are the experimentally observed range of spacings (hatch marks on curve) and the mean spacing (filled circles). (SEETHARAMAN and TRIVEDI [1988]).</w:t>
      </w:r>
    </w:p>
    <w:p w14:paraId="3B878B3D" w14:textId="56D05BCB" w:rsidR="00280FA2" w:rsidRDefault="00280FA2" w:rsidP="00280FA2">
      <w:pPr>
        <w:tabs>
          <w:tab w:val="left" w:pos="-720"/>
        </w:tabs>
        <w:suppressAutoHyphens/>
        <w:spacing w:line="240" w:lineRule="atLeast"/>
        <w:jc w:val="center"/>
        <w:rPr>
          <w:spacing w:val="-3"/>
        </w:rPr>
      </w:pPr>
      <w:r>
        <w:rPr>
          <w:noProof/>
          <w:spacing w:val="-3"/>
        </w:rPr>
        <w:drawing>
          <wp:inline distT="0" distB="0" distL="0" distR="0" wp14:anchorId="7370AECA" wp14:editId="603BD4BE">
            <wp:extent cx="4779010" cy="1802765"/>
            <wp:effectExtent l="0" t="0" r="2540" b="698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1437" cstate="print">
                      <a:extLst>
                        <a:ext uri="{28A0092B-C50C-407E-A947-70E740481C1C}">
                          <a14:useLocalDpi xmlns:a14="http://schemas.microsoft.com/office/drawing/2010/main" val="0"/>
                        </a:ext>
                      </a:extLst>
                    </a:blip>
                    <a:srcRect/>
                    <a:stretch>
                      <a:fillRect/>
                    </a:stretch>
                  </pic:blipFill>
                  <pic:spPr bwMode="auto">
                    <a:xfrm>
                      <a:off x="0" y="0"/>
                      <a:ext cx="4779010" cy="1802765"/>
                    </a:xfrm>
                    <a:prstGeom prst="rect">
                      <a:avLst/>
                    </a:prstGeom>
                    <a:noFill/>
                    <a:ln>
                      <a:noFill/>
                    </a:ln>
                  </pic:spPr>
                </pic:pic>
              </a:graphicData>
            </a:graphic>
          </wp:inline>
        </w:drawing>
      </w:r>
    </w:p>
    <w:p w14:paraId="59F56C97" w14:textId="77777777" w:rsidR="00280FA2" w:rsidRDefault="00280FA2" w:rsidP="00280FA2">
      <w:pPr>
        <w:tabs>
          <w:tab w:val="left" w:pos="-720"/>
          <w:tab w:val="left" w:pos="0"/>
          <w:tab w:val="left" w:pos="720"/>
        </w:tabs>
        <w:suppressAutoHyphens/>
        <w:spacing w:line="240" w:lineRule="atLeast"/>
        <w:ind w:left="1440" w:hanging="1440"/>
        <w:rPr>
          <w:spacing w:val="-3"/>
        </w:rPr>
      </w:pPr>
      <w:r>
        <w:rPr>
          <w:spacing w:val="-3"/>
        </w:rPr>
        <w:t>Figure  8.3</w:t>
      </w:r>
      <w:r>
        <w:rPr>
          <w:spacing w:val="-3"/>
        </w:rPr>
        <w:tab/>
        <w:t xml:space="preserve">(a) Schematic illustration of the instability of lamellae with </w:t>
      </w:r>
      <w:r>
        <w:rPr>
          <w:i/>
          <w:iCs/>
          <w:spacing w:val="-3"/>
        </w:rPr>
        <w:t>λ</w:t>
      </w:r>
      <w:r>
        <w:rPr>
          <w:spacing w:val="-3"/>
          <w:vertAlign w:val="subscript"/>
        </w:rPr>
        <w:t>E</w:t>
      </w:r>
      <w:r>
        <w:rPr>
          <w:spacing w:val="-3"/>
        </w:rPr>
        <w:t xml:space="preserve"> less than the extremum value. The lamella in the center will be pinched off with time. (b) The shape instability of the interface on one phase that occurs when the spacing becomes too large. A new lamella may be created in the depressed pocket. JACKSON and HUNT [1966]. Figure taken from TRIVEDI and KURZ [1988].</w:t>
      </w:r>
    </w:p>
    <w:p w14:paraId="3753B6FF" w14:textId="0EE0FC32" w:rsidR="00280FA2" w:rsidRDefault="00280FA2" w:rsidP="00280FA2">
      <w:pPr>
        <w:tabs>
          <w:tab w:val="left" w:pos="-720"/>
        </w:tabs>
        <w:suppressAutoHyphens/>
        <w:spacing w:line="240" w:lineRule="atLeast"/>
        <w:jc w:val="center"/>
        <w:rPr>
          <w:spacing w:val="-3"/>
        </w:rPr>
      </w:pPr>
      <w:r>
        <w:rPr>
          <w:noProof/>
          <w:spacing w:val="-3"/>
        </w:rPr>
        <w:lastRenderedPageBreak/>
        <w:drawing>
          <wp:inline distT="0" distB="0" distL="0" distR="0" wp14:anchorId="44EE6628" wp14:editId="5E222D97">
            <wp:extent cx="4580890" cy="286385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1438" cstate="print">
                      <a:extLst>
                        <a:ext uri="{28A0092B-C50C-407E-A947-70E740481C1C}">
                          <a14:useLocalDpi xmlns:a14="http://schemas.microsoft.com/office/drawing/2010/main" val="0"/>
                        </a:ext>
                      </a:extLst>
                    </a:blip>
                    <a:srcRect/>
                    <a:stretch>
                      <a:fillRect/>
                    </a:stretch>
                  </pic:blipFill>
                  <pic:spPr bwMode="auto">
                    <a:xfrm>
                      <a:off x="0" y="0"/>
                      <a:ext cx="4580890" cy="2863850"/>
                    </a:xfrm>
                    <a:prstGeom prst="rect">
                      <a:avLst/>
                    </a:prstGeom>
                    <a:noFill/>
                    <a:ln>
                      <a:noFill/>
                    </a:ln>
                  </pic:spPr>
                </pic:pic>
              </a:graphicData>
            </a:graphic>
          </wp:inline>
        </w:drawing>
      </w:r>
    </w:p>
    <w:p w14:paraId="21A01BD2" w14:textId="77777777" w:rsidR="00280FA2" w:rsidRDefault="00280FA2" w:rsidP="00280FA2">
      <w:pPr>
        <w:tabs>
          <w:tab w:val="left" w:pos="-720"/>
          <w:tab w:val="left" w:pos="0"/>
          <w:tab w:val="left" w:pos="720"/>
        </w:tabs>
        <w:suppressAutoHyphens/>
        <w:spacing w:line="240" w:lineRule="atLeast"/>
        <w:ind w:left="1440" w:hanging="1440"/>
        <w:rPr>
          <w:spacing w:val="-3"/>
        </w:rPr>
      </w:pPr>
      <w:r>
        <w:rPr>
          <w:spacing w:val="-3"/>
        </w:rPr>
        <w:t>Figure  8.4</w:t>
      </w:r>
      <w:r>
        <w:rPr>
          <w:spacing w:val="-3"/>
        </w:rPr>
        <w:tab/>
        <w:t>Proposed growth behavior of irregular eutectics, showing branching at</w:t>
      </w:r>
      <w:r>
        <w:rPr>
          <w:i/>
          <w:iCs/>
          <w:spacing w:val="-3"/>
        </w:rPr>
        <w:t xml:space="preserve"> λ</w:t>
      </w:r>
      <w:r>
        <w:rPr>
          <w:spacing w:val="-3"/>
          <w:vertAlign w:val="subscript"/>
        </w:rPr>
        <w:t>br</w:t>
      </w:r>
      <w:r>
        <w:rPr>
          <w:spacing w:val="-3"/>
        </w:rPr>
        <w:t xml:space="preserve"> and termination at</w:t>
      </w:r>
      <w:r>
        <w:rPr>
          <w:i/>
          <w:iCs/>
          <w:spacing w:val="-3"/>
        </w:rPr>
        <w:t xml:space="preserve"> λ</w:t>
      </w:r>
      <w:r>
        <w:rPr>
          <w:spacing w:val="-3"/>
          <w:vertAlign w:val="subscript"/>
        </w:rPr>
        <w:t>ex</w:t>
      </w:r>
      <w:r>
        <w:rPr>
          <w:spacing w:val="-3"/>
        </w:rPr>
        <w:t xml:space="preserve">. (a) Fe-graphite eutectic growth at </w:t>
      </w:r>
      <w:r>
        <w:rPr>
          <w:i/>
          <w:iCs/>
          <w:spacing w:val="-3"/>
        </w:rPr>
        <w:t>V</w:t>
      </w:r>
      <w:r>
        <w:rPr>
          <w:spacing w:val="-3"/>
        </w:rPr>
        <w:t xml:space="preserve"> = 1.7x10</w:t>
      </w:r>
      <w:r>
        <w:rPr>
          <w:spacing w:val="-3"/>
          <w:vertAlign w:val="superscript"/>
        </w:rPr>
        <w:t>-2</w:t>
      </w:r>
      <w:r>
        <w:rPr>
          <w:spacing w:val="-3"/>
        </w:rPr>
        <w:t xml:space="preserve"> μm/s. (b) schematic representation of solid-liquid interface during growth. (MAGNIN and KURZ [1987]).</w:t>
      </w:r>
    </w:p>
    <w:p w14:paraId="16581032" w14:textId="2B155ED7" w:rsidR="00280FA2" w:rsidRDefault="00280FA2" w:rsidP="00280FA2">
      <w:pPr>
        <w:tabs>
          <w:tab w:val="left" w:pos="-720"/>
          <w:tab w:val="left" w:pos="0"/>
          <w:tab w:val="left" w:pos="720"/>
        </w:tabs>
        <w:suppressAutoHyphens/>
        <w:spacing w:line="240" w:lineRule="atLeast"/>
        <w:ind w:left="1440" w:hanging="1440"/>
        <w:jc w:val="center"/>
        <w:rPr>
          <w:spacing w:val="-3"/>
        </w:rPr>
      </w:pPr>
      <w:r>
        <w:rPr>
          <w:noProof/>
          <w:spacing w:val="-3"/>
        </w:rPr>
        <w:drawing>
          <wp:inline distT="0" distB="0" distL="0" distR="0" wp14:anchorId="08D1E03B" wp14:editId="5D9CA992">
            <wp:extent cx="1923415" cy="3381375"/>
            <wp:effectExtent l="0" t="0" r="635" b="952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1439" cstate="print">
                      <a:extLst>
                        <a:ext uri="{28A0092B-C50C-407E-A947-70E740481C1C}">
                          <a14:useLocalDpi xmlns:a14="http://schemas.microsoft.com/office/drawing/2010/main" val="0"/>
                        </a:ext>
                      </a:extLst>
                    </a:blip>
                    <a:srcRect/>
                    <a:stretch>
                      <a:fillRect/>
                    </a:stretch>
                  </pic:blipFill>
                  <pic:spPr bwMode="auto">
                    <a:xfrm>
                      <a:off x="0" y="0"/>
                      <a:ext cx="1923415" cy="3381375"/>
                    </a:xfrm>
                    <a:prstGeom prst="rect">
                      <a:avLst/>
                    </a:prstGeom>
                    <a:noFill/>
                    <a:ln>
                      <a:noFill/>
                    </a:ln>
                  </pic:spPr>
                </pic:pic>
              </a:graphicData>
            </a:graphic>
          </wp:inline>
        </w:drawing>
      </w:r>
    </w:p>
    <w:p w14:paraId="4B721DE3" w14:textId="77777777" w:rsidR="00280FA2" w:rsidRDefault="00280FA2" w:rsidP="00280FA2">
      <w:pPr>
        <w:tabs>
          <w:tab w:val="left" w:pos="-720"/>
          <w:tab w:val="left" w:pos="0"/>
          <w:tab w:val="left" w:pos="720"/>
        </w:tabs>
        <w:suppressAutoHyphens/>
        <w:spacing w:line="240" w:lineRule="atLeast"/>
        <w:ind w:left="1440" w:hanging="1440"/>
        <w:rPr>
          <w:spacing w:val="-3"/>
        </w:rPr>
      </w:pPr>
      <w:r>
        <w:rPr>
          <w:spacing w:val="-3"/>
        </w:rPr>
        <w:t xml:space="preserve">Figure 8.5 </w:t>
      </w:r>
      <w:r>
        <w:rPr>
          <w:spacing w:val="-3"/>
        </w:rPr>
        <w:tab/>
        <w:t>Phase field calculation results showing the time evolution of colony formation for an alloy with a small amount of third element (impurity) added to a binary eutectic. T</w:t>
      </w:r>
      <w:r w:rsidRPr="00AA5215">
        <w:rPr>
          <w:spacing w:val="-3"/>
        </w:rPr>
        <w:t>he smooth contours ahead of the front represent isoconcentration</w:t>
      </w:r>
      <w:r>
        <w:rPr>
          <w:spacing w:val="-3"/>
        </w:rPr>
        <w:t xml:space="preserve"> </w:t>
      </w:r>
      <w:r w:rsidRPr="00AA5215">
        <w:rPr>
          <w:spacing w:val="-3"/>
        </w:rPr>
        <w:t>lines of the ternary impurity; the small ‘‘halos’’ just in front of</w:t>
      </w:r>
      <w:r>
        <w:rPr>
          <w:spacing w:val="-3"/>
        </w:rPr>
        <w:t xml:space="preserve"> </w:t>
      </w:r>
      <w:r w:rsidRPr="00AA5215">
        <w:rPr>
          <w:spacing w:val="-3"/>
        </w:rPr>
        <w:t>the growing lamellae are a visualization of the interlamellar eutectic</w:t>
      </w:r>
      <w:r>
        <w:rPr>
          <w:spacing w:val="-3"/>
        </w:rPr>
        <w:t xml:space="preserve"> </w:t>
      </w:r>
      <w:r w:rsidRPr="00AA5215">
        <w:rPr>
          <w:spacing w:val="-3"/>
        </w:rPr>
        <w:t>diffusion field</w:t>
      </w:r>
      <w:r>
        <w:rPr>
          <w:spacing w:val="-3"/>
        </w:rPr>
        <w:t xml:space="preserve"> (Plapp and Karma [2002]).</w:t>
      </w:r>
    </w:p>
    <w:p w14:paraId="73F1717E" w14:textId="77777777" w:rsidR="00280FA2" w:rsidRDefault="00280FA2" w:rsidP="00280FA2">
      <w:pPr>
        <w:tabs>
          <w:tab w:val="left" w:pos="-720"/>
          <w:tab w:val="left" w:pos="0"/>
          <w:tab w:val="left" w:pos="720"/>
        </w:tabs>
        <w:suppressAutoHyphens/>
        <w:spacing w:line="240" w:lineRule="atLeast"/>
        <w:ind w:left="1440" w:hanging="1440"/>
        <w:rPr>
          <w:spacing w:val="-3"/>
        </w:rPr>
      </w:pPr>
    </w:p>
    <w:p w14:paraId="109BDB6C" w14:textId="133A153A" w:rsidR="00280FA2" w:rsidRDefault="00280FA2" w:rsidP="00280FA2">
      <w:pPr>
        <w:tabs>
          <w:tab w:val="left" w:pos="-720"/>
          <w:tab w:val="left" w:pos="0"/>
          <w:tab w:val="left" w:pos="720"/>
        </w:tabs>
        <w:suppressAutoHyphens/>
        <w:spacing w:line="240" w:lineRule="atLeast"/>
        <w:ind w:left="1440" w:hanging="1440"/>
        <w:jc w:val="center"/>
        <w:rPr>
          <w:spacing w:val="-3"/>
        </w:rPr>
      </w:pPr>
      <w:r>
        <w:rPr>
          <w:noProof/>
          <w:spacing w:val="-3"/>
        </w:rPr>
        <w:lastRenderedPageBreak/>
        <w:drawing>
          <wp:inline distT="0" distB="0" distL="0" distR="0" wp14:anchorId="7693E6C9" wp14:editId="2F5CB936">
            <wp:extent cx="2700020" cy="2242820"/>
            <wp:effectExtent l="0" t="0" r="5080" b="508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1440" cstate="print">
                      <a:extLst>
                        <a:ext uri="{28A0092B-C50C-407E-A947-70E740481C1C}">
                          <a14:useLocalDpi xmlns:a14="http://schemas.microsoft.com/office/drawing/2010/main" val="0"/>
                        </a:ext>
                      </a:extLst>
                    </a:blip>
                    <a:srcRect/>
                    <a:stretch>
                      <a:fillRect/>
                    </a:stretch>
                  </pic:blipFill>
                  <pic:spPr bwMode="auto">
                    <a:xfrm>
                      <a:off x="0" y="0"/>
                      <a:ext cx="2700020" cy="2242820"/>
                    </a:xfrm>
                    <a:prstGeom prst="rect">
                      <a:avLst/>
                    </a:prstGeom>
                    <a:noFill/>
                    <a:ln>
                      <a:noFill/>
                    </a:ln>
                  </pic:spPr>
                </pic:pic>
              </a:graphicData>
            </a:graphic>
          </wp:inline>
        </w:drawing>
      </w:r>
    </w:p>
    <w:p w14:paraId="463D8065" w14:textId="77777777" w:rsidR="00280FA2" w:rsidRPr="00915EA7" w:rsidRDefault="00280FA2" w:rsidP="00280FA2">
      <w:pPr>
        <w:tabs>
          <w:tab w:val="left" w:pos="-720"/>
          <w:tab w:val="left" w:pos="0"/>
          <w:tab w:val="left" w:pos="720"/>
        </w:tabs>
        <w:suppressAutoHyphens/>
        <w:spacing w:line="240" w:lineRule="atLeast"/>
        <w:ind w:left="1440" w:hanging="1440"/>
        <w:rPr>
          <w:spacing w:val="-3"/>
        </w:rPr>
      </w:pPr>
      <w:r>
        <w:rPr>
          <w:spacing w:val="-3"/>
        </w:rPr>
        <w:t xml:space="preserve">Figure  8.6 </w:t>
      </w:r>
      <w:r>
        <w:rPr>
          <w:spacing w:val="-3"/>
        </w:rPr>
        <w:tab/>
        <w:t>Two phase dendrite formed when a large quantity of a third element is added to a binary eutectic. The a</w:t>
      </w:r>
      <w:r w:rsidRPr="00915EA7">
        <w:rPr>
          <w:spacing w:val="-3"/>
        </w:rPr>
        <w:t xml:space="preserve">lloy </w:t>
      </w:r>
      <w:r>
        <w:rPr>
          <w:spacing w:val="-3"/>
        </w:rPr>
        <w:t>lies</w:t>
      </w:r>
      <w:r w:rsidRPr="00915EA7">
        <w:rPr>
          <w:spacing w:val="-3"/>
        </w:rPr>
        <w:t xml:space="preserve"> on the two phase valley in the Sn-Pb-Cd ternary system</w:t>
      </w:r>
      <w:r>
        <w:rPr>
          <w:spacing w:val="-3"/>
        </w:rPr>
        <w:t xml:space="preserve"> (Boettinger [1973]).</w:t>
      </w:r>
    </w:p>
    <w:p w14:paraId="40738B71" w14:textId="21DE7DFA" w:rsidR="00280FA2" w:rsidRDefault="00280FA2" w:rsidP="00280FA2">
      <w:pPr>
        <w:tabs>
          <w:tab w:val="left" w:pos="-720"/>
        </w:tabs>
        <w:suppressAutoHyphens/>
        <w:spacing w:line="240" w:lineRule="atLeast"/>
        <w:jc w:val="center"/>
        <w:rPr>
          <w:spacing w:val="-3"/>
        </w:rPr>
      </w:pPr>
      <w:r>
        <w:rPr>
          <w:noProof/>
          <w:spacing w:val="-3"/>
        </w:rPr>
        <w:drawing>
          <wp:inline distT="0" distB="0" distL="0" distR="0" wp14:anchorId="2309A56E" wp14:editId="2A280D8D">
            <wp:extent cx="4425315" cy="213931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1441" cstate="print">
                      <a:extLst>
                        <a:ext uri="{28A0092B-C50C-407E-A947-70E740481C1C}">
                          <a14:useLocalDpi xmlns:a14="http://schemas.microsoft.com/office/drawing/2010/main" val="0"/>
                        </a:ext>
                      </a:extLst>
                    </a:blip>
                    <a:srcRect/>
                    <a:stretch>
                      <a:fillRect/>
                    </a:stretch>
                  </pic:blipFill>
                  <pic:spPr bwMode="auto">
                    <a:xfrm>
                      <a:off x="0" y="0"/>
                      <a:ext cx="4425315" cy="2139315"/>
                    </a:xfrm>
                    <a:prstGeom prst="rect">
                      <a:avLst/>
                    </a:prstGeom>
                    <a:noFill/>
                    <a:ln>
                      <a:noFill/>
                    </a:ln>
                  </pic:spPr>
                </pic:pic>
              </a:graphicData>
            </a:graphic>
          </wp:inline>
        </w:drawing>
      </w:r>
    </w:p>
    <w:p w14:paraId="2BB94558" w14:textId="77777777" w:rsidR="00280FA2" w:rsidRDefault="00280FA2" w:rsidP="00280FA2">
      <w:pPr>
        <w:tabs>
          <w:tab w:val="left" w:pos="-720"/>
          <w:tab w:val="left" w:pos="0"/>
          <w:tab w:val="left" w:pos="720"/>
        </w:tabs>
        <w:suppressAutoHyphens/>
        <w:spacing w:line="240" w:lineRule="atLeast"/>
        <w:ind w:left="1440" w:hanging="1440"/>
        <w:rPr>
          <w:spacing w:val="-3"/>
        </w:rPr>
      </w:pPr>
      <w:r>
        <w:rPr>
          <w:spacing w:val="-3"/>
        </w:rPr>
        <w:t>Figure  8.7</w:t>
      </w:r>
      <w:r>
        <w:rPr>
          <w:spacing w:val="-3"/>
        </w:rPr>
        <w:tab/>
        <w:t>The origin of the coupled zone (hatched) is understood by considering the variation in eutectic interface temperature and dendrite tip temperatures for an off-eutectic alloy. The dominant microstructure for any composition at a given velocity (or supercooling)  is that which grows with the highest temperature (or fastest growth rate) (TRIVEDI and KURZ [1988]).</w:t>
      </w:r>
    </w:p>
    <w:p w14:paraId="7DA60BE5" w14:textId="732DC851" w:rsidR="00280FA2" w:rsidRDefault="00280FA2" w:rsidP="00280FA2">
      <w:pPr>
        <w:tabs>
          <w:tab w:val="left" w:pos="-720"/>
          <w:tab w:val="left" w:pos="0"/>
          <w:tab w:val="left" w:pos="720"/>
        </w:tabs>
        <w:suppressAutoHyphens/>
        <w:spacing w:line="240" w:lineRule="atLeast"/>
        <w:ind w:left="1440" w:hanging="1440"/>
        <w:jc w:val="center"/>
        <w:rPr>
          <w:spacing w:val="-3"/>
        </w:rPr>
      </w:pPr>
      <w:r>
        <w:rPr>
          <w:noProof/>
          <w:spacing w:val="-3"/>
        </w:rPr>
        <w:lastRenderedPageBreak/>
        <w:drawing>
          <wp:inline distT="0" distB="0" distL="0" distR="0" wp14:anchorId="441C42E7" wp14:editId="10C5111A">
            <wp:extent cx="3881755" cy="3277870"/>
            <wp:effectExtent l="0" t="0" r="4445"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1442">
                      <a:extLst>
                        <a:ext uri="{28A0092B-C50C-407E-A947-70E740481C1C}">
                          <a14:useLocalDpi xmlns:a14="http://schemas.microsoft.com/office/drawing/2010/main" val="0"/>
                        </a:ext>
                      </a:extLst>
                    </a:blip>
                    <a:srcRect/>
                    <a:stretch>
                      <a:fillRect/>
                    </a:stretch>
                  </pic:blipFill>
                  <pic:spPr bwMode="auto">
                    <a:xfrm>
                      <a:off x="0" y="0"/>
                      <a:ext cx="3881755" cy="3277870"/>
                    </a:xfrm>
                    <a:prstGeom prst="rect">
                      <a:avLst/>
                    </a:prstGeom>
                    <a:noFill/>
                    <a:ln>
                      <a:noFill/>
                    </a:ln>
                  </pic:spPr>
                </pic:pic>
              </a:graphicData>
            </a:graphic>
          </wp:inline>
        </w:drawing>
      </w:r>
    </w:p>
    <w:p w14:paraId="6623429B" w14:textId="77777777" w:rsidR="00280FA2" w:rsidRDefault="00280FA2" w:rsidP="00280FA2">
      <w:pPr>
        <w:tabs>
          <w:tab w:val="left" w:pos="-720"/>
          <w:tab w:val="left" w:pos="0"/>
          <w:tab w:val="left" w:pos="720"/>
        </w:tabs>
        <w:suppressAutoHyphens/>
        <w:spacing w:line="240" w:lineRule="atLeast"/>
        <w:ind w:left="1440" w:hanging="1440"/>
        <w:rPr>
          <w:spacing w:val="-3"/>
        </w:rPr>
      </w:pPr>
      <w:r>
        <w:rPr>
          <w:spacing w:val="-3"/>
        </w:rPr>
        <w:t xml:space="preserve">Figure 8.8 </w:t>
      </w:r>
      <w:r>
        <w:rPr>
          <w:spacing w:val="-3"/>
        </w:rPr>
        <w:tab/>
        <w:t xml:space="preserve">Micrograph of interdendritic region of an as-cast 2219 Aluminum alloy Part of the needles of the </w:t>
      </w:r>
      <w:r w:rsidRPr="008313A7">
        <w:rPr>
          <w:spacing w:val="-3"/>
        </w:rPr>
        <w:t>Al</w:t>
      </w:r>
      <w:r w:rsidRPr="00645439">
        <w:rPr>
          <w:spacing w:val="-3"/>
          <w:vertAlign w:val="subscript"/>
        </w:rPr>
        <w:t>7</w:t>
      </w:r>
      <w:r w:rsidRPr="008313A7">
        <w:rPr>
          <w:spacing w:val="-3"/>
        </w:rPr>
        <w:t>Cu</w:t>
      </w:r>
      <w:r w:rsidRPr="00645439">
        <w:rPr>
          <w:spacing w:val="-3"/>
          <w:vertAlign w:val="subscript"/>
        </w:rPr>
        <w:t>2</w:t>
      </w:r>
      <w:r>
        <w:rPr>
          <w:spacing w:val="-3"/>
        </w:rPr>
        <w:t>Fe phase are imbedded in Al dendritic matrix showing  that it formed along with the Al as a divorced (uncoupled ) L</w:t>
      </w:r>
      <w:r>
        <w:rPr>
          <w:spacing w:val="-3"/>
        </w:rPr>
        <w:sym w:font="Symbol" w:char="F0AE"/>
      </w:r>
      <w:r>
        <w:rPr>
          <w:spacing w:val="-3"/>
        </w:rPr>
        <w:t>Al + eutectic. Later freezing shows y a fine two phase mixture of Al+Al</w:t>
      </w:r>
      <w:r w:rsidRPr="00031621">
        <w:rPr>
          <w:spacing w:val="-3"/>
          <w:vertAlign w:val="subscript"/>
        </w:rPr>
        <w:t>2</w:t>
      </w:r>
      <w:r>
        <w:rPr>
          <w:spacing w:val="-3"/>
        </w:rPr>
        <w:t xml:space="preserve">Cu with additional needle-shaped </w:t>
      </w:r>
      <w:r w:rsidRPr="008313A7">
        <w:rPr>
          <w:spacing w:val="-3"/>
        </w:rPr>
        <w:t>Al</w:t>
      </w:r>
      <w:r w:rsidRPr="00645439">
        <w:rPr>
          <w:spacing w:val="-3"/>
          <w:vertAlign w:val="subscript"/>
        </w:rPr>
        <w:t>7</w:t>
      </w:r>
      <w:r w:rsidRPr="008313A7">
        <w:rPr>
          <w:spacing w:val="-3"/>
        </w:rPr>
        <w:t>Cu</w:t>
      </w:r>
      <w:r w:rsidRPr="00645439">
        <w:rPr>
          <w:spacing w:val="-3"/>
          <w:vertAlign w:val="subscript"/>
        </w:rPr>
        <w:t>2</w:t>
      </w:r>
      <w:r>
        <w:rPr>
          <w:spacing w:val="-3"/>
        </w:rPr>
        <w:t>Fe</w:t>
      </w:r>
      <w:r w:rsidRPr="00915EA7">
        <w:rPr>
          <w:spacing w:val="-3"/>
        </w:rPr>
        <w:t xml:space="preserve"> </w:t>
      </w:r>
      <w:r>
        <w:rPr>
          <w:spacing w:val="-3"/>
        </w:rPr>
        <w:t>formation consistent with  the fact that the phase diagram calls for a ternary eutectic of L</w:t>
      </w:r>
      <w:r>
        <w:rPr>
          <w:spacing w:val="-3"/>
        </w:rPr>
        <w:sym w:font="Symbol" w:char="F0AE"/>
      </w:r>
      <w:r>
        <w:rPr>
          <w:spacing w:val="-3"/>
        </w:rPr>
        <w:t xml:space="preserve">Al + </w:t>
      </w:r>
      <w:r w:rsidRPr="008313A7">
        <w:rPr>
          <w:spacing w:val="-3"/>
        </w:rPr>
        <w:t>Al</w:t>
      </w:r>
      <w:r w:rsidRPr="00645439">
        <w:rPr>
          <w:spacing w:val="-3"/>
          <w:vertAlign w:val="subscript"/>
        </w:rPr>
        <w:t>7</w:t>
      </w:r>
      <w:r w:rsidRPr="008313A7">
        <w:rPr>
          <w:spacing w:val="-3"/>
        </w:rPr>
        <w:t>Cu</w:t>
      </w:r>
      <w:r w:rsidRPr="00645439">
        <w:rPr>
          <w:spacing w:val="-3"/>
          <w:vertAlign w:val="subscript"/>
        </w:rPr>
        <w:t>2</w:t>
      </w:r>
      <w:r>
        <w:rPr>
          <w:spacing w:val="-3"/>
        </w:rPr>
        <w:t>Fe + Al</w:t>
      </w:r>
      <w:r w:rsidRPr="00DB0042">
        <w:rPr>
          <w:spacing w:val="-3"/>
          <w:vertAlign w:val="subscript"/>
        </w:rPr>
        <w:t>2</w:t>
      </w:r>
      <w:r>
        <w:rPr>
          <w:spacing w:val="-3"/>
        </w:rPr>
        <w:t>Cu. Boettinger (1981).</w:t>
      </w:r>
    </w:p>
    <w:p w14:paraId="71BF1C3B" w14:textId="5937636F" w:rsidR="00280FA2" w:rsidRDefault="00280FA2" w:rsidP="00280FA2">
      <w:pPr>
        <w:tabs>
          <w:tab w:val="left" w:pos="-720"/>
          <w:tab w:val="left" w:pos="0"/>
          <w:tab w:val="left" w:pos="720"/>
        </w:tabs>
        <w:suppressAutoHyphens/>
        <w:spacing w:line="240" w:lineRule="atLeast"/>
        <w:ind w:left="1440" w:hanging="1440"/>
        <w:jc w:val="center"/>
        <w:rPr>
          <w:spacing w:val="-3"/>
        </w:rPr>
      </w:pPr>
      <w:r>
        <w:rPr>
          <w:noProof/>
          <w:spacing w:val="-3"/>
        </w:rPr>
        <w:drawing>
          <wp:inline distT="0" distB="0" distL="0" distR="0" wp14:anchorId="0B3F7EDF" wp14:editId="238E6E3E">
            <wp:extent cx="3950970" cy="2933065"/>
            <wp:effectExtent l="0" t="0" r="0" b="63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1443" cstate="print">
                      <a:extLst>
                        <a:ext uri="{28A0092B-C50C-407E-A947-70E740481C1C}">
                          <a14:useLocalDpi xmlns:a14="http://schemas.microsoft.com/office/drawing/2010/main" val="0"/>
                        </a:ext>
                      </a:extLst>
                    </a:blip>
                    <a:srcRect/>
                    <a:stretch>
                      <a:fillRect/>
                    </a:stretch>
                  </pic:blipFill>
                  <pic:spPr bwMode="auto">
                    <a:xfrm>
                      <a:off x="0" y="0"/>
                      <a:ext cx="3950970" cy="2933065"/>
                    </a:xfrm>
                    <a:prstGeom prst="rect">
                      <a:avLst/>
                    </a:prstGeom>
                    <a:noFill/>
                    <a:ln>
                      <a:noFill/>
                    </a:ln>
                  </pic:spPr>
                </pic:pic>
              </a:graphicData>
            </a:graphic>
          </wp:inline>
        </w:drawing>
      </w:r>
    </w:p>
    <w:p w14:paraId="4BAB012A" w14:textId="77777777" w:rsidR="00280FA2" w:rsidRDefault="00280FA2" w:rsidP="00280FA2">
      <w:pPr>
        <w:tabs>
          <w:tab w:val="left" w:pos="-720"/>
          <w:tab w:val="left" w:pos="0"/>
          <w:tab w:val="left" w:pos="720"/>
        </w:tabs>
        <w:suppressAutoHyphens/>
        <w:spacing w:line="240" w:lineRule="atLeast"/>
        <w:ind w:left="1440" w:hanging="1440"/>
        <w:rPr>
          <w:spacing w:val="-3"/>
        </w:rPr>
      </w:pPr>
      <w:r>
        <w:rPr>
          <w:spacing w:val="-3"/>
        </w:rPr>
        <w:t>Figure  8.9</w:t>
      </w:r>
      <w:r>
        <w:rPr>
          <w:spacing w:val="-3"/>
        </w:rPr>
        <w:tab/>
        <w:t xml:space="preserve">Plots showing variation of </w:t>
      </w:r>
      <w:r>
        <w:rPr>
          <w:i/>
          <w:iCs/>
          <w:spacing w:val="-3"/>
        </w:rPr>
        <w:t>λ</w:t>
      </w:r>
      <w:r>
        <w:rPr>
          <w:spacing w:val="-3"/>
          <w:vertAlign w:val="subscript"/>
        </w:rPr>
        <w:t>E</w:t>
      </w:r>
      <w:r>
        <w:rPr>
          <w:spacing w:val="-3"/>
        </w:rPr>
        <w:t xml:space="preserve"> with V when </w:t>
      </w:r>
      <w:r>
        <w:rPr>
          <w:i/>
          <w:iCs/>
          <w:spacing w:val="-3"/>
        </w:rPr>
        <w:t>D</w:t>
      </w:r>
      <w:r>
        <w:rPr>
          <w:spacing w:val="-3"/>
          <w:vertAlign w:val="subscript"/>
        </w:rPr>
        <w:t>L</w:t>
      </w:r>
      <w:r>
        <w:rPr>
          <w:spacing w:val="-3"/>
        </w:rPr>
        <w:t xml:space="preserve"> is assumed constant and when </w:t>
      </w:r>
      <w:r>
        <w:rPr>
          <w:i/>
          <w:iCs/>
          <w:spacing w:val="-3"/>
        </w:rPr>
        <w:t>D</w:t>
      </w:r>
      <w:r>
        <w:rPr>
          <w:spacing w:val="-3"/>
          <w:vertAlign w:val="subscript"/>
        </w:rPr>
        <w:t>L</w:t>
      </w:r>
      <w:r>
        <w:rPr>
          <w:spacing w:val="-3"/>
        </w:rPr>
        <w:t xml:space="preserve"> depends on temperature. At high solidification velocities the</w:t>
      </w:r>
      <w:r>
        <w:rPr>
          <w:i/>
          <w:iCs/>
          <w:spacing w:val="-3"/>
        </w:rPr>
        <w:t xml:space="preserve"> λ</w:t>
      </w:r>
      <w:r>
        <w:rPr>
          <w:spacing w:val="-3"/>
          <w:vertAlign w:val="subscript"/>
        </w:rPr>
        <w:t>E</w:t>
      </w:r>
      <w:r>
        <w:rPr>
          <w:spacing w:val="-3"/>
          <w:vertAlign w:val="superscript"/>
        </w:rPr>
        <w:t>2</w:t>
      </w:r>
      <w:r>
        <w:rPr>
          <w:i/>
          <w:iCs/>
          <w:spacing w:val="-3"/>
        </w:rPr>
        <w:t>V</w:t>
      </w:r>
      <w:r>
        <w:rPr>
          <w:spacing w:val="-3"/>
        </w:rPr>
        <w:t xml:space="preserve"> "constant" depends on the Peclet number and the relationship between</w:t>
      </w:r>
      <w:r>
        <w:rPr>
          <w:i/>
          <w:iCs/>
          <w:spacing w:val="-3"/>
        </w:rPr>
        <w:t xml:space="preserve"> λ</w:t>
      </w:r>
      <w:r>
        <w:rPr>
          <w:spacing w:val="-3"/>
          <w:vertAlign w:val="subscript"/>
        </w:rPr>
        <w:t>E</w:t>
      </w:r>
      <w:r>
        <w:rPr>
          <w:spacing w:val="-3"/>
        </w:rPr>
        <w:t xml:space="preserve"> and </w:t>
      </w:r>
      <w:r>
        <w:rPr>
          <w:i/>
          <w:iCs/>
          <w:spacing w:val="-3"/>
        </w:rPr>
        <w:t>V</w:t>
      </w:r>
      <w:r>
        <w:rPr>
          <w:spacing w:val="-3"/>
        </w:rPr>
        <w:t xml:space="preserve"> is altered. (TRIVEDI </w:t>
      </w:r>
      <w:r>
        <w:rPr>
          <w:i/>
          <w:iCs/>
          <w:spacing w:val="-3"/>
        </w:rPr>
        <w:t>et al.</w:t>
      </w:r>
      <w:r>
        <w:rPr>
          <w:spacing w:val="-3"/>
        </w:rPr>
        <w:t xml:space="preserve"> [1987]). </w:t>
      </w:r>
    </w:p>
    <w:p w14:paraId="7A587A4D" w14:textId="77777777" w:rsidR="00280FA2" w:rsidRDefault="00280FA2" w:rsidP="00280FA2">
      <w:pPr>
        <w:tabs>
          <w:tab w:val="left" w:pos="-720"/>
          <w:tab w:val="left" w:pos="0"/>
          <w:tab w:val="left" w:pos="720"/>
        </w:tabs>
        <w:suppressAutoHyphens/>
        <w:spacing w:line="240" w:lineRule="atLeast"/>
        <w:ind w:left="1440" w:hanging="1440"/>
        <w:rPr>
          <w:spacing w:val="-3"/>
        </w:rPr>
      </w:pPr>
    </w:p>
    <w:p w14:paraId="2F58D835" w14:textId="77777777" w:rsidR="00280FA2" w:rsidRDefault="00280FA2" w:rsidP="00280FA2">
      <w:pPr>
        <w:tabs>
          <w:tab w:val="left" w:pos="-720"/>
          <w:tab w:val="left" w:pos="0"/>
          <w:tab w:val="left" w:pos="720"/>
        </w:tabs>
        <w:suppressAutoHyphens/>
        <w:spacing w:line="240" w:lineRule="atLeast"/>
        <w:ind w:left="1440" w:hanging="1440"/>
        <w:rPr>
          <w:spacing w:val="-3"/>
        </w:rPr>
      </w:pPr>
    </w:p>
    <w:p w14:paraId="7E6B2305" w14:textId="3C42B266" w:rsidR="00280FA2" w:rsidRDefault="00280FA2" w:rsidP="00280FA2">
      <w:pPr>
        <w:tabs>
          <w:tab w:val="left" w:pos="-720"/>
          <w:tab w:val="left" w:pos="0"/>
          <w:tab w:val="left" w:pos="720"/>
        </w:tabs>
        <w:suppressAutoHyphens/>
        <w:spacing w:line="240" w:lineRule="atLeast"/>
        <w:ind w:left="1440" w:hanging="1440"/>
        <w:rPr>
          <w:spacing w:val="-3"/>
        </w:rPr>
      </w:pPr>
      <w:r>
        <w:rPr>
          <w:noProof/>
          <w:spacing w:val="-3"/>
        </w:rPr>
        <w:drawing>
          <wp:inline distT="0" distB="0" distL="0" distR="0" wp14:anchorId="1DF2FA85" wp14:editId="75B85931">
            <wp:extent cx="1802765" cy="2545080"/>
            <wp:effectExtent l="0" t="0" r="6985" b="762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1444" cstate="print">
                      <a:extLst>
                        <a:ext uri="{28A0092B-C50C-407E-A947-70E740481C1C}">
                          <a14:useLocalDpi xmlns:a14="http://schemas.microsoft.com/office/drawing/2010/main" val="0"/>
                        </a:ext>
                      </a:extLst>
                    </a:blip>
                    <a:srcRect/>
                    <a:stretch>
                      <a:fillRect/>
                    </a:stretch>
                  </pic:blipFill>
                  <pic:spPr bwMode="auto">
                    <a:xfrm>
                      <a:off x="0" y="0"/>
                      <a:ext cx="1802765" cy="2545080"/>
                    </a:xfrm>
                    <a:prstGeom prst="rect">
                      <a:avLst/>
                    </a:prstGeom>
                    <a:noFill/>
                    <a:ln>
                      <a:noFill/>
                    </a:ln>
                  </pic:spPr>
                </pic:pic>
              </a:graphicData>
            </a:graphic>
          </wp:inline>
        </w:drawing>
      </w:r>
      <w:r>
        <w:rPr>
          <w:spacing w:val="-3"/>
        </w:rPr>
        <w:t xml:space="preserve">   </w:t>
      </w:r>
      <w:r>
        <w:rPr>
          <w:noProof/>
          <w:spacing w:val="-3"/>
        </w:rPr>
        <w:drawing>
          <wp:inline distT="0" distB="0" distL="0" distR="0" wp14:anchorId="0D817B10" wp14:editId="2E80CE4B">
            <wp:extent cx="3416300" cy="228600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1445" cstate="print">
                      <a:extLst>
                        <a:ext uri="{28A0092B-C50C-407E-A947-70E740481C1C}">
                          <a14:useLocalDpi xmlns:a14="http://schemas.microsoft.com/office/drawing/2010/main" val="0"/>
                        </a:ext>
                      </a:extLst>
                    </a:blip>
                    <a:srcRect/>
                    <a:stretch>
                      <a:fillRect/>
                    </a:stretch>
                  </pic:blipFill>
                  <pic:spPr bwMode="auto">
                    <a:xfrm>
                      <a:off x="0" y="0"/>
                      <a:ext cx="3416300" cy="2286000"/>
                    </a:xfrm>
                    <a:prstGeom prst="rect">
                      <a:avLst/>
                    </a:prstGeom>
                    <a:noFill/>
                    <a:ln>
                      <a:noFill/>
                    </a:ln>
                  </pic:spPr>
                </pic:pic>
              </a:graphicData>
            </a:graphic>
          </wp:inline>
        </w:drawing>
      </w:r>
    </w:p>
    <w:p w14:paraId="6F2B78BD" w14:textId="77777777" w:rsidR="00280FA2" w:rsidRDefault="00280FA2" w:rsidP="00280FA2">
      <w:pPr>
        <w:tabs>
          <w:tab w:val="left" w:pos="-720"/>
          <w:tab w:val="left" w:pos="0"/>
          <w:tab w:val="left" w:pos="720"/>
        </w:tabs>
        <w:suppressAutoHyphens/>
        <w:spacing w:line="240" w:lineRule="atLeast"/>
        <w:ind w:left="1440" w:hanging="1440"/>
        <w:rPr>
          <w:spacing w:val="-3"/>
        </w:rPr>
      </w:pPr>
    </w:p>
    <w:p w14:paraId="71C3E9A9" w14:textId="77777777" w:rsidR="00280FA2" w:rsidRDefault="00280FA2" w:rsidP="00280FA2">
      <w:pPr>
        <w:tabs>
          <w:tab w:val="left" w:pos="-720"/>
          <w:tab w:val="left" w:pos="0"/>
          <w:tab w:val="left" w:pos="720"/>
        </w:tabs>
        <w:suppressAutoHyphens/>
        <w:spacing w:line="240" w:lineRule="atLeast"/>
        <w:ind w:left="1440" w:hanging="1440"/>
        <w:rPr>
          <w:spacing w:val="-3"/>
        </w:rPr>
      </w:pPr>
      <w:r>
        <w:rPr>
          <w:spacing w:val="-3"/>
        </w:rPr>
        <w:t xml:space="preserve">Figure 8.10. </w:t>
      </w:r>
      <w:r>
        <w:rPr>
          <w:spacing w:val="-3"/>
        </w:rPr>
        <w:tab/>
        <w:t xml:space="preserve">a) Transition from fine eutectic growth to metallic glass when attempting directional solidification at 2.5 mm/s. a) Optical micrograph showing full diameter of directional solidified sample. b) </w:t>
      </w:r>
      <w:r w:rsidRPr="001B068D">
        <w:rPr>
          <w:spacing w:val="-3"/>
          <w:highlight w:val="yellow"/>
        </w:rPr>
        <w:t>TEM</w:t>
      </w:r>
      <w:r>
        <w:rPr>
          <w:spacing w:val="-3"/>
        </w:rPr>
        <w:t xml:space="preserve"> micrographs at low and high magnification proving that the growth just prior to the transition to glass is a fine two phase eutectic (Boettinger et al. [1980] and Boettinger [1982]).</w:t>
      </w:r>
    </w:p>
    <w:p w14:paraId="03E7F41B" w14:textId="4A078E55" w:rsidR="00280FA2" w:rsidRDefault="00280FA2" w:rsidP="00280FA2">
      <w:pPr>
        <w:tabs>
          <w:tab w:val="left" w:pos="-720"/>
        </w:tabs>
        <w:suppressAutoHyphens/>
        <w:spacing w:line="240" w:lineRule="atLeast"/>
        <w:jc w:val="center"/>
        <w:rPr>
          <w:spacing w:val="-3"/>
        </w:rPr>
      </w:pPr>
      <w:r>
        <w:rPr>
          <w:noProof/>
          <w:spacing w:val="-3"/>
        </w:rPr>
        <w:drawing>
          <wp:inline distT="0" distB="0" distL="0" distR="0" wp14:anchorId="3B5AD7E0" wp14:editId="507E97B2">
            <wp:extent cx="2889885" cy="3424555"/>
            <wp:effectExtent l="0" t="0" r="5715" b="444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1446" cstate="print">
                      <a:extLst>
                        <a:ext uri="{28A0092B-C50C-407E-A947-70E740481C1C}">
                          <a14:useLocalDpi xmlns:a14="http://schemas.microsoft.com/office/drawing/2010/main" val="0"/>
                        </a:ext>
                      </a:extLst>
                    </a:blip>
                    <a:srcRect/>
                    <a:stretch>
                      <a:fillRect/>
                    </a:stretch>
                  </pic:blipFill>
                  <pic:spPr bwMode="auto">
                    <a:xfrm>
                      <a:off x="0" y="0"/>
                      <a:ext cx="2889885" cy="3424555"/>
                    </a:xfrm>
                    <a:prstGeom prst="rect">
                      <a:avLst/>
                    </a:prstGeom>
                    <a:noFill/>
                    <a:ln>
                      <a:noFill/>
                    </a:ln>
                  </pic:spPr>
                </pic:pic>
              </a:graphicData>
            </a:graphic>
          </wp:inline>
        </w:drawing>
      </w:r>
    </w:p>
    <w:p w14:paraId="748C5F16" w14:textId="77777777" w:rsidR="00280FA2" w:rsidRDefault="00280FA2" w:rsidP="00280FA2">
      <w:pPr>
        <w:tabs>
          <w:tab w:val="left" w:pos="-720"/>
          <w:tab w:val="left" w:pos="0"/>
          <w:tab w:val="left" w:pos="720"/>
        </w:tabs>
        <w:suppressAutoHyphens/>
        <w:spacing w:line="240" w:lineRule="atLeast"/>
        <w:ind w:left="1440" w:hanging="1440"/>
        <w:rPr>
          <w:spacing w:val="-3"/>
        </w:rPr>
      </w:pPr>
      <w:r>
        <w:rPr>
          <w:spacing w:val="-3"/>
        </w:rPr>
        <w:t>Figure  8.11</w:t>
      </w:r>
      <w:r>
        <w:rPr>
          <w:spacing w:val="-3"/>
        </w:rPr>
        <w:tab/>
        <w:t xml:space="preserve">Experimental results for the variation in microstructure observed for Ag-Cu alloys depending on solidification velocity (BOETTINGER </w:t>
      </w:r>
      <w:r>
        <w:rPr>
          <w:i/>
          <w:iCs/>
          <w:spacing w:val="-3"/>
        </w:rPr>
        <w:t>et al.</w:t>
      </w:r>
      <w:r>
        <w:rPr>
          <w:spacing w:val="-3"/>
        </w:rPr>
        <w:t xml:space="preserve"> [1984a]).</w:t>
      </w:r>
    </w:p>
    <w:p w14:paraId="4828C06F" w14:textId="55BC4288" w:rsidR="00280FA2" w:rsidRDefault="00280FA2" w:rsidP="00280FA2">
      <w:pPr>
        <w:tabs>
          <w:tab w:val="left" w:pos="-720"/>
        </w:tabs>
        <w:suppressAutoHyphens/>
        <w:spacing w:line="240" w:lineRule="atLeast"/>
        <w:jc w:val="center"/>
        <w:rPr>
          <w:spacing w:val="-3"/>
        </w:rPr>
      </w:pPr>
      <w:r>
        <w:rPr>
          <w:noProof/>
          <w:spacing w:val="-3"/>
        </w:rPr>
        <w:lastRenderedPageBreak/>
        <w:drawing>
          <wp:inline distT="0" distB="0" distL="0" distR="0" wp14:anchorId="271875A8" wp14:editId="07F1560B">
            <wp:extent cx="4684395" cy="3329940"/>
            <wp:effectExtent l="0" t="0" r="1905" b="381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1447" cstate="print">
                      <a:extLst>
                        <a:ext uri="{28A0092B-C50C-407E-A947-70E740481C1C}">
                          <a14:useLocalDpi xmlns:a14="http://schemas.microsoft.com/office/drawing/2010/main" val="0"/>
                        </a:ext>
                      </a:extLst>
                    </a:blip>
                    <a:srcRect/>
                    <a:stretch>
                      <a:fillRect/>
                    </a:stretch>
                  </pic:blipFill>
                  <pic:spPr bwMode="auto">
                    <a:xfrm>
                      <a:off x="0" y="0"/>
                      <a:ext cx="4684395" cy="3329940"/>
                    </a:xfrm>
                    <a:prstGeom prst="rect">
                      <a:avLst/>
                    </a:prstGeom>
                    <a:noFill/>
                    <a:ln>
                      <a:noFill/>
                    </a:ln>
                  </pic:spPr>
                </pic:pic>
              </a:graphicData>
            </a:graphic>
          </wp:inline>
        </w:drawing>
      </w:r>
    </w:p>
    <w:p w14:paraId="5E6B3C76" w14:textId="77777777" w:rsidR="00280FA2" w:rsidRDefault="00280FA2" w:rsidP="00280FA2">
      <w:pPr>
        <w:tabs>
          <w:tab w:val="left" w:pos="-720"/>
          <w:tab w:val="left" w:pos="0"/>
          <w:tab w:val="left" w:pos="720"/>
        </w:tabs>
        <w:suppressAutoHyphens/>
        <w:spacing w:line="240" w:lineRule="atLeast"/>
        <w:ind w:left="1440" w:hanging="1440"/>
        <w:rPr>
          <w:spacing w:val="-3"/>
        </w:rPr>
      </w:pPr>
      <w:r>
        <w:rPr>
          <w:spacing w:val="-3"/>
        </w:rPr>
        <w:t xml:space="preserve">Figure  8.12 </w:t>
      </w:r>
      <w:r>
        <w:rPr>
          <w:spacing w:val="-3"/>
        </w:rPr>
        <w:tab/>
        <w:t>Theoretical coupled zones for the stable Al-Al</w:t>
      </w:r>
      <w:r>
        <w:rPr>
          <w:spacing w:val="-3"/>
          <w:vertAlign w:val="subscript"/>
        </w:rPr>
        <w:t>3</w:t>
      </w:r>
      <w:r>
        <w:rPr>
          <w:spacing w:val="-3"/>
        </w:rPr>
        <w:t>Fe and metastable Al-Al</w:t>
      </w:r>
      <w:r>
        <w:rPr>
          <w:spacing w:val="-3"/>
          <w:vertAlign w:val="subscript"/>
        </w:rPr>
        <w:t>6</w:t>
      </w:r>
      <w:r>
        <w:rPr>
          <w:spacing w:val="-3"/>
        </w:rPr>
        <w:t>Fe eutectics (hatched). The microstructure present at any value of interface supercooling and average alloy composition has been determined by a competitive growth analysis. Subscripts P and N refer to plate (2D) and needle (3-D) dendrites respectively (TRIVEDI and KURZ [1988]).</w:t>
      </w:r>
    </w:p>
    <w:p w14:paraId="52FB6869" w14:textId="004CA71E" w:rsidR="00280FA2" w:rsidRDefault="00280FA2" w:rsidP="00280FA2">
      <w:pPr>
        <w:tabs>
          <w:tab w:val="left" w:pos="-720"/>
          <w:tab w:val="left" w:pos="0"/>
          <w:tab w:val="left" w:pos="720"/>
        </w:tabs>
        <w:suppressAutoHyphens/>
        <w:spacing w:line="240" w:lineRule="atLeast"/>
        <w:ind w:left="1440" w:hanging="1440"/>
        <w:jc w:val="center"/>
        <w:rPr>
          <w:spacing w:val="-3"/>
        </w:rPr>
      </w:pPr>
      <w:r>
        <w:rPr>
          <w:noProof/>
          <w:spacing w:val="-3"/>
        </w:rPr>
        <w:drawing>
          <wp:inline distT="0" distB="0" distL="0" distR="0" wp14:anchorId="70667A3B" wp14:editId="0A0F4C5E">
            <wp:extent cx="2648585" cy="264858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1448" cstate="print">
                      <a:extLst>
                        <a:ext uri="{28A0092B-C50C-407E-A947-70E740481C1C}">
                          <a14:useLocalDpi xmlns:a14="http://schemas.microsoft.com/office/drawing/2010/main" val="0"/>
                        </a:ext>
                      </a:extLst>
                    </a:blip>
                    <a:srcRect/>
                    <a:stretch>
                      <a:fillRect/>
                    </a:stretch>
                  </pic:blipFill>
                  <pic:spPr bwMode="auto">
                    <a:xfrm>
                      <a:off x="0" y="0"/>
                      <a:ext cx="2648585" cy="2648585"/>
                    </a:xfrm>
                    <a:prstGeom prst="rect">
                      <a:avLst/>
                    </a:prstGeom>
                    <a:noFill/>
                    <a:ln>
                      <a:noFill/>
                    </a:ln>
                  </pic:spPr>
                </pic:pic>
              </a:graphicData>
            </a:graphic>
          </wp:inline>
        </w:drawing>
      </w:r>
    </w:p>
    <w:p w14:paraId="11E1736B" w14:textId="77777777" w:rsidR="00280FA2" w:rsidRDefault="00280FA2" w:rsidP="00280FA2">
      <w:pPr>
        <w:tabs>
          <w:tab w:val="left" w:pos="-720"/>
          <w:tab w:val="left" w:pos="0"/>
          <w:tab w:val="left" w:pos="720"/>
        </w:tabs>
        <w:suppressAutoHyphens/>
        <w:spacing w:line="240" w:lineRule="atLeast"/>
        <w:ind w:left="1440" w:hanging="1440"/>
        <w:rPr>
          <w:spacing w:val="-3"/>
        </w:rPr>
      </w:pPr>
      <w:r>
        <w:rPr>
          <w:spacing w:val="-3"/>
        </w:rPr>
        <w:t xml:space="preserve">Figure 8.13 </w:t>
      </w:r>
      <w:r>
        <w:rPr>
          <w:spacing w:val="-3"/>
        </w:rPr>
        <w:tab/>
      </w:r>
      <w:r w:rsidRPr="00F81538">
        <w:rPr>
          <w:spacing w:val="-3"/>
        </w:rPr>
        <w:t>(a) Mechanism of growth of flake graphite from a rotation boundary which provides steps for the</w:t>
      </w:r>
      <w:r>
        <w:rPr>
          <w:spacing w:val="-3"/>
        </w:rPr>
        <w:t xml:space="preserve"> </w:t>
      </w:r>
      <w:r w:rsidRPr="00F81538">
        <w:rPr>
          <w:spacing w:val="-3"/>
        </w:rPr>
        <w:t>nucleation of (1010) faces. (b) Mechani</w:t>
      </w:r>
      <w:r>
        <w:rPr>
          <w:spacing w:val="-3"/>
        </w:rPr>
        <w:t>s</w:t>
      </w:r>
      <w:r w:rsidRPr="00F81538">
        <w:rPr>
          <w:spacing w:val="-3"/>
        </w:rPr>
        <w:t>m of growth of spheroidal graphite by repeated instability of pyramidal</w:t>
      </w:r>
      <w:r>
        <w:rPr>
          <w:spacing w:val="-3"/>
        </w:rPr>
        <w:t xml:space="preserve"> </w:t>
      </w:r>
      <w:r w:rsidRPr="00F81538">
        <w:rPr>
          <w:spacing w:val="-3"/>
        </w:rPr>
        <w:t>surfaces forming a radial array. (c) Mechanism of growth of compacted graphite by development of pyramidal</w:t>
      </w:r>
      <w:r>
        <w:rPr>
          <w:spacing w:val="-3"/>
        </w:rPr>
        <w:t xml:space="preserve"> </w:t>
      </w:r>
      <w:r w:rsidRPr="00F81538">
        <w:rPr>
          <w:spacing w:val="-3"/>
        </w:rPr>
        <w:t>forms on the crystal surface at steps due to screw dislocations</w:t>
      </w:r>
      <w:r>
        <w:rPr>
          <w:spacing w:val="-3"/>
        </w:rPr>
        <w:t xml:space="preserve"> (</w:t>
      </w:r>
      <w:r w:rsidRPr="00F81538">
        <w:rPr>
          <w:spacing w:val="-3"/>
        </w:rPr>
        <w:t>M</w:t>
      </w:r>
      <w:r>
        <w:rPr>
          <w:spacing w:val="-3"/>
        </w:rPr>
        <w:t>inkoff</w:t>
      </w:r>
      <w:r w:rsidRPr="00F81538">
        <w:rPr>
          <w:spacing w:val="-3"/>
        </w:rPr>
        <w:t xml:space="preserve"> [1990]</w:t>
      </w:r>
      <w:r>
        <w:rPr>
          <w:spacing w:val="-3"/>
        </w:rPr>
        <w:t>)</w:t>
      </w:r>
      <w:r w:rsidRPr="00F81538">
        <w:rPr>
          <w:spacing w:val="-3"/>
        </w:rPr>
        <w:t>.</w:t>
      </w:r>
    </w:p>
    <w:p w14:paraId="1115793C" w14:textId="6F321E2B" w:rsidR="00280FA2" w:rsidRDefault="00280FA2" w:rsidP="00280FA2">
      <w:pPr>
        <w:tabs>
          <w:tab w:val="left" w:pos="-720"/>
          <w:tab w:val="left" w:pos="0"/>
          <w:tab w:val="left" w:pos="720"/>
        </w:tabs>
        <w:suppressAutoHyphens/>
        <w:spacing w:line="240" w:lineRule="atLeast"/>
        <w:ind w:left="1440" w:hanging="1440"/>
        <w:jc w:val="center"/>
        <w:rPr>
          <w:spacing w:val="-3"/>
        </w:rPr>
      </w:pPr>
      <w:r>
        <w:rPr>
          <w:noProof/>
          <w:spacing w:val="-3"/>
        </w:rPr>
        <w:lastRenderedPageBreak/>
        <w:drawing>
          <wp:inline distT="0" distB="0" distL="0" distR="0" wp14:anchorId="266C1F39" wp14:editId="7A38C6DE">
            <wp:extent cx="3769995" cy="1492250"/>
            <wp:effectExtent l="0" t="0" r="190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1449" cstate="print">
                      <a:extLst>
                        <a:ext uri="{28A0092B-C50C-407E-A947-70E740481C1C}">
                          <a14:useLocalDpi xmlns:a14="http://schemas.microsoft.com/office/drawing/2010/main" val="0"/>
                        </a:ext>
                      </a:extLst>
                    </a:blip>
                    <a:srcRect/>
                    <a:stretch>
                      <a:fillRect/>
                    </a:stretch>
                  </pic:blipFill>
                  <pic:spPr bwMode="auto">
                    <a:xfrm>
                      <a:off x="0" y="0"/>
                      <a:ext cx="3769995" cy="1492250"/>
                    </a:xfrm>
                    <a:prstGeom prst="rect">
                      <a:avLst/>
                    </a:prstGeom>
                    <a:noFill/>
                    <a:ln>
                      <a:noFill/>
                    </a:ln>
                  </pic:spPr>
                </pic:pic>
              </a:graphicData>
            </a:graphic>
          </wp:inline>
        </w:drawing>
      </w:r>
    </w:p>
    <w:p w14:paraId="7FD8B076" w14:textId="77777777" w:rsidR="00280FA2" w:rsidRDefault="00280FA2" w:rsidP="00280FA2">
      <w:pPr>
        <w:tabs>
          <w:tab w:val="left" w:pos="-720"/>
          <w:tab w:val="left" w:pos="0"/>
          <w:tab w:val="left" w:pos="720"/>
        </w:tabs>
        <w:suppressAutoHyphens/>
        <w:spacing w:line="240" w:lineRule="atLeast"/>
        <w:ind w:left="1440" w:hanging="1440"/>
        <w:rPr>
          <w:spacing w:val="-3"/>
        </w:rPr>
      </w:pPr>
      <w:r>
        <w:rPr>
          <w:spacing w:val="-3"/>
        </w:rPr>
        <w:t xml:space="preserve">Figure 8.14 </w:t>
      </w:r>
      <w:r>
        <w:rPr>
          <w:spacing w:val="-3"/>
        </w:rPr>
        <w:tab/>
        <w:t>Schematic illustration of the progression of growth of the austenite-spheroidal graphite eutectic in directional solidification (Banerjee and Stefanescu [1991]).</w:t>
      </w:r>
    </w:p>
    <w:p w14:paraId="36F68B84" w14:textId="69334807" w:rsidR="00280FA2" w:rsidRDefault="00280FA2" w:rsidP="00280FA2">
      <w:pPr>
        <w:tabs>
          <w:tab w:val="left" w:pos="-720"/>
          <w:tab w:val="left" w:pos="0"/>
          <w:tab w:val="left" w:pos="720"/>
        </w:tabs>
        <w:suppressAutoHyphens/>
        <w:spacing w:line="240" w:lineRule="atLeast"/>
        <w:ind w:left="1440" w:hanging="1440"/>
        <w:jc w:val="center"/>
        <w:rPr>
          <w:spacing w:val="-3"/>
        </w:rPr>
      </w:pPr>
      <w:r>
        <w:rPr>
          <w:noProof/>
          <w:spacing w:val="-3"/>
        </w:rPr>
        <w:drawing>
          <wp:inline distT="0" distB="0" distL="0" distR="0" wp14:anchorId="1CF695DE" wp14:editId="629E2D0D">
            <wp:extent cx="4002405" cy="17164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1450" cstate="print">
                      <a:extLst>
                        <a:ext uri="{28A0092B-C50C-407E-A947-70E740481C1C}">
                          <a14:useLocalDpi xmlns:a14="http://schemas.microsoft.com/office/drawing/2010/main" val="0"/>
                        </a:ext>
                      </a:extLst>
                    </a:blip>
                    <a:srcRect/>
                    <a:stretch>
                      <a:fillRect/>
                    </a:stretch>
                  </pic:blipFill>
                  <pic:spPr bwMode="auto">
                    <a:xfrm>
                      <a:off x="0" y="0"/>
                      <a:ext cx="4002405" cy="1716405"/>
                    </a:xfrm>
                    <a:prstGeom prst="rect">
                      <a:avLst/>
                    </a:prstGeom>
                    <a:noFill/>
                    <a:ln>
                      <a:noFill/>
                    </a:ln>
                  </pic:spPr>
                </pic:pic>
              </a:graphicData>
            </a:graphic>
          </wp:inline>
        </w:drawing>
      </w:r>
    </w:p>
    <w:p w14:paraId="2B53091E" w14:textId="77777777" w:rsidR="00280FA2" w:rsidRDefault="00280FA2" w:rsidP="00280FA2">
      <w:pPr>
        <w:tabs>
          <w:tab w:val="left" w:pos="-720"/>
          <w:tab w:val="left" w:pos="0"/>
          <w:tab w:val="left" w:pos="720"/>
        </w:tabs>
        <w:suppressAutoHyphens/>
        <w:spacing w:line="240" w:lineRule="atLeast"/>
        <w:ind w:left="1440" w:hanging="1440"/>
        <w:rPr>
          <w:spacing w:val="-3"/>
        </w:rPr>
      </w:pPr>
      <w:r>
        <w:rPr>
          <w:spacing w:val="-3"/>
        </w:rPr>
        <w:t>Figure 8.15</w:t>
      </w:r>
      <w:r>
        <w:rPr>
          <w:spacing w:val="-3"/>
        </w:rPr>
        <w:tab/>
        <w:t>Schematic illustration of the sequence of formation of eutectic grains in sphedoidal graphite iron for the case of multi-directional solidification. (Banerjee and Stefanescu [1991]).</w:t>
      </w:r>
    </w:p>
    <w:p w14:paraId="2B918649" w14:textId="6452B702" w:rsidR="00280FA2" w:rsidRDefault="00280FA2" w:rsidP="00280FA2">
      <w:pPr>
        <w:tabs>
          <w:tab w:val="left" w:pos="-720"/>
          <w:tab w:val="left" w:pos="0"/>
          <w:tab w:val="left" w:pos="720"/>
        </w:tabs>
        <w:suppressAutoHyphens/>
        <w:spacing w:line="240" w:lineRule="atLeast"/>
        <w:ind w:left="1440" w:hanging="1440"/>
        <w:rPr>
          <w:spacing w:val="-3"/>
        </w:rPr>
      </w:pPr>
      <w:r>
        <w:rPr>
          <w:noProof/>
          <w:spacing w:val="-3"/>
        </w:rPr>
        <w:drawing>
          <wp:inline distT="0" distB="0" distL="0" distR="0" wp14:anchorId="3AE0160E" wp14:editId="55C0E65F">
            <wp:extent cx="4114800" cy="3044825"/>
            <wp:effectExtent l="0" t="0" r="0" b="317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1451" cstate="print">
                      <a:extLst>
                        <a:ext uri="{28A0092B-C50C-407E-A947-70E740481C1C}">
                          <a14:useLocalDpi xmlns:a14="http://schemas.microsoft.com/office/drawing/2010/main" val="0"/>
                        </a:ext>
                      </a:extLst>
                    </a:blip>
                    <a:srcRect/>
                    <a:stretch>
                      <a:fillRect/>
                    </a:stretch>
                  </pic:blipFill>
                  <pic:spPr bwMode="auto">
                    <a:xfrm>
                      <a:off x="0" y="0"/>
                      <a:ext cx="4114800" cy="3044825"/>
                    </a:xfrm>
                    <a:prstGeom prst="rect">
                      <a:avLst/>
                    </a:prstGeom>
                    <a:noFill/>
                    <a:ln>
                      <a:noFill/>
                    </a:ln>
                  </pic:spPr>
                </pic:pic>
              </a:graphicData>
            </a:graphic>
          </wp:inline>
        </w:drawing>
      </w:r>
    </w:p>
    <w:p w14:paraId="08D975D1" w14:textId="2F242C5F" w:rsidR="00280FA2" w:rsidRDefault="00280FA2" w:rsidP="00280FA2">
      <w:pPr>
        <w:tabs>
          <w:tab w:val="left" w:pos="-720"/>
          <w:tab w:val="left" w:pos="0"/>
          <w:tab w:val="left" w:pos="720"/>
        </w:tabs>
        <w:suppressAutoHyphens/>
        <w:spacing w:line="240" w:lineRule="atLeast"/>
        <w:ind w:left="1440" w:hanging="1440"/>
        <w:rPr>
          <w:spacing w:val="-3"/>
        </w:rPr>
      </w:pPr>
      <w:r>
        <w:rPr>
          <w:spacing w:val="-3"/>
        </w:rPr>
        <w:t>Figure 8.16</w:t>
      </w:r>
      <w:r>
        <w:rPr>
          <w:spacing w:val="-3"/>
        </w:rPr>
        <w:tab/>
        <w:t xml:space="preserve">Influence of G/V ratios and </w:t>
      </w:r>
      <w:r w:rsidR="006E2202">
        <w:rPr>
          <w:spacing w:val="-3"/>
        </w:rPr>
        <w:t xml:space="preserve">wt </w:t>
      </w:r>
      <w:r>
        <w:rPr>
          <w:spacing w:val="-3"/>
        </w:rPr>
        <w:t>% Ce level on structural transition in cast iron. Banerjee and Stefanescu [1991])</w:t>
      </w:r>
    </w:p>
    <w:p w14:paraId="1989777E" w14:textId="7AA643BD" w:rsidR="00280FA2" w:rsidRDefault="00280FA2" w:rsidP="00280FA2">
      <w:pPr>
        <w:tabs>
          <w:tab w:val="left" w:pos="-720"/>
          <w:tab w:val="left" w:pos="0"/>
          <w:tab w:val="left" w:pos="720"/>
        </w:tabs>
        <w:suppressAutoHyphens/>
        <w:spacing w:line="240" w:lineRule="atLeast"/>
        <w:ind w:left="1440" w:hanging="1440"/>
        <w:jc w:val="center"/>
        <w:rPr>
          <w:spacing w:val="-3"/>
        </w:rPr>
      </w:pPr>
      <w:r>
        <w:rPr>
          <w:noProof/>
          <w:spacing w:val="-3"/>
        </w:rPr>
        <w:lastRenderedPageBreak/>
        <w:drawing>
          <wp:inline distT="0" distB="0" distL="0" distR="0" wp14:anchorId="41BAD799" wp14:editId="0A29A4DC">
            <wp:extent cx="3873500" cy="3234690"/>
            <wp:effectExtent l="0" t="0" r="0" b="381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1452" cstate="print">
                      <a:extLst>
                        <a:ext uri="{28A0092B-C50C-407E-A947-70E740481C1C}">
                          <a14:useLocalDpi xmlns:a14="http://schemas.microsoft.com/office/drawing/2010/main" val="0"/>
                        </a:ext>
                      </a:extLst>
                    </a:blip>
                    <a:srcRect/>
                    <a:stretch>
                      <a:fillRect/>
                    </a:stretch>
                  </pic:blipFill>
                  <pic:spPr bwMode="auto">
                    <a:xfrm>
                      <a:off x="0" y="0"/>
                      <a:ext cx="3873500" cy="3234690"/>
                    </a:xfrm>
                    <a:prstGeom prst="rect">
                      <a:avLst/>
                    </a:prstGeom>
                    <a:noFill/>
                    <a:ln>
                      <a:noFill/>
                    </a:ln>
                  </pic:spPr>
                </pic:pic>
              </a:graphicData>
            </a:graphic>
          </wp:inline>
        </w:drawing>
      </w:r>
    </w:p>
    <w:p w14:paraId="49B9E8D3" w14:textId="020A6BA6" w:rsidR="00280FA2" w:rsidRDefault="00280FA2" w:rsidP="00280FA2">
      <w:pPr>
        <w:tabs>
          <w:tab w:val="left" w:pos="-720"/>
          <w:tab w:val="left" w:pos="0"/>
          <w:tab w:val="left" w:pos="720"/>
        </w:tabs>
        <w:suppressAutoHyphens/>
        <w:spacing w:line="240" w:lineRule="atLeast"/>
        <w:ind w:left="1440" w:hanging="1440"/>
        <w:rPr>
          <w:spacing w:val="-3"/>
        </w:rPr>
      </w:pPr>
      <w:r>
        <w:rPr>
          <w:spacing w:val="-3"/>
        </w:rPr>
        <w:t>Figure 8.17</w:t>
      </w:r>
      <w:r>
        <w:rPr>
          <w:spacing w:val="-3"/>
        </w:rPr>
        <w:tab/>
        <w:t>Typical microstructures for various structural regions in Ce-treated hypo-eutectic irons, after directional solidification: a) lamellar graphite, b) lamellar + compacted, c) compacted, d) compacted + spheroidal, e) quasi-</w:t>
      </w:r>
      <w:r w:rsidR="005B5AE0">
        <w:rPr>
          <w:spacing w:val="-3"/>
        </w:rPr>
        <w:t>spheroidal</w:t>
      </w:r>
      <w:r>
        <w:rPr>
          <w:spacing w:val="-3"/>
        </w:rPr>
        <w:t xml:space="preserve"> , f) mottled. 50X.</w:t>
      </w:r>
      <w:r w:rsidRPr="00F37BF8">
        <w:rPr>
          <w:spacing w:val="-3"/>
        </w:rPr>
        <w:t xml:space="preserve"> </w:t>
      </w:r>
      <w:r>
        <w:rPr>
          <w:spacing w:val="-3"/>
        </w:rPr>
        <w:t>Bandyopadhyay (Banerjee) et al. [(1990a])</w:t>
      </w:r>
    </w:p>
    <w:p w14:paraId="7C25CE80" w14:textId="6A8B38B0" w:rsidR="00280FA2" w:rsidRDefault="00280FA2" w:rsidP="00280FA2">
      <w:pPr>
        <w:tabs>
          <w:tab w:val="left" w:pos="-720"/>
          <w:tab w:val="left" w:pos="0"/>
          <w:tab w:val="left" w:pos="720"/>
        </w:tabs>
        <w:suppressAutoHyphens/>
        <w:spacing w:line="240" w:lineRule="atLeast"/>
        <w:ind w:left="1440" w:hanging="1440"/>
        <w:jc w:val="center"/>
        <w:rPr>
          <w:spacing w:val="-3"/>
        </w:rPr>
      </w:pPr>
      <w:r>
        <w:rPr>
          <w:noProof/>
          <w:spacing w:val="-3"/>
        </w:rPr>
        <w:drawing>
          <wp:inline distT="0" distB="0" distL="0" distR="0" wp14:anchorId="37EDF17C" wp14:editId="0BF253F3">
            <wp:extent cx="5486400" cy="166497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1453" cstate="print">
                      <a:extLst>
                        <a:ext uri="{28A0092B-C50C-407E-A947-70E740481C1C}">
                          <a14:useLocalDpi xmlns:a14="http://schemas.microsoft.com/office/drawing/2010/main" val="0"/>
                        </a:ext>
                      </a:extLst>
                    </a:blip>
                    <a:srcRect/>
                    <a:stretch>
                      <a:fillRect/>
                    </a:stretch>
                  </pic:blipFill>
                  <pic:spPr bwMode="auto">
                    <a:xfrm>
                      <a:off x="0" y="0"/>
                      <a:ext cx="5486400" cy="1664970"/>
                    </a:xfrm>
                    <a:prstGeom prst="rect">
                      <a:avLst/>
                    </a:prstGeom>
                    <a:noFill/>
                    <a:ln>
                      <a:noFill/>
                    </a:ln>
                  </pic:spPr>
                </pic:pic>
              </a:graphicData>
            </a:graphic>
          </wp:inline>
        </w:drawing>
      </w:r>
    </w:p>
    <w:p w14:paraId="516FFB43" w14:textId="77777777" w:rsidR="00280FA2" w:rsidRDefault="00280FA2" w:rsidP="00280FA2">
      <w:pPr>
        <w:tabs>
          <w:tab w:val="left" w:pos="-720"/>
          <w:tab w:val="left" w:pos="0"/>
          <w:tab w:val="left" w:pos="720"/>
        </w:tabs>
        <w:suppressAutoHyphens/>
        <w:spacing w:line="240" w:lineRule="atLeast"/>
        <w:ind w:left="1440" w:hanging="1440"/>
        <w:rPr>
          <w:spacing w:val="-3"/>
        </w:rPr>
      </w:pPr>
      <w:r>
        <w:rPr>
          <w:spacing w:val="-3"/>
        </w:rPr>
        <w:t xml:space="preserve">Figure  8.18 </w:t>
      </w:r>
      <w:r>
        <w:rPr>
          <w:spacing w:val="-3"/>
        </w:rPr>
        <w:tab/>
        <w:t>Possible morphologies of the solid-liquid interface and of the graphite in eutectic cast iron (Banerjee and Stefanescu [1991]).</w:t>
      </w:r>
    </w:p>
    <w:p w14:paraId="50070F6F" w14:textId="13B117DE" w:rsidR="00280FA2" w:rsidRDefault="00280FA2" w:rsidP="00280FA2">
      <w:pPr>
        <w:tabs>
          <w:tab w:val="left" w:pos="-720"/>
          <w:tab w:val="left" w:pos="0"/>
          <w:tab w:val="left" w:pos="720"/>
        </w:tabs>
        <w:suppressAutoHyphens/>
        <w:spacing w:line="240" w:lineRule="atLeast"/>
        <w:ind w:left="1440" w:hanging="1440"/>
        <w:jc w:val="center"/>
        <w:rPr>
          <w:spacing w:val="-3"/>
        </w:rPr>
      </w:pPr>
      <w:r>
        <w:rPr>
          <w:noProof/>
          <w:spacing w:val="-3"/>
        </w:rPr>
        <w:drawing>
          <wp:inline distT="0" distB="0" distL="0" distR="0" wp14:anchorId="3E55E0EA" wp14:editId="14E797A3">
            <wp:extent cx="2519045" cy="103505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1454">
                      <a:extLst>
                        <a:ext uri="{28A0092B-C50C-407E-A947-70E740481C1C}">
                          <a14:useLocalDpi xmlns:a14="http://schemas.microsoft.com/office/drawing/2010/main" val="0"/>
                        </a:ext>
                      </a:extLst>
                    </a:blip>
                    <a:srcRect/>
                    <a:stretch>
                      <a:fillRect/>
                    </a:stretch>
                  </pic:blipFill>
                  <pic:spPr bwMode="auto">
                    <a:xfrm>
                      <a:off x="0" y="0"/>
                      <a:ext cx="2519045" cy="1035050"/>
                    </a:xfrm>
                    <a:prstGeom prst="rect">
                      <a:avLst/>
                    </a:prstGeom>
                    <a:noFill/>
                    <a:ln>
                      <a:noFill/>
                    </a:ln>
                  </pic:spPr>
                </pic:pic>
              </a:graphicData>
            </a:graphic>
          </wp:inline>
        </w:drawing>
      </w:r>
      <w:r>
        <w:rPr>
          <w:spacing w:val="-3"/>
        </w:rPr>
        <w:t xml:space="preserve">  </w:t>
      </w:r>
      <w:r>
        <w:rPr>
          <w:noProof/>
          <w:spacing w:val="-3"/>
        </w:rPr>
        <w:drawing>
          <wp:inline distT="0" distB="0" distL="0" distR="0" wp14:anchorId="7FA233B1" wp14:editId="1C8DD5A0">
            <wp:extent cx="2553335" cy="103505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1455">
                      <a:extLst>
                        <a:ext uri="{28A0092B-C50C-407E-A947-70E740481C1C}">
                          <a14:useLocalDpi xmlns:a14="http://schemas.microsoft.com/office/drawing/2010/main" val="0"/>
                        </a:ext>
                      </a:extLst>
                    </a:blip>
                    <a:srcRect/>
                    <a:stretch>
                      <a:fillRect/>
                    </a:stretch>
                  </pic:blipFill>
                  <pic:spPr bwMode="auto">
                    <a:xfrm>
                      <a:off x="0" y="0"/>
                      <a:ext cx="2553335" cy="1035050"/>
                    </a:xfrm>
                    <a:prstGeom prst="rect">
                      <a:avLst/>
                    </a:prstGeom>
                    <a:noFill/>
                    <a:ln>
                      <a:noFill/>
                    </a:ln>
                  </pic:spPr>
                </pic:pic>
              </a:graphicData>
            </a:graphic>
          </wp:inline>
        </w:drawing>
      </w:r>
    </w:p>
    <w:p w14:paraId="39E7E3DA" w14:textId="77777777" w:rsidR="00280FA2" w:rsidRDefault="00280FA2" w:rsidP="00280FA2">
      <w:pPr>
        <w:tabs>
          <w:tab w:val="left" w:pos="-720"/>
          <w:tab w:val="left" w:pos="0"/>
          <w:tab w:val="left" w:pos="720"/>
        </w:tabs>
        <w:suppressAutoHyphens/>
        <w:spacing w:line="240" w:lineRule="atLeast"/>
        <w:ind w:left="1440" w:hanging="1440"/>
        <w:rPr>
          <w:spacing w:val="-3"/>
        </w:rPr>
      </w:pPr>
      <w:r>
        <w:rPr>
          <w:spacing w:val="-3"/>
        </w:rPr>
        <w:t xml:space="preserve">Figure  8.19 </w:t>
      </w:r>
      <w:r>
        <w:rPr>
          <w:spacing w:val="-3"/>
        </w:rPr>
        <w:tab/>
        <w:t>Maps of gray and white cast iron structural regions in a casting: a) experimental, b) calculated. (Upadhya et al. [1990]).</w:t>
      </w:r>
    </w:p>
    <w:p w14:paraId="101CE376" w14:textId="3F75BFC7" w:rsidR="00280FA2" w:rsidRDefault="00280FA2" w:rsidP="00280FA2">
      <w:pPr>
        <w:tabs>
          <w:tab w:val="left" w:pos="-720"/>
          <w:tab w:val="left" w:pos="0"/>
          <w:tab w:val="left" w:pos="720"/>
        </w:tabs>
        <w:suppressAutoHyphens/>
        <w:spacing w:line="240" w:lineRule="atLeast"/>
        <w:ind w:left="1440" w:hanging="1440"/>
        <w:jc w:val="center"/>
        <w:rPr>
          <w:spacing w:val="-3"/>
        </w:rPr>
      </w:pPr>
      <w:r>
        <w:rPr>
          <w:noProof/>
          <w:spacing w:val="-3"/>
        </w:rPr>
        <w:lastRenderedPageBreak/>
        <w:drawing>
          <wp:inline distT="0" distB="0" distL="0" distR="0" wp14:anchorId="0CA60078" wp14:editId="5AC31BD3">
            <wp:extent cx="4502785" cy="3580130"/>
            <wp:effectExtent l="0" t="0" r="0" b="127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1456" cstate="print">
                      <a:extLst>
                        <a:ext uri="{28A0092B-C50C-407E-A947-70E740481C1C}">
                          <a14:useLocalDpi xmlns:a14="http://schemas.microsoft.com/office/drawing/2010/main" val="0"/>
                        </a:ext>
                      </a:extLst>
                    </a:blip>
                    <a:srcRect/>
                    <a:stretch>
                      <a:fillRect/>
                    </a:stretch>
                  </pic:blipFill>
                  <pic:spPr bwMode="auto">
                    <a:xfrm>
                      <a:off x="0" y="0"/>
                      <a:ext cx="4502785" cy="3580130"/>
                    </a:xfrm>
                    <a:prstGeom prst="rect">
                      <a:avLst/>
                    </a:prstGeom>
                    <a:noFill/>
                    <a:ln>
                      <a:noFill/>
                    </a:ln>
                  </pic:spPr>
                </pic:pic>
              </a:graphicData>
            </a:graphic>
          </wp:inline>
        </w:drawing>
      </w:r>
    </w:p>
    <w:p w14:paraId="3F4EE15C" w14:textId="77777777" w:rsidR="00280FA2" w:rsidRDefault="00280FA2" w:rsidP="00280FA2">
      <w:pPr>
        <w:tabs>
          <w:tab w:val="left" w:pos="-720"/>
          <w:tab w:val="left" w:pos="0"/>
          <w:tab w:val="left" w:pos="720"/>
        </w:tabs>
        <w:suppressAutoHyphens/>
        <w:spacing w:line="240" w:lineRule="atLeast"/>
        <w:ind w:left="1440" w:hanging="1440"/>
        <w:rPr>
          <w:spacing w:val="-3"/>
        </w:rPr>
      </w:pPr>
      <w:r>
        <w:rPr>
          <w:spacing w:val="-3"/>
        </w:rPr>
        <w:t>Figure  8.20</w:t>
      </w:r>
      <w:r>
        <w:rPr>
          <w:spacing w:val="-3"/>
        </w:rPr>
        <w:tab/>
        <w:t>Al-In monotectic-type diagram (</w:t>
      </w:r>
      <w:smartTag w:uri="urn:schemas-microsoft-com:office:smarttags" w:element="place">
        <w:smartTag w:uri="urn:schemas-microsoft-com:office:smarttags" w:element="City">
          <w:r>
            <w:rPr>
              <w:spacing w:val="-3"/>
            </w:rPr>
            <w:t>MURRAY</w:t>
          </w:r>
        </w:smartTag>
      </w:smartTag>
      <w:r>
        <w:rPr>
          <w:spacing w:val="-3"/>
        </w:rPr>
        <w:t xml:space="preserve"> [1983b]).</w:t>
      </w:r>
    </w:p>
    <w:p w14:paraId="502868CD" w14:textId="3320564D" w:rsidR="00280FA2" w:rsidRDefault="00280FA2" w:rsidP="00280FA2">
      <w:pPr>
        <w:tabs>
          <w:tab w:val="left" w:pos="-720"/>
        </w:tabs>
        <w:suppressAutoHyphens/>
        <w:spacing w:line="240" w:lineRule="atLeast"/>
        <w:jc w:val="center"/>
        <w:rPr>
          <w:spacing w:val="-3"/>
        </w:rPr>
      </w:pPr>
      <w:r>
        <w:rPr>
          <w:noProof/>
          <w:spacing w:val="-3"/>
        </w:rPr>
        <w:drawing>
          <wp:inline distT="0" distB="0" distL="0" distR="0" wp14:anchorId="576CB61D" wp14:editId="6961749A">
            <wp:extent cx="4744720" cy="1708150"/>
            <wp:effectExtent l="0" t="0" r="0" b="635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1457" cstate="print">
                      <a:extLst>
                        <a:ext uri="{28A0092B-C50C-407E-A947-70E740481C1C}">
                          <a14:useLocalDpi xmlns:a14="http://schemas.microsoft.com/office/drawing/2010/main" val="0"/>
                        </a:ext>
                      </a:extLst>
                    </a:blip>
                    <a:srcRect/>
                    <a:stretch>
                      <a:fillRect/>
                    </a:stretch>
                  </pic:blipFill>
                  <pic:spPr bwMode="auto">
                    <a:xfrm>
                      <a:off x="0" y="0"/>
                      <a:ext cx="4744720" cy="1708150"/>
                    </a:xfrm>
                    <a:prstGeom prst="rect">
                      <a:avLst/>
                    </a:prstGeom>
                    <a:noFill/>
                    <a:ln>
                      <a:noFill/>
                    </a:ln>
                  </pic:spPr>
                </pic:pic>
              </a:graphicData>
            </a:graphic>
          </wp:inline>
        </w:drawing>
      </w:r>
    </w:p>
    <w:p w14:paraId="39496D45" w14:textId="77777777" w:rsidR="00280FA2" w:rsidRDefault="00280FA2" w:rsidP="00280FA2">
      <w:pPr>
        <w:tabs>
          <w:tab w:val="left" w:pos="-720"/>
          <w:tab w:val="left" w:pos="0"/>
          <w:tab w:val="left" w:pos="720"/>
        </w:tabs>
        <w:suppressAutoHyphens/>
        <w:spacing w:line="240" w:lineRule="atLeast"/>
        <w:ind w:left="1440" w:hanging="1440"/>
        <w:rPr>
          <w:spacing w:val="-3"/>
        </w:rPr>
      </w:pPr>
      <w:r>
        <w:rPr>
          <w:spacing w:val="-3"/>
        </w:rPr>
        <w:t xml:space="preserve">Figure  8.21 </w:t>
      </w:r>
      <w:r>
        <w:rPr>
          <w:spacing w:val="-3"/>
        </w:rPr>
        <w:tab/>
        <w:t xml:space="preserve">Schematic sequence to show liquid particle pushing, growth,  and engulfment during irregular monotectic growth (GRUGEL </w:t>
      </w:r>
      <w:r>
        <w:rPr>
          <w:i/>
          <w:iCs/>
          <w:spacing w:val="-3"/>
        </w:rPr>
        <w:t>et al.</w:t>
      </w:r>
      <w:r>
        <w:rPr>
          <w:spacing w:val="-3"/>
        </w:rPr>
        <w:t xml:space="preserve"> [1984]).</w:t>
      </w:r>
    </w:p>
    <w:p w14:paraId="50F1C004" w14:textId="35C126AC" w:rsidR="00280FA2" w:rsidRDefault="00280FA2" w:rsidP="00280FA2">
      <w:pPr>
        <w:tabs>
          <w:tab w:val="left" w:pos="-720"/>
        </w:tabs>
        <w:suppressAutoHyphens/>
        <w:spacing w:line="240" w:lineRule="atLeast"/>
        <w:jc w:val="center"/>
        <w:rPr>
          <w:spacing w:val="-3"/>
        </w:rPr>
      </w:pPr>
      <w:r>
        <w:rPr>
          <w:noProof/>
          <w:spacing w:val="-3"/>
        </w:rPr>
        <w:lastRenderedPageBreak/>
        <w:drawing>
          <wp:inline distT="0" distB="0" distL="0" distR="0" wp14:anchorId="00934B0F" wp14:editId="7C9B3587">
            <wp:extent cx="4658360" cy="2639695"/>
            <wp:effectExtent l="0" t="0" r="8890" b="825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1458" cstate="print">
                      <a:extLst>
                        <a:ext uri="{28A0092B-C50C-407E-A947-70E740481C1C}">
                          <a14:useLocalDpi xmlns:a14="http://schemas.microsoft.com/office/drawing/2010/main" val="0"/>
                        </a:ext>
                      </a:extLst>
                    </a:blip>
                    <a:srcRect/>
                    <a:stretch>
                      <a:fillRect/>
                    </a:stretch>
                  </pic:blipFill>
                  <pic:spPr bwMode="auto">
                    <a:xfrm>
                      <a:off x="0" y="0"/>
                      <a:ext cx="4658360" cy="2639695"/>
                    </a:xfrm>
                    <a:prstGeom prst="rect">
                      <a:avLst/>
                    </a:prstGeom>
                    <a:noFill/>
                    <a:ln>
                      <a:noFill/>
                    </a:ln>
                  </pic:spPr>
                </pic:pic>
              </a:graphicData>
            </a:graphic>
          </wp:inline>
        </w:drawing>
      </w:r>
    </w:p>
    <w:p w14:paraId="65602C06" w14:textId="77777777" w:rsidR="00280FA2" w:rsidRDefault="00280FA2" w:rsidP="00280FA2">
      <w:pPr>
        <w:tabs>
          <w:tab w:val="left" w:pos="-720"/>
          <w:tab w:val="left" w:pos="0"/>
          <w:tab w:val="left" w:pos="720"/>
        </w:tabs>
        <w:suppressAutoHyphens/>
        <w:spacing w:line="240" w:lineRule="atLeast"/>
        <w:ind w:left="1440" w:hanging="1440"/>
        <w:rPr>
          <w:spacing w:val="-3"/>
        </w:rPr>
      </w:pPr>
      <w:r>
        <w:rPr>
          <w:spacing w:val="-3"/>
        </w:rPr>
        <w:t>Figure  8.22</w:t>
      </w:r>
      <w:r>
        <w:rPr>
          <w:spacing w:val="-3"/>
        </w:rPr>
        <w:tab/>
        <w:t>(a) Pb-Bi peritectic phase diagram. (b) Concentration (% Bi) in the solid according to a Scheil model of solidification (FLEMINGS [1974]).</w:t>
      </w:r>
    </w:p>
    <w:p w14:paraId="3585C277" w14:textId="0A698FA9" w:rsidR="00280FA2" w:rsidRDefault="00280FA2" w:rsidP="00280FA2">
      <w:pPr>
        <w:tabs>
          <w:tab w:val="left" w:pos="-720"/>
        </w:tabs>
        <w:suppressAutoHyphens/>
        <w:spacing w:line="240" w:lineRule="atLeast"/>
        <w:jc w:val="center"/>
        <w:rPr>
          <w:spacing w:val="-3"/>
        </w:rPr>
      </w:pPr>
      <w:r>
        <w:rPr>
          <w:noProof/>
          <w:spacing w:val="-3"/>
        </w:rPr>
        <w:drawing>
          <wp:inline distT="0" distB="0" distL="0" distR="0" wp14:anchorId="2DB32DBB" wp14:editId="321C23EE">
            <wp:extent cx="3053715" cy="310578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1459" cstate="print">
                      <a:extLst>
                        <a:ext uri="{28A0092B-C50C-407E-A947-70E740481C1C}">
                          <a14:useLocalDpi xmlns:a14="http://schemas.microsoft.com/office/drawing/2010/main" val="0"/>
                        </a:ext>
                      </a:extLst>
                    </a:blip>
                    <a:srcRect/>
                    <a:stretch>
                      <a:fillRect/>
                    </a:stretch>
                  </pic:blipFill>
                  <pic:spPr bwMode="auto">
                    <a:xfrm>
                      <a:off x="0" y="0"/>
                      <a:ext cx="3053715" cy="3105785"/>
                    </a:xfrm>
                    <a:prstGeom prst="rect">
                      <a:avLst/>
                    </a:prstGeom>
                    <a:noFill/>
                    <a:ln>
                      <a:noFill/>
                    </a:ln>
                  </pic:spPr>
                </pic:pic>
              </a:graphicData>
            </a:graphic>
          </wp:inline>
        </w:drawing>
      </w:r>
    </w:p>
    <w:p w14:paraId="6782125D" w14:textId="77777777" w:rsidR="00280FA2" w:rsidRDefault="00280FA2" w:rsidP="00280FA2">
      <w:pPr>
        <w:tabs>
          <w:tab w:val="left" w:pos="-720"/>
          <w:tab w:val="left" w:pos="0"/>
          <w:tab w:val="left" w:pos="720"/>
        </w:tabs>
        <w:suppressAutoHyphens/>
        <w:spacing w:line="240" w:lineRule="atLeast"/>
        <w:ind w:left="1440" w:hanging="1440"/>
        <w:rPr>
          <w:spacing w:val="-3"/>
        </w:rPr>
      </w:pPr>
      <w:r>
        <w:rPr>
          <w:spacing w:val="-3"/>
        </w:rPr>
        <w:t>Figure  8.23</w:t>
      </w:r>
      <w:r>
        <w:rPr>
          <w:spacing w:val="-3"/>
        </w:rPr>
        <w:tab/>
        <w:t>Peritectic reaction and peritectic transformation.  (a) in the peritectic reaction a second solid phase,</w:t>
      </w:r>
      <w:r>
        <w:rPr>
          <w:i/>
          <w:iCs/>
          <w:spacing w:val="-3"/>
        </w:rPr>
        <w:t xml:space="preserve"> β</w:t>
      </w:r>
      <w:r>
        <w:rPr>
          <w:spacing w:val="-3"/>
        </w:rPr>
        <w:t xml:space="preserve">, grows along the surface of the primary phase </w:t>
      </w:r>
      <w:r>
        <w:rPr>
          <w:i/>
          <w:iCs/>
          <w:spacing w:val="-3"/>
        </w:rPr>
        <w:t>α</w:t>
      </w:r>
      <w:r>
        <w:rPr>
          <w:spacing w:val="-3"/>
        </w:rPr>
        <w:t xml:space="preserve">  by diffusion through the liquid. (b) In the peritectic transformation, diffusion of B atoms through the already formed solid phase</w:t>
      </w:r>
      <w:r>
        <w:rPr>
          <w:i/>
          <w:iCs/>
          <w:spacing w:val="-3"/>
        </w:rPr>
        <w:t xml:space="preserve"> β</w:t>
      </w:r>
      <w:r>
        <w:rPr>
          <w:spacing w:val="-3"/>
        </w:rPr>
        <w:t xml:space="preserve"> occurs (HILLERT [1979]).</w:t>
      </w:r>
    </w:p>
    <w:p w14:paraId="04077067" w14:textId="749B0985" w:rsidR="00280FA2" w:rsidRDefault="00280FA2" w:rsidP="00280FA2">
      <w:pPr>
        <w:tabs>
          <w:tab w:val="left" w:pos="-720"/>
          <w:tab w:val="left" w:pos="0"/>
          <w:tab w:val="left" w:pos="720"/>
        </w:tabs>
        <w:suppressAutoHyphens/>
        <w:spacing w:line="240" w:lineRule="atLeast"/>
        <w:ind w:left="1440" w:hanging="1440"/>
        <w:jc w:val="center"/>
        <w:rPr>
          <w:spacing w:val="-3"/>
        </w:rPr>
      </w:pPr>
      <w:r>
        <w:rPr>
          <w:noProof/>
          <w:spacing w:val="-3"/>
        </w:rPr>
        <w:lastRenderedPageBreak/>
        <w:drawing>
          <wp:inline distT="0" distB="0" distL="0" distR="0" wp14:anchorId="4DEE2A03" wp14:editId="6B674A52">
            <wp:extent cx="5486400" cy="4015105"/>
            <wp:effectExtent l="0" t="0" r="0" b="444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1460">
                      <a:extLst>
                        <a:ext uri="{28A0092B-C50C-407E-A947-70E740481C1C}">
                          <a14:useLocalDpi xmlns:a14="http://schemas.microsoft.com/office/drawing/2010/main" val="0"/>
                        </a:ext>
                      </a:extLst>
                    </a:blip>
                    <a:srcRect/>
                    <a:stretch>
                      <a:fillRect/>
                    </a:stretch>
                  </pic:blipFill>
                  <pic:spPr bwMode="auto">
                    <a:xfrm>
                      <a:off x="0" y="0"/>
                      <a:ext cx="5486400" cy="4015105"/>
                    </a:xfrm>
                    <a:prstGeom prst="rect">
                      <a:avLst/>
                    </a:prstGeom>
                    <a:noFill/>
                    <a:ln>
                      <a:noFill/>
                    </a:ln>
                  </pic:spPr>
                </pic:pic>
              </a:graphicData>
            </a:graphic>
          </wp:inline>
        </w:drawing>
      </w:r>
    </w:p>
    <w:p w14:paraId="2C6FC123" w14:textId="77777777" w:rsidR="00280FA2" w:rsidRDefault="00280FA2" w:rsidP="00280FA2">
      <w:pPr>
        <w:tabs>
          <w:tab w:val="left" w:pos="-720"/>
          <w:tab w:val="left" w:pos="0"/>
          <w:tab w:val="left" w:pos="720"/>
        </w:tabs>
        <w:suppressAutoHyphens/>
        <w:spacing w:line="240" w:lineRule="atLeast"/>
        <w:ind w:left="1440" w:hanging="1440"/>
        <w:rPr>
          <w:spacing w:val="-3"/>
        </w:rPr>
      </w:pPr>
      <w:r>
        <w:rPr>
          <w:spacing w:val="-3"/>
        </w:rPr>
        <w:t>Figure  8.24</w:t>
      </w:r>
      <w:r>
        <w:rPr>
          <w:spacing w:val="-3"/>
        </w:rPr>
        <w:tab/>
        <w:t xml:space="preserve">Phase field  simulation of </w:t>
      </w:r>
      <w:r w:rsidRPr="008313A7">
        <w:rPr>
          <w:spacing w:val="-3"/>
        </w:rPr>
        <w:t>Solidification of Fe</w:t>
      </w:r>
      <w:r>
        <w:rPr>
          <w:spacing w:val="-3"/>
        </w:rPr>
        <w:t xml:space="preserve"> -</w:t>
      </w:r>
      <w:r w:rsidRPr="008313A7">
        <w:rPr>
          <w:spacing w:val="-3"/>
        </w:rPr>
        <w:t>1 at.%</w:t>
      </w:r>
      <w:r w:rsidRPr="00645439">
        <w:rPr>
          <w:spacing w:val="-3"/>
        </w:rPr>
        <w:t xml:space="preserve"> </w:t>
      </w:r>
      <w:r w:rsidRPr="008313A7">
        <w:rPr>
          <w:spacing w:val="-3"/>
        </w:rPr>
        <w:t xml:space="preserve">C </w:t>
      </w:r>
      <w:r>
        <w:rPr>
          <w:spacing w:val="-3"/>
        </w:rPr>
        <w:t xml:space="preserve">- </w:t>
      </w:r>
      <w:r w:rsidRPr="008313A7">
        <w:rPr>
          <w:spacing w:val="-3"/>
        </w:rPr>
        <w:t>1 at.%</w:t>
      </w:r>
      <w:r w:rsidRPr="00645439">
        <w:rPr>
          <w:spacing w:val="-3"/>
        </w:rPr>
        <w:t xml:space="preserve"> </w:t>
      </w:r>
      <w:r w:rsidRPr="008313A7">
        <w:rPr>
          <w:spacing w:val="-3"/>
        </w:rPr>
        <w:t>Mn at a cooling rate of 1 K</w:t>
      </w:r>
      <w:r>
        <w:rPr>
          <w:spacing w:val="-3"/>
        </w:rPr>
        <w:t>s</w:t>
      </w:r>
      <w:r w:rsidRPr="00645439">
        <w:rPr>
          <w:spacing w:val="-3"/>
          <w:vertAlign w:val="superscript"/>
        </w:rPr>
        <w:t>-1</w:t>
      </w:r>
      <w:r w:rsidRPr="008313A7">
        <w:rPr>
          <w:spacing w:val="-3"/>
        </w:rPr>
        <w:t xml:space="preserve"> in a temperature gradient of 2</w:t>
      </w:r>
      <w:r>
        <w:rPr>
          <w:spacing w:val="-3"/>
        </w:rPr>
        <w:t xml:space="preserve"> x</w:t>
      </w:r>
      <w:r w:rsidRPr="008313A7">
        <w:rPr>
          <w:spacing w:val="-3"/>
        </w:rPr>
        <w:t>10</w:t>
      </w:r>
      <w:r>
        <w:rPr>
          <w:spacing w:val="-3"/>
          <w:vertAlign w:val="superscript"/>
        </w:rPr>
        <w:t>4</w:t>
      </w:r>
      <w:r w:rsidRPr="008313A7">
        <w:rPr>
          <w:spacing w:val="-3"/>
        </w:rPr>
        <w:t xml:space="preserve"> K</w:t>
      </w:r>
      <w:r>
        <w:rPr>
          <w:spacing w:val="-3"/>
        </w:rPr>
        <w:t>m</w:t>
      </w:r>
      <w:r w:rsidRPr="00645439">
        <w:rPr>
          <w:spacing w:val="-3"/>
          <w:vertAlign w:val="superscript"/>
        </w:rPr>
        <w:t>-1</w:t>
      </w:r>
      <w:r>
        <w:rPr>
          <w:spacing w:val="-3"/>
        </w:rPr>
        <w:t xml:space="preserve"> </w:t>
      </w:r>
      <w:r w:rsidRPr="008313A7">
        <w:rPr>
          <w:spacing w:val="-3"/>
        </w:rPr>
        <w:t>Shown are the composition maps of carbon and manganese in atom fractions as well as the phase map</w:t>
      </w:r>
      <w:r>
        <w:rPr>
          <w:spacing w:val="-3"/>
        </w:rPr>
        <w:t xml:space="preserve"> (Hecht et al. [2004]).</w:t>
      </w:r>
    </w:p>
    <w:p w14:paraId="56512B83" w14:textId="65148183" w:rsidR="00280FA2" w:rsidRDefault="00280FA2" w:rsidP="00280FA2">
      <w:pPr>
        <w:tabs>
          <w:tab w:val="left" w:pos="-720"/>
        </w:tabs>
        <w:suppressAutoHyphens/>
        <w:spacing w:line="240" w:lineRule="atLeast"/>
        <w:jc w:val="center"/>
        <w:rPr>
          <w:spacing w:val="-3"/>
        </w:rPr>
      </w:pPr>
      <w:r>
        <w:rPr>
          <w:noProof/>
          <w:spacing w:val="-3"/>
        </w:rPr>
        <w:drawing>
          <wp:inline distT="0" distB="0" distL="0" distR="0" wp14:anchorId="44CE9A95" wp14:editId="3D0CE0E2">
            <wp:extent cx="2389505" cy="2466975"/>
            <wp:effectExtent l="0" t="0" r="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1461" cstate="print">
                      <a:extLst>
                        <a:ext uri="{28A0092B-C50C-407E-A947-70E740481C1C}">
                          <a14:useLocalDpi xmlns:a14="http://schemas.microsoft.com/office/drawing/2010/main" val="0"/>
                        </a:ext>
                      </a:extLst>
                    </a:blip>
                    <a:srcRect/>
                    <a:stretch>
                      <a:fillRect/>
                    </a:stretch>
                  </pic:blipFill>
                  <pic:spPr bwMode="auto">
                    <a:xfrm>
                      <a:off x="0" y="0"/>
                      <a:ext cx="2389505" cy="2466975"/>
                    </a:xfrm>
                    <a:prstGeom prst="rect">
                      <a:avLst/>
                    </a:prstGeom>
                    <a:noFill/>
                    <a:ln>
                      <a:noFill/>
                    </a:ln>
                  </pic:spPr>
                </pic:pic>
              </a:graphicData>
            </a:graphic>
          </wp:inline>
        </w:drawing>
      </w:r>
    </w:p>
    <w:p w14:paraId="02FF2B97" w14:textId="77777777" w:rsidR="00280FA2" w:rsidRDefault="00280FA2" w:rsidP="00280FA2">
      <w:pPr>
        <w:tabs>
          <w:tab w:val="left" w:pos="-720"/>
          <w:tab w:val="left" w:pos="0"/>
          <w:tab w:val="left" w:pos="720"/>
        </w:tabs>
        <w:suppressAutoHyphens/>
        <w:spacing w:line="240" w:lineRule="atLeast"/>
        <w:ind w:left="1440" w:hanging="1440"/>
        <w:rPr>
          <w:spacing w:val="-3"/>
        </w:rPr>
      </w:pPr>
      <w:r>
        <w:rPr>
          <w:spacing w:val="-3"/>
        </w:rPr>
        <w:t>Figure 8.25</w:t>
      </w:r>
      <w:r>
        <w:rPr>
          <w:spacing w:val="-3"/>
        </w:rPr>
        <w:tab/>
        <w:t xml:space="preserve">Peritectic phase diagram with metastable extensions of </w:t>
      </w:r>
      <w:r>
        <w:rPr>
          <w:i/>
          <w:iCs/>
          <w:spacing w:val="-3"/>
        </w:rPr>
        <w:t>α</w:t>
      </w:r>
      <w:r>
        <w:rPr>
          <w:spacing w:val="-3"/>
        </w:rPr>
        <w:t xml:space="preserve"> and</w:t>
      </w:r>
      <w:r>
        <w:rPr>
          <w:i/>
          <w:iCs/>
          <w:spacing w:val="-3"/>
        </w:rPr>
        <w:t xml:space="preserve"> β</w:t>
      </w:r>
      <w:r>
        <w:rPr>
          <w:spacing w:val="-3"/>
        </w:rPr>
        <w:t xml:space="preserve"> liquidus and solidus curves below and above the peritectic temperature respectively. For an alloy of the composition of the vertical line, planar steady-state growth of either </w:t>
      </w:r>
      <w:r>
        <w:rPr>
          <w:i/>
          <w:iCs/>
          <w:spacing w:val="-3"/>
        </w:rPr>
        <w:t>α</w:t>
      </w:r>
      <w:r>
        <w:rPr>
          <w:spacing w:val="-3"/>
        </w:rPr>
        <w:t xml:space="preserve"> or </w:t>
      </w:r>
      <w:r>
        <w:rPr>
          <w:i/>
          <w:iCs/>
          <w:spacing w:val="-3"/>
        </w:rPr>
        <w:t xml:space="preserve">β </w:t>
      </w:r>
      <w:r>
        <w:rPr>
          <w:spacing w:val="-3"/>
        </w:rPr>
        <w:t xml:space="preserve">is possible at the temperatures </w:t>
      </w:r>
      <w:r>
        <w:rPr>
          <w:i/>
          <w:iCs/>
          <w:spacing w:val="-3"/>
        </w:rPr>
        <w:t>T</w:t>
      </w:r>
      <w:r>
        <w:rPr>
          <w:spacing w:val="-3"/>
          <w:vertAlign w:val="subscript"/>
        </w:rPr>
        <w:t>1</w:t>
      </w:r>
      <w:r>
        <w:rPr>
          <w:spacing w:val="-3"/>
        </w:rPr>
        <w:t xml:space="preserve"> and</w:t>
      </w:r>
      <w:r>
        <w:rPr>
          <w:i/>
          <w:iCs/>
          <w:spacing w:val="-3"/>
        </w:rPr>
        <w:t xml:space="preserve"> T</w:t>
      </w:r>
      <w:r>
        <w:rPr>
          <w:spacing w:val="-3"/>
          <w:vertAlign w:val="subscript"/>
        </w:rPr>
        <w:t>2</w:t>
      </w:r>
      <w:r>
        <w:rPr>
          <w:spacing w:val="-3"/>
        </w:rPr>
        <w:t xml:space="preserve"> respectively (HILLERT [1979]).</w:t>
      </w:r>
    </w:p>
    <w:p w14:paraId="12380205" w14:textId="77777777" w:rsidR="00280FA2" w:rsidRDefault="00280FA2" w:rsidP="00280FA2">
      <w:pPr>
        <w:tabs>
          <w:tab w:val="left" w:pos="-720"/>
        </w:tabs>
        <w:suppressAutoHyphens/>
        <w:spacing w:line="240" w:lineRule="atLeast"/>
        <w:rPr>
          <w:spacing w:val="-3"/>
        </w:rPr>
      </w:pPr>
    </w:p>
    <w:p w14:paraId="09B23C35" w14:textId="77777777" w:rsidR="00280FA2" w:rsidRDefault="00280FA2" w:rsidP="00280FA2">
      <w:pPr>
        <w:tabs>
          <w:tab w:val="left" w:pos="-720"/>
        </w:tabs>
        <w:suppressAutoHyphens/>
        <w:spacing w:line="240" w:lineRule="atLeast"/>
        <w:rPr>
          <w:spacing w:val="-3"/>
        </w:rPr>
      </w:pPr>
    </w:p>
    <w:p w14:paraId="15BC8530" w14:textId="77777777" w:rsidR="00280FA2" w:rsidRDefault="00280FA2" w:rsidP="00280FA2">
      <w:pPr>
        <w:tabs>
          <w:tab w:val="left" w:pos="-720"/>
        </w:tabs>
        <w:suppressAutoHyphens/>
        <w:spacing w:line="240" w:lineRule="atLeast"/>
        <w:rPr>
          <w:spacing w:val="-3"/>
        </w:rPr>
      </w:pPr>
      <w:r>
        <w:rPr>
          <w:b/>
          <w:bCs/>
          <w:i/>
          <w:iCs/>
          <w:spacing w:val="-3"/>
        </w:rPr>
        <w:t>SECTION 9</w:t>
      </w:r>
    </w:p>
    <w:p w14:paraId="7C4E444C" w14:textId="6BF8280D" w:rsidR="00280FA2" w:rsidRDefault="00280FA2" w:rsidP="00280FA2">
      <w:pPr>
        <w:tabs>
          <w:tab w:val="left" w:pos="-720"/>
        </w:tabs>
        <w:suppressAutoHyphens/>
        <w:spacing w:line="240" w:lineRule="atLeast"/>
        <w:jc w:val="center"/>
        <w:rPr>
          <w:spacing w:val="-3"/>
        </w:rPr>
      </w:pPr>
      <w:r>
        <w:rPr>
          <w:noProof/>
          <w:spacing w:val="-3"/>
        </w:rPr>
        <w:drawing>
          <wp:inline distT="0" distB="0" distL="0" distR="0" wp14:anchorId="450D0E0F" wp14:editId="7E8485C5">
            <wp:extent cx="4459605" cy="3191510"/>
            <wp:effectExtent l="0" t="0" r="0" b="889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1462" cstate="print">
                      <a:extLst>
                        <a:ext uri="{28A0092B-C50C-407E-A947-70E740481C1C}">
                          <a14:useLocalDpi xmlns:a14="http://schemas.microsoft.com/office/drawing/2010/main" val="0"/>
                        </a:ext>
                      </a:extLst>
                    </a:blip>
                    <a:srcRect/>
                    <a:stretch>
                      <a:fillRect/>
                    </a:stretch>
                  </pic:blipFill>
                  <pic:spPr bwMode="auto">
                    <a:xfrm>
                      <a:off x="0" y="0"/>
                      <a:ext cx="4459605" cy="3191510"/>
                    </a:xfrm>
                    <a:prstGeom prst="rect">
                      <a:avLst/>
                    </a:prstGeom>
                    <a:noFill/>
                    <a:ln>
                      <a:noFill/>
                    </a:ln>
                  </pic:spPr>
                </pic:pic>
              </a:graphicData>
            </a:graphic>
          </wp:inline>
        </w:drawing>
      </w:r>
    </w:p>
    <w:p w14:paraId="619F0AD9" w14:textId="64D0607F" w:rsidR="00280FA2" w:rsidRDefault="00280FA2" w:rsidP="00280FA2">
      <w:pPr>
        <w:tabs>
          <w:tab w:val="left" w:pos="-720"/>
          <w:tab w:val="left" w:pos="0"/>
          <w:tab w:val="left" w:pos="720"/>
        </w:tabs>
        <w:suppressAutoHyphens/>
        <w:spacing w:line="240" w:lineRule="atLeast"/>
        <w:ind w:left="1440" w:hanging="1440"/>
        <w:rPr>
          <w:spacing w:val="-3"/>
        </w:rPr>
      </w:pPr>
      <w:r>
        <w:rPr>
          <w:spacing w:val="-3"/>
        </w:rPr>
        <w:t xml:space="preserve">Figure 9.1 a) Al - 1% Cu cast in a cold copper </w:t>
      </w:r>
      <w:r w:rsidR="00CD7156">
        <w:rPr>
          <w:spacing w:val="-3"/>
        </w:rPr>
        <w:t>mold</w:t>
      </w:r>
      <w:r>
        <w:rPr>
          <w:spacing w:val="-3"/>
        </w:rPr>
        <w:t xml:space="preserve"> coated with lamp black, except in the area of the cross b) Substructure corresponding to the uncoated region of a). Each grain has a predendritic region as origin. c) Substructure corresponding to the coated region; notice the "cells", probably produced by a multiplication mechanism, as origin of the dendrites (BILONI [1980]).</w:t>
      </w:r>
    </w:p>
    <w:p w14:paraId="2D700EC2" w14:textId="048A052B" w:rsidR="00280FA2" w:rsidRDefault="00280FA2" w:rsidP="00280FA2">
      <w:pPr>
        <w:tabs>
          <w:tab w:val="left" w:pos="-720"/>
        </w:tabs>
        <w:suppressAutoHyphens/>
        <w:spacing w:line="240" w:lineRule="atLeast"/>
        <w:jc w:val="center"/>
        <w:rPr>
          <w:spacing w:val="-3"/>
        </w:rPr>
      </w:pPr>
      <w:r>
        <w:rPr>
          <w:noProof/>
          <w:spacing w:val="-3"/>
        </w:rPr>
        <w:drawing>
          <wp:inline distT="0" distB="0" distL="0" distR="0" wp14:anchorId="20E13DAD" wp14:editId="1EFD8282">
            <wp:extent cx="3977005" cy="2078990"/>
            <wp:effectExtent l="0" t="0" r="444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1463" cstate="print">
                      <a:extLst>
                        <a:ext uri="{28A0092B-C50C-407E-A947-70E740481C1C}">
                          <a14:useLocalDpi xmlns:a14="http://schemas.microsoft.com/office/drawing/2010/main" val="0"/>
                        </a:ext>
                      </a:extLst>
                    </a:blip>
                    <a:srcRect/>
                    <a:stretch>
                      <a:fillRect/>
                    </a:stretch>
                  </pic:blipFill>
                  <pic:spPr bwMode="auto">
                    <a:xfrm>
                      <a:off x="0" y="0"/>
                      <a:ext cx="3977005" cy="2078990"/>
                    </a:xfrm>
                    <a:prstGeom prst="rect">
                      <a:avLst/>
                    </a:prstGeom>
                    <a:noFill/>
                    <a:ln>
                      <a:noFill/>
                    </a:ln>
                  </pic:spPr>
                </pic:pic>
              </a:graphicData>
            </a:graphic>
          </wp:inline>
        </w:drawing>
      </w:r>
    </w:p>
    <w:p w14:paraId="3EF2FFD8" w14:textId="52577D96" w:rsidR="00280FA2" w:rsidRDefault="00280FA2" w:rsidP="00280FA2">
      <w:pPr>
        <w:tabs>
          <w:tab w:val="left" w:pos="-720"/>
          <w:tab w:val="left" w:pos="0"/>
          <w:tab w:val="left" w:pos="720"/>
        </w:tabs>
        <w:suppressAutoHyphens/>
        <w:spacing w:line="240" w:lineRule="atLeast"/>
        <w:ind w:left="1440" w:hanging="1440"/>
        <w:rPr>
          <w:spacing w:val="-3"/>
        </w:rPr>
      </w:pPr>
      <w:r>
        <w:rPr>
          <w:spacing w:val="-3"/>
        </w:rPr>
        <w:t>Figure 9.2</w:t>
      </w:r>
      <w:r>
        <w:rPr>
          <w:spacing w:val="-3"/>
        </w:rPr>
        <w:tab/>
        <w:t xml:space="preserve">Longitudinal section of an ingot poured from the bottom, after macroetch. The difference in grain size is due to </w:t>
      </w:r>
      <w:r w:rsidR="00CD7156">
        <w:rPr>
          <w:spacing w:val="-3"/>
        </w:rPr>
        <w:t>mold</w:t>
      </w:r>
      <w:r>
        <w:rPr>
          <w:spacing w:val="-3"/>
        </w:rPr>
        <w:t xml:space="preserve"> walls with different microgeometries. The small columnar grains start at the asperities of an alumina </w:t>
      </w:r>
      <w:r w:rsidR="00CD7156">
        <w:rPr>
          <w:spacing w:val="-3"/>
        </w:rPr>
        <w:t>mold</w:t>
      </w:r>
      <w:r>
        <w:rPr>
          <w:spacing w:val="-3"/>
        </w:rPr>
        <w:t xml:space="preserve"> coating presenting a controlled microgeometry; the very large grain started from a wall coated with a very smooth film of lamp black (MORALES </w:t>
      </w:r>
      <w:r>
        <w:rPr>
          <w:i/>
          <w:iCs/>
          <w:spacing w:val="-3"/>
        </w:rPr>
        <w:t>et al.</w:t>
      </w:r>
      <w:r>
        <w:rPr>
          <w:spacing w:val="-3"/>
        </w:rPr>
        <w:t xml:space="preserve"> [1979]).</w:t>
      </w:r>
    </w:p>
    <w:p w14:paraId="0B4DD35E" w14:textId="77777777" w:rsidR="00280FA2" w:rsidRDefault="00280FA2" w:rsidP="00280FA2">
      <w:pPr>
        <w:tabs>
          <w:tab w:val="left" w:pos="-720"/>
          <w:tab w:val="left" w:pos="0"/>
          <w:tab w:val="left" w:pos="720"/>
        </w:tabs>
        <w:suppressAutoHyphens/>
        <w:spacing w:line="240" w:lineRule="atLeast"/>
        <w:ind w:left="1440" w:hanging="1440"/>
        <w:rPr>
          <w:spacing w:val="-3"/>
        </w:rPr>
      </w:pPr>
    </w:p>
    <w:p w14:paraId="43B28514" w14:textId="77777777" w:rsidR="00280FA2" w:rsidRDefault="00280FA2" w:rsidP="00280FA2">
      <w:pPr>
        <w:tabs>
          <w:tab w:val="left" w:pos="-720"/>
          <w:tab w:val="left" w:pos="0"/>
          <w:tab w:val="left" w:pos="720"/>
        </w:tabs>
        <w:suppressAutoHyphens/>
        <w:spacing w:line="240" w:lineRule="atLeast"/>
        <w:ind w:left="1440" w:hanging="1440"/>
        <w:rPr>
          <w:spacing w:val="-3"/>
        </w:rPr>
      </w:pPr>
    </w:p>
    <w:p w14:paraId="32A8387E" w14:textId="1D27B8A1" w:rsidR="00280FA2" w:rsidRDefault="00280FA2" w:rsidP="00280FA2">
      <w:pPr>
        <w:tabs>
          <w:tab w:val="left" w:pos="-720"/>
          <w:tab w:val="left" w:pos="0"/>
          <w:tab w:val="left" w:pos="720"/>
        </w:tabs>
        <w:suppressAutoHyphens/>
        <w:spacing w:line="240" w:lineRule="atLeast"/>
        <w:ind w:left="1440" w:hanging="1440"/>
        <w:jc w:val="center"/>
        <w:rPr>
          <w:spacing w:val="-3"/>
        </w:rPr>
      </w:pPr>
      <w:r>
        <w:rPr>
          <w:noProof/>
          <w:spacing w:val="-3"/>
        </w:rPr>
        <w:lastRenderedPageBreak/>
        <w:drawing>
          <wp:inline distT="0" distB="0" distL="0" distR="0" wp14:anchorId="7C07E2B9" wp14:editId="26C2ECA7">
            <wp:extent cx="4641215" cy="3269615"/>
            <wp:effectExtent l="0" t="0" r="6985" b="698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1464" cstate="print">
                      <a:extLst>
                        <a:ext uri="{28A0092B-C50C-407E-A947-70E740481C1C}">
                          <a14:useLocalDpi xmlns:a14="http://schemas.microsoft.com/office/drawing/2010/main" val="0"/>
                        </a:ext>
                      </a:extLst>
                    </a:blip>
                    <a:srcRect/>
                    <a:stretch>
                      <a:fillRect/>
                    </a:stretch>
                  </pic:blipFill>
                  <pic:spPr bwMode="auto">
                    <a:xfrm>
                      <a:off x="0" y="0"/>
                      <a:ext cx="4641215" cy="3269615"/>
                    </a:xfrm>
                    <a:prstGeom prst="rect">
                      <a:avLst/>
                    </a:prstGeom>
                    <a:noFill/>
                    <a:ln>
                      <a:noFill/>
                    </a:ln>
                  </pic:spPr>
                </pic:pic>
              </a:graphicData>
            </a:graphic>
          </wp:inline>
        </w:drawing>
      </w:r>
    </w:p>
    <w:p w14:paraId="7A8C06A6" w14:textId="77777777" w:rsidR="00280FA2" w:rsidRDefault="00280FA2" w:rsidP="00280FA2">
      <w:pPr>
        <w:tabs>
          <w:tab w:val="left" w:pos="-720"/>
          <w:tab w:val="left" w:pos="0"/>
          <w:tab w:val="left" w:pos="720"/>
        </w:tabs>
        <w:suppressAutoHyphens/>
        <w:spacing w:line="240" w:lineRule="atLeast"/>
        <w:ind w:left="1440" w:hanging="1440"/>
        <w:rPr>
          <w:spacing w:val="-3"/>
        </w:rPr>
      </w:pPr>
      <w:r>
        <w:rPr>
          <w:spacing w:val="-3"/>
        </w:rPr>
        <w:t>Figure 9.3</w:t>
      </w:r>
      <w:r>
        <w:rPr>
          <w:spacing w:val="-3"/>
        </w:rPr>
        <w:tab/>
        <w:t>Competing processes during directional dendritic growth: development of preferred orientation in the columnar region, formation of equiaxed grains ahead of the columnar front. Three grains are shown. (RAPPAZ and GANDIN [1993]).</w:t>
      </w:r>
    </w:p>
    <w:p w14:paraId="68E7F614" w14:textId="4F64797D" w:rsidR="00280FA2" w:rsidRDefault="00280FA2" w:rsidP="00280FA2">
      <w:pPr>
        <w:tabs>
          <w:tab w:val="left" w:pos="-720"/>
          <w:tab w:val="left" w:pos="0"/>
          <w:tab w:val="left" w:pos="720"/>
        </w:tabs>
        <w:suppressAutoHyphens/>
        <w:spacing w:line="240" w:lineRule="atLeast"/>
        <w:ind w:left="1440" w:hanging="1440"/>
        <w:jc w:val="center"/>
        <w:rPr>
          <w:spacing w:val="-3"/>
        </w:rPr>
      </w:pPr>
      <w:r>
        <w:rPr>
          <w:noProof/>
          <w:spacing w:val="-3"/>
        </w:rPr>
        <w:lastRenderedPageBreak/>
        <w:drawing>
          <wp:inline distT="0" distB="0" distL="0" distR="0" wp14:anchorId="5591BAFB" wp14:editId="3DADCB7E">
            <wp:extent cx="5063490" cy="6513195"/>
            <wp:effectExtent l="0" t="0" r="3810" b="190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1465">
                      <a:extLst>
                        <a:ext uri="{28A0092B-C50C-407E-A947-70E740481C1C}">
                          <a14:useLocalDpi xmlns:a14="http://schemas.microsoft.com/office/drawing/2010/main" val="0"/>
                        </a:ext>
                      </a:extLst>
                    </a:blip>
                    <a:srcRect/>
                    <a:stretch>
                      <a:fillRect/>
                    </a:stretch>
                  </pic:blipFill>
                  <pic:spPr bwMode="auto">
                    <a:xfrm>
                      <a:off x="0" y="0"/>
                      <a:ext cx="5063490" cy="6513195"/>
                    </a:xfrm>
                    <a:prstGeom prst="rect">
                      <a:avLst/>
                    </a:prstGeom>
                    <a:noFill/>
                    <a:ln>
                      <a:noFill/>
                    </a:ln>
                  </pic:spPr>
                </pic:pic>
              </a:graphicData>
            </a:graphic>
          </wp:inline>
        </w:drawing>
      </w:r>
    </w:p>
    <w:p w14:paraId="25D84D23" w14:textId="77777777" w:rsidR="00280FA2" w:rsidRDefault="00280FA2" w:rsidP="00280FA2">
      <w:pPr>
        <w:tabs>
          <w:tab w:val="left" w:pos="-720"/>
          <w:tab w:val="left" w:pos="0"/>
          <w:tab w:val="left" w:pos="720"/>
        </w:tabs>
        <w:suppressAutoHyphens/>
        <w:spacing w:line="240" w:lineRule="atLeast"/>
        <w:ind w:left="1440" w:hanging="1440"/>
        <w:rPr>
          <w:spacing w:val="-3"/>
        </w:rPr>
      </w:pPr>
      <w:r>
        <w:rPr>
          <w:spacing w:val="-3"/>
        </w:rPr>
        <w:t>Figure 9.4</w:t>
      </w:r>
      <w:r>
        <w:rPr>
          <w:spacing w:val="-3"/>
        </w:rPr>
        <w:tab/>
        <w:t>a) Low magnification view of solute rich plumes rising from a mushy zone of NH</w:t>
      </w:r>
      <w:r w:rsidRPr="00844762">
        <w:rPr>
          <w:spacing w:val="-3"/>
          <w:vertAlign w:val="subscript"/>
        </w:rPr>
        <w:t>4</w:t>
      </w:r>
      <w:r>
        <w:rPr>
          <w:spacing w:val="-3"/>
        </w:rPr>
        <w:t>Cl dendrites growing from a NH</w:t>
      </w:r>
      <w:r w:rsidRPr="00844762">
        <w:rPr>
          <w:spacing w:val="-3"/>
          <w:vertAlign w:val="subscript"/>
        </w:rPr>
        <w:t>4</w:t>
      </w:r>
      <w:r>
        <w:rPr>
          <w:spacing w:val="-3"/>
        </w:rPr>
        <w:t>Cl-H</w:t>
      </w:r>
      <w:r w:rsidRPr="004A6764">
        <w:rPr>
          <w:spacing w:val="-3"/>
          <w:vertAlign w:val="subscript"/>
        </w:rPr>
        <w:t>2</w:t>
      </w:r>
      <w:r>
        <w:rPr>
          <w:spacing w:val="-3"/>
        </w:rPr>
        <w:t>0 solution being cooled from the bottom. b) High magnification view of upper region of channel formed in the mushy zone with a single fragment that has been ejected, grown and is falling back to the advancing dendritic front causing the formation of a new grain. c) High magnification view deep in the channel where dendritic fragments have fallen back into the channel (forming the characteristic freckle appearance seen in micrographs after solidification of superalloys). d) and e) shown sketches of b) and c). (adapted from Hellawell et al., 1993).</w:t>
      </w:r>
    </w:p>
    <w:p w14:paraId="7613F275" w14:textId="3D5437D0" w:rsidR="00280FA2" w:rsidRDefault="00280FA2" w:rsidP="00280FA2">
      <w:pPr>
        <w:tabs>
          <w:tab w:val="left" w:pos="-720"/>
          <w:tab w:val="left" w:pos="0"/>
          <w:tab w:val="left" w:pos="720"/>
        </w:tabs>
        <w:suppressAutoHyphens/>
        <w:spacing w:line="240" w:lineRule="atLeast"/>
        <w:ind w:left="1440" w:hanging="1440"/>
        <w:jc w:val="center"/>
        <w:rPr>
          <w:spacing w:val="-3"/>
        </w:rPr>
      </w:pPr>
      <w:r>
        <w:rPr>
          <w:noProof/>
          <w:spacing w:val="-3"/>
        </w:rPr>
        <w:lastRenderedPageBreak/>
        <w:drawing>
          <wp:inline distT="0" distB="0" distL="0" distR="0" wp14:anchorId="52BF1F0D" wp14:editId="31E1C520">
            <wp:extent cx="4114800" cy="3044825"/>
            <wp:effectExtent l="0" t="0" r="0" b="317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1466">
                      <a:extLst>
                        <a:ext uri="{28A0092B-C50C-407E-A947-70E740481C1C}">
                          <a14:useLocalDpi xmlns:a14="http://schemas.microsoft.com/office/drawing/2010/main" val="0"/>
                        </a:ext>
                      </a:extLst>
                    </a:blip>
                    <a:srcRect/>
                    <a:stretch>
                      <a:fillRect/>
                    </a:stretch>
                  </pic:blipFill>
                  <pic:spPr bwMode="auto">
                    <a:xfrm>
                      <a:off x="0" y="0"/>
                      <a:ext cx="4114800" cy="3044825"/>
                    </a:xfrm>
                    <a:prstGeom prst="rect">
                      <a:avLst/>
                    </a:prstGeom>
                    <a:noFill/>
                    <a:ln>
                      <a:noFill/>
                    </a:ln>
                  </pic:spPr>
                </pic:pic>
              </a:graphicData>
            </a:graphic>
          </wp:inline>
        </w:drawing>
      </w:r>
    </w:p>
    <w:p w14:paraId="76495BED" w14:textId="77777777" w:rsidR="00280FA2" w:rsidRDefault="00280FA2" w:rsidP="00280FA2">
      <w:pPr>
        <w:tabs>
          <w:tab w:val="left" w:pos="-720"/>
          <w:tab w:val="left" w:pos="0"/>
          <w:tab w:val="left" w:pos="720"/>
        </w:tabs>
        <w:suppressAutoHyphens/>
        <w:spacing w:line="240" w:lineRule="atLeast"/>
        <w:ind w:left="1440" w:hanging="1440"/>
        <w:rPr>
          <w:spacing w:val="-3"/>
        </w:rPr>
      </w:pPr>
      <w:r>
        <w:rPr>
          <w:spacing w:val="-3"/>
        </w:rPr>
        <w:t>Figure 9.5</w:t>
      </w:r>
      <w:r>
        <w:rPr>
          <w:spacing w:val="-3"/>
        </w:rPr>
        <w:tab/>
        <w:t>Dendrite fragmentation and columnar front blockage in metallic Al-Cu alloy observed by synchrotron radiation (Mathiesen et al.[2006]).</w:t>
      </w:r>
    </w:p>
    <w:p w14:paraId="775882D0" w14:textId="60566B17" w:rsidR="00280FA2" w:rsidRDefault="00280FA2" w:rsidP="00280FA2">
      <w:pPr>
        <w:tabs>
          <w:tab w:val="left" w:pos="-720"/>
          <w:tab w:val="left" w:pos="0"/>
          <w:tab w:val="left" w:pos="720"/>
        </w:tabs>
        <w:suppressAutoHyphens/>
        <w:spacing w:line="240" w:lineRule="atLeast"/>
        <w:ind w:left="1440" w:hanging="1440"/>
        <w:jc w:val="center"/>
        <w:rPr>
          <w:spacing w:val="-3"/>
        </w:rPr>
      </w:pPr>
      <w:r>
        <w:rPr>
          <w:noProof/>
          <w:spacing w:val="-3"/>
        </w:rPr>
        <w:lastRenderedPageBreak/>
        <w:drawing>
          <wp:inline distT="0" distB="0" distL="0" distR="0" wp14:anchorId="091716D5" wp14:editId="2B4F92E4">
            <wp:extent cx="2665730" cy="6210935"/>
            <wp:effectExtent l="0" t="0" r="127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1467" cstate="print">
                      <a:extLst>
                        <a:ext uri="{28A0092B-C50C-407E-A947-70E740481C1C}">
                          <a14:useLocalDpi xmlns:a14="http://schemas.microsoft.com/office/drawing/2010/main" val="0"/>
                        </a:ext>
                      </a:extLst>
                    </a:blip>
                    <a:srcRect/>
                    <a:stretch>
                      <a:fillRect/>
                    </a:stretch>
                  </pic:blipFill>
                  <pic:spPr bwMode="auto">
                    <a:xfrm>
                      <a:off x="0" y="0"/>
                      <a:ext cx="2665730" cy="6210935"/>
                    </a:xfrm>
                    <a:prstGeom prst="rect">
                      <a:avLst/>
                    </a:prstGeom>
                    <a:noFill/>
                    <a:ln>
                      <a:noFill/>
                    </a:ln>
                  </pic:spPr>
                </pic:pic>
              </a:graphicData>
            </a:graphic>
          </wp:inline>
        </w:drawing>
      </w:r>
    </w:p>
    <w:p w14:paraId="199F5F2C" w14:textId="77777777" w:rsidR="00280FA2" w:rsidRDefault="00280FA2" w:rsidP="00280FA2">
      <w:pPr>
        <w:tabs>
          <w:tab w:val="left" w:pos="-720"/>
          <w:tab w:val="left" w:pos="0"/>
          <w:tab w:val="left" w:pos="720"/>
        </w:tabs>
        <w:suppressAutoHyphens/>
        <w:spacing w:line="240" w:lineRule="atLeast"/>
        <w:ind w:left="1440" w:hanging="1440"/>
        <w:rPr>
          <w:spacing w:val="-3"/>
        </w:rPr>
      </w:pPr>
      <w:r>
        <w:rPr>
          <w:spacing w:val="-3"/>
        </w:rPr>
        <w:t>Figure 9.6</w:t>
      </w:r>
      <w:r>
        <w:rPr>
          <w:spacing w:val="-3"/>
        </w:rPr>
        <w:tab/>
        <w:t>Simulation of columnar and equiaxed structures by RAPPAZ and GANDIN [1993].</w:t>
      </w:r>
      <w:r w:rsidRPr="0063267B">
        <w:rPr>
          <w:spacing w:val="-3"/>
        </w:rPr>
        <w:t xml:space="preserve"> </w:t>
      </w:r>
      <w:r>
        <w:rPr>
          <w:spacing w:val="-3"/>
        </w:rPr>
        <w:t>(a) Al-5%Si cooled at 2.3K/s; (b) Al-7%Si cooled at 2.3K/s; and (c) Al-7%Si cooled at 7.0K/s.</w:t>
      </w:r>
    </w:p>
    <w:p w14:paraId="1212ED55" w14:textId="0FCFC3E3" w:rsidR="00280FA2" w:rsidRDefault="00280FA2" w:rsidP="00280FA2">
      <w:pPr>
        <w:tabs>
          <w:tab w:val="left" w:pos="-720"/>
        </w:tabs>
        <w:suppressAutoHyphens/>
        <w:spacing w:line="240" w:lineRule="atLeast"/>
        <w:jc w:val="center"/>
        <w:rPr>
          <w:spacing w:val="-3"/>
        </w:rPr>
      </w:pPr>
      <w:r>
        <w:rPr>
          <w:noProof/>
          <w:spacing w:val="-3"/>
        </w:rPr>
        <w:lastRenderedPageBreak/>
        <w:drawing>
          <wp:inline distT="0" distB="0" distL="0" distR="0" wp14:anchorId="55D3AC70" wp14:editId="219943EE">
            <wp:extent cx="4796155" cy="3433445"/>
            <wp:effectExtent l="0" t="0" r="444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1468">
                      <a:extLst>
                        <a:ext uri="{28A0092B-C50C-407E-A947-70E740481C1C}">
                          <a14:useLocalDpi xmlns:a14="http://schemas.microsoft.com/office/drawing/2010/main" val="0"/>
                        </a:ext>
                      </a:extLst>
                    </a:blip>
                    <a:srcRect/>
                    <a:stretch>
                      <a:fillRect/>
                    </a:stretch>
                  </pic:blipFill>
                  <pic:spPr bwMode="auto">
                    <a:xfrm>
                      <a:off x="0" y="0"/>
                      <a:ext cx="4796155" cy="3433445"/>
                    </a:xfrm>
                    <a:prstGeom prst="rect">
                      <a:avLst/>
                    </a:prstGeom>
                    <a:noFill/>
                    <a:ln>
                      <a:noFill/>
                    </a:ln>
                  </pic:spPr>
                </pic:pic>
              </a:graphicData>
            </a:graphic>
          </wp:inline>
        </w:drawing>
      </w:r>
    </w:p>
    <w:p w14:paraId="7B27A141" w14:textId="059D813E" w:rsidR="00280FA2" w:rsidRDefault="00280FA2" w:rsidP="00280FA2">
      <w:pPr>
        <w:tabs>
          <w:tab w:val="left" w:pos="-720"/>
          <w:tab w:val="left" w:pos="0"/>
          <w:tab w:val="left" w:pos="720"/>
        </w:tabs>
        <w:suppressAutoHyphens/>
        <w:spacing w:line="240" w:lineRule="atLeast"/>
        <w:ind w:left="1440" w:hanging="1440"/>
        <w:rPr>
          <w:spacing w:val="-3"/>
        </w:rPr>
      </w:pPr>
      <w:r>
        <w:rPr>
          <w:spacing w:val="-3"/>
        </w:rPr>
        <w:t>Figure 9.7</w:t>
      </w:r>
      <w:r>
        <w:rPr>
          <w:spacing w:val="-3"/>
        </w:rPr>
        <w:tab/>
      </w:r>
      <w:r w:rsidRPr="00972C76">
        <w:rPr>
          <w:spacing w:val="-3"/>
        </w:rPr>
        <w:t>Microstructure selection map for CMSX-4. The rectangular insert r</w:t>
      </w:r>
      <w:r>
        <w:rPr>
          <w:spacing w:val="-3"/>
        </w:rPr>
        <w:t>e</w:t>
      </w:r>
      <w:r w:rsidRPr="00972C76">
        <w:rPr>
          <w:spacing w:val="-3"/>
        </w:rPr>
        <w:t>presents range of conditions that are typical for laser process. The evolution of G and V is calculated for initial substrate temperatures of 20</w:t>
      </w:r>
      <w:r w:rsidR="005B5AE0">
        <w:rPr>
          <w:spacing w:val="-3"/>
          <w:vertAlign w:val="superscript"/>
        </w:rPr>
        <w:t>°</w:t>
      </w:r>
      <w:r w:rsidRPr="00972C76">
        <w:rPr>
          <w:spacing w:val="-3"/>
        </w:rPr>
        <w:t xml:space="preserve">C (curve A) and 500 </w:t>
      </w:r>
      <w:r w:rsidR="005B5AE0">
        <w:rPr>
          <w:spacing w:val="-3"/>
          <w:vertAlign w:val="superscript"/>
        </w:rPr>
        <w:t>°</w:t>
      </w:r>
      <w:r w:rsidRPr="00972C76">
        <w:rPr>
          <w:spacing w:val="-3"/>
        </w:rPr>
        <w:t>C (curve B). The squares represent average values.</w:t>
      </w:r>
      <w:r>
        <w:rPr>
          <w:spacing w:val="-3"/>
        </w:rPr>
        <w:t xml:space="preserve"> </w:t>
      </w:r>
      <w:r w:rsidRPr="00972C76">
        <w:rPr>
          <w:rFonts w:ascii="Lucida Sans Unicode" w:hAnsi="Lucida Sans Unicode" w:cs="Lucida Sans Unicode"/>
          <w:i/>
          <w:spacing w:val="-3"/>
        </w:rPr>
        <w:t>ϕ</w:t>
      </w:r>
      <w:r>
        <w:rPr>
          <w:spacing w:val="-3"/>
        </w:rPr>
        <w:t xml:space="preserve"> is the volume fraction of equiaxed grains. </w:t>
      </w:r>
      <w:r w:rsidRPr="001B068D">
        <w:rPr>
          <w:spacing w:val="-3"/>
          <w:highlight w:val="yellow"/>
        </w:rPr>
        <w:t>cst</w:t>
      </w:r>
      <w:r>
        <w:rPr>
          <w:spacing w:val="-3"/>
        </w:rPr>
        <w:t xml:space="preserve"> is a function of alloy constants and nucleation density (Kurz et. al. [2001]).</w:t>
      </w:r>
    </w:p>
    <w:p w14:paraId="3A62307A" w14:textId="116D493C" w:rsidR="00280FA2" w:rsidRDefault="00280FA2" w:rsidP="00280FA2">
      <w:pPr>
        <w:tabs>
          <w:tab w:val="left" w:pos="-720"/>
        </w:tabs>
        <w:suppressAutoHyphens/>
        <w:spacing w:line="240" w:lineRule="atLeast"/>
        <w:jc w:val="center"/>
        <w:rPr>
          <w:spacing w:val="-3"/>
        </w:rPr>
      </w:pPr>
      <w:r>
        <w:rPr>
          <w:noProof/>
          <w:spacing w:val="-3"/>
        </w:rPr>
        <w:lastRenderedPageBreak/>
        <w:drawing>
          <wp:inline distT="0" distB="0" distL="0" distR="0" wp14:anchorId="348B3455" wp14:editId="2182A062">
            <wp:extent cx="3916680" cy="4002405"/>
            <wp:effectExtent l="0" t="0" r="762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1469" cstate="print">
                      <a:extLst>
                        <a:ext uri="{28A0092B-C50C-407E-A947-70E740481C1C}">
                          <a14:useLocalDpi xmlns:a14="http://schemas.microsoft.com/office/drawing/2010/main" val="0"/>
                        </a:ext>
                      </a:extLst>
                    </a:blip>
                    <a:srcRect/>
                    <a:stretch>
                      <a:fillRect/>
                    </a:stretch>
                  </pic:blipFill>
                  <pic:spPr bwMode="auto">
                    <a:xfrm>
                      <a:off x="0" y="0"/>
                      <a:ext cx="3916680" cy="4002405"/>
                    </a:xfrm>
                    <a:prstGeom prst="rect">
                      <a:avLst/>
                    </a:prstGeom>
                    <a:noFill/>
                    <a:ln>
                      <a:noFill/>
                    </a:ln>
                  </pic:spPr>
                </pic:pic>
              </a:graphicData>
            </a:graphic>
          </wp:inline>
        </w:drawing>
      </w:r>
    </w:p>
    <w:p w14:paraId="63EA8785" w14:textId="77777777" w:rsidR="00280FA2" w:rsidRDefault="00280FA2" w:rsidP="00280FA2">
      <w:pPr>
        <w:tabs>
          <w:tab w:val="left" w:pos="-720"/>
          <w:tab w:val="left" w:pos="0"/>
          <w:tab w:val="left" w:pos="720"/>
        </w:tabs>
        <w:suppressAutoHyphens/>
        <w:spacing w:line="240" w:lineRule="atLeast"/>
        <w:ind w:left="1440" w:hanging="1440"/>
        <w:rPr>
          <w:spacing w:val="-3"/>
        </w:rPr>
      </w:pPr>
      <w:r>
        <w:rPr>
          <w:spacing w:val="-3"/>
        </w:rPr>
        <w:t>Figure 9.8 Different types of macrosegregation in an industrial steel ingot. (FLEMINGS [1974]).</w:t>
      </w:r>
    </w:p>
    <w:p w14:paraId="375DD2EE" w14:textId="75CAAC3D" w:rsidR="00280FA2" w:rsidRDefault="00280FA2" w:rsidP="00280FA2">
      <w:pPr>
        <w:tabs>
          <w:tab w:val="left" w:pos="-720"/>
        </w:tabs>
        <w:suppressAutoHyphens/>
        <w:spacing w:line="240" w:lineRule="atLeast"/>
        <w:jc w:val="center"/>
        <w:rPr>
          <w:spacing w:val="-3"/>
        </w:rPr>
      </w:pPr>
      <w:r>
        <w:rPr>
          <w:noProof/>
          <w:spacing w:val="-3"/>
        </w:rPr>
        <w:drawing>
          <wp:inline distT="0" distB="0" distL="0" distR="0" wp14:anchorId="5B636D14" wp14:editId="67A66702">
            <wp:extent cx="5486400" cy="311404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1470" cstate="print">
                      <a:extLst>
                        <a:ext uri="{28A0092B-C50C-407E-A947-70E740481C1C}">
                          <a14:useLocalDpi xmlns:a14="http://schemas.microsoft.com/office/drawing/2010/main" val="0"/>
                        </a:ext>
                      </a:extLst>
                    </a:blip>
                    <a:srcRect/>
                    <a:stretch>
                      <a:fillRect/>
                    </a:stretch>
                  </pic:blipFill>
                  <pic:spPr bwMode="auto">
                    <a:xfrm>
                      <a:off x="0" y="0"/>
                      <a:ext cx="5486400" cy="3114040"/>
                    </a:xfrm>
                    <a:prstGeom prst="rect">
                      <a:avLst/>
                    </a:prstGeom>
                    <a:noFill/>
                    <a:ln>
                      <a:noFill/>
                    </a:ln>
                  </pic:spPr>
                </pic:pic>
              </a:graphicData>
            </a:graphic>
          </wp:inline>
        </w:drawing>
      </w:r>
    </w:p>
    <w:p w14:paraId="2571D798" w14:textId="77777777" w:rsidR="00280FA2" w:rsidRDefault="00280FA2" w:rsidP="00280FA2">
      <w:pPr>
        <w:tabs>
          <w:tab w:val="left" w:pos="-1432"/>
          <w:tab w:val="left" w:pos="-1021"/>
          <w:tab w:val="left" w:pos="850"/>
          <w:tab w:val="left" w:pos="1260"/>
          <w:tab w:val="left" w:pos="10800"/>
          <w:tab w:val="left" w:pos="11339"/>
          <w:tab w:val="left" w:pos="11905"/>
          <w:tab w:val="left" w:pos="12240"/>
        </w:tabs>
        <w:suppressAutoHyphens/>
        <w:spacing w:line="360" w:lineRule="atLeast"/>
        <w:ind w:left="1440" w:hanging="1440"/>
        <w:rPr>
          <w:spacing w:val="-3"/>
        </w:rPr>
      </w:pPr>
      <w:r>
        <w:rPr>
          <w:spacing w:val="-3"/>
        </w:rPr>
        <w:t>Fig. 9.9. Comparison of measured and predicted macrosegregation variations along vertical centerline of a steel ingot (C</w:t>
      </w:r>
      <w:r w:rsidRPr="00760AFC">
        <w:rPr>
          <w:spacing w:val="-3"/>
          <w:vertAlign w:val="subscript"/>
        </w:rPr>
        <w:t>mix</w:t>
      </w:r>
      <w:r>
        <w:rPr>
          <w:spacing w:val="-3"/>
        </w:rPr>
        <w:t xml:space="preserve"> and C</w:t>
      </w:r>
      <w:r w:rsidRPr="00760AFC">
        <w:rPr>
          <w:spacing w:val="-3"/>
          <w:vertAlign w:val="subscript"/>
        </w:rPr>
        <w:t>in</w:t>
      </w:r>
      <w:r>
        <w:rPr>
          <w:spacing w:val="-3"/>
        </w:rPr>
        <w:t xml:space="preserve"> are local solute mixture concentration and initial solute concentration respectively) (Gu and Beckermann [1999]).</w:t>
      </w:r>
    </w:p>
    <w:p w14:paraId="1B68A19C" w14:textId="03E6A76A" w:rsidR="00280FA2" w:rsidRDefault="00280FA2" w:rsidP="00280FA2">
      <w:pPr>
        <w:tabs>
          <w:tab w:val="left" w:pos="-720"/>
        </w:tabs>
        <w:suppressAutoHyphens/>
        <w:spacing w:line="240" w:lineRule="atLeast"/>
        <w:jc w:val="center"/>
        <w:rPr>
          <w:spacing w:val="-3"/>
        </w:rPr>
      </w:pPr>
      <w:r>
        <w:rPr>
          <w:noProof/>
          <w:spacing w:val="-3"/>
        </w:rPr>
        <w:lastRenderedPageBreak/>
        <w:drawing>
          <wp:inline distT="0" distB="0" distL="0" distR="0" wp14:anchorId="105C8E0E" wp14:editId="7A00987B">
            <wp:extent cx="3157220" cy="4545965"/>
            <wp:effectExtent l="0" t="0" r="5080" b="698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1471">
                      <a:extLst>
                        <a:ext uri="{28A0092B-C50C-407E-A947-70E740481C1C}">
                          <a14:useLocalDpi xmlns:a14="http://schemas.microsoft.com/office/drawing/2010/main" val="0"/>
                        </a:ext>
                      </a:extLst>
                    </a:blip>
                    <a:srcRect/>
                    <a:stretch>
                      <a:fillRect/>
                    </a:stretch>
                  </pic:blipFill>
                  <pic:spPr bwMode="auto">
                    <a:xfrm>
                      <a:off x="0" y="0"/>
                      <a:ext cx="3157220" cy="4545965"/>
                    </a:xfrm>
                    <a:prstGeom prst="rect">
                      <a:avLst/>
                    </a:prstGeom>
                    <a:noFill/>
                    <a:ln>
                      <a:noFill/>
                    </a:ln>
                  </pic:spPr>
                </pic:pic>
              </a:graphicData>
            </a:graphic>
          </wp:inline>
        </w:drawing>
      </w:r>
    </w:p>
    <w:p w14:paraId="180CAAC7" w14:textId="1D9ACEBF" w:rsidR="00280FA2" w:rsidRDefault="00280FA2" w:rsidP="00280FA2">
      <w:pPr>
        <w:tabs>
          <w:tab w:val="left" w:pos="-1432"/>
          <w:tab w:val="left" w:pos="-1021"/>
          <w:tab w:val="left" w:pos="850"/>
          <w:tab w:val="left" w:pos="10800"/>
          <w:tab w:val="left" w:pos="11339"/>
          <w:tab w:val="left" w:pos="11905"/>
          <w:tab w:val="left" w:pos="12240"/>
        </w:tabs>
        <w:suppressAutoHyphens/>
        <w:spacing w:line="360" w:lineRule="atLeast"/>
        <w:ind w:left="1440" w:hanging="1440"/>
        <w:rPr>
          <w:spacing w:val="-3"/>
        </w:rPr>
      </w:pPr>
      <w:r>
        <w:rPr>
          <w:spacing w:val="-3"/>
        </w:rPr>
        <w:t>Fig. 9.10. a. Predicted velocity vectors (largest represents 6.3 mm/s) and contours of solid fraction (in increment of 20</w:t>
      </w:r>
      <w:r w:rsidR="005B5AE0">
        <w:rPr>
          <w:spacing w:val="-3"/>
        </w:rPr>
        <w:t xml:space="preserve"> </w:t>
      </w:r>
      <w:r>
        <w:rPr>
          <w:spacing w:val="-3"/>
        </w:rPr>
        <w:t>%); b. macrosegregation pattern (Ti concentration normalized by initial concentration shown in equal increments between 0.87 and 1.34) showing freckle formation during upward directional solidification of a single crystal Ni-base superalloy in 5</w:t>
      </w:r>
      <w:r w:rsidR="005B5AE0">
        <w:rPr>
          <w:spacing w:val="-3"/>
        </w:rPr>
        <w:t xml:space="preserve"> cm </w:t>
      </w:r>
      <w:r>
        <w:rPr>
          <w:spacing w:val="-3"/>
        </w:rPr>
        <w:t>x15 cm rectangular computational domain (Schneider et al [1997]).</w:t>
      </w:r>
    </w:p>
    <w:p w14:paraId="3900443F" w14:textId="77777777" w:rsidR="00280FA2" w:rsidRDefault="00280FA2" w:rsidP="00280FA2">
      <w:pPr>
        <w:tabs>
          <w:tab w:val="left" w:pos="-720"/>
        </w:tabs>
        <w:suppressAutoHyphens/>
        <w:spacing w:line="240" w:lineRule="atLeast"/>
        <w:rPr>
          <w:spacing w:val="-3"/>
        </w:rPr>
      </w:pPr>
    </w:p>
    <w:p w14:paraId="5A470851" w14:textId="47B5CE80" w:rsidR="00280FA2" w:rsidRDefault="00280FA2" w:rsidP="00280FA2">
      <w:pPr>
        <w:tabs>
          <w:tab w:val="left" w:pos="-720"/>
        </w:tabs>
        <w:suppressAutoHyphens/>
        <w:spacing w:line="240" w:lineRule="atLeast"/>
        <w:rPr>
          <w:spacing w:val="-3"/>
        </w:rPr>
      </w:pPr>
      <w:r>
        <w:rPr>
          <w:noProof/>
          <w:spacing w:val="-3"/>
        </w:rPr>
        <w:lastRenderedPageBreak/>
        <w:drawing>
          <wp:inline distT="0" distB="0" distL="0" distR="0" wp14:anchorId="49C2773E" wp14:editId="0BDA1073">
            <wp:extent cx="3761105" cy="546925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1472">
                      <a:extLst>
                        <a:ext uri="{28A0092B-C50C-407E-A947-70E740481C1C}">
                          <a14:useLocalDpi xmlns:a14="http://schemas.microsoft.com/office/drawing/2010/main" val="0"/>
                        </a:ext>
                      </a:extLst>
                    </a:blip>
                    <a:srcRect/>
                    <a:stretch>
                      <a:fillRect/>
                    </a:stretch>
                  </pic:blipFill>
                  <pic:spPr bwMode="auto">
                    <a:xfrm>
                      <a:off x="0" y="0"/>
                      <a:ext cx="3761105" cy="5469255"/>
                    </a:xfrm>
                    <a:prstGeom prst="rect">
                      <a:avLst/>
                    </a:prstGeom>
                    <a:noFill/>
                    <a:ln>
                      <a:noFill/>
                    </a:ln>
                  </pic:spPr>
                </pic:pic>
              </a:graphicData>
            </a:graphic>
          </wp:inline>
        </w:drawing>
      </w:r>
    </w:p>
    <w:p w14:paraId="7216E6B0" w14:textId="34246715" w:rsidR="00280FA2" w:rsidRDefault="00280FA2" w:rsidP="00280FA2">
      <w:pPr>
        <w:tabs>
          <w:tab w:val="left" w:pos="-1432"/>
          <w:tab w:val="left" w:pos="-1021"/>
          <w:tab w:val="left" w:pos="850"/>
          <w:tab w:val="left" w:pos="10800"/>
          <w:tab w:val="left" w:pos="11339"/>
          <w:tab w:val="left" w:pos="11905"/>
          <w:tab w:val="left" w:pos="12240"/>
        </w:tabs>
        <w:suppressAutoHyphens/>
        <w:spacing w:line="360" w:lineRule="atLeast"/>
        <w:ind w:left="1440" w:hanging="1440"/>
        <w:rPr>
          <w:spacing w:val="-3"/>
        </w:rPr>
      </w:pPr>
      <w:r>
        <w:rPr>
          <w:spacing w:val="-3"/>
        </w:rPr>
        <w:t xml:space="preserve">Fig. 9.11. Predicted macrosegregation patterns during continuous casting of steel; </w:t>
      </w:r>
      <w:r w:rsidRPr="00741953">
        <w:rPr>
          <w:i/>
          <w:spacing w:val="-3"/>
        </w:rPr>
        <w:t>C</w:t>
      </w:r>
      <w:r w:rsidRPr="00741953">
        <w:rPr>
          <w:i/>
          <w:spacing w:val="-3"/>
          <w:vertAlign w:val="subscript"/>
        </w:rPr>
        <w:t>0</w:t>
      </w:r>
      <w:r>
        <w:rPr>
          <w:spacing w:val="-3"/>
        </w:rPr>
        <w:t xml:space="preserve"> is initial carbon content. a) along centerline (distance between rolls is 400 mm); b) across slab thickness after six rolls (f</w:t>
      </w:r>
      <w:r w:rsidRPr="00466B76">
        <w:rPr>
          <w:spacing w:val="-3"/>
          <w:vertAlign w:val="subscript"/>
        </w:rPr>
        <w:t>s</w:t>
      </w:r>
      <w:r w:rsidR="005B5AE0">
        <w:rPr>
          <w:spacing w:val="-3"/>
          <w:vertAlign w:val="subscript"/>
        </w:rPr>
        <w:t xml:space="preserve"> </w:t>
      </w:r>
      <w:r>
        <w:rPr>
          <w:spacing w:val="-3"/>
        </w:rPr>
        <w:t>=</w:t>
      </w:r>
      <w:r w:rsidR="005B5AE0">
        <w:rPr>
          <w:spacing w:val="-3"/>
        </w:rPr>
        <w:t xml:space="preserve"> </w:t>
      </w:r>
      <w:r>
        <w:rPr>
          <w:spacing w:val="-3"/>
        </w:rPr>
        <w:t>0.37 at centerline, maximum bulging of 0.1 mm) (Kajitani et al</w:t>
      </w:r>
      <w:r w:rsidR="005B5AE0">
        <w:rPr>
          <w:spacing w:val="-3"/>
        </w:rPr>
        <w:t>.</w:t>
      </w:r>
      <w:r>
        <w:rPr>
          <w:spacing w:val="-3"/>
        </w:rPr>
        <w:t xml:space="preserve"> [2001]).</w:t>
      </w:r>
    </w:p>
    <w:p w14:paraId="739CD0EA" w14:textId="77777777" w:rsidR="00280FA2" w:rsidRDefault="00280FA2" w:rsidP="00280FA2">
      <w:pPr>
        <w:tabs>
          <w:tab w:val="left" w:pos="-1432"/>
          <w:tab w:val="left" w:pos="-1021"/>
          <w:tab w:val="left" w:pos="850"/>
          <w:tab w:val="left" w:pos="10800"/>
          <w:tab w:val="left" w:pos="11339"/>
          <w:tab w:val="left" w:pos="11905"/>
          <w:tab w:val="left" w:pos="12240"/>
        </w:tabs>
        <w:suppressAutoHyphens/>
        <w:spacing w:line="360" w:lineRule="atLeast"/>
        <w:rPr>
          <w:spacing w:val="-3"/>
        </w:rPr>
      </w:pPr>
    </w:p>
    <w:p w14:paraId="62079F43" w14:textId="051B8A54" w:rsidR="00280FA2" w:rsidRDefault="00280FA2" w:rsidP="00280FA2">
      <w:pPr>
        <w:tabs>
          <w:tab w:val="left" w:pos="-1432"/>
          <w:tab w:val="left" w:pos="-1021"/>
          <w:tab w:val="left" w:pos="850"/>
          <w:tab w:val="left" w:pos="10800"/>
          <w:tab w:val="left" w:pos="11339"/>
          <w:tab w:val="left" w:pos="11905"/>
          <w:tab w:val="left" w:pos="12240"/>
        </w:tabs>
        <w:suppressAutoHyphens/>
        <w:spacing w:line="360" w:lineRule="atLeast"/>
        <w:jc w:val="center"/>
        <w:rPr>
          <w:spacing w:val="-3"/>
        </w:rPr>
      </w:pPr>
      <w:r>
        <w:rPr>
          <w:noProof/>
          <w:spacing w:val="-3"/>
        </w:rPr>
        <w:lastRenderedPageBreak/>
        <w:drawing>
          <wp:inline distT="0" distB="0" distL="0" distR="0" wp14:anchorId="44655C4A" wp14:editId="4F943E01">
            <wp:extent cx="4580890" cy="40024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1473">
                      <a:extLst>
                        <a:ext uri="{28A0092B-C50C-407E-A947-70E740481C1C}">
                          <a14:useLocalDpi xmlns:a14="http://schemas.microsoft.com/office/drawing/2010/main" val="0"/>
                        </a:ext>
                      </a:extLst>
                    </a:blip>
                    <a:srcRect/>
                    <a:stretch>
                      <a:fillRect/>
                    </a:stretch>
                  </pic:blipFill>
                  <pic:spPr bwMode="auto">
                    <a:xfrm>
                      <a:off x="0" y="0"/>
                      <a:ext cx="4580890" cy="4002405"/>
                    </a:xfrm>
                    <a:prstGeom prst="rect">
                      <a:avLst/>
                    </a:prstGeom>
                    <a:noFill/>
                    <a:ln>
                      <a:noFill/>
                    </a:ln>
                  </pic:spPr>
                </pic:pic>
              </a:graphicData>
            </a:graphic>
          </wp:inline>
        </w:drawing>
      </w:r>
    </w:p>
    <w:p w14:paraId="5975A9BA" w14:textId="0673E9D7" w:rsidR="00280FA2" w:rsidRDefault="00280FA2" w:rsidP="00280FA2">
      <w:pPr>
        <w:tabs>
          <w:tab w:val="left" w:pos="-1432"/>
          <w:tab w:val="left" w:pos="-1021"/>
          <w:tab w:val="left" w:pos="850"/>
          <w:tab w:val="left" w:pos="10800"/>
          <w:tab w:val="left" w:pos="11339"/>
          <w:tab w:val="left" w:pos="11905"/>
          <w:tab w:val="left" w:pos="12240"/>
        </w:tabs>
        <w:suppressAutoHyphens/>
        <w:spacing w:line="360" w:lineRule="atLeast"/>
        <w:ind w:left="1440" w:hanging="1440"/>
        <w:rPr>
          <w:spacing w:val="-3"/>
        </w:rPr>
      </w:pPr>
      <w:r>
        <w:rPr>
          <w:spacing w:val="-3"/>
        </w:rPr>
        <w:t xml:space="preserve">Fig. 9.12 Predicted results for a CA-FE simulation using realistic parameters for the CA model for the growth kinetics of the structure and nucleation of equiaxed grains which are free to move in the liquid. (a) temperature in </w:t>
      </w:r>
      <w:r w:rsidR="005B5AE0">
        <w:rPr>
          <w:spacing w:val="-3"/>
          <w:vertAlign w:val="superscript"/>
        </w:rPr>
        <w:t>°</w:t>
      </w:r>
      <w:r>
        <w:rPr>
          <w:spacing w:val="-3"/>
        </w:rPr>
        <w:t>C; (b) solid fraction; (c) relative average Sn composition after 100 seconds of beginning of solidification. The thick line labeled “GF” corresponds to the position of the growth front determined from the CA model; (d) relative composition map when the ingot is fully solidified; (S) final simulated grain structure (Guillemot et al</w:t>
      </w:r>
      <w:r w:rsidR="005B5AE0">
        <w:rPr>
          <w:spacing w:val="-3"/>
        </w:rPr>
        <w:t>.</w:t>
      </w:r>
      <w:r>
        <w:rPr>
          <w:spacing w:val="-3"/>
        </w:rPr>
        <w:t xml:space="preserve"> [2006]).</w:t>
      </w:r>
    </w:p>
    <w:p w14:paraId="11FD1CFD" w14:textId="772E190D" w:rsidR="00280FA2" w:rsidRDefault="00280FA2" w:rsidP="00280FA2">
      <w:pPr>
        <w:tabs>
          <w:tab w:val="left" w:pos="-1432"/>
          <w:tab w:val="left" w:pos="-1021"/>
          <w:tab w:val="left" w:pos="850"/>
          <w:tab w:val="left" w:pos="10800"/>
          <w:tab w:val="left" w:pos="11339"/>
          <w:tab w:val="left" w:pos="11905"/>
          <w:tab w:val="left" w:pos="12240"/>
        </w:tabs>
        <w:suppressAutoHyphens/>
        <w:spacing w:line="360" w:lineRule="atLeast"/>
        <w:ind w:left="1440" w:hanging="1440"/>
        <w:jc w:val="center"/>
        <w:rPr>
          <w:spacing w:val="-3"/>
        </w:rPr>
      </w:pPr>
      <w:r>
        <w:rPr>
          <w:noProof/>
          <w:spacing w:val="-3"/>
        </w:rPr>
        <w:lastRenderedPageBreak/>
        <w:drawing>
          <wp:inline distT="0" distB="0" distL="0" distR="0" wp14:anchorId="7F9269C1" wp14:editId="13E945F9">
            <wp:extent cx="4925695" cy="6763385"/>
            <wp:effectExtent l="0" t="0" r="825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1474">
                      <a:extLst>
                        <a:ext uri="{28A0092B-C50C-407E-A947-70E740481C1C}">
                          <a14:useLocalDpi xmlns:a14="http://schemas.microsoft.com/office/drawing/2010/main" val="0"/>
                        </a:ext>
                      </a:extLst>
                    </a:blip>
                    <a:srcRect/>
                    <a:stretch>
                      <a:fillRect/>
                    </a:stretch>
                  </pic:blipFill>
                  <pic:spPr bwMode="auto">
                    <a:xfrm>
                      <a:off x="0" y="0"/>
                      <a:ext cx="4925695" cy="6763385"/>
                    </a:xfrm>
                    <a:prstGeom prst="rect">
                      <a:avLst/>
                    </a:prstGeom>
                    <a:noFill/>
                    <a:ln>
                      <a:noFill/>
                    </a:ln>
                  </pic:spPr>
                </pic:pic>
              </a:graphicData>
            </a:graphic>
          </wp:inline>
        </w:drawing>
      </w:r>
    </w:p>
    <w:p w14:paraId="364DD646" w14:textId="77777777" w:rsidR="00280FA2" w:rsidRDefault="00280FA2" w:rsidP="00280FA2">
      <w:pPr>
        <w:tabs>
          <w:tab w:val="left" w:pos="-1432"/>
          <w:tab w:val="left" w:pos="-1021"/>
          <w:tab w:val="left" w:pos="850"/>
          <w:tab w:val="left" w:pos="10800"/>
          <w:tab w:val="left" w:pos="11339"/>
          <w:tab w:val="left" w:pos="11905"/>
          <w:tab w:val="left" w:pos="12240"/>
        </w:tabs>
        <w:suppressAutoHyphens/>
        <w:spacing w:line="360" w:lineRule="atLeast"/>
        <w:ind w:left="1440" w:hanging="1440"/>
        <w:rPr>
          <w:spacing w:val="-3"/>
        </w:rPr>
      </w:pPr>
      <w:r>
        <w:rPr>
          <w:spacing w:val="-3"/>
        </w:rPr>
        <w:t>Fig. 9.13. Final microstructure and macrosegregation pattern in a square casting of Al-4.7%Cu alloy. All quantities are shown using gray scale, with dark color for highest value and light color for the lowest value of solute (Wu and Ludwig [2009]).</w:t>
      </w:r>
    </w:p>
    <w:p w14:paraId="63221664" w14:textId="77777777" w:rsidR="00280FA2" w:rsidRDefault="00280FA2" w:rsidP="00280FA2">
      <w:pPr>
        <w:tabs>
          <w:tab w:val="left" w:pos="-1432"/>
          <w:tab w:val="left" w:pos="-1021"/>
          <w:tab w:val="left" w:pos="850"/>
          <w:tab w:val="left" w:pos="10800"/>
          <w:tab w:val="left" w:pos="11339"/>
          <w:tab w:val="left" w:pos="11905"/>
          <w:tab w:val="left" w:pos="12240"/>
        </w:tabs>
        <w:suppressAutoHyphens/>
        <w:spacing w:line="360" w:lineRule="atLeast"/>
        <w:rPr>
          <w:spacing w:val="-3"/>
        </w:rPr>
      </w:pPr>
    </w:p>
    <w:p w14:paraId="2DC1E7CD" w14:textId="77777777" w:rsidR="00280FA2" w:rsidRDefault="00280FA2" w:rsidP="00280FA2">
      <w:pPr>
        <w:tabs>
          <w:tab w:val="left" w:pos="-1432"/>
          <w:tab w:val="left" w:pos="-1021"/>
          <w:tab w:val="left" w:pos="850"/>
          <w:tab w:val="left" w:pos="10800"/>
          <w:tab w:val="left" w:pos="11339"/>
          <w:tab w:val="left" w:pos="11905"/>
          <w:tab w:val="left" w:pos="12240"/>
        </w:tabs>
        <w:suppressAutoHyphens/>
        <w:spacing w:line="360" w:lineRule="atLeast"/>
        <w:ind w:left="1440" w:hanging="1440"/>
        <w:rPr>
          <w:spacing w:val="-3"/>
        </w:rPr>
      </w:pPr>
    </w:p>
    <w:p w14:paraId="02E6656A" w14:textId="40A37926" w:rsidR="00280FA2" w:rsidRDefault="00280FA2" w:rsidP="00280FA2">
      <w:pPr>
        <w:tabs>
          <w:tab w:val="left" w:pos="-1432"/>
          <w:tab w:val="left" w:pos="-1021"/>
          <w:tab w:val="left" w:pos="850"/>
          <w:tab w:val="left" w:pos="10800"/>
          <w:tab w:val="left" w:pos="11339"/>
          <w:tab w:val="left" w:pos="11905"/>
          <w:tab w:val="left" w:pos="12240"/>
        </w:tabs>
        <w:suppressAutoHyphens/>
        <w:spacing w:line="360" w:lineRule="atLeast"/>
        <w:ind w:left="1440" w:hanging="1440"/>
        <w:jc w:val="center"/>
        <w:rPr>
          <w:spacing w:val="-3"/>
        </w:rPr>
      </w:pPr>
      <w:r>
        <w:rPr>
          <w:noProof/>
          <w:spacing w:val="-3"/>
        </w:rPr>
        <w:lastRenderedPageBreak/>
        <w:drawing>
          <wp:inline distT="0" distB="0" distL="0" distR="0" wp14:anchorId="2EF02061" wp14:editId="0A5381B3">
            <wp:extent cx="5477510" cy="2959100"/>
            <wp:effectExtent l="0" t="0" r="889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1475">
                      <a:extLst>
                        <a:ext uri="{28A0092B-C50C-407E-A947-70E740481C1C}">
                          <a14:useLocalDpi xmlns:a14="http://schemas.microsoft.com/office/drawing/2010/main" val="0"/>
                        </a:ext>
                      </a:extLst>
                    </a:blip>
                    <a:srcRect/>
                    <a:stretch>
                      <a:fillRect/>
                    </a:stretch>
                  </pic:blipFill>
                  <pic:spPr bwMode="auto">
                    <a:xfrm>
                      <a:off x="0" y="0"/>
                      <a:ext cx="5477510" cy="2959100"/>
                    </a:xfrm>
                    <a:prstGeom prst="rect">
                      <a:avLst/>
                    </a:prstGeom>
                    <a:noFill/>
                    <a:ln>
                      <a:noFill/>
                    </a:ln>
                  </pic:spPr>
                </pic:pic>
              </a:graphicData>
            </a:graphic>
          </wp:inline>
        </w:drawing>
      </w:r>
    </w:p>
    <w:p w14:paraId="5BCD40FD" w14:textId="77777777" w:rsidR="00280FA2" w:rsidRDefault="00280FA2" w:rsidP="00280FA2">
      <w:pPr>
        <w:tabs>
          <w:tab w:val="left" w:pos="-1432"/>
          <w:tab w:val="left" w:pos="-1021"/>
          <w:tab w:val="left" w:pos="850"/>
          <w:tab w:val="left" w:pos="10800"/>
          <w:tab w:val="left" w:pos="11339"/>
          <w:tab w:val="left" w:pos="11905"/>
          <w:tab w:val="left" w:pos="12240"/>
        </w:tabs>
        <w:suppressAutoHyphens/>
        <w:spacing w:line="360" w:lineRule="atLeast"/>
        <w:ind w:left="1440" w:hanging="1440"/>
        <w:jc w:val="center"/>
        <w:rPr>
          <w:spacing w:val="-3"/>
        </w:rPr>
      </w:pPr>
      <w:r>
        <w:rPr>
          <w:spacing w:val="-3"/>
        </w:rPr>
        <w:t>(a)</w:t>
      </w:r>
    </w:p>
    <w:p w14:paraId="6C430D91" w14:textId="77777777" w:rsidR="00280FA2" w:rsidRDefault="00280FA2" w:rsidP="00280FA2">
      <w:pPr>
        <w:tabs>
          <w:tab w:val="left" w:pos="-1432"/>
          <w:tab w:val="left" w:pos="-1021"/>
          <w:tab w:val="left" w:pos="850"/>
          <w:tab w:val="left" w:pos="10800"/>
          <w:tab w:val="left" w:pos="11339"/>
          <w:tab w:val="left" w:pos="11905"/>
          <w:tab w:val="left" w:pos="12240"/>
        </w:tabs>
        <w:suppressAutoHyphens/>
        <w:spacing w:line="360" w:lineRule="atLeast"/>
        <w:ind w:left="1440" w:hanging="1440"/>
        <w:jc w:val="center"/>
        <w:rPr>
          <w:spacing w:val="-3"/>
        </w:rPr>
      </w:pPr>
    </w:p>
    <w:p w14:paraId="636C547B" w14:textId="68CD06CA" w:rsidR="00280FA2" w:rsidRDefault="00280FA2" w:rsidP="00280FA2">
      <w:pPr>
        <w:tabs>
          <w:tab w:val="left" w:pos="-1432"/>
          <w:tab w:val="left" w:pos="-1021"/>
          <w:tab w:val="left" w:pos="850"/>
          <w:tab w:val="left" w:pos="10800"/>
          <w:tab w:val="left" w:pos="11339"/>
          <w:tab w:val="left" w:pos="11905"/>
          <w:tab w:val="left" w:pos="12240"/>
        </w:tabs>
        <w:suppressAutoHyphens/>
        <w:spacing w:line="360" w:lineRule="atLeast"/>
        <w:ind w:left="1440" w:hanging="1440"/>
        <w:rPr>
          <w:spacing w:val="-3"/>
        </w:rPr>
      </w:pPr>
      <w:r>
        <w:rPr>
          <w:noProof/>
          <w:spacing w:val="-3"/>
        </w:rPr>
        <w:drawing>
          <wp:inline distT="0" distB="0" distL="0" distR="0" wp14:anchorId="4D16E81A" wp14:editId="0CD34ECC">
            <wp:extent cx="5477510" cy="2622550"/>
            <wp:effectExtent l="0" t="0" r="889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1476" cstate="print">
                      <a:extLst>
                        <a:ext uri="{28A0092B-C50C-407E-A947-70E740481C1C}">
                          <a14:useLocalDpi xmlns:a14="http://schemas.microsoft.com/office/drawing/2010/main" val="0"/>
                        </a:ext>
                      </a:extLst>
                    </a:blip>
                    <a:srcRect/>
                    <a:stretch>
                      <a:fillRect/>
                    </a:stretch>
                  </pic:blipFill>
                  <pic:spPr bwMode="auto">
                    <a:xfrm>
                      <a:off x="0" y="0"/>
                      <a:ext cx="5477510" cy="2622550"/>
                    </a:xfrm>
                    <a:prstGeom prst="rect">
                      <a:avLst/>
                    </a:prstGeom>
                    <a:noFill/>
                    <a:ln>
                      <a:noFill/>
                    </a:ln>
                  </pic:spPr>
                </pic:pic>
              </a:graphicData>
            </a:graphic>
          </wp:inline>
        </w:drawing>
      </w:r>
    </w:p>
    <w:p w14:paraId="4DF1E699" w14:textId="77777777" w:rsidR="00280FA2" w:rsidRDefault="00280FA2" w:rsidP="00280FA2">
      <w:pPr>
        <w:tabs>
          <w:tab w:val="left" w:pos="-1432"/>
          <w:tab w:val="left" w:pos="-1021"/>
          <w:tab w:val="left" w:pos="850"/>
          <w:tab w:val="left" w:pos="10800"/>
          <w:tab w:val="left" w:pos="11339"/>
          <w:tab w:val="left" w:pos="11905"/>
          <w:tab w:val="left" w:pos="12240"/>
        </w:tabs>
        <w:suppressAutoHyphens/>
        <w:spacing w:line="360" w:lineRule="atLeast"/>
        <w:ind w:left="1440" w:hanging="1440"/>
        <w:jc w:val="center"/>
        <w:rPr>
          <w:spacing w:val="-3"/>
        </w:rPr>
      </w:pPr>
      <w:r>
        <w:rPr>
          <w:spacing w:val="-3"/>
        </w:rPr>
        <w:t>(b)</w:t>
      </w:r>
    </w:p>
    <w:p w14:paraId="54285558" w14:textId="77777777" w:rsidR="00280FA2" w:rsidRDefault="00280FA2" w:rsidP="00280FA2">
      <w:pPr>
        <w:tabs>
          <w:tab w:val="left" w:pos="-1432"/>
          <w:tab w:val="left" w:pos="-1021"/>
          <w:tab w:val="left" w:pos="850"/>
          <w:tab w:val="left" w:pos="10800"/>
          <w:tab w:val="left" w:pos="11339"/>
          <w:tab w:val="left" w:pos="11905"/>
          <w:tab w:val="left" w:pos="12240"/>
        </w:tabs>
        <w:suppressAutoHyphens/>
        <w:spacing w:line="360" w:lineRule="atLeast"/>
        <w:ind w:left="1440" w:hanging="1440"/>
        <w:rPr>
          <w:spacing w:val="-3"/>
        </w:rPr>
      </w:pPr>
      <w:r>
        <w:rPr>
          <w:spacing w:val="-3"/>
        </w:rPr>
        <w:t xml:space="preserve">Fig. 9.14. Comparison between predicted and experimentally obtained shrinkage porosities for: (a) high pressure die casting of aluminum alloys; (b) casting for a steel locking jaw (Courtesy: ESI Group, </w:t>
      </w:r>
      <w:smartTag w:uri="urn:schemas-microsoft-com:office:smarttags" w:element="place">
        <w:smartTag w:uri="urn:schemas-microsoft-com:office:smarttags" w:element="City">
          <w:r>
            <w:rPr>
              <w:spacing w:val="-3"/>
            </w:rPr>
            <w:t>Columbia</w:t>
          </w:r>
        </w:smartTag>
        <w:r>
          <w:rPr>
            <w:spacing w:val="-3"/>
          </w:rPr>
          <w:t xml:space="preserve">, </w:t>
        </w:r>
        <w:smartTag w:uri="urn:schemas-microsoft-com:office:smarttags" w:element="State">
          <w:r>
            <w:rPr>
              <w:spacing w:val="-3"/>
            </w:rPr>
            <w:t>MD</w:t>
          </w:r>
        </w:smartTag>
      </w:smartTag>
      <w:r>
        <w:rPr>
          <w:spacing w:val="-3"/>
        </w:rPr>
        <w:t xml:space="preserve">). </w:t>
      </w:r>
    </w:p>
    <w:p w14:paraId="2A5F020A" w14:textId="0FA136E1" w:rsidR="00280FA2" w:rsidRDefault="00280FA2" w:rsidP="00280FA2">
      <w:pPr>
        <w:tabs>
          <w:tab w:val="left" w:pos="-1432"/>
          <w:tab w:val="left" w:pos="-1021"/>
          <w:tab w:val="left" w:pos="850"/>
          <w:tab w:val="left" w:pos="10800"/>
          <w:tab w:val="left" w:pos="11339"/>
          <w:tab w:val="left" w:pos="11905"/>
          <w:tab w:val="left" w:pos="12240"/>
        </w:tabs>
        <w:suppressAutoHyphens/>
        <w:spacing w:line="360" w:lineRule="atLeast"/>
        <w:rPr>
          <w:spacing w:val="-3"/>
        </w:rPr>
      </w:pPr>
      <w:r>
        <w:rPr>
          <w:noProof/>
          <w:spacing w:val="-3"/>
        </w:rPr>
        <w:lastRenderedPageBreak/>
        <w:drawing>
          <wp:inline distT="0" distB="0" distL="0" distR="0" wp14:anchorId="02D31680" wp14:editId="5FB06303">
            <wp:extent cx="5486400" cy="2837815"/>
            <wp:effectExtent l="0" t="0" r="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1477" cstate="print">
                      <a:extLst>
                        <a:ext uri="{28A0092B-C50C-407E-A947-70E740481C1C}">
                          <a14:useLocalDpi xmlns:a14="http://schemas.microsoft.com/office/drawing/2010/main" val="0"/>
                        </a:ext>
                      </a:extLst>
                    </a:blip>
                    <a:srcRect/>
                    <a:stretch>
                      <a:fillRect/>
                    </a:stretch>
                  </pic:blipFill>
                  <pic:spPr bwMode="auto">
                    <a:xfrm>
                      <a:off x="0" y="0"/>
                      <a:ext cx="5486400" cy="2837815"/>
                    </a:xfrm>
                    <a:prstGeom prst="rect">
                      <a:avLst/>
                    </a:prstGeom>
                    <a:noFill/>
                    <a:ln>
                      <a:noFill/>
                    </a:ln>
                  </pic:spPr>
                </pic:pic>
              </a:graphicData>
            </a:graphic>
          </wp:inline>
        </w:drawing>
      </w:r>
    </w:p>
    <w:p w14:paraId="19DDF0C8" w14:textId="27DE8711" w:rsidR="00280FA2" w:rsidRDefault="00280FA2" w:rsidP="00280FA2">
      <w:pPr>
        <w:tabs>
          <w:tab w:val="left" w:pos="-1432"/>
          <w:tab w:val="left" w:pos="-1021"/>
          <w:tab w:val="left" w:pos="850"/>
          <w:tab w:val="left" w:pos="10800"/>
          <w:tab w:val="left" w:pos="11339"/>
          <w:tab w:val="left" w:pos="11905"/>
          <w:tab w:val="left" w:pos="12240"/>
        </w:tabs>
        <w:suppressAutoHyphens/>
        <w:spacing w:line="360" w:lineRule="atLeast"/>
        <w:ind w:left="1440" w:hanging="1440"/>
        <w:rPr>
          <w:spacing w:val="-3"/>
        </w:rPr>
      </w:pPr>
      <w:r>
        <w:rPr>
          <w:spacing w:val="-3"/>
        </w:rPr>
        <w:t>Fig. 9.15. Application of multiscale model to predict maximum pore length (L</w:t>
      </w:r>
      <w:r w:rsidRPr="002021BF">
        <w:rPr>
          <w:spacing w:val="-3"/>
          <w:vertAlign w:val="subscript"/>
        </w:rPr>
        <w:t>max</w:t>
      </w:r>
      <w:r>
        <w:rPr>
          <w:spacing w:val="-3"/>
        </w:rPr>
        <w:t>) in an engine block casting made of W319 alloy. a) C</w:t>
      </w:r>
      <w:r w:rsidRPr="002021BF">
        <w:rPr>
          <w:spacing w:val="-3"/>
          <w:vertAlign w:val="subscript"/>
        </w:rPr>
        <w:t>H</w:t>
      </w:r>
      <w:r>
        <w:rPr>
          <w:spacing w:val="-3"/>
        </w:rPr>
        <w:t>=0.1 mL/100g; b) C</w:t>
      </w:r>
      <w:r w:rsidRPr="002021BF">
        <w:rPr>
          <w:spacing w:val="-3"/>
          <w:vertAlign w:val="subscript"/>
        </w:rPr>
        <w:t>H</w:t>
      </w:r>
      <w:r>
        <w:rPr>
          <w:spacing w:val="-3"/>
        </w:rPr>
        <w:t xml:space="preserve">=0.2 mL/100g. (Lee et </w:t>
      </w:r>
      <w:r w:rsidR="005B5AE0">
        <w:rPr>
          <w:spacing w:val="-3"/>
        </w:rPr>
        <w:t>A</w:t>
      </w:r>
      <w:r>
        <w:rPr>
          <w:spacing w:val="-3"/>
        </w:rPr>
        <w:t>l</w:t>
      </w:r>
      <w:r w:rsidR="005B5AE0">
        <w:rPr>
          <w:spacing w:val="-3"/>
        </w:rPr>
        <w:t>.</w:t>
      </w:r>
      <w:r>
        <w:rPr>
          <w:spacing w:val="-3"/>
        </w:rPr>
        <w:t xml:space="preserve"> [2004]).</w:t>
      </w:r>
    </w:p>
    <w:p w14:paraId="726AF681" w14:textId="2940FF3C" w:rsidR="00280FA2" w:rsidRDefault="00280FA2" w:rsidP="00280FA2">
      <w:pPr>
        <w:tabs>
          <w:tab w:val="left" w:pos="-1432"/>
          <w:tab w:val="left" w:pos="-1021"/>
          <w:tab w:val="left" w:pos="850"/>
          <w:tab w:val="left" w:pos="10800"/>
          <w:tab w:val="left" w:pos="11339"/>
          <w:tab w:val="left" w:pos="11905"/>
          <w:tab w:val="left" w:pos="12240"/>
        </w:tabs>
        <w:suppressAutoHyphens/>
        <w:spacing w:line="360" w:lineRule="atLeast"/>
        <w:rPr>
          <w:spacing w:val="-3"/>
        </w:rPr>
      </w:pPr>
      <w:r>
        <w:rPr>
          <w:noProof/>
          <w:spacing w:val="-3"/>
        </w:rPr>
        <w:drawing>
          <wp:inline distT="0" distB="0" distL="0" distR="0" wp14:anchorId="7712D2EF" wp14:editId="6BAB64A5">
            <wp:extent cx="5486400" cy="200596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1478">
                      <a:extLst>
                        <a:ext uri="{28A0092B-C50C-407E-A947-70E740481C1C}">
                          <a14:useLocalDpi xmlns:a14="http://schemas.microsoft.com/office/drawing/2010/main" val="0"/>
                        </a:ext>
                      </a:extLst>
                    </a:blip>
                    <a:srcRect/>
                    <a:stretch>
                      <a:fillRect/>
                    </a:stretch>
                  </pic:blipFill>
                  <pic:spPr bwMode="auto">
                    <a:xfrm>
                      <a:off x="0" y="0"/>
                      <a:ext cx="5486400" cy="2005965"/>
                    </a:xfrm>
                    <a:prstGeom prst="rect">
                      <a:avLst/>
                    </a:prstGeom>
                    <a:noFill/>
                    <a:ln>
                      <a:noFill/>
                    </a:ln>
                  </pic:spPr>
                </pic:pic>
              </a:graphicData>
            </a:graphic>
          </wp:inline>
        </w:drawing>
      </w:r>
    </w:p>
    <w:p w14:paraId="0C7FA881" w14:textId="77777777" w:rsidR="00280FA2" w:rsidRDefault="00280FA2" w:rsidP="00280FA2">
      <w:pPr>
        <w:tabs>
          <w:tab w:val="left" w:pos="-720"/>
          <w:tab w:val="left" w:pos="0"/>
          <w:tab w:val="left" w:pos="720"/>
        </w:tabs>
        <w:suppressAutoHyphens/>
        <w:spacing w:line="240" w:lineRule="atLeast"/>
        <w:ind w:left="1440" w:hanging="1440"/>
        <w:rPr>
          <w:spacing w:val="-3"/>
        </w:rPr>
      </w:pPr>
      <w:r>
        <w:rPr>
          <w:spacing w:val="-3"/>
        </w:rPr>
        <w:t>Figure 9.16</w:t>
      </w:r>
      <w:r>
        <w:rPr>
          <w:spacing w:val="-3"/>
        </w:rPr>
        <w:tab/>
        <w:t xml:space="preserve">Sequence of x-ray microradiographs showing the formation of gas porosity in a directionally solidified Al-30 </w:t>
      </w:r>
      <w:r w:rsidRPr="001B068D">
        <w:rPr>
          <w:spacing w:val="-3"/>
          <w:highlight w:val="yellow"/>
        </w:rPr>
        <w:t>wt</w:t>
      </w:r>
      <w:r>
        <w:rPr>
          <w:spacing w:val="-3"/>
        </w:rPr>
        <w:t>% Cu alloy, and its subsequent entrapment by the eutectic front (Mathiesen and Arnberg [2007]).</w:t>
      </w:r>
    </w:p>
    <w:p w14:paraId="1870173C" w14:textId="3F6EFF4B" w:rsidR="00280FA2" w:rsidRDefault="00280FA2" w:rsidP="00280FA2">
      <w:pPr>
        <w:tabs>
          <w:tab w:val="left" w:pos="-1432"/>
          <w:tab w:val="left" w:pos="-1021"/>
          <w:tab w:val="left" w:pos="850"/>
          <w:tab w:val="left" w:pos="10800"/>
          <w:tab w:val="left" w:pos="11339"/>
          <w:tab w:val="left" w:pos="11905"/>
          <w:tab w:val="left" w:pos="12240"/>
        </w:tabs>
        <w:suppressAutoHyphens/>
        <w:spacing w:line="360" w:lineRule="atLeast"/>
        <w:jc w:val="center"/>
        <w:rPr>
          <w:spacing w:val="-3"/>
        </w:rPr>
      </w:pPr>
      <w:r>
        <w:rPr>
          <w:noProof/>
          <w:spacing w:val="-3"/>
        </w:rPr>
        <w:lastRenderedPageBreak/>
        <w:drawing>
          <wp:inline distT="0" distB="0" distL="0" distR="0" wp14:anchorId="28332200" wp14:editId="2CB53996">
            <wp:extent cx="5141595" cy="3977005"/>
            <wp:effectExtent l="0" t="0" r="1905"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1479">
                      <a:extLst>
                        <a:ext uri="{28A0092B-C50C-407E-A947-70E740481C1C}">
                          <a14:useLocalDpi xmlns:a14="http://schemas.microsoft.com/office/drawing/2010/main" val="0"/>
                        </a:ext>
                      </a:extLst>
                    </a:blip>
                    <a:srcRect/>
                    <a:stretch>
                      <a:fillRect/>
                    </a:stretch>
                  </pic:blipFill>
                  <pic:spPr bwMode="auto">
                    <a:xfrm>
                      <a:off x="0" y="0"/>
                      <a:ext cx="5141595" cy="3977005"/>
                    </a:xfrm>
                    <a:prstGeom prst="rect">
                      <a:avLst/>
                    </a:prstGeom>
                    <a:noFill/>
                    <a:ln>
                      <a:noFill/>
                    </a:ln>
                  </pic:spPr>
                </pic:pic>
              </a:graphicData>
            </a:graphic>
          </wp:inline>
        </w:drawing>
      </w:r>
    </w:p>
    <w:p w14:paraId="1F381F62" w14:textId="77777777" w:rsidR="00280FA2" w:rsidRDefault="00280FA2" w:rsidP="00280FA2">
      <w:pPr>
        <w:tabs>
          <w:tab w:val="left" w:pos="-1432"/>
          <w:tab w:val="left" w:pos="-1021"/>
          <w:tab w:val="left" w:pos="850"/>
          <w:tab w:val="left" w:pos="10800"/>
          <w:tab w:val="left" w:pos="11339"/>
          <w:tab w:val="left" w:pos="11905"/>
          <w:tab w:val="left" w:pos="12240"/>
        </w:tabs>
        <w:suppressAutoHyphens/>
        <w:spacing w:line="360" w:lineRule="atLeast"/>
        <w:rPr>
          <w:spacing w:val="-3"/>
        </w:rPr>
      </w:pPr>
      <w:r>
        <w:rPr>
          <w:spacing w:val="-3"/>
        </w:rPr>
        <w:t>Figure  9.17  Schematic drawing of measures to reduce inclusion defects. Esaka [1999].</w:t>
      </w:r>
    </w:p>
    <w:p w14:paraId="4718AA20" w14:textId="4A219D09" w:rsidR="00280FA2" w:rsidRDefault="00280FA2" w:rsidP="00280FA2">
      <w:pPr>
        <w:tabs>
          <w:tab w:val="left" w:pos="-1432"/>
          <w:tab w:val="left" w:pos="-1021"/>
          <w:tab w:val="left" w:pos="850"/>
          <w:tab w:val="left" w:pos="10800"/>
          <w:tab w:val="left" w:pos="11339"/>
          <w:tab w:val="left" w:pos="11905"/>
          <w:tab w:val="left" w:pos="12240"/>
        </w:tabs>
        <w:suppressAutoHyphens/>
        <w:spacing w:line="360" w:lineRule="atLeast"/>
        <w:rPr>
          <w:spacing w:val="-3"/>
        </w:rPr>
      </w:pPr>
      <w:r>
        <w:rPr>
          <w:noProof/>
          <w:spacing w:val="-3"/>
        </w:rPr>
        <w:drawing>
          <wp:inline distT="0" distB="0" distL="0" distR="0" wp14:anchorId="4CAC1844" wp14:editId="77B0866B">
            <wp:extent cx="5486400" cy="235966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1480" cstate="print">
                      <a:extLst>
                        <a:ext uri="{28A0092B-C50C-407E-A947-70E740481C1C}">
                          <a14:useLocalDpi xmlns:a14="http://schemas.microsoft.com/office/drawing/2010/main" val="0"/>
                        </a:ext>
                      </a:extLst>
                    </a:blip>
                    <a:srcRect/>
                    <a:stretch>
                      <a:fillRect/>
                    </a:stretch>
                  </pic:blipFill>
                  <pic:spPr bwMode="auto">
                    <a:xfrm>
                      <a:off x="0" y="0"/>
                      <a:ext cx="5486400" cy="2359660"/>
                    </a:xfrm>
                    <a:prstGeom prst="rect">
                      <a:avLst/>
                    </a:prstGeom>
                    <a:noFill/>
                    <a:ln>
                      <a:noFill/>
                    </a:ln>
                  </pic:spPr>
                </pic:pic>
              </a:graphicData>
            </a:graphic>
          </wp:inline>
        </w:drawing>
      </w:r>
    </w:p>
    <w:p w14:paraId="184357F5" w14:textId="77777777" w:rsidR="00280FA2" w:rsidRDefault="00280FA2" w:rsidP="00280FA2">
      <w:pPr>
        <w:tabs>
          <w:tab w:val="left" w:pos="-1432"/>
          <w:tab w:val="left" w:pos="-1021"/>
          <w:tab w:val="left" w:pos="850"/>
          <w:tab w:val="left" w:pos="10800"/>
          <w:tab w:val="left" w:pos="11339"/>
          <w:tab w:val="left" w:pos="11905"/>
          <w:tab w:val="left" w:pos="12240"/>
        </w:tabs>
        <w:suppressAutoHyphens/>
        <w:spacing w:line="360" w:lineRule="atLeast"/>
        <w:ind w:left="1440" w:hanging="1440"/>
        <w:rPr>
          <w:spacing w:val="-3"/>
        </w:rPr>
      </w:pPr>
      <w:r>
        <w:rPr>
          <w:spacing w:val="-3"/>
        </w:rPr>
        <w:t>Fig. 9.18. a) Final step in the design of deoxidation in the continuous caster: prediction of indigenous inclusions (based on melt chemistry and thermodynamic equilibrium) after solidification in the caster; b) EDX analysis of indigenous oxide inclusions of MnO-Al</w:t>
      </w:r>
      <w:r w:rsidRPr="000C4C81">
        <w:rPr>
          <w:spacing w:val="-3"/>
          <w:vertAlign w:val="subscript"/>
        </w:rPr>
        <w:t>2</w:t>
      </w:r>
      <w:r>
        <w:rPr>
          <w:spacing w:val="-3"/>
        </w:rPr>
        <w:t>O</w:t>
      </w:r>
      <w:r w:rsidRPr="000C4C81">
        <w:rPr>
          <w:spacing w:val="-3"/>
          <w:vertAlign w:val="subscript"/>
        </w:rPr>
        <w:t>3</w:t>
      </w:r>
      <w:r>
        <w:rPr>
          <w:spacing w:val="-3"/>
        </w:rPr>
        <w:t>-SiO</w:t>
      </w:r>
      <w:r w:rsidRPr="000C4C81">
        <w:rPr>
          <w:spacing w:val="-3"/>
          <w:vertAlign w:val="subscript"/>
        </w:rPr>
        <w:t>2</w:t>
      </w:r>
      <w:r>
        <w:rPr>
          <w:spacing w:val="-3"/>
        </w:rPr>
        <w:t xml:space="preserve"> in inclusion engineered 11SMn37 steel as-rolled. (Zhang et al [2004]).</w:t>
      </w:r>
    </w:p>
    <w:p w14:paraId="6A920CAC" w14:textId="1943E797" w:rsidR="00280FA2" w:rsidRDefault="00280FA2" w:rsidP="00280FA2">
      <w:pPr>
        <w:tabs>
          <w:tab w:val="left" w:pos="-1432"/>
          <w:tab w:val="left" w:pos="-1021"/>
          <w:tab w:val="left" w:pos="850"/>
          <w:tab w:val="left" w:pos="10800"/>
          <w:tab w:val="left" w:pos="11339"/>
          <w:tab w:val="left" w:pos="11905"/>
          <w:tab w:val="left" w:pos="12240"/>
        </w:tabs>
        <w:suppressAutoHyphens/>
        <w:spacing w:line="360" w:lineRule="atLeast"/>
        <w:jc w:val="center"/>
        <w:rPr>
          <w:spacing w:val="-3"/>
        </w:rPr>
      </w:pPr>
      <w:r>
        <w:rPr>
          <w:noProof/>
        </w:rPr>
        <w:lastRenderedPageBreak/>
        <w:drawing>
          <wp:anchor distT="0" distB="0" distL="114300" distR="114300" simplePos="0" relativeHeight="251660288" behindDoc="0" locked="0" layoutInCell="1" allowOverlap="1" wp14:anchorId="5308207C" wp14:editId="519D43EE">
            <wp:simplePos x="0" y="0"/>
            <wp:positionH relativeFrom="column">
              <wp:posOffset>2668270</wp:posOffset>
            </wp:positionH>
            <wp:positionV relativeFrom="paragraph">
              <wp:posOffset>-468630</wp:posOffset>
            </wp:positionV>
            <wp:extent cx="2450465" cy="2411095"/>
            <wp:effectExtent l="0" t="0" r="6985" b="8255"/>
            <wp:wrapSquare wrapText="bothSides"/>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1481">
                      <a:extLst>
                        <a:ext uri="{28A0092B-C50C-407E-A947-70E740481C1C}">
                          <a14:useLocalDpi xmlns:a14="http://schemas.microsoft.com/office/drawing/2010/main" val="0"/>
                        </a:ext>
                      </a:extLst>
                    </a:blip>
                    <a:srcRect/>
                    <a:stretch>
                      <a:fillRect/>
                    </a:stretch>
                  </pic:blipFill>
                  <pic:spPr bwMode="auto">
                    <a:xfrm>
                      <a:off x="0" y="0"/>
                      <a:ext cx="2450465" cy="241109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79D31A92" wp14:editId="6CE4391F">
            <wp:simplePos x="0" y="0"/>
            <wp:positionH relativeFrom="column">
              <wp:posOffset>382270</wp:posOffset>
            </wp:positionH>
            <wp:positionV relativeFrom="paragraph">
              <wp:posOffset>-609600</wp:posOffset>
            </wp:positionV>
            <wp:extent cx="2343150" cy="2552065"/>
            <wp:effectExtent l="0" t="0" r="0" b="635"/>
            <wp:wrapSquare wrapText="bothSides"/>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1482">
                      <a:extLst>
                        <a:ext uri="{28A0092B-C50C-407E-A947-70E740481C1C}">
                          <a14:useLocalDpi xmlns:a14="http://schemas.microsoft.com/office/drawing/2010/main" val="0"/>
                        </a:ext>
                      </a:extLst>
                    </a:blip>
                    <a:srcRect/>
                    <a:stretch>
                      <a:fillRect/>
                    </a:stretch>
                  </pic:blipFill>
                  <pic:spPr bwMode="auto">
                    <a:xfrm>
                      <a:off x="0" y="0"/>
                      <a:ext cx="2343150" cy="2552065"/>
                    </a:xfrm>
                    <a:prstGeom prst="rect">
                      <a:avLst/>
                    </a:prstGeom>
                    <a:solidFill>
                      <a:srgbClr val="EEECE1"/>
                    </a:solidFill>
                  </pic:spPr>
                </pic:pic>
              </a:graphicData>
            </a:graphic>
            <wp14:sizeRelH relativeFrom="page">
              <wp14:pctWidth>0</wp14:pctWidth>
            </wp14:sizeRelH>
            <wp14:sizeRelV relativeFrom="page">
              <wp14:pctHeight>0</wp14:pctHeight>
            </wp14:sizeRelV>
          </wp:anchor>
        </w:drawing>
      </w:r>
    </w:p>
    <w:p w14:paraId="7FFD04F0" w14:textId="77777777" w:rsidR="00280FA2" w:rsidRDefault="00280FA2" w:rsidP="00280FA2">
      <w:pPr>
        <w:tabs>
          <w:tab w:val="left" w:pos="-720"/>
          <w:tab w:val="left" w:pos="0"/>
          <w:tab w:val="left" w:pos="720"/>
        </w:tabs>
        <w:suppressAutoHyphens/>
        <w:spacing w:line="240" w:lineRule="atLeast"/>
        <w:ind w:left="1440" w:hanging="1440"/>
        <w:rPr>
          <w:spacing w:val="-3"/>
        </w:rPr>
      </w:pPr>
    </w:p>
    <w:p w14:paraId="28B35EF4" w14:textId="77777777" w:rsidR="00280FA2" w:rsidRDefault="00280FA2" w:rsidP="00280FA2">
      <w:pPr>
        <w:tabs>
          <w:tab w:val="left" w:pos="-720"/>
          <w:tab w:val="left" w:pos="0"/>
          <w:tab w:val="left" w:pos="720"/>
        </w:tabs>
        <w:suppressAutoHyphens/>
        <w:spacing w:line="240" w:lineRule="atLeast"/>
        <w:ind w:left="1440" w:hanging="1440"/>
        <w:rPr>
          <w:spacing w:val="-3"/>
        </w:rPr>
      </w:pPr>
    </w:p>
    <w:p w14:paraId="044E828C" w14:textId="77777777" w:rsidR="00280FA2" w:rsidRDefault="00280FA2" w:rsidP="00280FA2">
      <w:pPr>
        <w:tabs>
          <w:tab w:val="left" w:pos="-720"/>
          <w:tab w:val="left" w:pos="0"/>
          <w:tab w:val="left" w:pos="720"/>
        </w:tabs>
        <w:suppressAutoHyphens/>
        <w:spacing w:line="240" w:lineRule="atLeast"/>
        <w:ind w:left="1440" w:hanging="1440"/>
        <w:rPr>
          <w:spacing w:val="-3"/>
        </w:rPr>
      </w:pPr>
    </w:p>
    <w:p w14:paraId="52F2E869" w14:textId="77777777" w:rsidR="00280FA2" w:rsidRDefault="00280FA2" w:rsidP="00280FA2">
      <w:pPr>
        <w:tabs>
          <w:tab w:val="left" w:pos="-720"/>
          <w:tab w:val="left" w:pos="0"/>
          <w:tab w:val="left" w:pos="720"/>
        </w:tabs>
        <w:suppressAutoHyphens/>
        <w:spacing w:line="240" w:lineRule="atLeast"/>
        <w:ind w:left="1440" w:hanging="1440"/>
        <w:rPr>
          <w:spacing w:val="-3"/>
        </w:rPr>
      </w:pPr>
    </w:p>
    <w:p w14:paraId="4BCADCC9" w14:textId="77777777" w:rsidR="00280FA2" w:rsidRDefault="00280FA2" w:rsidP="00280FA2">
      <w:pPr>
        <w:tabs>
          <w:tab w:val="left" w:pos="-720"/>
          <w:tab w:val="left" w:pos="0"/>
          <w:tab w:val="left" w:pos="720"/>
        </w:tabs>
        <w:suppressAutoHyphens/>
        <w:spacing w:line="240" w:lineRule="atLeast"/>
        <w:ind w:left="1440" w:hanging="1440"/>
        <w:rPr>
          <w:spacing w:val="-3"/>
        </w:rPr>
      </w:pPr>
    </w:p>
    <w:p w14:paraId="4084E04A" w14:textId="77777777" w:rsidR="00280FA2" w:rsidRDefault="00280FA2" w:rsidP="00280FA2">
      <w:pPr>
        <w:tabs>
          <w:tab w:val="left" w:pos="-720"/>
          <w:tab w:val="left" w:pos="0"/>
          <w:tab w:val="left" w:pos="720"/>
        </w:tabs>
        <w:suppressAutoHyphens/>
        <w:spacing w:line="240" w:lineRule="atLeast"/>
        <w:ind w:left="1440" w:hanging="1440"/>
        <w:rPr>
          <w:spacing w:val="-3"/>
        </w:rPr>
      </w:pPr>
    </w:p>
    <w:p w14:paraId="449D457C" w14:textId="77777777" w:rsidR="00280FA2" w:rsidRDefault="00280FA2" w:rsidP="00280FA2">
      <w:pPr>
        <w:tabs>
          <w:tab w:val="left" w:pos="-720"/>
          <w:tab w:val="left" w:pos="0"/>
          <w:tab w:val="left" w:pos="720"/>
        </w:tabs>
        <w:suppressAutoHyphens/>
        <w:spacing w:line="240" w:lineRule="atLeast"/>
        <w:ind w:left="1440" w:hanging="1440"/>
        <w:rPr>
          <w:spacing w:val="-3"/>
        </w:rPr>
      </w:pPr>
    </w:p>
    <w:p w14:paraId="607F6E47" w14:textId="77777777" w:rsidR="00280FA2" w:rsidRDefault="00280FA2" w:rsidP="00280FA2">
      <w:pPr>
        <w:tabs>
          <w:tab w:val="left" w:pos="-720"/>
          <w:tab w:val="left" w:pos="0"/>
          <w:tab w:val="left" w:pos="720"/>
        </w:tabs>
        <w:suppressAutoHyphens/>
        <w:spacing w:line="240" w:lineRule="atLeast"/>
        <w:ind w:left="1440" w:hanging="1440"/>
        <w:rPr>
          <w:spacing w:val="-3"/>
        </w:rPr>
      </w:pPr>
    </w:p>
    <w:p w14:paraId="13B67788" w14:textId="77777777" w:rsidR="00280FA2" w:rsidRDefault="00280FA2" w:rsidP="00280FA2">
      <w:pPr>
        <w:tabs>
          <w:tab w:val="left" w:pos="-720"/>
          <w:tab w:val="left" w:pos="0"/>
          <w:tab w:val="left" w:pos="720"/>
        </w:tabs>
        <w:suppressAutoHyphens/>
        <w:spacing w:line="240" w:lineRule="atLeast"/>
        <w:ind w:left="1440" w:hanging="1440"/>
        <w:rPr>
          <w:spacing w:val="-3"/>
        </w:rPr>
      </w:pPr>
    </w:p>
    <w:p w14:paraId="5A1458CC" w14:textId="77777777" w:rsidR="00280FA2" w:rsidRDefault="00280FA2" w:rsidP="00280FA2">
      <w:pPr>
        <w:tabs>
          <w:tab w:val="left" w:pos="-720"/>
          <w:tab w:val="left" w:pos="0"/>
          <w:tab w:val="left" w:pos="720"/>
        </w:tabs>
        <w:suppressAutoHyphens/>
        <w:spacing w:line="240" w:lineRule="atLeast"/>
        <w:ind w:left="1440" w:hanging="1440"/>
        <w:rPr>
          <w:spacing w:val="-3"/>
        </w:rPr>
      </w:pPr>
    </w:p>
    <w:p w14:paraId="599F7362" w14:textId="75D6CBD4" w:rsidR="00280FA2" w:rsidRDefault="00280FA2" w:rsidP="00280FA2">
      <w:pPr>
        <w:tabs>
          <w:tab w:val="left" w:pos="-720"/>
          <w:tab w:val="left" w:pos="0"/>
          <w:tab w:val="left" w:pos="720"/>
        </w:tabs>
        <w:suppressAutoHyphens/>
        <w:spacing w:line="240" w:lineRule="atLeast"/>
        <w:ind w:left="1440" w:hanging="1440"/>
        <w:rPr>
          <w:spacing w:val="-3"/>
        </w:rPr>
      </w:pPr>
      <w:r>
        <w:rPr>
          <w:noProof/>
        </w:rPr>
        <w:drawing>
          <wp:anchor distT="0" distB="0" distL="114300" distR="114300" simplePos="0" relativeHeight="251661312" behindDoc="0" locked="0" layoutInCell="1" allowOverlap="1" wp14:anchorId="32AF57F7" wp14:editId="1EE67727">
            <wp:simplePos x="0" y="0"/>
            <wp:positionH relativeFrom="column">
              <wp:posOffset>118745</wp:posOffset>
            </wp:positionH>
            <wp:positionV relativeFrom="paragraph">
              <wp:posOffset>840105</wp:posOffset>
            </wp:positionV>
            <wp:extent cx="5257800" cy="3390900"/>
            <wp:effectExtent l="0" t="0" r="0" b="0"/>
            <wp:wrapSquare wrapText="bothSides"/>
            <wp:docPr id="107" name="Picture 1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rrowheads="1"/>
                    </pic:cNvPicPr>
                  </pic:nvPicPr>
                  <pic:blipFill>
                    <a:blip r:embed="rId1483">
                      <a:extLst>
                        <a:ext uri="{28A0092B-C50C-407E-A947-70E740481C1C}">
                          <a14:useLocalDpi xmlns:a14="http://schemas.microsoft.com/office/drawing/2010/main" val="0"/>
                        </a:ext>
                      </a:extLst>
                    </a:blip>
                    <a:srcRect/>
                    <a:stretch>
                      <a:fillRect/>
                    </a:stretch>
                  </pic:blipFill>
                  <pic:spPr bwMode="auto">
                    <a:xfrm>
                      <a:off x="0" y="0"/>
                      <a:ext cx="5257800" cy="3390900"/>
                    </a:xfrm>
                    <a:prstGeom prst="rect">
                      <a:avLst/>
                    </a:prstGeom>
                    <a:noFill/>
                  </pic:spPr>
                </pic:pic>
              </a:graphicData>
            </a:graphic>
            <wp14:sizeRelH relativeFrom="page">
              <wp14:pctWidth>0</wp14:pctWidth>
            </wp14:sizeRelH>
            <wp14:sizeRelV relativeFrom="page">
              <wp14:pctHeight>0</wp14:pctHeight>
            </wp14:sizeRelV>
          </wp:anchor>
        </w:drawing>
      </w:r>
      <w:r>
        <w:rPr>
          <w:spacing w:val="-3"/>
        </w:rPr>
        <w:t xml:space="preserve">Figure 9.19 </w:t>
      </w:r>
      <w:r>
        <w:rPr>
          <w:spacing w:val="-3"/>
        </w:rPr>
        <w:tab/>
        <w:t>Pushing of small aggregates of Al</w:t>
      </w:r>
      <w:r w:rsidRPr="004A6764">
        <w:rPr>
          <w:spacing w:val="-3"/>
          <w:vertAlign w:val="subscript"/>
        </w:rPr>
        <w:t>2</w:t>
      </w:r>
      <w:r>
        <w:rPr>
          <w:spacing w:val="-3"/>
        </w:rPr>
        <w:t>O</w:t>
      </w:r>
      <w:r w:rsidRPr="004A6764">
        <w:rPr>
          <w:spacing w:val="-3"/>
          <w:vertAlign w:val="subscript"/>
        </w:rPr>
        <w:t>3</w:t>
      </w:r>
      <w:r>
        <w:rPr>
          <w:spacing w:val="-3"/>
        </w:rPr>
        <w:t xml:space="preserve"> inclusions by the advancing solid-liquid interface in a low carbon Al-killed steel. Note that inclusions A and C are pushed leaving grooves behind them, while inclusion B is engulfed. Shibata et al</w:t>
      </w:r>
      <w:r w:rsidR="005B5AE0">
        <w:rPr>
          <w:spacing w:val="-3"/>
        </w:rPr>
        <w:t>.</w:t>
      </w:r>
      <w:r>
        <w:rPr>
          <w:spacing w:val="-3"/>
        </w:rPr>
        <w:t xml:space="preserve"> [1998]. </w:t>
      </w:r>
    </w:p>
    <w:p w14:paraId="551A584F" w14:textId="77777777" w:rsidR="00280FA2" w:rsidRDefault="00280FA2" w:rsidP="00280FA2">
      <w:pPr>
        <w:tabs>
          <w:tab w:val="left" w:pos="-720"/>
          <w:tab w:val="left" w:pos="0"/>
          <w:tab w:val="left" w:pos="720"/>
        </w:tabs>
        <w:suppressAutoHyphens/>
        <w:spacing w:line="240" w:lineRule="atLeast"/>
        <w:rPr>
          <w:spacing w:val="-3"/>
        </w:rPr>
      </w:pPr>
    </w:p>
    <w:p w14:paraId="6EBAA324" w14:textId="27FF3FEB" w:rsidR="00280FA2" w:rsidRDefault="00280FA2" w:rsidP="00280FA2">
      <w:pPr>
        <w:tabs>
          <w:tab w:val="left" w:pos="-720"/>
          <w:tab w:val="left" w:pos="0"/>
          <w:tab w:val="left" w:pos="714"/>
        </w:tabs>
        <w:suppressAutoHyphens/>
        <w:spacing w:line="240" w:lineRule="atLeast"/>
        <w:ind w:left="1440" w:hanging="1440"/>
        <w:rPr>
          <w:spacing w:val="-3"/>
        </w:rPr>
      </w:pPr>
      <w:r>
        <w:rPr>
          <w:spacing w:val="-3"/>
        </w:rPr>
        <w:t>Figure  9.20</w:t>
      </w:r>
      <w:r>
        <w:rPr>
          <w:spacing w:val="-3"/>
        </w:rPr>
        <w:tab/>
        <w:t>Critical condition for the engulfment of Al</w:t>
      </w:r>
      <w:r w:rsidRPr="0024166F">
        <w:rPr>
          <w:spacing w:val="-3"/>
          <w:vertAlign w:val="subscript"/>
        </w:rPr>
        <w:t>2</w:t>
      </w:r>
      <w:r>
        <w:rPr>
          <w:spacing w:val="-3"/>
        </w:rPr>
        <w:t>O</w:t>
      </w:r>
      <w:r w:rsidRPr="0024166F">
        <w:rPr>
          <w:spacing w:val="-3"/>
          <w:vertAlign w:val="subscript"/>
        </w:rPr>
        <w:t>3</w:t>
      </w:r>
      <w:r>
        <w:rPr>
          <w:spacing w:val="-3"/>
        </w:rPr>
        <w:t xml:space="preserve"> inclusions during solidification of low carbon Al-killed steel at 1800 K. Shibata et al</w:t>
      </w:r>
      <w:r w:rsidR="005B5AE0">
        <w:rPr>
          <w:spacing w:val="-3"/>
        </w:rPr>
        <w:t>.</w:t>
      </w:r>
      <w:r>
        <w:rPr>
          <w:spacing w:val="-3"/>
        </w:rPr>
        <w:t xml:space="preserve"> [1998].</w:t>
      </w:r>
    </w:p>
    <w:p w14:paraId="53071CED" w14:textId="77777777" w:rsidR="00DD5865" w:rsidRPr="005F61F5" w:rsidRDefault="00280FA2" w:rsidP="00DD5865">
      <w:pPr>
        <w:jc w:val="center"/>
        <w:rPr>
          <w:b/>
          <w:bCs/>
          <w:sz w:val="28"/>
          <w:szCs w:val="28"/>
        </w:rPr>
      </w:pPr>
      <w:r>
        <w:rPr>
          <w:spacing w:val="-3"/>
        </w:rPr>
        <w:br w:type="page"/>
      </w:r>
    </w:p>
    <w:p w14:paraId="52EDA37D" w14:textId="77777777" w:rsidR="00DD5865" w:rsidRDefault="00DD5865" w:rsidP="00DD5865">
      <w:r w:rsidRPr="005F61F5">
        <w:rPr>
          <w:noProof/>
        </w:rPr>
        <w:lastRenderedPageBreak/>
        <w:drawing>
          <wp:inline distT="0" distB="0" distL="0" distR="0" wp14:anchorId="49A60FA7" wp14:editId="02B34C78">
            <wp:extent cx="5943600" cy="2688590"/>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84" cstate="print">
                      <a:extLst>
                        <a:ext uri="{28A0092B-C50C-407E-A947-70E740481C1C}">
                          <a14:useLocalDpi xmlns:a14="http://schemas.microsoft.com/office/drawing/2010/main" val="0"/>
                        </a:ext>
                      </a:extLst>
                    </a:blip>
                    <a:srcRect/>
                    <a:stretch>
                      <a:fillRect/>
                    </a:stretch>
                  </pic:blipFill>
                  <pic:spPr bwMode="auto">
                    <a:xfrm>
                      <a:off x="0" y="0"/>
                      <a:ext cx="5943600" cy="2688590"/>
                    </a:xfrm>
                    <a:prstGeom prst="rect">
                      <a:avLst/>
                    </a:prstGeom>
                    <a:noFill/>
                    <a:ln>
                      <a:noFill/>
                    </a:ln>
                  </pic:spPr>
                </pic:pic>
              </a:graphicData>
            </a:graphic>
          </wp:inline>
        </w:drawing>
      </w:r>
    </w:p>
    <w:p w14:paraId="01A5C1C3" w14:textId="77777777" w:rsidR="00DD5865" w:rsidRDefault="00DD5865" w:rsidP="00DD5865">
      <w:r>
        <w:t xml:space="preserve">Figure 10.1. </w:t>
      </w:r>
      <w:r w:rsidRPr="00313794">
        <w:t>Adoption of additive manufacturing (AM)</w:t>
      </w:r>
      <w:r>
        <w:t xml:space="preserve"> by industry segments as of 2018 </w:t>
      </w:r>
      <w:r>
        <w:fldChar w:fldCharType="begin"/>
      </w:r>
      <w:r>
        <w:instrText xml:space="preserve"> ADDIN ZOTERO_ITEM CSL_CITATION {"citationID":"tVFm6XKj","properties":{"formattedCitation":"(Campbell et al. 2017)","plainCitation":"(Campbell et al. 2017)","noteIndex":0},"citationItems":[{"id":150,"uris":["http://zotero.org/users/9870952/items/LZK6AMP7"],"itemData":{"id":150,"type":"paper-conference","abstract":"Semantic Scholar extracted view of \"Wohlers Report 2018: 3D printing and additive manufacturing state of the industry: Annual Worldwide Progress Report\" by I. Campbell et al.","source":"Semantic Scholar","title":"Wohlers Report 2018: 3D printing and additive manufacturing state of the industry: Annual Worldwide Progress Report","title-short":"Wohlers Report 2018","URL":"https://www.semanticscholar.org/paper/Wohlers-Report-2018%3A-3D-printing-and-additive-state-Campbell-Diegel/73a503275f46ec1ebaaba2a0e007db081bf6852f","author":[{"family":"Campbell","given":"I."},{"family":"Diegel","given":"O."},{"family":"Kowen","given":"J."},{"family":"Wohlers","given":"T."}],"accessed":{"date-parts":[["2024",1,4]]},"issued":{"date-parts":[["2017"]]}}}],"schema":"https://github.com/citation-style-language/schema/raw/master/csl-citation.json"} </w:instrText>
      </w:r>
      <w:r>
        <w:fldChar w:fldCharType="separate"/>
      </w:r>
      <w:r w:rsidRPr="00826A79">
        <w:rPr>
          <w:rFonts w:cs="Calibri"/>
        </w:rPr>
        <w:t>(Campbell et al. 2017)</w:t>
      </w:r>
      <w:r>
        <w:fldChar w:fldCharType="end"/>
      </w:r>
      <w:r w:rsidRPr="00313794">
        <w:t>.</w:t>
      </w:r>
    </w:p>
    <w:p w14:paraId="4F071707" w14:textId="77777777" w:rsidR="00DD5865" w:rsidRDefault="00DD5865" w:rsidP="00DD5865"/>
    <w:p w14:paraId="5E0B426E" w14:textId="77777777" w:rsidR="00DD5865" w:rsidRDefault="00DD5865" w:rsidP="00DD5865">
      <w:r w:rsidRPr="00A06262">
        <w:rPr>
          <w:noProof/>
        </w:rPr>
        <w:drawing>
          <wp:inline distT="0" distB="0" distL="0" distR="0" wp14:anchorId="3389400E" wp14:editId="336B363A">
            <wp:extent cx="5943600" cy="2827020"/>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85" cstate="print">
                      <a:extLst>
                        <a:ext uri="{28A0092B-C50C-407E-A947-70E740481C1C}">
                          <a14:useLocalDpi xmlns:a14="http://schemas.microsoft.com/office/drawing/2010/main" val="0"/>
                        </a:ext>
                      </a:extLst>
                    </a:blip>
                    <a:srcRect/>
                    <a:stretch>
                      <a:fillRect/>
                    </a:stretch>
                  </pic:blipFill>
                  <pic:spPr bwMode="auto">
                    <a:xfrm>
                      <a:off x="0" y="0"/>
                      <a:ext cx="5943600" cy="2827020"/>
                    </a:xfrm>
                    <a:prstGeom prst="rect">
                      <a:avLst/>
                    </a:prstGeom>
                    <a:noFill/>
                    <a:ln>
                      <a:noFill/>
                    </a:ln>
                  </pic:spPr>
                </pic:pic>
              </a:graphicData>
            </a:graphic>
          </wp:inline>
        </w:drawing>
      </w:r>
    </w:p>
    <w:p w14:paraId="710067ED" w14:textId="77777777" w:rsidR="00DD5865" w:rsidRDefault="00DD5865" w:rsidP="00DD5865">
      <w:r>
        <w:t xml:space="preserve">Figure 10.2. The distribution of metal AM as of 2020 </w:t>
      </w:r>
      <w:r>
        <w:fldChar w:fldCharType="begin"/>
      </w:r>
      <w:r>
        <w:instrText xml:space="preserve"> ADDIN ZOTERO_ITEM CSL_CITATION {"citationID":"WUCx3slc","properties":{"formattedCitation":"(\\uc0\\u8220{}Metal 3D Printers in 2023: A Comprehensive Guide,\\uc0\\u8221{} n.d.)","plainCitation":"(“Metal 3D Printers in 2023: A Comprehensive Guide,” n.d.)","noteIndex":0},"citationItems":[{"id":146,"uris":["http://zotero.org/users/9870952/items/4ISZHNQ5"],"itemData":{"id":146,"type":"webpage","abstract":"What' the best metal 3D printer in 2023? See our comprehensive guide of all metal 3D printing systems (powder, filament, jetting, ...).","container-title":"Aniwaa","language":"en-US","title":"Metal 3D printers in 2023: a comprehensive guide","title-short":"Metal 3D printers in 2023","URL":"https://www.aniwaa.com/buyers-guide/3d-printers/best-metal-3d-printer/","accessed":{"date-parts":[["2024",1,4]]}}}],"schema":"https://github.com/citation-style-language/schema/raw/master/csl-citation.json"} </w:instrText>
      </w:r>
      <w:r>
        <w:fldChar w:fldCharType="separate"/>
      </w:r>
      <w:r w:rsidRPr="00826A79">
        <w:rPr>
          <w:rFonts w:cs="Calibri"/>
        </w:rPr>
        <w:t>(“Metal 3D Printers in 2023: A Comprehensive Guide,” n.d.)</w:t>
      </w:r>
      <w:r>
        <w:fldChar w:fldCharType="end"/>
      </w:r>
      <w:r>
        <w:t>.</w:t>
      </w:r>
      <w:r w:rsidRPr="00313794">
        <w:t xml:space="preserve"> </w:t>
      </w:r>
    </w:p>
    <w:p w14:paraId="379FD381" w14:textId="77777777" w:rsidR="00DD5865" w:rsidRDefault="00DD5865" w:rsidP="00DD5865"/>
    <w:p w14:paraId="0981BEA1" w14:textId="77777777" w:rsidR="00DD5865" w:rsidRDefault="00DD5865" w:rsidP="00DD5865">
      <w:r w:rsidRPr="00367086">
        <w:rPr>
          <w:noProof/>
        </w:rPr>
        <w:drawing>
          <wp:inline distT="0" distB="0" distL="0" distR="0" wp14:anchorId="330C1115" wp14:editId="70F82D70">
            <wp:extent cx="5779008" cy="1161288"/>
            <wp:effectExtent l="0" t="0" r="0" b="127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486" cstate="print">
                      <a:extLst>
                        <a:ext uri="{28A0092B-C50C-407E-A947-70E740481C1C}">
                          <a14:useLocalDpi xmlns:a14="http://schemas.microsoft.com/office/drawing/2010/main" val="0"/>
                        </a:ext>
                      </a:extLst>
                    </a:blip>
                    <a:srcRect l="5661" t="17674" r="20318"/>
                    <a:stretch/>
                  </pic:blipFill>
                  <pic:spPr bwMode="auto">
                    <a:xfrm>
                      <a:off x="0" y="0"/>
                      <a:ext cx="5779008" cy="1161288"/>
                    </a:xfrm>
                    <a:prstGeom prst="rect">
                      <a:avLst/>
                    </a:prstGeom>
                    <a:noFill/>
                    <a:ln>
                      <a:noFill/>
                    </a:ln>
                    <a:extLst>
                      <a:ext uri="{53640926-AAD7-44D8-BBD7-CCE9431645EC}">
                        <a14:shadowObscured xmlns:a14="http://schemas.microsoft.com/office/drawing/2010/main"/>
                      </a:ext>
                    </a:extLst>
                  </pic:spPr>
                </pic:pic>
              </a:graphicData>
            </a:graphic>
          </wp:inline>
        </w:drawing>
      </w:r>
    </w:p>
    <w:p w14:paraId="517AD3E5" w14:textId="0DB9F8E5" w:rsidR="00DD5865" w:rsidRDefault="00DD5865" w:rsidP="00DD5865">
      <w:r>
        <w:t>Figure 10.3. A typical flowchart of the AM process</w:t>
      </w:r>
      <w:r w:rsidR="0062335E">
        <w:t xml:space="preserve"> </w:t>
      </w:r>
      <w:r w:rsidR="0062335E">
        <w:fldChar w:fldCharType="begin"/>
      </w:r>
      <w:r w:rsidR="0062335E">
        <w:instrText xml:space="preserve"> ADDIN ZOTERO_ITEM CSL_CITATION {"citationID":"0QqxQunl","properties":{"formattedCitation":"(Kyogoku and Ikeshoji 2020)","plainCitation":"(Kyogoku and Ikeshoji 2020)","noteIndex":0},"citationItems":[{"id":132,"uris":["http://zotero.org/users/9870952/items/W6XB5S52"],"itemData":{"id":132,"type":"article-journal","container-title":"Mechanical Engineering Reviews","issue":"1","note":"publisher: The Japan Society of Mechanical Engineers","page":"19–00182","source":"Google Scholar","title":"A review of metal additive manufacturing technologies: Mechanism of defects formation and simulation of melting and solidification phenomena in laser powder bed fusion process","title-short":"A review of metal additive manufacturing technologies","volume":"7","author":[{"family":"Kyogoku","given":"Hideki"},{"family":"Ikeshoji","given":"Toshi-Taka"}],"issued":{"date-parts":[["2020"]]}}}],"schema":"https://github.com/citation-style-language/schema/raw/master/csl-citation.json"} </w:instrText>
      </w:r>
      <w:r w:rsidR="0062335E">
        <w:fldChar w:fldCharType="separate"/>
      </w:r>
      <w:r w:rsidR="0062335E" w:rsidRPr="00826A79">
        <w:rPr>
          <w:rFonts w:cs="Calibri"/>
        </w:rPr>
        <w:t>(Kyogoku and Ikeshoji 2020)</w:t>
      </w:r>
      <w:r w:rsidR="0062335E">
        <w:fldChar w:fldCharType="end"/>
      </w:r>
      <w:r>
        <w:t>.</w:t>
      </w:r>
    </w:p>
    <w:p w14:paraId="701FD4E0" w14:textId="77777777" w:rsidR="00DD5865" w:rsidRDefault="00DD5865" w:rsidP="00DD5865"/>
    <w:p w14:paraId="103689AB" w14:textId="77777777" w:rsidR="00DD5865" w:rsidRDefault="00DD5865" w:rsidP="00DD5865">
      <w:r w:rsidRPr="00290CB4">
        <w:rPr>
          <w:noProof/>
        </w:rPr>
        <w:lastRenderedPageBreak/>
        <w:drawing>
          <wp:inline distT="0" distB="0" distL="0" distR="0" wp14:anchorId="7BF42795" wp14:editId="609F6FBF">
            <wp:extent cx="5943600" cy="3042920"/>
            <wp:effectExtent l="0" t="0" r="0" b="508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87" cstate="print">
                      <a:extLst>
                        <a:ext uri="{28A0092B-C50C-407E-A947-70E740481C1C}">
                          <a14:useLocalDpi xmlns:a14="http://schemas.microsoft.com/office/drawing/2010/main" val="0"/>
                        </a:ext>
                      </a:extLst>
                    </a:blip>
                    <a:srcRect/>
                    <a:stretch>
                      <a:fillRect/>
                    </a:stretch>
                  </pic:blipFill>
                  <pic:spPr bwMode="auto">
                    <a:xfrm>
                      <a:off x="0" y="0"/>
                      <a:ext cx="5943600" cy="3042920"/>
                    </a:xfrm>
                    <a:prstGeom prst="rect">
                      <a:avLst/>
                    </a:prstGeom>
                    <a:noFill/>
                    <a:ln>
                      <a:noFill/>
                    </a:ln>
                  </pic:spPr>
                </pic:pic>
              </a:graphicData>
            </a:graphic>
          </wp:inline>
        </w:drawing>
      </w:r>
    </w:p>
    <w:p w14:paraId="174C1501" w14:textId="77777777" w:rsidR="00DD5865" w:rsidRDefault="00DD5865" w:rsidP="00DD5865">
      <w:r>
        <w:t xml:space="preserve">Figure 10.4. Five major AM techniques based on form of feedstock and process of fabrication: (a) PBF; (b) DED; (c) Wire-arc AM; (d) ultrasonic AM; (e) friction based AM </w:t>
      </w:r>
      <w:r>
        <w:fldChar w:fldCharType="begin"/>
      </w:r>
      <w:r>
        <w:instrText xml:space="preserve"> ADDIN ZOTERO_ITEM CSL_CITATION {"citationID":"zkc1Zaq7","properties":{"formattedCitation":"(Bandyopadhyay, Zhang, and Bose 2020)","plainCitation":"(Bandyopadhyay, Zhang, and Bose 2020)","noteIndex":0},"citationItems":[{"id":131,"uris":["http://zotero.org/users/9870952/items/SUNKFF6B"],"itemData":{"id":131,"type":"article-journal","container-title":"Current opinion in chemical engineering","note":"publisher: Elsevier","page":"96–104","source":"Google Scholar","title":"Recent developments in metal additive manufacturing","volume":"28","author":[{"family":"Bandyopadhyay","given":"Amit"},{"family":"Zhang","given":"Yanning"},{"family":"Bose","given":"Susmita"}],"issued":{"date-parts":[["2020"]]}}}],"schema":"https://github.com/citation-style-language/schema/raw/master/csl-citation.json"} </w:instrText>
      </w:r>
      <w:r>
        <w:fldChar w:fldCharType="separate"/>
      </w:r>
      <w:r w:rsidRPr="00826A79">
        <w:rPr>
          <w:rFonts w:cs="Calibri"/>
        </w:rPr>
        <w:t>(Bandyopadhyay, Zhang, and Bose 2020)</w:t>
      </w:r>
      <w:r>
        <w:fldChar w:fldCharType="end"/>
      </w:r>
      <w:r>
        <w:t>.</w:t>
      </w:r>
    </w:p>
    <w:p w14:paraId="5CCE7D76" w14:textId="77777777" w:rsidR="00DD5865" w:rsidRDefault="00DD5865" w:rsidP="00DD5865">
      <w:r>
        <w:rPr>
          <w:noProof/>
        </w:rPr>
        <w:drawing>
          <wp:inline distT="0" distB="0" distL="0" distR="0" wp14:anchorId="5F8ECC86" wp14:editId="04491E3B">
            <wp:extent cx="4010660" cy="2622430"/>
            <wp:effectExtent l="0" t="0" r="0" b="6985"/>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88"/>
                    <a:srcRect l="28265" t="39642" r="52416" b="37934"/>
                    <a:stretch/>
                  </pic:blipFill>
                  <pic:spPr bwMode="auto">
                    <a:xfrm>
                      <a:off x="0" y="0"/>
                      <a:ext cx="4012969" cy="2623940"/>
                    </a:xfrm>
                    <a:prstGeom prst="rect">
                      <a:avLst/>
                    </a:prstGeom>
                    <a:ln>
                      <a:noFill/>
                    </a:ln>
                    <a:extLst>
                      <a:ext uri="{53640926-AAD7-44D8-BBD7-CCE9431645EC}">
                        <a14:shadowObscured xmlns:a14="http://schemas.microsoft.com/office/drawing/2010/main"/>
                      </a:ext>
                    </a:extLst>
                  </pic:spPr>
                </pic:pic>
              </a:graphicData>
            </a:graphic>
          </wp:inline>
        </w:drawing>
      </w:r>
    </w:p>
    <w:p w14:paraId="78AFF73F" w14:textId="77777777" w:rsidR="00DD5865" w:rsidRDefault="00DD5865" w:rsidP="00DD5865">
      <w:r>
        <w:t xml:space="preserve">Figure 10.5. A schematic illustration of an AM powder bed system </w:t>
      </w:r>
      <w:r>
        <w:fldChar w:fldCharType="begin"/>
      </w:r>
      <w:r>
        <w:instrText xml:space="preserve"> ADDIN ZOTERO_ITEM CSL_CITATION {"citationID":"CiNc4qBj","properties":{"formattedCitation":"(Frazier 2014)","plainCitation":"(Frazier 2014)","noteIndex":0},"citationItems":[{"id":211,"uris":["http://zotero.org/users/9870952/items/DXMF3B3W"],"itemData":{"id":211,"type":"article-journal","abstract":"This paper reviews the state-of-the-art of an important, rapidly emerging, manufacturing technology that is alternatively called additive manufacturing (AM), direct digital manufacturing, free form fabrication, or 3D printing, etc. A broad contextual overview of metallic AM is provided. AM has the potential to revolutionize the global parts manufacturing and logistics landscape. It enables distributed manufacturing and the productions of parts-on-demand while offering the potential to reduce cost, energy consumption, and carbon footprint. This paper explores the material science, processes, and business consideration associated with achieving these performance gains. It is concluded that a paradigm shift is required in order to fully exploit AM potential.","container-title":"Journal of Materials Engineering and Performance","DOI":"10.1007/s11665-014-0958-z","ISSN":"1544-1024","issue":"6","journalAbbreviation":"J. of Materi Eng and Perform","language":"en","page":"1917-1928","source":"Springer Link","title":"Metal Additive Manufacturing: A Review","title-short":"Metal Additive Manufacturing","volume":"23","author":[{"family":"Frazier","given":"William E."}],"issued":{"date-parts":[["2014",6,1]]}}}],"schema":"https://github.com/citation-style-language/schema/raw/master/csl-citation.json"} </w:instrText>
      </w:r>
      <w:r>
        <w:fldChar w:fldCharType="separate"/>
      </w:r>
      <w:r w:rsidRPr="00826A79">
        <w:rPr>
          <w:rFonts w:cs="Calibri"/>
        </w:rPr>
        <w:t>(Frazier 2014)</w:t>
      </w:r>
      <w:r>
        <w:fldChar w:fldCharType="end"/>
      </w:r>
      <w:r>
        <w:t>.</w:t>
      </w:r>
    </w:p>
    <w:p w14:paraId="11AD34DC" w14:textId="77777777" w:rsidR="00DD5865" w:rsidRDefault="00DD5865" w:rsidP="00DD5865">
      <w:r>
        <w:rPr>
          <w:noProof/>
        </w:rPr>
        <w:lastRenderedPageBreak/>
        <w:drawing>
          <wp:anchor distT="0" distB="0" distL="114300" distR="114300" simplePos="0" relativeHeight="251671552" behindDoc="0" locked="0" layoutInCell="1" allowOverlap="1" wp14:anchorId="04195FFB" wp14:editId="5C83C98B">
            <wp:simplePos x="0" y="0"/>
            <wp:positionH relativeFrom="column">
              <wp:posOffset>241300</wp:posOffset>
            </wp:positionH>
            <wp:positionV relativeFrom="paragraph">
              <wp:posOffset>274955</wp:posOffset>
            </wp:positionV>
            <wp:extent cx="3096260" cy="2751455"/>
            <wp:effectExtent l="0" t="0" r="8890" b="0"/>
            <wp:wrapSquare wrapText="bothSides"/>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88">
                      <a:extLst>
                        <a:ext uri="{28A0092B-C50C-407E-A947-70E740481C1C}">
                          <a14:useLocalDpi xmlns:a14="http://schemas.microsoft.com/office/drawing/2010/main" val="0"/>
                        </a:ext>
                      </a:extLst>
                    </a:blip>
                    <a:srcRect l="48991" t="39796" r="31723" b="29731"/>
                    <a:stretch/>
                  </pic:blipFill>
                  <pic:spPr bwMode="auto">
                    <a:xfrm>
                      <a:off x="0" y="0"/>
                      <a:ext cx="3096260" cy="27514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CD190E6" w14:textId="77777777" w:rsidR="00DD5865" w:rsidRDefault="00DD5865" w:rsidP="00DD5865"/>
    <w:p w14:paraId="4EB08B24" w14:textId="77777777" w:rsidR="00DD5865" w:rsidRDefault="00DD5865" w:rsidP="00DD5865"/>
    <w:p w14:paraId="65D6B7C5" w14:textId="77777777" w:rsidR="00DD5865" w:rsidRDefault="00DD5865" w:rsidP="00DD5865"/>
    <w:p w14:paraId="7954FCA5" w14:textId="77777777" w:rsidR="00DD5865" w:rsidRDefault="00DD5865" w:rsidP="00DD5865"/>
    <w:p w14:paraId="4C6D3E5A" w14:textId="77777777" w:rsidR="00DD5865" w:rsidRDefault="00DD5865" w:rsidP="00DD5865"/>
    <w:p w14:paraId="15FDD8A4" w14:textId="77777777" w:rsidR="00DD5865" w:rsidRDefault="00DD5865" w:rsidP="00DD5865"/>
    <w:p w14:paraId="466CCC2B" w14:textId="77777777" w:rsidR="00DD5865" w:rsidRDefault="00DD5865" w:rsidP="00DD5865"/>
    <w:p w14:paraId="56E15720" w14:textId="77777777" w:rsidR="00DD5865" w:rsidRDefault="00DD5865" w:rsidP="00DD5865"/>
    <w:p w14:paraId="1DD847BC" w14:textId="77777777" w:rsidR="00DD5865" w:rsidRDefault="00DD5865" w:rsidP="00DD5865"/>
    <w:p w14:paraId="0D44BA5C" w14:textId="77777777" w:rsidR="00DD5865" w:rsidRDefault="00DD5865" w:rsidP="00DD5865"/>
    <w:p w14:paraId="476E0785" w14:textId="77777777" w:rsidR="00D87C10" w:rsidRDefault="00D87C10" w:rsidP="00DD5865"/>
    <w:p w14:paraId="6A2C9A21" w14:textId="77777777" w:rsidR="00D87C10" w:rsidRDefault="00D87C10" w:rsidP="00DD5865"/>
    <w:p w14:paraId="03D70DDE" w14:textId="77777777" w:rsidR="00D87C10" w:rsidRDefault="00D87C10" w:rsidP="00DD5865"/>
    <w:p w14:paraId="2A7C21B0" w14:textId="77777777" w:rsidR="00D87C10" w:rsidRDefault="00D87C10" w:rsidP="00DD5865"/>
    <w:p w14:paraId="62730E4F" w14:textId="77777777" w:rsidR="00D87C10" w:rsidRDefault="00D87C10" w:rsidP="00DD5865"/>
    <w:p w14:paraId="0F455AA5" w14:textId="77777777" w:rsidR="00D87C10" w:rsidRDefault="00D87C10" w:rsidP="00DD5865"/>
    <w:p w14:paraId="46528746" w14:textId="77777777" w:rsidR="00D87C10" w:rsidRDefault="00D87C10" w:rsidP="00DD5865"/>
    <w:p w14:paraId="542A6A11" w14:textId="77777777" w:rsidR="00D87C10" w:rsidRDefault="00D87C10" w:rsidP="00DD5865"/>
    <w:p w14:paraId="20AE24B4" w14:textId="427D18BA" w:rsidR="00DD5865" w:rsidRDefault="00DD5865" w:rsidP="00DD5865">
      <w:r>
        <w:t xml:space="preserve">Figure 10.6. A schematic illustration of an AM powder feed system </w:t>
      </w:r>
      <w:r>
        <w:fldChar w:fldCharType="begin"/>
      </w:r>
      <w:r>
        <w:instrText xml:space="preserve"> ADDIN ZOTERO_ITEM CSL_CITATION {"citationID":"oECRBzWi","properties":{"formattedCitation":"(Frazier 2014)","plainCitation":"(Frazier 2014)","noteIndex":0},"citationItems":[{"id":211,"uris":["http://zotero.org/users/9870952/items/DXMF3B3W"],"itemData":{"id":211,"type":"article-journal","abstract":"This paper reviews the state-of-the-art of an important, rapidly emerging, manufacturing technology that is alternatively called additive manufacturing (AM), direct digital manufacturing, free form fabrication, or 3D printing, etc. A broad contextual overview of metallic AM is provided. AM has the potential to revolutionize the global parts manufacturing and logistics landscape. It enables distributed manufacturing and the productions of parts-on-demand while offering the potential to reduce cost, energy consumption, and carbon footprint. This paper explores the material science, processes, and business consideration associated with achieving these performance gains. It is concluded that a paradigm shift is required in order to fully exploit AM potential.","container-title":"Journal of Materials Engineering and Performance","DOI":"10.1007/s11665-014-0958-z","ISSN":"1544-1024","issue":"6","journalAbbreviation":"J. of Materi Eng and Perform","language":"en","page":"1917-1928","source":"Springer Link","title":"Metal Additive Manufacturing: A Review","title-short":"Metal Additive Manufacturing","volume":"23","author":[{"family":"Frazier","given":"William E."}],"issued":{"date-parts":[["2014",6,1]]}}}],"schema":"https://github.com/citation-style-language/schema/raw/master/csl-citation.json"} </w:instrText>
      </w:r>
      <w:r>
        <w:fldChar w:fldCharType="separate"/>
      </w:r>
      <w:r w:rsidRPr="00826A79">
        <w:rPr>
          <w:rFonts w:cs="Calibri"/>
        </w:rPr>
        <w:t>(Frazier 2014)</w:t>
      </w:r>
      <w:r>
        <w:fldChar w:fldCharType="end"/>
      </w:r>
      <w:r>
        <w:t>.</w:t>
      </w:r>
      <w:r>
        <w:br w:type="page"/>
      </w:r>
    </w:p>
    <w:p w14:paraId="53C2D998" w14:textId="77777777" w:rsidR="00DD5865" w:rsidRDefault="00DD5865" w:rsidP="00DD5865">
      <w:r>
        <w:rPr>
          <w:noProof/>
        </w:rPr>
        <w:lastRenderedPageBreak/>
        <w:drawing>
          <wp:inline distT="0" distB="0" distL="0" distR="0" wp14:anchorId="46D7BD86" wp14:editId="5D8EAA53">
            <wp:extent cx="4356340" cy="2406650"/>
            <wp:effectExtent l="0" t="0" r="635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89"/>
                    <a:srcRect l="29758" t="44739" r="53944" b="39265"/>
                    <a:stretch/>
                  </pic:blipFill>
                  <pic:spPr bwMode="auto">
                    <a:xfrm>
                      <a:off x="0" y="0"/>
                      <a:ext cx="4356945" cy="2406984"/>
                    </a:xfrm>
                    <a:prstGeom prst="rect">
                      <a:avLst/>
                    </a:prstGeom>
                    <a:ln>
                      <a:noFill/>
                    </a:ln>
                    <a:extLst>
                      <a:ext uri="{53640926-AAD7-44D8-BBD7-CCE9431645EC}">
                        <a14:shadowObscured xmlns:a14="http://schemas.microsoft.com/office/drawing/2010/main"/>
                      </a:ext>
                    </a:extLst>
                  </pic:spPr>
                </pic:pic>
              </a:graphicData>
            </a:graphic>
          </wp:inline>
        </w:drawing>
      </w:r>
    </w:p>
    <w:p w14:paraId="75226BA4" w14:textId="77777777" w:rsidR="00DD5865" w:rsidRDefault="00DD5865" w:rsidP="00DD5865">
      <w:r>
        <w:t xml:space="preserve">Figure 10.7 An illustration of a typical AM wire feed system </w:t>
      </w:r>
      <w:r>
        <w:fldChar w:fldCharType="begin"/>
      </w:r>
      <w:r>
        <w:instrText xml:space="preserve"> ADDIN ZOTERO_ITEM CSL_CITATION {"citationID":"wwNXXb0U","properties":{"formattedCitation":"(Frazier 2014)","plainCitation":"(Frazier 2014)","noteIndex":0},"citationItems":[{"id":211,"uris":["http://zotero.org/users/9870952/items/DXMF3B3W"],"itemData":{"id":211,"type":"article-journal","abstract":"This paper reviews the state-of-the-art of an important, rapidly emerging, manufacturing technology that is alternatively called additive manufacturing (AM), direct digital manufacturing, free form fabrication, or 3D printing, etc. A broad contextual overview of metallic AM is provided. AM has the potential to revolutionize the global parts manufacturing and logistics landscape. It enables distributed manufacturing and the productions of parts-on-demand while offering the potential to reduce cost, energy consumption, and carbon footprint. This paper explores the material science, processes, and business consideration associated with achieving these performance gains. It is concluded that a paradigm shift is required in order to fully exploit AM potential.","container-title":"Journal of Materials Engineering and Performance","DOI":"10.1007/s11665-014-0958-z","ISSN":"1544-1024","issue":"6","journalAbbreviation":"J. of Materi Eng and Perform","language":"en","page":"1917-1928","source":"Springer Link","title":"Metal Additive Manufacturing: A Review","title-short":"Metal Additive Manufacturing","volume":"23","author":[{"family":"Frazier","given":"William E."}],"issued":{"date-parts":[["2014",6,1]]}}}],"schema":"https://github.com/citation-style-language/schema/raw/master/csl-citation.json"} </w:instrText>
      </w:r>
      <w:r>
        <w:fldChar w:fldCharType="separate"/>
      </w:r>
      <w:r w:rsidRPr="00826A79">
        <w:rPr>
          <w:rFonts w:cs="Calibri"/>
        </w:rPr>
        <w:t>(Frazier 2014)</w:t>
      </w:r>
      <w:r>
        <w:fldChar w:fldCharType="end"/>
      </w:r>
      <w:r>
        <w:t>.</w:t>
      </w:r>
    </w:p>
    <w:p w14:paraId="00D1F713" w14:textId="77777777" w:rsidR="00D87C10" w:rsidRDefault="00D87C10" w:rsidP="00DD5865"/>
    <w:p w14:paraId="44886119" w14:textId="77777777" w:rsidR="00DD5865" w:rsidRDefault="00DD5865" w:rsidP="00DD5865"/>
    <w:p w14:paraId="3F01D2ED" w14:textId="77777777" w:rsidR="00DD5865" w:rsidRDefault="00DD5865" w:rsidP="00DD5865">
      <w:r w:rsidRPr="007F7E4C">
        <w:rPr>
          <w:noProof/>
        </w:rPr>
        <w:drawing>
          <wp:inline distT="0" distB="0" distL="0" distR="0" wp14:anchorId="45291A87" wp14:editId="54EB87DB">
            <wp:extent cx="5943600" cy="3002915"/>
            <wp:effectExtent l="0" t="0" r="0" b="6985"/>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90">
                      <a:extLst>
                        <a:ext uri="{28A0092B-C50C-407E-A947-70E740481C1C}">
                          <a14:useLocalDpi xmlns:a14="http://schemas.microsoft.com/office/drawing/2010/main" val="0"/>
                        </a:ext>
                      </a:extLst>
                    </a:blip>
                    <a:srcRect/>
                    <a:stretch>
                      <a:fillRect/>
                    </a:stretch>
                  </pic:blipFill>
                  <pic:spPr bwMode="auto">
                    <a:xfrm>
                      <a:off x="0" y="0"/>
                      <a:ext cx="5943600" cy="3002915"/>
                    </a:xfrm>
                    <a:prstGeom prst="rect">
                      <a:avLst/>
                    </a:prstGeom>
                    <a:noFill/>
                    <a:ln>
                      <a:noFill/>
                    </a:ln>
                  </pic:spPr>
                </pic:pic>
              </a:graphicData>
            </a:graphic>
          </wp:inline>
        </w:drawing>
      </w:r>
    </w:p>
    <w:p w14:paraId="44059594" w14:textId="77777777" w:rsidR="00DD5865" w:rsidRDefault="00DD5865" w:rsidP="00DD5865">
      <w:r>
        <w:t xml:space="preserve">Figure 10.8. Multiscale modeling approaches for a typical LPBF metal AM </w:t>
      </w:r>
      <w:r>
        <w:fldChar w:fldCharType="begin"/>
      </w:r>
      <w:r>
        <w:instrText xml:space="preserve"> ADDIN ZOTERO_ITEM CSL_CITATION {"citationID":"cemujz6H","properties":{"formattedCitation":"(Turner et al. 2022)","plainCitation":"(Turner et al. 2022)","noteIndex":0},"citationItems":[{"id":122,"uris":["http://zotero.org/users/9870952/items/KWE2TKTB"],"itemData":{"id":122,"type":"article-journal","container-title":"The International Journal of High Performance Computing Applications","issue":"1","note":"publisher: SAGE Publications Sage UK: London, England","page":"13–39","source":"Google Scholar","title":"ExaAM: Metal additive manufacturing simulation at the fidelity of the microstructure","title-short":"ExaAM","volume":"36","author":[{"family":"Turner","given":"John A."},{"family":"Belak","given":"James"},{"family":"Barton","given":"Nathan"},{"family":"Bement","given":"Matthew"},{"family":"Carlson","given":"Neil"},{"family":"Carson","given":"Robert"},{"family":"DeWitt","given":"Stephen"},{"family":"Fattebert","given":"Jean-Luc"},{"family":"Hodge","given":"Neil"},{"family":"Jibben","given":"Zechariah"}],"issued":{"date-parts":[["2022"]]}}}],"schema":"https://github.com/citation-style-language/schema/raw/master/csl-citation.json"} </w:instrText>
      </w:r>
      <w:r>
        <w:fldChar w:fldCharType="separate"/>
      </w:r>
      <w:r w:rsidRPr="00826A79">
        <w:rPr>
          <w:rFonts w:cs="Calibri"/>
        </w:rPr>
        <w:t>(Turner et al. 2022)</w:t>
      </w:r>
      <w:r>
        <w:fldChar w:fldCharType="end"/>
      </w:r>
      <w:r>
        <w:t>.</w:t>
      </w:r>
    </w:p>
    <w:p w14:paraId="2548338C" w14:textId="77777777" w:rsidR="00DD5865" w:rsidRDefault="00DD5865" w:rsidP="00DD5865"/>
    <w:p w14:paraId="5DEE4119" w14:textId="77777777" w:rsidR="00DD5865" w:rsidRDefault="00DD5865" w:rsidP="00DD5865">
      <w:r w:rsidRPr="004E24C4">
        <w:rPr>
          <w:noProof/>
        </w:rPr>
        <w:lastRenderedPageBreak/>
        <w:drawing>
          <wp:inline distT="0" distB="0" distL="0" distR="0" wp14:anchorId="6AC7BC17" wp14:editId="0B87AEE7">
            <wp:extent cx="3570721" cy="3735238"/>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491">
                      <a:extLst>
                        <a:ext uri="{28A0092B-C50C-407E-A947-70E740481C1C}">
                          <a14:useLocalDpi xmlns:a14="http://schemas.microsoft.com/office/drawing/2010/main" val="0"/>
                        </a:ext>
                      </a:extLst>
                    </a:blip>
                    <a:srcRect l="2459" r="4964" b="-1157"/>
                    <a:stretch/>
                  </pic:blipFill>
                  <pic:spPr bwMode="auto">
                    <a:xfrm>
                      <a:off x="0" y="0"/>
                      <a:ext cx="3572318" cy="3736908"/>
                    </a:xfrm>
                    <a:prstGeom prst="rect">
                      <a:avLst/>
                    </a:prstGeom>
                    <a:noFill/>
                    <a:ln>
                      <a:noFill/>
                    </a:ln>
                    <a:extLst>
                      <a:ext uri="{53640926-AAD7-44D8-BBD7-CCE9431645EC}">
                        <a14:shadowObscured xmlns:a14="http://schemas.microsoft.com/office/drawing/2010/main"/>
                      </a:ext>
                    </a:extLst>
                  </pic:spPr>
                </pic:pic>
              </a:graphicData>
            </a:graphic>
          </wp:inline>
        </w:drawing>
      </w:r>
    </w:p>
    <w:p w14:paraId="50D5614A" w14:textId="77777777" w:rsidR="00D87C10" w:rsidRDefault="00D87C10" w:rsidP="00DD5865"/>
    <w:p w14:paraId="1844419D" w14:textId="22DE9A62" w:rsidR="00DD5865" w:rsidRDefault="00DD5865" w:rsidP="00DD5865">
      <w:r>
        <w:t xml:space="preserve">Figure 10.9. Melting phenomenon in the LPBF process </w:t>
      </w:r>
      <w:r>
        <w:fldChar w:fldCharType="begin"/>
      </w:r>
      <w:r>
        <w:instrText xml:space="preserve"> ADDIN ZOTERO_ITEM CSL_CITATION {"citationID":"xu5KnPal","properties":{"formattedCitation":"(Kyogoku and Ikeshoji 2020)","plainCitation":"(Kyogoku and Ikeshoji 2020)","noteIndex":0},"citationItems":[{"id":132,"uris":["http://zotero.org/users/9870952/items/W6XB5S52"],"itemData":{"id":132,"type":"article-journal","container-title":"Mechanical Engineering Reviews","issue":"1","note":"publisher: The Japan Society of Mechanical Engineers","page":"19–00182","source":"Google Scholar","title":"A review of metal additive manufacturing technologies: Mechanism of defects formation and simulation of melting and solidification phenomena in laser powder bed fusion process","title-short":"A review of metal additive manufacturing technologies","volume":"7","author":[{"family":"Kyogoku","given":"Hideki"},{"family":"Ikeshoji","given":"Toshi-Taka"}],"issued":{"date-parts":[["2020"]]}}}],"schema":"https://github.com/citation-style-language/schema/raw/master/csl-citation.json"} </w:instrText>
      </w:r>
      <w:r>
        <w:fldChar w:fldCharType="separate"/>
      </w:r>
      <w:r w:rsidRPr="00826A79">
        <w:rPr>
          <w:rFonts w:cs="Calibri"/>
        </w:rPr>
        <w:t>(Kyogoku and Ikeshoji 2020)</w:t>
      </w:r>
      <w:r>
        <w:fldChar w:fldCharType="end"/>
      </w:r>
      <w:r>
        <w:t>.</w:t>
      </w:r>
    </w:p>
    <w:p w14:paraId="0D95DC3C" w14:textId="77777777" w:rsidR="00DD5865" w:rsidRDefault="00DD5865" w:rsidP="00DD5865"/>
    <w:p w14:paraId="492EA61D" w14:textId="77777777" w:rsidR="00DD5865" w:rsidRDefault="00DD5865" w:rsidP="00DD5865">
      <w:r w:rsidRPr="00422242">
        <w:rPr>
          <w:noProof/>
        </w:rPr>
        <w:drawing>
          <wp:inline distT="0" distB="0" distL="0" distR="0" wp14:anchorId="6F4D80CC" wp14:editId="0B530ABF">
            <wp:extent cx="5038344" cy="2532888"/>
            <wp:effectExtent l="0" t="0" r="0" b="127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92">
                      <a:extLst>
                        <a:ext uri="{28A0092B-C50C-407E-A947-70E740481C1C}">
                          <a14:useLocalDpi xmlns:a14="http://schemas.microsoft.com/office/drawing/2010/main" val="0"/>
                        </a:ext>
                      </a:extLst>
                    </a:blip>
                    <a:srcRect/>
                    <a:stretch>
                      <a:fillRect/>
                    </a:stretch>
                  </pic:blipFill>
                  <pic:spPr bwMode="auto">
                    <a:xfrm>
                      <a:off x="0" y="0"/>
                      <a:ext cx="5038344" cy="2532888"/>
                    </a:xfrm>
                    <a:prstGeom prst="rect">
                      <a:avLst/>
                    </a:prstGeom>
                    <a:noFill/>
                    <a:ln>
                      <a:noFill/>
                    </a:ln>
                  </pic:spPr>
                </pic:pic>
              </a:graphicData>
            </a:graphic>
          </wp:inline>
        </w:drawing>
      </w:r>
    </w:p>
    <w:p w14:paraId="75833061" w14:textId="77777777" w:rsidR="00D87C10" w:rsidRDefault="00D87C10" w:rsidP="00DD5865"/>
    <w:p w14:paraId="1DA788D8" w14:textId="7AF71F92" w:rsidR="00DD5865" w:rsidRDefault="00DD5865" w:rsidP="00DD5865">
      <w:r>
        <w:t xml:space="preserve">Figure 10.10. A schematic representation of the evaporated metal flux on the displacement of the powder particles in the bed and the flow pattern of argon gas. Two figures are shown based on the values of Knudsen number, </w:t>
      </w:r>
      <w:r w:rsidRPr="00DE68BC">
        <w:rPr>
          <w:i/>
          <w:iCs/>
        </w:rPr>
        <w:t>K</w:t>
      </w:r>
      <w:r w:rsidRPr="00DE68BC">
        <w:rPr>
          <w:i/>
          <w:iCs/>
          <w:vertAlign w:val="subscript"/>
        </w:rPr>
        <w:t>n</w:t>
      </w:r>
      <w:r>
        <w:t xml:space="preserve"> </w:t>
      </w:r>
      <w:r>
        <w:fldChar w:fldCharType="begin"/>
      </w:r>
      <w:r>
        <w:instrText xml:space="preserve"> ADDIN ZOTERO_ITEM CSL_CITATION {"citationID":"m6dWZeIW","properties":{"formattedCitation":"(Matthews et al. 2016)","plainCitation":"(Matthews et al. 2016)","noteIndex":0},"citationItems":[{"id":198,"uris":["http://zotero.org/users/9870952/items/TKFNPC8I"],"itemData":{"id":198,"type":"article-journal","abstract":"Understanding laser interaction with metal powder beds is critical in predicting optimum processing regimes in laser powder bed fusion additive manufacturing of metals. In this work, we study the denudation of metal powders that is observed near the laser scan path as a function of laser parameters and ambient gas pressure. We show that the observed depletion of metal powder particles in the zone immediately surrounding the solidified track is due to a competition between outward metal vapor flux directed away from the laser spot and entrainment of powder particles in a shear flow of gas driven by a metal vapor jet at the melt track. Between atmospheric pressure and </w:instrText>
      </w:r>
      <w:r>
        <w:rPr>
          <w:rFonts w:ascii="Cambria Math" w:hAnsi="Cambria Math" w:cs="Cambria Math"/>
        </w:rPr>
        <w:instrText>∼</w:instrText>
      </w:r>
      <w:r>
        <w:instrText>10</w:instrText>
      </w:r>
      <w:r>
        <w:rPr>
          <w:rFonts w:ascii="Calibri" w:hAnsi="Calibri" w:cs="Calibri"/>
        </w:rPr>
        <w:instrText> </w:instrText>
      </w:r>
      <w:r>
        <w:instrText>Torr of Ar gas, the denuded zone width increases with decreasing ambient gas pressure and is dominated by entrainment from inward gas flow. The denuded zone then decreases from 10 to 2.2</w:instrText>
      </w:r>
      <w:r>
        <w:rPr>
          <w:rFonts w:ascii="Calibri" w:hAnsi="Calibri" w:cs="Calibri"/>
        </w:rPr>
        <w:instrText> </w:instrText>
      </w:r>
      <w:r>
        <w:instrText xml:space="preserve">Torr reaching a minimum before increasing again from 2.2 to 0.5 Torr where metal vapor flux and expansion from the melt pool dominates. The dynamics of the denudation process were captured using high-speed imaging, revealing that the particle movement is a complex interplay among melt pool geometry, metal vapor flow, and ambient gas pressure. The experimental results are rationalized through finite element simulations of the melt track formation and resulting vapor flow patterns. The results presented here represent new insights to denudation and melt track formation that can be important for the prediction and minimization of void defects and surface roughness in additively manufactured metal components.","container-title":"Acta Materialia","DOI":"10.1016/j.actamat.2016.05.017","ISSN":"1359-6454","journalAbbreviation":"Acta Materialia","page":"33-42","source":"ScienceDirect","title":"Denudation of metal powder layers in laser powder bed fusion processes","volume":"114","author":[{"family":"Matthews","given":"Manyalibo J."},{"family":"Guss","given":"Gabe"},{"family":"Khairallah","given":"Saad A."},{"family":"Rubenchik","given":"Alexander M."},{"family":"Depond","given":"Philip J."},{"family":"King","given":"Wayne E."}],"issued":{"date-parts":[["2016",8,1]]}}}],"schema":"https://github.com/citation-style-language/schema/raw/master/csl-citation.json"} </w:instrText>
      </w:r>
      <w:r>
        <w:fldChar w:fldCharType="separate"/>
      </w:r>
      <w:r w:rsidRPr="00826A79">
        <w:rPr>
          <w:rFonts w:cs="Calibri"/>
        </w:rPr>
        <w:t>(Matthews et al. 2016)</w:t>
      </w:r>
      <w:r>
        <w:fldChar w:fldCharType="end"/>
      </w:r>
      <w:r>
        <w:t>.</w:t>
      </w:r>
      <w:r>
        <w:br w:type="page"/>
      </w:r>
    </w:p>
    <w:p w14:paraId="3F3985EF" w14:textId="77777777" w:rsidR="00DD5865" w:rsidRDefault="00DD5865" w:rsidP="00DD5865">
      <w:r w:rsidRPr="00747ACD">
        <w:rPr>
          <w:noProof/>
        </w:rPr>
        <w:lastRenderedPageBreak/>
        <w:drawing>
          <wp:inline distT="0" distB="0" distL="0" distR="0" wp14:anchorId="0BD005F3" wp14:editId="523E6619">
            <wp:extent cx="5694136" cy="4505960"/>
            <wp:effectExtent l="0" t="0" r="1905" b="889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Picture 125"/>
                    <pic:cNvPicPr>
                      <a:picLocks noChangeAspect="1" noChangeArrowheads="1"/>
                    </pic:cNvPicPr>
                  </pic:nvPicPr>
                  <pic:blipFill>
                    <a:blip r:embed="rId1493" cstate="print">
                      <a:extLst>
                        <a:ext uri="{28A0092B-C50C-407E-A947-70E740481C1C}">
                          <a14:useLocalDpi xmlns:a14="http://schemas.microsoft.com/office/drawing/2010/main" val="0"/>
                        </a:ext>
                      </a:extLst>
                    </a:blip>
                    <a:stretch>
                      <a:fillRect/>
                    </a:stretch>
                  </pic:blipFill>
                  <pic:spPr bwMode="auto">
                    <a:xfrm>
                      <a:off x="0" y="0"/>
                      <a:ext cx="5694136" cy="4505960"/>
                    </a:xfrm>
                    <a:prstGeom prst="rect">
                      <a:avLst/>
                    </a:prstGeom>
                    <a:noFill/>
                    <a:ln>
                      <a:noFill/>
                    </a:ln>
                  </pic:spPr>
                </pic:pic>
              </a:graphicData>
            </a:graphic>
          </wp:inline>
        </w:drawing>
      </w:r>
    </w:p>
    <w:p w14:paraId="4C2321FE" w14:textId="77777777" w:rsidR="00D64AB4" w:rsidRDefault="00D64AB4" w:rsidP="00DD5865">
      <w:pPr>
        <w:autoSpaceDE w:val="0"/>
        <w:autoSpaceDN w:val="0"/>
        <w:adjustRightInd w:val="0"/>
        <w:rPr>
          <w:rFonts w:cstheme="minorHAnsi"/>
        </w:rPr>
      </w:pPr>
    </w:p>
    <w:p w14:paraId="1CD3F5E5" w14:textId="466658E8" w:rsidR="00DD5865" w:rsidRPr="00DE68BC" w:rsidRDefault="00DD5865" w:rsidP="00DD5865">
      <w:pPr>
        <w:autoSpaceDE w:val="0"/>
        <w:autoSpaceDN w:val="0"/>
        <w:adjustRightInd w:val="0"/>
        <w:rPr>
          <w:rFonts w:cstheme="minorHAnsi"/>
        </w:rPr>
      </w:pPr>
      <w:r>
        <w:rPr>
          <w:rFonts w:cstheme="minorHAnsi"/>
        </w:rPr>
        <w:t>Figure</w:t>
      </w:r>
      <w:r w:rsidRPr="00DE68BC">
        <w:rPr>
          <w:rFonts w:cstheme="minorHAnsi"/>
        </w:rPr>
        <w:t xml:space="preserve"> </w:t>
      </w:r>
      <w:r>
        <w:t>10.</w:t>
      </w:r>
      <w:r w:rsidRPr="00DE68BC">
        <w:rPr>
          <w:rFonts w:cstheme="minorHAnsi"/>
        </w:rPr>
        <w:t xml:space="preserve">11. </w:t>
      </w:r>
      <w:r w:rsidR="000400B7">
        <w:rPr>
          <w:rFonts w:cstheme="minorHAnsi"/>
        </w:rPr>
        <w:t xml:space="preserve">Computed temperature </w:t>
      </w:r>
      <w:r w:rsidR="00AB7352">
        <w:rPr>
          <w:rFonts w:cstheme="minorHAnsi"/>
        </w:rPr>
        <w:t xml:space="preserve">fields from a simulation of a typical LPBF process at different times into the simulation : </w:t>
      </w:r>
      <w:r>
        <w:rPr>
          <w:rFonts w:cstheme="minorHAnsi"/>
        </w:rPr>
        <w:t>a)</w:t>
      </w:r>
      <w:r w:rsidRPr="00DE68BC">
        <w:rPr>
          <w:rFonts w:cstheme="minorHAnsi"/>
        </w:rPr>
        <w:t xml:space="preserve"> </w:t>
      </w:r>
      <w:r w:rsidR="00AB7352">
        <w:rPr>
          <w:rFonts w:cstheme="minorHAnsi"/>
        </w:rPr>
        <w:t>6 x 10</w:t>
      </w:r>
      <w:r w:rsidR="00AB7352" w:rsidRPr="001B068D">
        <w:rPr>
          <w:rFonts w:cstheme="minorHAnsi"/>
          <w:vertAlign w:val="superscript"/>
        </w:rPr>
        <w:t>-4</w:t>
      </w:r>
      <w:r w:rsidR="00AB7352">
        <w:rPr>
          <w:rFonts w:cstheme="minorHAnsi"/>
        </w:rPr>
        <w:t xml:space="preserve"> s, b) </w:t>
      </w:r>
      <w:r>
        <w:rPr>
          <w:rFonts w:cstheme="minorHAnsi"/>
        </w:rPr>
        <w:t>, b)</w:t>
      </w:r>
      <w:r w:rsidR="00AB7352">
        <w:rPr>
          <w:rFonts w:cstheme="minorHAnsi"/>
        </w:rPr>
        <w:t xml:space="preserve"> 3 x 10</w:t>
      </w:r>
      <w:r w:rsidR="00AB7352" w:rsidRPr="001B068D">
        <w:rPr>
          <w:rFonts w:cstheme="minorHAnsi"/>
          <w:vertAlign w:val="superscript"/>
        </w:rPr>
        <w:t>-</w:t>
      </w:r>
      <w:r w:rsidR="00AB7352">
        <w:rPr>
          <w:rFonts w:cstheme="minorHAnsi"/>
          <w:vertAlign w:val="superscript"/>
        </w:rPr>
        <w:t>3</w:t>
      </w:r>
      <w:r w:rsidR="00AB7352">
        <w:rPr>
          <w:rFonts w:cstheme="minorHAnsi"/>
        </w:rPr>
        <w:t xml:space="preserve"> s, c) 5.4 x 10</w:t>
      </w:r>
      <w:r w:rsidR="00AB7352" w:rsidRPr="001B068D">
        <w:rPr>
          <w:rFonts w:cstheme="minorHAnsi"/>
          <w:vertAlign w:val="superscript"/>
        </w:rPr>
        <w:t>-</w:t>
      </w:r>
      <w:r w:rsidR="00AB7352">
        <w:rPr>
          <w:rFonts w:cstheme="minorHAnsi"/>
          <w:vertAlign w:val="superscript"/>
        </w:rPr>
        <w:t>3</w:t>
      </w:r>
      <w:r w:rsidR="00AB7352">
        <w:rPr>
          <w:rFonts w:cstheme="minorHAnsi"/>
        </w:rPr>
        <w:t xml:space="preserve"> s, d) 6 x 10</w:t>
      </w:r>
      <w:r w:rsidR="00AB7352" w:rsidRPr="001B068D">
        <w:rPr>
          <w:rFonts w:cstheme="minorHAnsi"/>
          <w:vertAlign w:val="superscript"/>
        </w:rPr>
        <w:t>-</w:t>
      </w:r>
      <w:r w:rsidR="00AB7352">
        <w:rPr>
          <w:rFonts w:cstheme="minorHAnsi"/>
          <w:vertAlign w:val="superscript"/>
        </w:rPr>
        <w:t>3</w:t>
      </w:r>
      <w:r w:rsidR="00AB7352">
        <w:rPr>
          <w:rFonts w:cstheme="minorHAnsi"/>
        </w:rPr>
        <w:t xml:space="preserve"> s</w:t>
      </w:r>
      <w:r w:rsidRPr="00DE68BC">
        <w:rPr>
          <w:rFonts w:cstheme="minorHAnsi"/>
        </w:rPr>
        <w:t xml:space="preserve"> </w:t>
      </w:r>
      <w:r w:rsidRPr="00DE68BC">
        <w:rPr>
          <w:rFonts w:cstheme="minorHAnsi"/>
        </w:rPr>
        <w:fldChar w:fldCharType="begin"/>
      </w:r>
      <w:r>
        <w:rPr>
          <w:rFonts w:cstheme="minorHAnsi"/>
        </w:rPr>
        <w:instrText xml:space="preserve"> ADDIN ZOTERO_ITEM CSL_CITATION {"citationID":"vAhuyXtM","properties":{"formattedCitation":"(Gu 2022)","plainCitation":"(Gu 2022)","noteIndex":0},"citationItems":[{"id":334,"uris":["http://zotero.org/users/9870952/items/GSRT34RP"],"itemData":{"id":334,"type":"book","publisher":"Elsevier","source":"Google Scholar","title":"Laser Additive Manufacturing of Metallic Materials and Components","URL":"https://books.google.com/books?hl=en&amp;lr=&amp;id=ZYyKEAAAQBAJ&amp;oi=fnd&amp;pg=PP1&amp;dq=Laser+Additive+Manufacturing+of+Metallic+Materials+and+Components&amp;ots=6hbsVoLLnz&amp;sig=VnUudNvGtZWb7tc6_MHp_hMoMls","author":[{"family":"Gu","given":"Dongdong"}],"accessed":{"date-parts":[["2024",4,24]]},"issued":{"date-parts":[["2022"]]}}}],"schema":"https://github.com/citation-style-language/schema/raw/master/csl-citation.json"} </w:instrText>
      </w:r>
      <w:r w:rsidRPr="00DE68BC">
        <w:rPr>
          <w:rFonts w:cstheme="minorHAnsi"/>
        </w:rPr>
        <w:fldChar w:fldCharType="separate"/>
      </w:r>
      <w:r w:rsidRPr="00826A79">
        <w:rPr>
          <w:rFonts w:cs="Calibri"/>
        </w:rPr>
        <w:t>(Gu 2022)</w:t>
      </w:r>
      <w:r w:rsidRPr="00DE68BC">
        <w:rPr>
          <w:rFonts w:cstheme="minorHAnsi"/>
        </w:rPr>
        <w:fldChar w:fldCharType="end"/>
      </w:r>
      <w:r w:rsidRPr="00DE68BC">
        <w:rPr>
          <w:rFonts w:cstheme="minorHAnsi"/>
        </w:rPr>
        <w:t>.</w:t>
      </w:r>
    </w:p>
    <w:p w14:paraId="0A8D2464" w14:textId="77777777" w:rsidR="00DD5865" w:rsidRDefault="00DD5865" w:rsidP="00DD5865">
      <w:pPr>
        <w:rPr>
          <w:rFonts w:ascii="AdvOTc999d02f" w:hAnsi="AdvOTc999d02f" w:cs="AdvOTc999d02f"/>
          <w:sz w:val="16"/>
          <w:szCs w:val="16"/>
        </w:rPr>
      </w:pPr>
      <w:r>
        <w:rPr>
          <w:rFonts w:ascii="AdvOTc999d02f" w:hAnsi="AdvOTc999d02f" w:cs="AdvOTc999d02f"/>
          <w:sz w:val="16"/>
          <w:szCs w:val="16"/>
        </w:rPr>
        <w:br w:type="page"/>
      </w:r>
    </w:p>
    <w:p w14:paraId="63B9CDC4" w14:textId="77777777" w:rsidR="00DD5865" w:rsidRDefault="00DD5865" w:rsidP="00DD5865">
      <w:pPr>
        <w:rPr>
          <w:rFonts w:ascii="AdvOTc999d02f" w:hAnsi="AdvOTc999d02f" w:cs="AdvOTc999d02f"/>
          <w:sz w:val="16"/>
          <w:szCs w:val="16"/>
        </w:rPr>
      </w:pPr>
      <w:r w:rsidRPr="00DC7A89">
        <w:rPr>
          <w:rFonts w:ascii="AdvOTc999d02f" w:hAnsi="AdvOTc999d02f" w:cs="AdvOTc999d02f"/>
          <w:noProof/>
          <w:sz w:val="16"/>
          <w:szCs w:val="16"/>
        </w:rPr>
        <w:lastRenderedPageBreak/>
        <w:drawing>
          <wp:anchor distT="0" distB="0" distL="114300" distR="114300" simplePos="0" relativeHeight="251666432" behindDoc="0" locked="0" layoutInCell="1" allowOverlap="1" wp14:anchorId="5C7C4677" wp14:editId="26A81A26">
            <wp:simplePos x="0" y="0"/>
            <wp:positionH relativeFrom="column">
              <wp:posOffset>-532938</wp:posOffset>
            </wp:positionH>
            <wp:positionV relativeFrom="paragraph">
              <wp:posOffset>100850</wp:posOffset>
            </wp:positionV>
            <wp:extent cx="5757545" cy="2242820"/>
            <wp:effectExtent l="0" t="0" r="0" b="5080"/>
            <wp:wrapNone/>
            <wp:docPr id="126" name="Picture 126">
              <a:extLst xmlns:a="http://schemas.openxmlformats.org/drawingml/2006/main">
                <a:ext uri="{FF2B5EF4-FFF2-40B4-BE49-F238E27FC236}">
                  <a16:creationId xmlns:a16="http://schemas.microsoft.com/office/drawing/2014/main" id="{211E827A-A5B4-D4F7-0F84-7E21533C814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211E827A-A5B4-D4F7-0F84-7E21533C8147}"/>
                        </a:ext>
                      </a:extLst>
                    </pic:cNvPr>
                    <pic:cNvPicPr>
                      <a:picLocks noChangeAspect="1"/>
                    </pic:cNvPicPr>
                  </pic:nvPicPr>
                  <pic:blipFill>
                    <a:blip r:embed="rId1494"/>
                    <a:stretch/>
                  </pic:blipFill>
                  <pic:spPr>
                    <a:xfrm>
                      <a:off x="0" y="0"/>
                      <a:ext cx="5757545" cy="2242820"/>
                    </a:xfrm>
                    <a:prstGeom prst="rect">
                      <a:avLst/>
                    </a:prstGeom>
                    <a:ln>
                      <a:noFill/>
                    </a:ln>
                  </pic:spPr>
                </pic:pic>
              </a:graphicData>
            </a:graphic>
          </wp:anchor>
        </w:drawing>
      </w:r>
    </w:p>
    <w:p w14:paraId="6A17D64E" w14:textId="77777777" w:rsidR="00DD5865" w:rsidRDefault="00DD5865" w:rsidP="00DD5865">
      <w:pPr>
        <w:rPr>
          <w:rFonts w:ascii="AdvOTc999d02f" w:hAnsi="AdvOTc999d02f" w:cs="AdvOTc999d02f"/>
          <w:sz w:val="16"/>
          <w:szCs w:val="16"/>
        </w:rPr>
      </w:pPr>
    </w:p>
    <w:p w14:paraId="2F856313" w14:textId="77777777" w:rsidR="00DD5865" w:rsidRDefault="00DD5865" w:rsidP="00DD5865">
      <w:pPr>
        <w:rPr>
          <w:rFonts w:ascii="AdvOTc999d02f" w:hAnsi="AdvOTc999d02f" w:cs="AdvOTc999d02f"/>
          <w:sz w:val="16"/>
          <w:szCs w:val="16"/>
        </w:rPr>
      </w:pPr>
    </w:p>
    <w:p w14:paraId="2B36A998" w14:textId="77777777" w:rsidR="00DD5865" w:rsidRDefault="00DD5865" w:rsidP="00DD5865">
      <w:pPr>
        <w:rPr>
          <w:rFonts w:ascii="AdvOTc999d02f" w:hAnsi="AdvOTc999d02f" w:cs="AdvOTc999d02f"/>
          <w:sz w:val="16"/>
          <w:szCs w:val="16"/>
        </w:rPr>
      </w:pPr>
    </w:p>
    <w:p w14:paraId="6B14EFF4" w14:textId="77777777" w:rsidR="00DD5865" w:rsidRDefault="00DD5865" w:rsidP="00DD5865">
      <w:pPr>
        <w:rPr>
          <w:rFonts w:ascii="AdvOTc999d02f" w:hAnsi="AdvOTc999d02f" w:cs="AdvOTc999d02f"/>
          <w:sz w:val="16"/>
          <w:szCs w:val="16"/>
        </w:rPr>
      </w:pPr>
    </w:p>
    <w:p w14:paraId="1D464546" w14:textId="77777777" w:rsidR="00DD5865" w:rsidRDefault="00DD5865" w:rsidP="00DD5865">
      <w:pPr>
        <w:rPr>
          <w:rFonts w:ascii="AdvOTc999d02f" w:hAnsi="AdvOTc999d02f" w:cs="AdvOTc999d02f"/>
          <w:sz w:val="16"/>
          <w:szCs w:val="16"/>
        </w:rPr>
      </w:pPr>
    </w:p>
    <w:p w14:paraId="2BDC5BFB" w14:textId="77777777" w:rsidR="00DD5865" w:rsidRDefault="00DD5865" w:rsidP="00DD5865">
      <w:pPr>
        <w:rPr>
          <w:rFonts w:ascii="AdvOTc999d02f" w:hAnsi="AdvOTc999d02f" w:cs="AdvOTc999d02f"/>
          <w:sz w:val="16"/>
          <w:szCs w:val="16"/>
        </w:rPr>
      </w:pPr>
    </w:p>
    <w:p w14:paraId="3FC185F3" w14:textId="77777777" w:rsidR="00DD5865" w:rsidRDefault="00DD5865" w:rsidP="00DD5865">
      <w:pPr>
        <w:rPr>
          <w:rFonts w:ascii="AdvOTc999d02f" w:hAnsi="AdvOTc999d02f" w:cs="AdvOTc999d02f"/>
          <w:sz w:val="16"/>
          <w:szCs w:val="16"/>
        </w:rPr>
      </w:pPr>
    </w:p>
    <w:p w14:paraId="7E3C85FA" w14:textId="77777777" w:rsidR="00DD5865" w:rsidRDefault="00DD5865" w:rsidP="00DD5865">
      <w:pPr>
        <w:rPr>
          <w:rFonts w:ascii="AdvOTc999d02f" w:hAnsi="AdvOTc999d02f" w:cs="AdvOTc999d02f"/>
          <w:sz w:val="16"/>
          <w:szCs w:val="16"/>
        </w:rPr>
      </w:pPr>
    </w:p>
    <w:p w14:paraId="72ECCBB1" w14:textId="77777777" w:rsidR="00DD5865" w:rsidRDefault="00DD5865" w:rsidP="00DD5865">
      <w:pPr>
        <w:rPr>
          <w:rFonts w:ascii="AdvOTc999d02f" w:hAnsi="AdvOTc999d02f" w:cs="AdvOTc999d02f"/>
          <w:sz w:val="16"/>
          <w:szCs w:val="16"/>
        </w:rPr>
      </w:pPr>
      <w:r w:rsidRPr="00DC7A89">
        <w:rPr>
          <w:rFonts w:ascii="AdvOTc999d02f" w:hAnsi="AdvOTc999d02f" w:cs="AdvOTc999d02f"/>
          <w:noProof/>
          <w:sz w:val="16"/>
          <w:szCs w:val="16"/>
        </w:rPr>
        <w:drawing>
          <wp:anchor distT="0" distB="0" distL="114300" distR="114300" simplePos="0" relativeHeight="251669504" behindDoc="0" locked="0" layoutInCell="1" allowOverlap="1" wp14:anchorId="19FFF242" wp14:editId="0AFD8846">
            <wp:simplePos x="0" y="0"/>
            <wp:positionH relativeFrom="column">
              <wp:posOffset>-111401</wp:posOffset>
            </wp:positionH>
            <wp:positionV relativeFrom="paragraph">
              <wp:posOffset>108884</wp:posOffset>
            </wp:positionV>
            <wp:extent cx="5189220" cy="1806575"/>
            <wp:effectExtent l="0" t="0" r="0" b="3175"/>
            <wp:wrapNone/>
            <wp:docPr id="127" name="Picture 127">
              <a:extLst xmlns:a="http://schemas.openxmlformats.org/drawingml/2006/main">
                <a:ext uri="{FF2B5EF4-FFF2-40B4-BE49-F238E27FC236}">
                  <a16:creationId xmlns:a16="http://schemas.microsoft.com/office/drawing/2014/main" id="{A1E4FDA3-06A2-81B3-5B3C-A741A82814A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Content Placeholder 7">
                      <a:extLst>
                        <a:ext uri="{FF2B5EF4-FFF2-40B4-BE49-F238E27FC236}">
                          <a16:creationId xmlns:a16="http://schemas.microsoft.com/office/drawing/2014/main" id="{A1E4FDA3-06A2-81B3-5B3C-A741A82814AF}"/>
                        </a:ext>
                      </a:extLst>
                    </pic:cNvPr>
                    <pic:cNvPicPr>
                      <a:picLocks noChangeAspect="1"/>
                    </pic:cNvPicPr>
                  </pic:nvPicPr>
                  <pic:blipFill rotWithShape="1">
                    <a:blip r:embed="rId1495">
                      <a:extLst>
                        <a:ext uri="{28A0092B-C50C-407E-A947-70E740481C1C}">
                          <a14:useLocalDpi xmlns:a14="http://schemas.microsoft.com/office/drawing/2010/main" val="0"/>
                        </a:ext>
                      </a:extLst>
                    </a:blip>
                    <a:srcRect l="12778" t="43025"/>
                    <a:stretch/>
                  </pic:blipFill>
                  <pic:spPr>
                    <a:xfrm>
                      <a:off x="0" y="0"/>
                      <a:ext cx="5189220" cy="1806575"/>
                    </a:xfrm>
                    <a:prstGeom prst="rect">
                      <a:avLst/>
                    </a:prstGeom>
                  </pic:spPr>
                </pic:pic>
              </a:graphicData>
            </a:graphic>
          </wp:anchor>
        </w:drawing>
      </w:r>
    </w:p>
    <w:p w14:paraId="014F3985" w14:textId="77777777" w:rsidR="00DD5865" w:rsidRDefault="00DD5865" w:rsidP="00DD5865">
      <w:pPr>
        <w:rPr>
          <w:rFonts w:ascii="AdvOTc999d02f" w:hAnsi="AdvOTc999d02f" w:cs="AdvOTc999d02f"/>
          <w:sz w:val="16"/>
          <w:szCs w:val="16"/>
        </w:rPr>
      </w:pPr>
    </w:p>
    <w:p w14:paraId="575E4C4D" w14:textId="77777777" w:rsidR="00DD5865" w:rsidRDefault="00DD5865" w:rsidP="00DD5865">
      <w:pPr>
        <w:rPr>
          <w:rFonts w:ascii="AdvOTc999d02f" w:hAnsi="AdvOTc999d02f" w:cs="AdvOTc999d02f"/>
          <w:sz w:val="16"/>
          <w:szCs w:val="16"/>
        </w:rPr>
      </w:pPr>
    </w:p>
    <w:p w14:paraId="57A20D86" w14:textId="77777777" w:rsidR="00DD5865" w:rsidRDefault="00DD5865" w:rsidP="00DD5865">
      <w:pPr>
        <w:rPr>
          <w:rFonts w:ascii="AdvOTc999d02f" w:hAnsi="AdvOTc999d02f" w:cs="AdvOTc999d02f"/>
          <w:sz w:val="16"/>
          <w:szCs w:val="16"/>
        </w:rPr>
      </w:pPr>
    </w:p>
    <w:p w14:paraId="7EEDB407" w14:textId="77777777" w:rsidR="00DD5865" w:rsidRDefault="00DD5865" w:rsidP="00DD5865">
      <w:pPr>
        <w:rPr>
          <w:rFonts w:ascii="AdvOTc999d02f" w:hAnsi="AdvOTc999d02f" w:cs="AdvOTc999d02f"/>
          <w:sz w:val="16"/>
          <w:szCs w:val="16"/>
        </w:rPr>
      </w:pPr>
    </w:p>
    <w:p w14:paraId="00207565" w14:textId="77777777" w:rsidR="00DD5865" w:rsidRDefault="00DD5865" w:rsidP="00DD5865">
      <w:pPr>
        <w:rPr>
          <w:rFonts w:ascii="AdvOTc999d02f" w:hAnsi="AdvOTc999d02f" w:cs="AdvOTc999d02f"/>
          <w:sz w:val="16"/>
          <w:szCs w:val="16"/>
        </w:rPr>
      </w:pPr>
    </w:p>
    <w:p w14:paraId="2E2C712A" w14:textId="77777777" w:rsidR="00D64AB4" w:rsidRDefault="00D64AB4" w:rsidP="00DD5865">
      <w:pPr>
        <w:rPr>
          <w:rFonts w:ascii="AdvOTc999d02f" w:hAnsi="AdvOTc999d02f" w:cs="AdvOTc999d02f"/>
          <w:sz w:val="16"/>
          <w:szCs w:val="16"/>
        </w:rPr>
      </w:pPr>
    </w:p>
    <w:p w14:paraId="3307EE2B" w14:textId="77777777" w:rsidR="00D64AB4" w:rsidRDefault="00D64AB4" w:rsidP="00DD5865">
      <w:pPr>
        <w:rPr>
          <w:rFonts w:ascii="AdvOTc999d02f" w:hAnsi="AdvOTc999d02f" w:cs="AdvOTc999d02f"/>
          <w:sz w:val="16"/>
          <w:szCs w:val="16"/>
        </w:rPr>
      </w:pPr>
    </w:p>
    <w:p w14:paraId="2B58CA00" w14:textId="77777777" w:rsidR="00D64AB4" w:rsidRDefault="00D64AB4" w:rsidP="00DD5865">
      <w:pPr>
        <w:rPr>
          <w:rFonts w:ascii="AdvOTc999d02f" w:hAnsi="AdvOTc999d02f" w:cs="AdvOTc999d02f"/>
          <w:sz w:val="16"/>
          <w:szCs w:val="16"/>
        </w:rPr>
      </w:pPr>
    </w:p>
    <w:p w14:paraId="48C99224" w14:textId="77777777" w:rsidR="00D64AB4" w:rsidRDefault="00D64AB4" w:rsidP="00DD5865">
      <w:pPr>
        <w:rPr>
          <w:rFonts w:ascii="AdvOTc999d02f" w:hAnsi="AdvOTc999d02f" w:cs="AdvOTc999d02f"/>
          <w:sz w:val="16"/>
          <w:szCs w:val="16"/>
        </w:rPr>
      </w:pPr>
    </w:p>
    <w:p w14:paraId="2AE0D78F" w14:textId="77777777" w:rsidR="00D64AB4" w:rsidRDefault="00D64AB4" w:rsidP="00DD5865">
      <w:pPr>
        <w:rPr>
          <w:rFonts w:ascii="AdvOTc999d02f" w:hAnsi="AdvOTc999d02f" w:cs="AdvOTc999d02f"/>
          <w:sz w:val="16"/>
          <w:szCs w:val="16"/>
        </w:rPr>
      </w:pPr>
    </w:p>
    <w:p w14:paraId="42348B55" w14:textId="77777777" w:rsidR="00D64AB4" w:rsidRDefault="00D64AB4" w:rsidP="00DD5865">
      <w:pPr>
        <w:rPr>
          <w:rFonts w:ascii="AdvOTc999d02f" w:hAnsi="AdvOTc999d02f" w:cs="AdvOTc999d02f"/>
          <w:sz w:val="16"/>
          <w:szCs w:val="16"/>
        </w:rPr>
      </w:pPr>
    </w:p>
    <w:p w14:paraId="6803DAE7" w14:textId="77777777" w:rsidR="00D64AB4" w:rsidRDefault="00D64AB4" w:rsidP="00DD5865">
      <w:pPr>
        <w:rPr>
          <w:rFonts w:ascii="AdvOTc999d02f" w:hAnsi="AdvOTc999d02f" w:cs="AdvOTc999d02f"/>
          <w:sz w:val="16"/>
          <w:szCs w:val="16"/>
        </w:rPr>
      </w:pPr>
    </w:p>
    <w:p w14:paraId="7844591D" w14:textId="77777777" w:rsidR="00DD5865" w:rsidRDefault="00DD5865" w:rsidP="00DD5865">
      <w:pPr>
        <w:rPr>
          <w:rFonts w:ascii="AdvOTc999d02f" w:hAnsi="AdvOTc999d02f" w:cs="AdvOTc999d02f"/>
          <w:sz w:val="16"/>
          <w:szCs w:val="16"/>
        </w:rPr>
      </w:pPr>
    </w:p>
    <w:p w14:paraId="711B9AEE" w14:textId="77777777" w:rsidR="00DD5865" w:rsidRDefault="00DD5865" w:rsidP="00DD5865">
      <w:pPr>
        <w:rPr>
          <w:rFonts w:ascii="AdvOTc999d02f" w:hAnsi="AdvOTc999d02f" w:cs="AdvOTc999d02f"/>
          <w:sz w:val="16"/>
          <w:szCs w:val="16"/>
        </w:rPr>
      </w:pPr>
    </w:p>
    <w:p w14:paraId="4B138C2E" w14:textId="77777777" w:rsidR="00DD5865" w:rsidRDefault="00DD5865" w:rsidP="00DD5865">
      <w:pPr>
        <w:rPr>
          <w:rFonts w:ascii="AdvOTc999d02f" w:hAnsi="AdvOTc999d02f" w:cs="AdvOTc999d02f"/>
          <w:sz w:val="16"/>
          <w:szCs w:val="16"/>
        </w:rPr>
      </w:pPr>
      <w:r w:rsidRPr="00DC7A89">
        <w:rPr>
          <w:rFonts w:ascii="AdvOTc999d02f" w:hAnsi="AdvOTc999d02f" w:cs="AdvOTc999d02f"/>
          <w:noProof/>
          <w:sz w:val="16"/>
          <w:szCs w:val="16"/>
        </w:rPr>
        <w:drawing>
          <wp:anchor distT="0" distB="0" distL="114300" distR="114300" simplePos="0" relativeHeight="251674624" behindDoc="0" locked="0" layoutInCell="1" allowOverlap="1" wp14:anchorId="3B61A50B" wp14:editId="2C057901">
            <wp:simplePos x="0" y="0"/>
            <wp:positionH relativeFrom="column">
              <wp:posOffset>-103517</wp:posOffset>
            </wp:positionH>
            <wp:positionV relativeFrom="paragraph">
              <wp:posOffset>239131</wp:posOffset>
            </wp:positionV>
            <wp:extent cx="5587365" cy="1536700"/>
            <wp:effectExtent l="0" t="0" r="0" b="6350"/>
            <wp:wrapNone/>
            <wp:docPr id="2104467600" name="Picture 2104467600">
              <a:extLst xmlns:a="http://schemas.openxmlformats.org/drawingml/2006/main">
                <a:ext uri="{FF2B5EF4-FFF2-40B4-BE49-F238E27FC236}">
                  <a16:creationId xmlns:a16="http://schemas.microsoft.com/office/drawing/2014/main" id="{F208DC04-8DDC-029C-631B-4D177B0CB5A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F208DC04-8DDC-029C-631B-4D177B0CB5AE}"/>
                        </a:ext>
                      </a:extLst>
                    </pic:cNvPr>
                    <pic:cNvPicPr>
                      <a:picLocks noChangeAspect="1"/>
                    </pic:cNvPicPr>
                  </pic:nvPicPr>
                  <pic:blipFill>
                    <a:blip r:embed="rId1496" cstate="print">
                      <a:extLst>
                        <a:ext uri="{28A0092B-C50C-407E-A947-70E740481C1C}">
                          <a14:useLocalDpi xmlns:a14="http://schemas.microsoft.com/office/drawing/2010/main" val="0"/>
                        </a:ext>
                      </a:extLst>
                    </a:blip>
                    <a:stretch>
                      <a:fillRect/>
                    </a:stretch>
                  </pic:blipFill>
                  <pic:spPr>
                    <a:xfrm>
                      <a:off x="0" y="0"/>
                      <a:ext cx="5587365" cy="1536700"/>
                    </a:xfrm>
                    <a:prstGeom prst="rect">
                      <a:avLst/>
                    </a:prstGeom>
                  </pic:spPr>
                </pic:pic>
              </a:graphicData>
            </a:graphic>
          </wp:anchor>
        </w:drawing>
      </w:r>
    </w:p>
    <w:p w14:paraId="47F593F5" w14:textId="77777777" w:rsidR="00DD5865" w:rsidRDefault="00DD5865" w:rsidP="00DD5865">
      <w:pPr>
        <w:rPr>
          <w:rFonts w:ascii="AdvOTc999d02f" w:hAnsi="AdvOTc999d02f" w:cs="AdvOTc999d02f"/>
          <w:sz w:val="16"/>
          <w:szCs w:val="16"/>
        </w:rPr>
      </w:pPr>
    </w:p>
    <w:p w14:paraId="3339F047" w14:textId="77777777" w:rsidR="00DD5865" w:rsidRDefault="00DD5865" w:rsidP="00DD5865">
      <w:pPr>
        <w:rPr>
          <w:rFonts w:ascii="AdvOTc999d02f" w:hAnsi="AdvOTc999d02f" w:cs="AdvOTc999d02f"/>
          <w:sz w:val="16"/>
          <w:szCs w:val="16"/>
        </w:rPr>
      </w:pPr>
    </w:p>
    <w:p w14:paraId="50C39834" w14:textId="7EA11536" w:rsidR="00DD5865" w:rsidRDefault="00DD5865" w:rsidP="00DD5865">
      <w:pPr>
        <w:rPr>
          <w:rFonts w:ascii="AdvOTc999d02f" w:hAnsi="AdvOTc999d02f" w:cs="AdvOTc999d02f"/>
          <w:sz w:val="16"/>
          <w:szCs w:val="16"/>
        </w:rPr>
      </w:pPr>
    </w:p>
    <w:p w14:paraId="7AB2D682" w14:textId="5F8B072B" w:rsidR="00DD5865" w:rsidRDefault="00DD5865" w:rsidP="00DD5865">
      <w:pPr>
        <w:rPr>
          <w:rFonts w:ascii="AdvOTc999d02f" w:hAnsi="AdvOTc999d02f" w:cs="AdvOTc999d02f"/>
          <w:sz w:val="16"/>
          <w:szCs w:val="16"/>
        </w:rPr>
      </w:pPr>
    </w:p>
    <w:p w14:paraId="39DC2E57" w14:textId="46C3AA5A" w:rsidR="00DD5865" w:rsidRDefault="00DD5865" w:rsidP="00DD5865">
      <w:pPr>
        <w:rPr>
          <w:rFonts w:ascii="AdvOTc999d02f" w:hAnsi="AdvOTc999d02f" w:cs="AdvOTc999d02f"/>
          <w:sz w:val="16"/>
          <w:szCs w:val="16"/>
        </w:rPr>
      </w:pPr>
    </w:p>
    <w:p w14:paraId="4EEA95D9" w14:textId="04B7A365" w:rsidR="00DD5865" w:rsidRDefault="00D64AB4" w:rsidP="00DD5865">
      <w:pPr>
        <w:rPr>
          <w:rFonts w:ascii="AdvOTc999d02f" w:hAnsi="AdvOTc999d02f" w:cs="AdvOTc999d02f"/>
          <w:sz w:val="16"/>
          <w:szCs w:val="16"/>
        </w:rPr>
      </w:pPr>
      <w:r w:rsidRPr="003B7D92">
        <w:rPr>
          <w:rFonts w:ascii="AdvOTc999d02f" w:hAnsi="AdvOTc999d02f" w:cs="AdvOTc999d02f"/>
          <w:noProof/>
          <w:sz w:val="16"/>
          <w:szCs w:val="16"/>
        </w:rPr>
        <mc:AlternateContent>
          <mc:Choice Requires="wps">
            <w:drawing>
              <wp:anchor distT="45720" distB="45720" distL="114300" distR="114300" simplePos="0" relativeHeight="251675648" behindDoc="0" locked="0" layoutInCell="1" allowOverlap="1" wp14:anchorId="68FFE551" wp14:editId="511A9EE7">
                <wp:simplePos x="0" y="0"/>
                <wp:positionH relativeFrom="column">
                  <wp:posOffset>2842260</wp:posOffset>
                </wp:positionH>
                <wp:positionV relativeFrom="paragraph">
                  <wp:posOffset>6350</wp:posOffset>
                </wp:positionV>
                <wp:extent cx="448310" cy="318770"/>
                <wp:effectExtent l="0" t="0" r="0" b="50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310" cy="318770"/>
                        </a:xfrm>
                        <a:prstGeom prst="rect">
                          <a:avLst/>
                        </a:prstGeom>
                        <a:noFill/>
                        <a:ln w="9525">
                          <a:noFill/>
                          <a:miter lim="800000"/>
                          <a:headEnd/>
                          <a:tailEnd/>
                        </a:ln>
                      </wps:spPr>
                      <wps:txbx>
                        <w:txbxContent>
                          <w:p w14:paraId="5A4000CF" w14:textId="77777777" w:rsidR="00DD5865" w:rsidRPr="003B7D92" w:rsidRDefault="00DD5865" w:rsidP="00DD5865">
                            <w:pPr>
                              <w:rPr>
                                <w:b/>
                                <w:bCs/>
                                <w:sz w:val="28"/>
                                <w:szCs w:val="28"/>
                              </w:rPr>
                            </w:pPr>
                            <w:r w:rsidRPr="003B7D92">
                              <w:rPr>
                                <w:b/>
                                <w:bCs/>
                                <w:sz w:val="28"/>
                                <w:szCs w:val="28"/>
                              </w:rPr>
                              <w:t>(f)</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8FFE551" id="_x0000_t202" coordsize="21600,21600" o:spt="202" path="m,l,21600r21600,l21600,xe">
                <v:stroke joinstyle="miter"/>
                <v:path gradientshapeok="t" o:connecttype="rect"/>
              </v:shapetype>
              <v:shape id="Text Box 2" o:spid="_x0000_s1026" type="#_x0000_t202" style="position:absolute;margin-left:223.8pt;margin-top:.5pt;width:35.3pt;height:25.1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" filled="f" stroked="f">
                <v:textbox>
                  <w:txbxContent>
                    <w:p w14:paraId="5A4000CF" w14:textId="77777777" w:rsidR="00DD5865" w:rsidRPr="003B7D92" w:rsidRDefault="00DD5865" w:rsidP="00DD5865">
                      <w:pPr>
                        <w:rPr>
                          <w:b/>
                          <w:bCs/>
                          <w:sz w:val="28"/>
                          <w:szCs w:val="28"/>
                        </w:rPr>
                      </w:pPr>
                      <w:r w:rsidRPr="003B7D92">
                        <w:rPr>
                          <w:b/>
                          <w:bCs/>
                          <w:sz w:val="28"/>
                          <w:szCs w:val="28"/>
                        </w:rPr>
                        <w:t>(f)</w:t>
                      </w:r>
                    </w:p>
                  </w:txbxContent>
                </v:textbox>
                <w10:wrap type="square"/>
              </v:shape>
            </w:pict>
          </mc:Fallback>
        </mc:AlternateContent>
      </w:r>
    </w:p>
    <w:p w14:paraId="1883824C" w14:textId="77777777" w:rsidR="00DD5865" w:rsidRDefault="00DD5865" w:rsidP="00DD5865">
      <w:pPr>
        <w:rPr>
          <w:rFonts w:ascii="AdvOTc999d02f" w:hAnsi="AdvOTc999d02f" w:cs="AdvOTc999d02f"/>
          <w:sz w:val="16"/>
          <w:szCs w:val="16"/>
        </w:rPr>
      </w:pPr>
    </w:p>
    <w:p w14:paraId="082A56A2" w14:textId="30513805" w:rsidR="00DD5865" w:rsidRDefault="00DD5865" w:rsidP="00DD5865">
      <w:pPr>
        <w:rPr>
          <w:rFonts w:ascii="AdvOTc999d02f" w:hAnsi="AdvOTc999d02f" w:cs="AdvOTc999d02f"/>
          <w:sz w:val="16"/>
          <w:szCs w:val="16"/>
        </w:rPr>
      </w:pPr>
    </w:p>
    <w:p w14:paraId="5B4A4118" w14:textId="58991E1C" w:rsidR="00DD5865" w:rsidRDefault="00DD5865" w:rsidP="00DD5865">
      <w:pPr>
        <w:rPr>
          <w:rFonts w:ascii="AdvOTc999d02f" w:hAnsi="AdvOTc999d02f" w:cs="AdvOTc999d02f"/>
          <w:sz w:val="16"/>
          <w:szCs w:val="16"/>
        </w:rPr>
      </w:pPr>
    </w:p>
    <w:p w14:paraId="4AB0110E" w14:textId="0B38D2EA" w:rsidR="00DD5865" w:rsidRDefault="00DD5865" w:rsidP="00DD5865">
      <w:pPr>
        <w:rPr>
          <w:rFonts w:ascii="AdvOTc999d02f" w:hAnsi="AdvOTc999d02f" w:cs="AdvOTc999d02f"/>
          <w:sz w:val="16"/>
          <w:szCs w:val="16"/>
        </w:rPr>
      </w:pPr>
    </w:p>
    <w:p w14:paraId="5F8B3008" w14:textId="6F163C22" w:rsidR="00DD5865" w:rsidRDefault="00DD5865" w:rsidP="00DD5865">
      <w:pPr>
        <w:rPr>
          <w:rFonts w:ascii="AdvOTc999d02f" w:hAnsi="AdvOTc999d02f" w:cs="AdvOTc999d02f"/>
          <w:sz w:val="16"/>
          <w:szCs w:val="16"/>
        </w:rPr>
      </w:pPr>
    </w:p>
    <w:p w14:paraId="79BE9CF6" w14:textId="6A0AD355" w:rsidR="00DD5865" w:rsidRDefault="00DD5865" w:rsidP="00DD5865">
      <w:pPr>
        <w:rPr>
          <w:rFonts w:ascii="AdvOTc999d02f" w:hAnsi="AdvOTc999d02f" w:cs="AdvOTc999d02f"/>
          <w:sz w:val="16"/>
          <w:szCs w:val="16"/>
        </w:rPr>
      </w:pPr>
    </w:p>
    <w:p w14:paraId="20988573" w14:textId="4EFE6C0D" w:rsidR="00DD5865" w:rsidRDefault="00DD5865" w:rsidP="00DD5865">
      <w:pPr>
        <w:rPr>
          <w:rFonts w:ascii="AdvOTc999d02f" w:hAnsi="AdvOTc999d02f" w:cs="AdvOTc999d02f"/>
          <w:sz w:val="16"/>
          <w:szCs w:val="16"/>
        </w:rPr>
      </w:pPr>
    </w:p>
    <w:p w14:paraId="4174245A" w14:textId="3A4DA5DF" w:rsidR="00D64AB4" w:rsidRDefault="002F0567" w:rsidP="00DD5865">
      <w:pPr>
        <w:rPr>
          <w:rFonts w:ascii="AdvOTc999d02f" w:hAnsi="AdvOTc999d02f" w:cs="AdvOTc999d02f"/>
          <w:sz w:val="16"/>
          <w:szCs w:val="16"/>
        </w:rPr>
      </w:pPr>
      <w:r w:rsidRPr="00DC7A89">
        <w:rPr>
          <w:rFonts w:ascii="AdvOTc999d02f" w:hAnsi="AdvOTc999d02f" w:cs="AdvOTc999d02f"/>
          <w:noProof/>
          <w:sz w:val="16"/>
          <w:szCs w:val="16"/>
        </w:rPr>
        <w:drawing>
          <wp:anchor distT="0" distB="0" distL="114300" distR="114300" simplePos="0" relativeHeight="251670528" behindDoc="0" locked="0" layoutInCell="1" allowOverlap="1" wp14:anchorId="4AE119BA" wp14:editId="7CFBAED1">
            <wp:simplePos x="0" y="0"/>
            <wp:positionH relativeFrom="margin">
              <wp:posOffset>4396956</wp:posOffset>
            </wp:positionH>
            <wp:positionV relativeFrom="paragraph">
              <wp:posOffset>103229</wp:posOffset>
            </wp:positionV>
            <wp:extent cx="1114425" cy="2129155"/>
            <wp:effectExtent l="0" t="0" r="9525" b="4445"/>
            <wp:wrapNone/>
            <wp:docPr id="2104467604" name="Picture 2104467604">
              <a:extLst xmlns:a="http://schemas.openxmlformats.org/drawingml/2006/main">
                <a:ext uri="{FF2B5EF4-FFF2-40B4-BE49-F238E27FC236}">
                  <a16:creationId xmlns:a16="http://schemas.microsoft.com/office/drawing/2014/main" id="{8D071583-8F63-3866-AD20-CC8C1FF290C3}"/>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6" name="Content Placeholder 7">
                      <a:extLst>
                        <a:ext uri="{FF2B5EF4-FFF2-40B4-BE49-F238E27FC236}">
                          <a16:creationId xmlns:a16="http://schemas.microsoft.com/office/drawing/2014/main" id="{8D071583-8F63-3866-AD20-CC8C1FF290C3}"/>
                        </a:ext>
                      </a:extLst>
                    </pic:cNvPr>
                    <pic:cNvPicPr>
                      <a:picLocks noGrp="1" noChangeAspect="1"/>
                    </pic:cNvPicPr>
                  </pic:nvPicPr>
                  <pic:blipFill rotWithShape="1">
                    <a:blip r:embed="rId1495">
                      <a:extLst>
                        <a:ext uri="{28A0092B-C50C-407E-A947-70E740481C1C}">
                          <a14:useLocalDpi xmlns:a14="http://schemas.microsoft.com/office/drawing/2010/main" val="0"/>
                        </a:ext>
                      </a:extLst>
                    </a:blip>
                    <a:srcRect l="3473" t="38951" r="81638" b="7700"/>
                    <a:stretch/>
                  </pic:blipFill>
                  <pic:spPr>
                    <a:xfrm>
                      <a:off x="0" y="0"/>
                      <a:ext cx="1114425" cy="2129155"/>
                    </a:xfrm>
                    <a:prstGeom prst="rect">
                      <a:avLst/>
                    </a:prstGeom>
                  </pic:spPr>
                </pic:pic>
              </a:graphicData>
            </a:graphic>
          </wp:anchor>
        </w:drawing>
      </w:r>
    </w:p>
    <w:p w14:paraId="4AC90198" w14:textId="0228F944" w:rsidR="00D64AB4" w:rsidRDefault="00D64AB4" w:rsidP="00DD5865">
      <w:pPr>
        <w:rPr>
          <w:rFonts w:ascii="AdvOTc999d02f" w:hAnsi="AdvOTc999d02f" w:cs="AdvOTc999d02f"/>
          <w:sz w:val="16"/>
          <w:szCs w:val="16"/>
        </w:rPr>
      </w:pPr>
    </w:p>
    <w:p w14:paraId="2F8FC22D" w14:textId="75CBB27F" w:rsidR="00D64AB4" w:rsidRDefault="002F0567" w:rsidP="00DD5865">
      <w:pPr>
        <w:rPr>
          <w:rFonts w:ascii="AdvOTc999d02f" w:hAnsi="AdvOTc999d02f" w:cs="AdvOTc999d02f"/>
          <w:sz w:val="16"/>
          <w:szCs w:val="16"/>
        </w:rPr>
      </w:pPr>
      <w:r w:rsidRPr="00DC7A89">
        <w:rPr>
          <w:rFonts w:ascii="AdvOTc999d02f" w:hAnsi="AdvOTc999d02f" w:cs="AdvOTc999d02f"/>
          <w:noProof/>
          <w:sz w:val="16"/>
          <w:szCs w:val="16"/>
        </w:rPr>
        <w:drawing>
          <wp:anchor distT="0" distB="0" distL="114300" distR="114300" simplePos="0" relativeHeight="251667456" behindDoc="0" locked="0" layoutInCell="1" allowOverlap="1" wp14:anchorId="78410FEC" wp14:editId="08332521">
            <wp:simplePos x="0" y="0"/>
            <wp:positionH relativeFrom="column">
              <wp:posOffset>-245589</wp:posOffset>
            </wp:positionH>
            <wp:positionV relativeFrom="paragraph">
              <wp:posOffset>113246</wp:posOffset>
            </wp:positionV>
            <wp:extent cx="2144395" cy="1569085"/>
            <wp:effectExtent l="0" t="0" r="8255" b="0"/>
            <wp:wrapNone/>
            <wp:docPr id="2104467603" name="Graphic 2104467603">
              <a:extLst xmlns:a="http://schemas.openxmlformats.org/drawingml/2006/main">
                <a:ext uri="{FF2B5EF4-FFF2-40B4-BE49-F238E27FC236}">
                  <a16:creationId xmlns:a16="http://schemas.microsoft.com/office/drawing/2014/main" id="{FA491014-FD42-8237-8E84-8CF23046A6F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a:extLst>
                        <a:ext uri="{FF2B5EF4-FFF2-40B4-BE49-F238E27FC236}">
                          <a16:creationId xmlns:a16="http://schemas.microsoft.com/office/drawing/2014/main" id="{FA491014-FD42-8237-8E84-8CF23046A6FD}"/>
                        </a:ext>
                      </a:extLst>
                    </pic:cNvPr>
                    <pic:cNvPicPr>
                      <a:picLocks noChangeAspect="1"/>
                    </pic:cNvPicPr>
                  </pic:nvPicPr>
                  <pic:blipFill>
                    <a:blip r:embed="rId1497">
                      <a:extLst>
                        <a:ext uri="{28A0092B-C50C-407E-A947-70E740481C1C}">
                          <a14:useLocalDpi xmlns:a14="http://schemas.microsoft.com/office/drawing/2010/main" val="0"/>
                        </a:ext>
                        <a:ext uri="{96DAC541-7B7A-43D3-8B79-37D633B846F1}">
                          <asvg:svgBlip xmlns:asvg="http://schemas.microsoft.com/office/drawing/2016/SVG/main" r:embed="rId1498"/>
                        </a:ext>
                      </a:extLst>
                    </a:blip>
                    <a:srcRect t="110" b="110"/>
                    <a:stretch>
                      <a:fillRect/>
                    </a:stretch>
                  </pic:blipFill>
                  <pic:spPr>
                    <a:xfrm>
                      <a:off x="0" y="0"/>
                      <a:ext cx="2144395" cy="1569085"/>
                    </a:xfrm>
                    <a:prstGeom prst="rect">
                      <a:avLst/>
                    </a:prstGeom>
                  </pic:spPr>
                </pic:pic>
              </a:graphicData>
            </a:graphic>
          </wp:anchor>
        </w:drawing>
      </w:r>
      <w:r w:rsidRPr="00DC7A89">
        <w:rPr>
          <w:rFonts w:ascii="AdvOTc999d02f" w:hAnsi="AdvOTc999d02f" w:cs="AdvOTc999d02f"/>
          <w:noProof/>
          <w:sz w:val="16"/>
          <w:szCs w:val="16"/>
        </w:rPr>
        <w:drawing>
          <wp:anchor distT="0" distB="0" distL="114300" distR="114300" simplePos="0" relativeHeight="251668480" behindDoc="0" locked="0" layoutInCell="1" allowOverlap="1" wp14:anchorId="624FC5E1" wp14:editId="2AC63D0A">
            <wp:simplePos x="0" y="0"/>
            <wp:positionH relativeFrom="column">
              <wp:posOffset>1884620</wp:posOffset>
            </wp:positionH>
            <wp:positionV relativeFrom="paragraph">
              <wp:posOffset>3714</wp:posOffset>
            </wp:positionV>
            <wp:extent cx="2476500" cy="1733550"/>
            <wp:effectExtent l="0" t="0" r="0" b="0"/>
            <wp:wrapNone/>
            <wp:docPr id="2104467602" name="Picture 2104467602">
              <a:extLst xmlns:a="http://schemas.openxmlformats.org/drawingml/2006/main">
                <a:ext uri="{FF2B5EF4-FFF2-40B4-BE49-F238E27FC236}">
                  <a16:creationId xmlns:a16="http://schemas.microsoft.com/office/drawing/2014/main" id="{5C4CF43B-3D60-3726-7E43-22F04580AB9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a:extLst>
                        <a:ext uri="{FF2B5EF4-FFF2-40B4-BE49-F238E27FC236}">
                          <a16:creationId xmlns:a16="http://schemas.microsoft.com/office/drawing/2014/main" id="{5C4CF43B-3D60-3726-7E43-22F04580AB98}"/>
                        </a:ext>
                      </a:extLst>
                    </pic:cNvPr>
                    <pic:cNvPicPr>
                      <a:picLocks noChangeAspect="1"/>
                    </pic:cNvPicPr>
                  </pic:nvPicPr>
                  <pic:blipFill>
                    <a:blip r:embed="rId1499"/>
                    <a:stretch/>
                  </pic:blipFill>
                  <pic:spPr>
                    <a:xfrm>
                      <a:off x="0" y="0"/>
                      <a:ext cx="2476500" cy="1733550"/>
                    </a:xfrm>
                    <a:prstGeom prst="rect">
                      <a:avLst/>
                    </a:prstGeom>
                    <a:ln>
                      <a:noFill/>
                    </a:ln>
                  </pic:spPr>
                </pic:pic>
              </a:graphicData>
            </a:graphic>
          </wp:anchor>
        </w:drawing>
      </w:r>
    </w:p>
    <w:p w14:paraId="15F8AEB9" w14:textId="6C2A6B31" w:rsidR="00D64AB4" w:rsidRDefault="00D64AB4" w:rsidP="00DD5865">
      <w:pPr>
        <w:rPr>
          <w:rFonts w:ascii="AdvOTc999d02f" w:hAnsi="AdvOTc999d02f" w:cs="AdvOTc999d02f"/>
          <w:sz w:val="16"/>
          <w:szCs w:val="16"/>
        </w:rPr>
      </w:pPr>
    </w:p>
    <w:p w14:paraId="193A701D" w14:textId="0E8076E2" w:rsidR="00D64AB4" w:rsidRDefault="00D64AB4" w:rsidP="00DD5865">
      <w:pPr>
        <w:rPr>
          <w:rFonts w:ascii="AdvOTc999d02f" w:hAnsi="AdvOTc999d02f" w:cs="AdvOTc999d02f"/>
          <w:sz w:val="16"/>
          <w:szCs w:val="16"/>
        </w:rPr>
      </w:pPr>
    </w:p>
    <w:p w14:paraId="0BC5E9BC" w14:textId="77777777" w:rsidR="00D64AB4" w:rsidRDefault="00D64AB4" w:rsidP="00DD5865">
      <w:pPr>
        <w:rPr>
          <w:rFonts w:ascii="AdvOTc999d02f" w:hAnsi="AdvOTc999d02f" w:cs="AdvOTc999d02f"/>
          <w:sz w:val="16"/>
          <w:szCs w:val="16"/>
        </w:rPr>
      </w:pPr>
    </w:p>
    <w:p w14:paraId="74CA0C67" w14:textId="3421E955" w:rsidR="00D64AB4" w:rsidRDefault="00D64AB4" w:rsidP="00DD5865">
      <w:pPr>
        <w:rPr>
          <w:rFonts w:ascii="AdvOTc999d02f" w:hAnsi="AdvOTc999d02f" w:cs="AdvOTc999d02f"/>
          <w:sz w:val="16"/>
          <w:szCs w:val="16"/>
        </w:rPr>
      </w:pPr>
    </w:p>
    <w:p w14:paraId="6EDE92ED" w14:textId="0876AACA" w:rsidR="00D64AB4" w:rsidRDefault="00D64AB4" w:rsidP="00DD5865">
      <w:pPr>
        <w:rPr>
          <w:rFonts w:ascii="AdvOTc999d02f" w:hAnsi="AdvOTc999d02f" w:cs="AdvOTc999d02f"/>
          <w:sz w:val="16"/>
          <w:szCs w:val="16"/>
        </w:rPr>
      </w:pPr>
    </w:p>
    <w:p w14:paraId="0950C87A" w14:textId="2B996D51" w:rsidR="00D64AB4" w:rsidRDefault="00D64AB4" w:rsidP="00DD5865">
      <w:pPr>
        <w:rPr>
          <w:rFonts w:ascii="AdvOTc999d02f" w:hAnsi="AdvOTc999d02f" w:cs="AdvOTc999d02f"/>
          <w:sz w:val="16"/>
          <w:szCs w:val="16"/>
        </w:rPr>
      </w:pPr>
    </w:p>
    <w:p w14:paraId="4D9CAFB0" w14:textId="38A45879" w:rsidR="00D64AB4" w:rsidRDefault="00D64AB4" w:rsidP="00DD5865">
      <w:pPr>
        <w:rPr>
          <w:rFonts w:ascii="AdvOTc999d02f" w:hAnsi="AdvOTc999d02f" w:cs="AdvOTc999d02f"/>
          <w:sz w:val="16"/>
          <w:szCs w:val="16"/>
        </w:rPr>
      </w:pPr>
    </w:p>
    <w:p w14:paraId="7B5B9C65" w14:textId="7106CC0B" w:rsidR="00D64AB4" w:rsidRDefault="00D64AB4" w:rsidP="00DD5865">
      <w:pPr>
        <w:rPr>
          <w:rFonts w:ascii="AdvOTc999d02f" w:hAnsi="AdvOTc999d02f" w:cs="AdvOTc999d02f"/>
          <w:sz w:val="16"/>
          <w:szCs w:val="16"/>
        </w:rPr>
      </w:pPr>
    </w:p>
    <w:p w14:paraId="16445ED4" w14:textId="38329605" w:rsidR="00DD5865" w:rsidRDefault="00DD5865" w:rsidP="00DD5865">
      <w:pPr>
        <w:rPr>
          <w:rFonts w:ascii="AdvOTc999d02f" w:hAnsi="AdvOTc999d02f" w:cs="AdvOTc999d02f"/>
          <w:sz w:val="16"/>
          <w:szCs w:val="16"/>
        </w:rPr>
      </w:pPr>
    </w:p>
    <w:p w14:paraId="2A92C04D" w14:textId="3A0F9BEB" w:rsidR="00DD5865" w:rsidRDefault="00DD5865" w:rsidP="00DD5865">
      <w:pPr>
        <w:rPr>
          <w:rFonts w:ascii="AdvOTc999d02f" w:hAnsi="AdvOTc999d02f" w:cs="AdvOTc999d02f"/>
          <w:sz w:val="16"/>
          <w:szCs w:val="16"/>
        </w:rPr>
      </w:pPr>
    </w:p>
    <w:p w14:paraId="5AE81799" w14:textId="2C72C8D8" w:rsidR="00DD5865" w:rsidRDefault="00DD5865" w:rsidP="00DD5865">
      <w:pPr>
        <w:rPr>
          <w:rFonts w:ascii="AdvOTc999d02f" w:hAnsi="AdvOTc999d02f" w:cs="AdvOTc999d02f"/>
        </w:rPr>
      </w:pPr>
    </w:p>
    <w:p w14:paraId="7CA3C50A" w14:textId="4B82BA09" w:rsidR="002F0567" w:rsidRDefault="002F0567" w:rsidP="00DD5865">
      <w:pPr>
        <w:rPr>
          <w:rFonts w:ascii="AdvOTc999d02f" w:hAnsi="AdvOTc999d02f" w:cs="AdvOTc999d02f"/>
        </w:rPr>
      </w:pPr>
      <w:r w:rsidRPr="003B7D92">
        <w:rPr>
          <w:rFonts w:ascii="AdvOTc999d02f" w:hAnsi="AdvOTc999d02f" w:cs="AdvOTc999d02f"/>
          <w:noProof/>
          <w:sz w:val="16"/>
          <w:szCs w:val="16"/>
        </w:rPr>
        <mc:AlternateContent>
          <mc:Choice Requires="wps">
            <w:drawing>
              <wp:anchor distT="45720" distB="45720" distL="114300" distR="114300" simplePos="0" relativeHeight="251678720" behindDoc="0" locked="0" layoutInCell="1" allowOverlap="1" wp14:anchorId="36893EC4" wp14:editId="7C217B3C">
                <wp:simplePos x="0" y="0"/>
                <wp:positionH relativeFrom="margin">
                  <wp:posOffset>3991873</wp:posOffset>
                </wp:positionH>
                <wp:positionV relativeFrom="paragraph">
                  <wp:posOffset>10688</wp:posOffset>
                </wp:positionV>
                <wp:extent cx="405130" cy="327660"/>
                <wp:effectExtent l="0" t="0" r="0" b="1270"/>
                <wp:wrapSquare wrapText="bothSides"/>
                <wp:docPr id="21044675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130" cy="327660"/>
                        </a:xfrm>
                        <a:prstGeom prst="rect">
                          <a:avLst/>
                        </a:prstGeom>
                        <a:noFill/>
                        <a:ln w="9525">
                          <a:noFill/>
                          <a:miter lim="800000"/>
                          <a:headEnd/>
                          <a:tailEnd/>
                        </a:ln>
                      </wps:spPr>
                      <wps:txbx>
                        <w:txbxContent>
                          <w:p w14:paraId="7302E096" w14:textId="77777777" w:rsidR="00DD5865" w:rsidRPr="003B7D92" w:rsidRDefault="00DD5865" w:rsidP="00DD5865">
                            <w:pPr>
                              <w:rPr>
                                <w:b/>
                                <w:bCs/>
                                <w:sz w:val="28"/>
                                <w:szCs w:val="28"/>
                              </w:rPr>
                            </w:pPr>
                            <w:r w:rsidRPr="003B7D92">
                              <w:rPr>
                                <w:b/>
                                <w:bCs/>
                                <w:sz w:val="28"/>
                                <w:szCs w:val="28"/>
                              </w:rPr>
                              <w:t>(</w:t>
                            </w:r>
                            <w:r>
                              <w:rPr>
                                <w:b/>
                                <w:bCs/>
                                <w:sz w:val="28"/>
                                <w:szCs w:val="28"/>
                              </w:rPr>
                              <w:t>i</w:t>
                            </w:r>
                            <w:r w:rsidRPr="003B7D92">
                              <w:rPr>
                                <w:b/>
                                <w:bCs/>
                                <w:sz w:val="28"/>
                                <w:szCs w:val="2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893EC4" id="_x0000_s1027" type="#_x0000_t202" style="position:absolute;margin-left:314.3pt;margin-top:.85pt;width:31.9pt;height:25.8pt;z-index:2516787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" filled="f" stroked="f">
                <v:textbox>
                  <w:txbxContent>
                    <w:p w14:paraId="7302E096" w14:textId="77777777" w:rsidR="00DD5865" w:rsidRPr="003B7D92" w:rsidRDefault="00DD5865" w:rsidP="00DD5865">
                      <w:pPr>
                        <w:rPr>
                          <w:b/>
                          <w:bCs/>
                          <w:sz w:val="28"/>
                          <w:szCs w:val="28"/>
                        </w:rPr>
                      </w:pPr>
                      <w:r w:rsidRPr="003B7D92">
                        <w:rPr>
                          <w:b/>
                          <w:bCs/>
                          <w:sz w:val="28"/>
                          <w:szCs w:val="28"/>
                        </w:rPr>
                        <w:t>(</w:t>
                      </w:r>
                      <w:r>
                        <w:rPr>
                          <w:b/>
                          <w:bCs/>
                          <w:sz w:val="28"/>
                          <w:szCs w:val="28"/>
                        </w:rPr>
                        <w:t>i</w:t>
                      </w:r>
                      <w:r w:rsidRPr="003B7D92">
                        <w:rPr>
                          <w:b/>
                          <w:bCs/>
                          <w:sz w:val="28"/>
                          <w:szCs w:val="28"/>
                        </w:rPr>
                        <w:t>)</w:t>
                      </w:r>
                    </w:p>
                  </w:txbxContent>
                </v:textbox>
                <w10:wrap type="square" anchorx="margin"/>
              </v:shape>
            </w:pict>
          </mc:Fallback>
        </mc:AlternateContent>
      </w:r>
      <w:r w:rsidRPr="003B7D92">
        <w:rPr>
          <w:rFonts w:ascii="AdvOTc999d02f" w:hAnsi="AdvOTc999d02f" w:cs="AdvOTc999d02f"/>
          <w:noProof/>
          <w:sz w:val="16"/>
          <w:szCs w:val="16"/>
        </w:rPr>
        <mc:AlternateContent>
          <mc:Choice Requires="wps">
            <w:drawing>
              <wp:anchor distT="45720" distB="45720" distL="114300" distR="114300" simplePos="0" relativeHeight="251677696" behindDoc="0" locked="0" layoutInCell="1" allowOverlap="1" wp14:anchorId="289D40A4" wp14:editId="03913152">
                <wp:simplePos x="0" y="0"/>
                <wp:positionH relativeFrom="margin">
                  <wp:posOffset>2427605</wp:posOffset>
                </wp:positionH>
                <wp:positionV relativeFrom="paragraph">
                  <wp:posOffset>90434</wp:posOffset>
                </wp:positionV>
                <wp:extent cx="474345" cy="327660"/>
                <wp:effectExtent l="0" t="0" r="0" b="0"/>
                <wp:wrapSquare wrapText="bothSides"/>
                <wp:docPr id="21044675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345" cy="327660"/>
                        </a:xfrm>
                        <a:prstGeom prst="rect">
                          <a:avLst/>
                        </a:prstGeom>
                        <a:noFill/>
                        <a:ln w="9525">
                          <a:noFill/>
                          <a:miter lim="800000"/>
                          <a:headEnd/>
                          <a:tailEnd/>
                        </a:ln>
                      </wps:spPr>
                      <wps:txbx>
                        <w:txbxContent>
                          <w:p w14:paraId="196F5346" w14:textId="77777777" w:rsidR="00DD5865" w:rsidRPr="003B7D92" w:rsidRDefault="00DD5865" w:rsidP="00DD5865">
                            <w:pPr>
                              <w:rPr>
                                <w:b/>
                                <w:bCs/>
                                <w:sz w:val="28"/>
                                <w:szCs w:val="28"/>
                              </w:rPr>
                            </w:pPr>
                            <w:r w:rsidRPr="003B7D92">
                              <w:rPr>
                                <w:b/>
                                <w:bCs/>
                                <w:sz w:val="28"/>
                                <w:szCs w:val="28"/>
                              </w:rPr>
                              <w:t>(</w:t>
                            </w:r>
                            <w:r>
                              <w:rPr>
                                <w:b/>
                                <w:bCs/>
                                <w:sz w:val="28"/>
                                <w:szCs w:val="28"/>
                              </w:rPr>
                              <w:t>h</w:t>
                            </w:r>
                            <w:r w:rsidRPr="003B7D92">
                              <w:rPr>
                                <w:b/>
                                <w:bCs/>
                                <w:sz w:val="28"/>
                                <w:szCs w:val="2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9D40A4" id="_x0000_s1028" type="#_x0000_t202" style="position:absolute;margin-left:191.15pt;margin-top:7.1pt;width:37.35pt;height:25.8pt;z-index:2516776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" filled="f" stroked="f">
                <v:textbox>
                  <w:txbxContent>
                    <w:p w14:paraId="196F5346" w14:textId="77777777" w:rsidR="00DD5865" w:rsidRPr="003B7D92" w:rsidRDefault="00DD5865" w:rsidP="00DD5865">
                      <w:pPr>
                        <w:rPr>
                          <w:b/>
                          <w:bCs/>
                          <w:sz w:val="28"/>
                          <w:szCs w:val="28"/>
                        </w:rPr>
                      </w:pPr>
                      <w:r w:rsidRPr="003B7D92">
                        <w:rPr>
                          <w:b/>
                          <w:bCs/>
                          <w:sz w:val="28"/>
                          <w:szCs w:val="28"/>
                        </w:rPr>
                        <w:t>(</w:t>
                      </w:r>
                      <w:r>
                        <w:rPr>
                          <w:b/>
                          <w:bCs/>
                          <w:sz w:val="28"/>
                          <w:szCs w:val="28"/>
                        </w:rPr>
                        <w:t>h</w:t>
                      </w:r>
                      <w:r w:rsidRPr="003B7D92">
                        <w:rPr>
                          <w:b/>
                          <w:bCs/>
                          <w:sz w:val="28"/>
                          <w:szCs w:val="28"/>
                        </w:rPr>
                        <w:t>)</w:t>
                      </w:r>
                    </w:p>
                  </w:txbxContent>
                </v:textbox>
                <w10:wrap type="square" anchorx="margin"/>
              </v:shape>
            </w:pict>
          </mc:Fallback>
        </mc:AlternateContent>
      </w:r>
      <w:r w:rsidRPr="003B7D92">
        <w:rPr>
          <w:rFonts w:ascii="AdvOTc999d02f" w:hAnsi="AdvOTc999d02f" w:cs="AdvOTc999d02f"/>
          <w:noProof/>
          <w:sz w:val="16"/>
          <w:szCs w:val="16"/>
        </w:rPr>
        <mc:AlternateContent>
          <mc:Choice Requires="wps">
            <w:drawing>
              <wp:anchor distT="45720" distB="45720" distL="114300" distR="114300" simplePos="0" relativeHeight="251676672" behindDoc="0" locked="0" layoutInCell="1" allowOverlap="1" wp14:anchorId="404782CE" wp14:editId="18B7CD09">
                <wp:simplePos x="0" y="0"/>
                <wp:positionH relativeFrom="margin">
                  <wp:posOffset>1413654</wp:posOffset>
                </wp:positionH>
                <wp:positionV relativeFrom="paragraph">
                  <wp:posOffset>119716</wp:posOffset>
                </wp:positionV>
                <wp:extent cx="405130" cy="327660"/>
                <wp:effectExtent l="0" t="0" r="0" b="0"/>
                <wp:wrapSquare wrapText="bothSides"/>
                <wp:docPr id="1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130" cy="327660"/>
                        </a:xfrm>
                        <a:prstGeom prst="rect">
                          <a:avLst/>
                        </a:prstGeom>
                        <a:noFill/>
                        <a:ln w="9525">
                          <a:noFill/>
                          <a:miter lim="800000"/>
                          <a:headEnd/>
                          <a:tailEnd/>
                        </a:ln>
                      </wps:spPr>
                      <wps:txbx>
                        <w:txbxContent>
                          <w:p w14:paraId="7A28E86A" w14:textId="77777777" w:rsidR="00DD5865" w:rsidRPr="003B7D92" w:rsidRDefault="00DD5865" w:rsidP="00DD5865">
                            <w:pPr>
                              <w:rPr>
                                <w:b/>
                                <w:bCs/>
                                <w:sz w:val="28"/>
                                <w:szCs w:val="28"/>
                              </w:rPr>
                            </w:pPr>
                            <w:r w:rsidRPr="003B7D92">
                              <w:rPr>
                                <w:b/>
                                <w:bCs/>
                                <w:sz w:val="28"/>
                                <w:szCs w:val="28"/>
                              </w:rPr>
                              <w:t>(</w:t>
                            </w:r>
                            <w:r>
                              <w:rPr>
                                <w:b/>
                                <w:bCs/>
                                <w:sz w:val="28"/>
                                <w:szCs w:val="28"/>
                              </w:rPr>
                              <w:t>g</w:t>
                            </w:r>
                            <w:r w:rsidRPr="003B7D92">
                              <w:rPr>
                                <w:b/>
                                <w:bCs/>
                                <w:sz w:val="28"/>
                                <w:szCs w:val="2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4782CE" id="_x0000_s1029" type="#_x0000_t202" style="position:absolute;margin-left:111.3pt;margin-top:9.45pt;width:31.9pt;height:25.8pt;z-index:2516766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" filled="f" stroked="f">
                <v:textbox>
                  <w:txbxContent>
                    <w:p w14:paraId="7A28E86A" w14:textId="77777777" w:rsidR="00DD5865" w:rsidRPr="003B7D92" w:rsidRDefault="00DD5865" w:rsidP="00DD5865">
                      <w:pPr>
                        <w:rPr>
                          <w:b/>
                          <w:bCs/>
                          <w:sz w:val="28"/>
                          <w:szCs w:val="28"/>
                        </w:rPr>
                      </w:pPr>
                      <w:r w:rsidRPr="003B7D92">
                        <w:rPr>
                          <w:b/>
                          <w:bCs/>
                          <w:sz w:val="28"/>
                          <w:szCs w:val="28"/>
                        </w:rPr>
                        <w:t>(</w:t>
                      </w:r>
                      <w:r>
                        <w:rPr>
                          <w:b/>
                          <w:bCs/>
                          <w:sz w:val="28"/>
                          <w:szCs w:val="28"/>
                        </w:rPr>
                        <w:t>g</w:t>
                      </w:r>
                      <w:r w:rsidRPr="003B7D92">
                        <w:rPr>
                          <w:b/>
                          <w:bCs/>
                          <w:sz w:val="28"/>
                          <w:szCs w:val="28"/>
                        </w:rPr>
                        <w:t>)</w:t>
                      </w:r>
                    </w:p>
                  </w:txbxContent>
                </v:textbox>
                <w10:wrap type="square" anchorx="margin"/>
              </v:shape>
            </w:pict>
          </mc:Fallback>
        </mc:AlternateContent>
      </w:r>
    </w:p>
    <w:p w14:paraId="53CAF0A9" w14:textId="20D611DA" w:rsidR="002F0567" w:rsidRDefault="002F0567" w:rsidP="00DD5865">
      <w:pPr>
        <w:rPr>
          <w:rFonts w:ascii="AdvOTc999d02f" w:hAnsi="AdvOTc999d02f" w:cs="AdvOTc999d02f"/>
        </w:rPr>
      </w:pPr>
    </w:p>
    <w:p w14:paraId="532815F0" w14:textId="77777777" w:rsidR="002F0567" w:rsidRDefault="002F0567" w:rsidP="00DD5865">
      <w:pPr>
        <w:rPr>
          <w:rFonts w:ascii="AdvOTc999d02f" w:hAnsi="AdvOTc999d02f" w:cs="AdvOTc999d02f"/>
        </w:rPr>
      </w:pPr>
    </w:p>
    <w:p w14:paraId="13B94B5A" w14:textId="77777777" w:rsidR="002F0567" w:rsidRDefault="002F0567" w:rsidP="00DD5865">
      <w:pPr>
        <w:rPr>
          <w:rFonts w:cstheme="minorHAnsi"/>
        </w:rPr>
      </w:pPr>
    </w:p>
    <w:p w14:paraId="14DE2951" w14:textId="71D7B3E2" w:rsidR="00DD5865" w:rsidRPr="001A3E90" w:rsidRDefault="00DD5865" w:rsidP="00DD5865">
      <w:pPr>
        <w:rPr>
          <w:rFonts w:cstheme="minorHAnsi"/>
        </w:rPr>
      </w:pPr>
      <w:r>
        <w:rPr>
          <w:rFonts w:cstheme="minorHAnsi"/>
        </w:rPr>
        <w:t>Figure</w:t>
      </w:r>
      <w:r w:rsidRPr="001A3E90">
        <w:rPr>
          <w:rFonts w:cstheme="minorHAnsi"/>
        </w:rPr>
        <w:t xml:space="preserve"> </w:t>
      </w:r>
      <w:r>
        <w:t>10.</w:t>
      </w:r>
      <w:r w:rsidRPr="001A3E90">
        <w:rPr>
          <w:rFonts w:cstheme="minorHAnsi"/>
        </w:rPr>
        <w:t xml:space="preserve">12.  a) Morphology of columnar </w:t>
      </w:r>
      <w:r w:rsidRPr="001A3E90">
        <w:rPr>
          <w:rFonts w:cstheme="minorHAnsi"/>
          <w:i/>
          <w:iCs/>
        </w:rPr>
        <w:sym w:font="Symbol" w:char="F062"/>
      </w:r>
      <w:r w:rsidRPr="001A3E90">
        <w:rPr>
          <w:rFonts w:cstheme="minorHAnsi"/>
        </w:rPr>
        <w:t xml:space="preserve">-dendrites with secondary arms from PF simulation of LPBF of Ti-6Al-4V alloy in the early, transient state, b) columnar </w:t>
      </w:r>
      <w:r w:rsidRPr="001A3E90">
        <w:rPr>
          <w:rFonts w:cstheme="minorHAnsi"/>
          <w:i/>
          <w:iCs/>
        </w:rPr>
        <w:sym w:font="Symbol" w:char="F062"/>
      </w:r>
      <w:r w:rsidRPr="001A3E90">
        <w:rPr>
          <w:rFonts w:cstheme="minorHAnsi"/>
        </w:rPr>
        <w:t>-dendrites showing three growth stages, c) columnar morphology in 3-D from PF simulations, d) a plot residual normal stress on a transverse cut plane, e) variation of residual normal stress as a function of depth, f) a 2-D slice of the temperature distribution after a laser traversed 80</w:t>
      </w:r>
      <w:r w:rsidR="005B5AE0">
        <w:rPr>
          <w:rFonts w:cstheme="minorHAnsi"/>
        </w:rPr>
        <w:t xml:space="preserve"> </w:t>
      </w:r>
      <w:r w:rsidRPr="001A3E90">
        <w:rPr>
          <w:rFonts w:cstheme="minorHAnsi"/>
        </w:rPr>
        <w:t xml:space="preserve">% of the total length of the build of the LPBF process, g) phase fractions  as a function of the total strain level, h) Hall-Petch type relationship between </w:t>
      </w:r>
      <w:r w:rsidRPr="001A3E90">
        <w:rPr>
          <w:rFonts w:cstheme="minorHAnsi"/>
        </w:rPr>
        <w:lastRenderedPageBreak/>
        <w:t xml:space="preserve">stress and primary dendrite spacing, and i) a plan view of the distortion in the part </w:t>
      </w:r>
      <w:r w:rsidRPr="001A3E90">
        <w:rPr>
          <w:rFonts w:cstheme="minorHAnsi"/>
        </w:rPr>
        <w:fldChar w:fldCharType="begin"/>
      </w:r>
      <w:r>
        <w:rPr>
          <w:rFonts w:cstheme="minorHAnsi"/>
        </w:rPr>
        <w:instrText xml:space="preserve"> ADDIN ZOTERO_ITEM CSL_CITATION {"citationID":"IEBAxahn","properties":{"formattedCitation":"(Ghosh et al. 2018)","plainCitation":"(Ghosh et al. 2018)","noteIndex":0},"citationItems":[{"id":248,"uris":["http://zotero.org/users/9870952/items/EP7XZWFC"],"itemData":{"id":248,"type":"article-journal","container-title":"Modelling and simulation in materials science and engineering","issue":"7","note":"publisher: IOP Publishing","page":"075005","source":"Google Scholar","title":"Simulation of temperature, stress and microstructure fields during laser deposition of Ti–6Al–4V","volume":"26","author":[{"family":"Ghosh","given":"Supriyo"},{"family":"McReynolds","given":"Kevin"},{"family":"Guyer","given":"Jonathan E."},{"family":"Banerjee","given":"Dilip"}],"issued":{"date-parts":[["2018"]]}}}],"schema":"https://github.com/citation-style-language/schema/raw/master/csl-citation.json"} </w:instrText>
      </w:r>
      <w:r w:rsidRPr="001A3E90">
        <w:rPr>
          <w:rFonts w:cstheme="minorHAnsi"/>
        </w:rPr>
        <w:fldChar w:fldCharType="separate"/>
      </w:r>
      <w:r w:rsidRPr="00826A79">
        <w:rPr>
          <w:rFonts w:cs="Calibri"/>
        </w:rPr>
        <w:t>(Ghosh et al. 2018)</w:t>
      </w:r>
      <w:r w:rsidRPr="001A3E90">
        <w:rPr>
          <w:rFonts w:cstheme="minorHAnsi"/>
        </w:rPr>
        <w:fldChar w:fldCharType="end"/>
      </w:r>
      <w:r w:rsidRPr="001A3E90">
        <w:rPr>
          <w:rFonts w:cstheme="minorHAnsi"/>
        </w:rPr>
        <w:t xml:space="preserve">. </w:t>
      </w:r>
    </w:p>
    <w:p w14:paraId="29E3CF03" w14:textId="77777777" w:rsidR="00DD5865" w:rsidRDefault="00DD5865" w:rsidP="00DD5865">
      <w:pPr>
        <w:rPr>
          <w:rFonts w:ascii="AdvOTc999d02f" w:hAnsi="AdvOTc999d02f" w:cs="AdvOTc999d02f"/>
          <w:sz w:val="16"/>
          <w:szCs w:val="16"/>
        </w:rPr>
      </w:pPr>
    </w:p>
    <w:p w14:paraId="42BB5C3A" w14:textId="77777777" w:rsidR="00DE3599" w:rsidRDefault="00DE3599" w:rsidP="00DD5865">
      <w:pPr>
        <w:rPr>
          <w:rFonts w:ascii="AdvOTc999d02f" w:hAnsi="AdvOTc999d02f" w:cs="AdvOTc999d02f"/>
          <w:sz w:val="16"/>
          <w:szCs w:val="16"/>
        </w:rPr>
      </w:pPr>
    </w:p>
    <w:p w14:paraId="349A38F8" w14:textId="77777777" w:rsidR="00DE3599" w:rsidRDefault="00DE3599" w:rsidP="00DD5865">
      <w:pPr>
        <w:rPr>
          <w:rFonts w:ascii="AdvOTc999d02f" w:hAnsi="AdvOTc999d02f" w:cs="AdvOTc999d02f"/>
          <w:sz w:val="16"/>
          <w:szCs w:val="16"/>
        </w:rPr>
      </w:pPr>
    </w:p>
    <w:p w14:paraId="670AFF03" w14:textId="77777777" w:rsidR="00DE3599" w:rsidRDefault="00DE3599" w:rsidP="00DD5865">
      <w:pPr>
        <w:rPr>
          <w:rFonts w:ascii="AdvOTc999d02f" w:hAnsi="AdvOTc999d02f" w:cs="AdvOTc999d02f"/>
          <w:sz w:val="16"/>
          <w:szCs w:val="16"/>
        </w:rPr>
      </w:pPr>
    </w:p>
    <w:p w14:paraId="412AAB66" w14:textId="77777777" w:rsidR="00DE3599" w:rsidRDefault="00DE3599" w:rsidP="00DD5865">
      <w:pPr>
        <w:rPr>
          <w:rFonts w:ascii="AdvOTc999d02f" w:hAnsi="AdvOTc999d02f" w:cs="AdvOTc999d02f"/>
          <w:sz w:val="16"/>
          <w:szCs w:val="16"/>
        </w:rPr>
      </w:pPr>
    </w:p>
    <w:p w14:paraId="23895D9D" w14:textId="6D40948E" w:rsidR="00DD5865" w:rsidRDefault="00DD5865" w:rsidP="00DD5865">
      <w:pPr>
        <w:rPr>
          <w:rFonts w:ascii="AdvOTc999d02f" w:hAnsi="AdvOTc999d02f" w:cs="AdvOTc999d02f"/>
          <w:sz w:val="16"/>
          <w:szCs w:val="16"/>
        </w:rPr>
      </w:pPr>
      <w:r w:rsidRPr="00665F3D">
        <w:rPr>
          <w:rFonts w:ascii="AdvOTc999d02f" w:hAnsi="AdvOTc999d02f" w:cs="AdvOTc999d02f"/>
          <w:noProof/>
          <w:sz w:val="16"/>
          <w:szCs w:val="16"/>
        </w:rPr>
        <w:drawing>
          <wp:anchor distT="0" distB="0" distL="114300" distR="114300" simplePos="0" relativeHeight="251663360" behindDoc="0" locked="0" layoutInCell="1" allowOverlap="1" wp14:anchorId="214F3E1B" wp14:editId="69A349DC">
            <wp:simplePos x="0" y="0"/>
            <wp:positionH relativeFrom="column">
              <wp:posOffset>0</wp:posOffset>
            </wp:positionH>
            <wp:positionV relativeFrom="paragraph">
              <wp:posOffset>18415</wp:posOffset>
            </wp:positionV>
            <wp:extent cx="3157972" cy="2668612"/>
            <wp:effectExtent l="0" t="0" r="4445" b="0"/>
            <wp:wrapNone/>
            <wp:docPr id="2104467605" name="Picture 2104467605">
              <a:extLst xmlns:a="http://schemas.openxmlformats.org/drawingml/2006/main">
                <a:ext uri="{FF2B5EF4-FFF2-40B4-BE49-F238E27FC236}">
                  <a16:creationId xmlns:a16="http://schemas.microsoft.com/office/drawing/2014/main" id="{AFF1BF3C-0801-7290-8CCD-5D95A7397FA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AFF1BF3C-0801-7290-8CCD-5D95A7397FA2}"/>
                        </a:ext>
                      </a:extLst>
                    </pic:cNvPr>
                    <pic:cNvPicPr>
                      <a:picLocks noChangeAspect="1"/>
                    </pic:cNvPicPr>
                  </pic:nvPicPr>
                  <pic:blipFill rotWithShape="1">
                    <a:blip r:embed="rId1500"/>
                    <a:srcRect l="36623" t="16589" r="34597" b="40175"/>
                    <a:stretch/>
                  </pic:blipFill>
                  <pic:spPr>
                    <a:xfrm>
                      <a:off x="0" y="0"/>
                      <a:ext cx="3157972" cy="2668612"/>
                    </a:xfrm>
                    <a:prstGeom prst="rect">
                      <a:avLst/>
                    </a:prstGeom>
                  </pic:spPr>
                </pic:pic>
              </a:graphicData>
            </a:graphic>
          </wp:anchor>
        </w:drawing>
      </w:r>
    </w:p>
    <w:p w14:paraId="67D91A5D" w14:textId="29C9E5BF" w:rsidR="00DD5865" w:rsidRDefault="00DD5865" w:rsidP="00DD5865">
      <w:pPr>
        <w:rPr>
          <w:rFonts w:ascii="AdvOTc999d02f" w:hAnsi="AdvOTc999d02f" w:cs="AdvOTc999d02f"/>
          <w:sz w:val="16"/>
          <w:szCs w:val="16"/>
        </w:rPr>
      </w:pPr>
    </w:p>
    <w:p w14:paraId="0ED542D2" w14:textId="1EFD9B31" w:rsidR="00DD5865" w:rsidRDefault="00DD5865" w:rsidP="00DD5865">
      <w:pPr>
        <w:rPr>
          <w:rFonts w:ascii="AdvOTc999d02f" w:hAnsi="AdvOTc999d02f" w:cs="AdvOTc999d02f"/>
          <w:sz w:val="16"/>
          <w:szCs w:val="16"/>
        </w:rPr>
      </w:pPr>
      <w:r w:rsidRPr="003B7D92">
        <w:rPr>
          <w:rFonts w:ascii="AdvOTc999d02f" w:hAnsi="AdvOTc999d02f" w:cs="AdvOTc999d02f"/>
          <w:noProof/>
          <w:sz w:val="16"/>
          <w:szCs w:val="16"/>
        </w:rPr>
        <mc:AlternateContent>
          <mc:Choice Requires="wps">
            <w:drawing>
              <wp:anchor distT="45720" distB="45720" distL="114300" distR="114300" simplePos="0" relativeHeight="251679744" behindDoc="0" locked="0" layoutInCell="1" allowOverlap="1" wp14:anchorId="58F1B741" wp14:editId="2482F9F2">
                <wp:simplePos x="0" y="0"/>
                <wp:positionH relativeFrom="margin">
                  <wp:posOffset>3001106</wp:posOffset>
                </wp:positionH>
                <wp:positionV relativeFrom="paragraph">
                  <wp:posOffset>9525</wp:posOffset>
                </wp:positionV>
                <wp:extent cx="361950" cy="292735"/>
                <wp:effectExtent l="0" t="0" r="0" b="0"/>
                <wp:wrapSquare wrapText="bothSides"/>
                <wp:docPr id="21044675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950" cy="292735"/>
                        </a:xfrm>
                        <a:prstGeom prst="rect">
                          <a:avLst/>
                        </a:prstGeom>
                        <a:noFill/>
                        <a:ln w="9525">
                          <a:noFill/>
                          <a:miter lim="800000"/>
                          <a:headEnd/>
                          <a:tailEnd/>
                        </a:ln>
                      </wps:spPr>
                      <wps:txbx>
                        <w:txbxContent>
                          <w:p w14:paraId="466160A7" w14:textId="77777777" w:rsidR="00DD5865" w:rsidRPr="0036101C" w:rsidRDefault="00DD5865" w:rsidP="00DD5865">
                            <w:r w:rsidRPr="0036101C">
                              <w:t>(</w:t>
                            </w:r>
                            <w:r>
                              <w:t>a</w:t>
                            </w:r>
                            <w:r w:rsidRPr="0036101C">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F1B741" id="_x0000_s1030" type="#_x0000_t202" style="position:absolute;margin-left:236.3pt;margin-top:.75pt;width:28.5pt;height:23.05pt;z-index:2516797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" filled="f" stroked="f">
                <v:textbox>
                  <w:txbxContent>
                    <w:p w14:paraId="466160A7" w14:textId="77777777" w:rsidR="00DD5865" w:rsidRPr="0036101C" w:rsidRDefault="00DD5865" w:rsidP="00DD5865">
                      <w:r w:rsidRPr="0036101C">
                        <w:t>(</w:t>
                      </w:r>
                      <w:r>
                        <w:t>a</w:t>
                      </w:r>
                      <w:r w:rsidRPr="0036101C">
                        <w:t>)</w:t>
                      </w:r>
                    </w:p>
                  </w:txbxContent>
                </v:textbox>
                <w10:wrap type="square" anchorx="margin"/>
              </v:shape>
            </w:pict>
          </mc:Fallback>
        </mc:AlternateContent>
      </w:r>
    </w:p>
    <w:p w14:paraId="26712E62" w14:textId="3B63B0D1" w:rsidR="00DD5865" w:rsidRDefault="00DD5865" w:rsidP="00DD5865">
      <w:pPr>
        <w:rPr>
          <w:rFonts w:ascii="AdvOTc999d02f" w:hAnsi="AdvOTc999d02f" w:cs="AdvOTc999d02f"/>
          <w:sz w:val="16"/>
          <w:szCs w:val="16"/>
        </w:rPr>
      </w:pPr>
    </w:p>
    <w:p w14:paraId="5F0D3300" w14:textId="18692C5C" w:rsidR="00DD5865" w:rsidRDefault="00DD5865" w:rsidP="00DD5865">
      <w:pPr>
        <w:rPr>
          <w:rFonts w:ascii="AdvOTc999d02f" w:hAnsi="AdvOTc999d02f" w:cs="AdvOTc999d02f"/>
          <w:sz w:val="16"/>
          <w:szCs w:val="16"/>
        </w:rPr>
      </w:pPr>
    </w:p>
    <w:p w14:paraId="186A7932" w14:textId="104BB8F2" w:rsidR="00DD5865" w:rsidRDefault="00DD5865" w:rsidP="00DD5865">
      <w:pPr>
        <w:rPr>
          <w:rFonts w:ascii="AdvOTc999d02f" w:hAnsi="AdvOTc999d02f" w:cs="AdvOTc999d02f"/>
          <w:sz w:val="16"/>
          <w:szCs w:val="16"/>
        </w:rPr>
      </w:pPr>
    </w:p>
    <w:p w14:paraId="47B81FBF" w14:textId="417F9EE9" w:rsidR="00DD5865" w:rsidRDefault="00D64AB4" w:rsidP="00DD5865">
      <w:pPr>
        <w:rPr>
          <w:rFonts w:ascii="AdvOTc999d02f" w:hAnsi="AdvOTc999d02f" w:cs="AdvOTc999d02f"/>
          <w:sz w:val="16"/>
          <w:szCs w:val="16"/>
        </w:rPr>
      </w:pPr>
      <w:r w:rsidRPr="00665F3D">
        <w:rPr>
          <w:rFonts w:ascii="AdvOTc999d02f" w:hAnsi="AdvOTc999d02f" w:cs="AdvOTc999d02f"/>
          <w:noProof/>
          <w:sz w:val="16"/>
          <w:szCs w:val="16"/>
        </w:rPr>
        <w:drawing>
          <wp:anchor distT="0" distB="0" distL="114300" distR="114300" simplePos="0" relativeHeight="251664384" behindDoc="0" locked="0" layoutInCell="1" allowOverlap="1" wp14:anchorId="242A0991" wp14:editId="454FE90C">
            <wp:simplePos x="0" y="0"/>
            <wp:positionH relativeFrom="column">
              <wp:posOffset>3570186</wp:posOffset>
            </wp:positionH>
            <wp:positionV relativeFrom="paragraph">
              <wp:posOffset>120674</wp:posOffset>
            </wp:positionV>
            <wp:extent cx="1381760" cy="1131570"/>
            <wp:effectExtent l="0" t="0" r="8890" b="0"/>
            <wp:wrapNone/>
            <wp:docPr id="2104467606" name="Picture 2104467606">
              <a:extLst xmlns:a="http://schemas.openxmlformats.org/drawingml/2006/main">
                <a:ext uri="{FF2B5EF4-FFF2-40B4-BE49-F238E27FC236}">
                  <a16:creationId xmlns:a16="http://schemas.microsoft.com/office/drawing/2014/main" id="{DEC5D2B6-E813-9924-1F89-DF943799DB9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4">
                      <a:extLst>
                        <a:ext uri="{FF2B5EF4-FFF2-40B4-BE49-F238E27FC236}">
                          <a16:creationId xmlns:a16="http://schemas.microsoft.com/office/drawing/2014/main" id="{DEC5D2B6-E813-9924-1F89-DF943799DB9E}"/>
                        </a:ext>
                      </a:extLst>
                    </pic:cNvPr>
                    <pic:cNvPicPr>
                      <a:picLocks noChangeAspect="1"/>
                    </pic:cNvPicPr>
                  </pic:nvPicPr>
                  <pic:blipFill rotWithShape="1">
                    <a:blip r:embed="rId1500"/>
                    <a:srcRect l="44552" t="61019" r="44111" b="22481"/>
                    <a:stretch/>
                  </pic:blipFill>
                  <pic:spPr>
                    <a:xfrm>
                      <a:off x="0" y="0"/>
                      <a:ext cx="1381760" cy="1131570"/>
                    </a:xfrm>
                    <a:prstGeom prst="rect">
                      <a:avLst/>
                    </a:prstGeom>
                  </pic:spPr>
                </pic:pic>
              </a:graphicData>
            </a:graphic>
          </wp:anchor>
        </w:drawing>
      </w:r>
    </w:p>
    <w:p w14:paraId="7DA6BF25" w14:textId="77777777" w:rsidR="00DD5865" w:rsidRDefault="00DD5865" w:rsidP="00DD5865">
      <w:pPr>
        <w:rPr>
          <w:rFonts w:ascii="AdvOTc999d02f" w:hAnsi="AdvOTc999d02f" w:cs="AdvOTc999d02f"/>
          <w:sz w:val="16"/>
          <w:szCs w:val="16"/>
        </w:rPr>
      </w:pPr>
    </w:p>
    <w:p w14:paraId="00FFE9B4" w14:textId="77777777" w:rsidR="00DD5865" w:rsidRDefault="00DD5865" w:rsidP="00DD5865">
      <w:pPr>
        <w:rPr>
          <w:rFonts w:ascii="AdvOTc999d02f" w:hAnsi="AdvOTc999d02f" w:cs="AdvOTc999d02f"/>
          <w:sz w:val="16"/>
          <w:szCs w:val="16"/>
        </w:rPr>
      </w:pPr>
    </w:p>
    <w:p w14:paraId="1EFC0820" w14:textId="77777777" w:rsidR="00D64AB4" w:rsidRDefault="00D64AB4" w:rsidP="00DD5865">
      <w:pPr>
        <w:rPr>
          <w:rFonts w:ascii="AdvOTc999d02f" w:hAnsi="AdvOTc999d02f" w:cs="AdvOTc999d02f"/>
          <w:sz w:val="16"/>
          <w:szCs w:val="16"/>
        </w:rPr>
      </w:pPr>
    </w:p>
    <w:p w14:paraId="35809CD9" w14:textId="77777777" w:rsidR="00D64AB4" w:rsidRDefault="00D64AB4" w:rsidP="00DD5865">
      <w:pPr>
        <w:rPr>
          <w:rFonts w:ascii="AdvOTc999d02f" w:hAnsi="AdvOTc999d02f" w:cs="AdvOTc999d02f"/>
          <w:sz w:val="16"/>
          <w:szCs w:val="16"/>
        </w:rPr>
      </w:pPr>
    </w:p>
    <w:p w14:paraId="6DF094F7" w14:textId="77777777" w:rsidR="00D64AB4" w:rsidRDefault="00D64AB4" w:rsidP="00DD5865">
      <w:pPr>
        <w:rPr>
          <w:rFonts w:ascii="AdvOTc999d02f" w:hAnsi="AdvOTc999d02f" w:cs="AdvOTc999d02f"/>
          <w:sz w:val="16"/>
          <w:szCs w:val="16"/>
        </w:rPr>
      </w:pPr>
    </w:p>
    <w:p w14:paraId="703E292E" w14:textId="77777777" w:rsidR="00D64AB4" w:rsidRDefault="00D64AB4" w:rsidP="00DD5865">
      <w:pPr>
        <w:rPr>
          <w:rFonts w:ascii="AdvOTc999d02f" w:hAnsi="AdvOTc999d02f" w:cs="AdvOTc999d02f"/>
          <w:sz w:val="16"/>
          <w:szCs w:val="16"/>
        </w:rPr>
      </w:pPr>
    </w:p>
    <w:p w14:paraId="7775066E" w14:textId="149FEBB3" w:rsidR="00D64AB4" w:rsidRDefault="00D64AB4" w:rsidP="00DD5865">
      <w:pPr>
        <w:rPr>
          <w:rFonts w:ascii="AdvOTc999d02f" w:hAnsi="AdvOTc999d02f" w:cs="AdvOTc999d02f"/>
          <w:sz w:val="16"/>
          <w:szCs w:val="16"/>
        </w:rPr>
      </w:pPr>
    </w:p>
    <w:p w14:paraId="071840AC" w14:textId="088AD345" w:rsidR="00D64AB4" w:rsidRDefault="00D64AB4" w:rsidP="00DD5865">
      <w:pPr>
        <w:rPr>
          <w:rFonts w:ascii="AdvOTc999d02f" w:hAnsi="AdvOTc999d02f" w:cs="AdvOTc999d02f"/>
          <w:sz w:val="16"/>
          <w:szCs w:val="16"/>
        </w:rPr>
      </w:pPr>
      <w:r w:rsidRPr="003B7D92">
        <w:rPr>
          <w:rFonts w:ascii="AdvOTc999d02f" w:hAnsi="AdvOTc999d02f" w:cs="AdvOTc999d02f"/>
          <w:noProof/>
          <w:sz w:val="16"/>
          <w:szCs w:val="16"/>
        </w:rPr>
        <mc:AlternateContent>
          <mc:Choice Requires="wps">
            <w:drawing>
              <wp:anchor distT="45720" distB="45720" distL="114300" distR="114300" simplePos="0" relativeHeight="251681792" behindDoc="0" locked="0" layoutInCell="1" allowOverlap="1" wp14:anchorId="5603D099" wp14:editId="026ED826">
                <wp:simplePos x="0" y="0"/>
                <wp:positionH relativeFrom="margin">
                  <wp:posOffset>4217898</wp:posOffset>
                </wp:positionH>
                <wp:positionV relativeFrom="paragraph">
                  <wp:posOffset>33751</wp:posOffset>
                </wp:positionV>
                <wp:extent cx="387985" cy="292735"/>
                <wp:effectExtent l="0" t="0" r="0" b="0"/>
                <wp:wrapSquare wrapText="bothSides"/>
                <wp:docPr id="21044675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7985" cy="292735"/>
                        </a:xfrm>
                        <a:prstGeom prst="rect">
                          <a:avLst/>
                        </a:prstGeom>
                        <a:noFill/>
                        <a:ln w="9525">
                          <a:noFill/>
                          <a:miter lim="800000"/>
                          <a:headEnd/>
                          <a:tailEnd/>
                        </a:ln>
                      </wps:spPr>
                      <wps:txbx>
                        <w:txbxContent>
                          <w:p w14:paraId="46E6273A" w14:textId="77777777" w:rsidR="00DD5865" w:rsidRPr="0036101C" w:rsidRDefault="00DD5865" w:rsidP="00DD5865">
                            <w:r w:rsidRPr="0036101C">
                              <w:t>(</w:t>
                            </w:r>
                            <w:r>
                              <w:t>c</w:t>
                            </w:r>
                            <w:r w:rsidRPr="0036101C">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03D099" id="_x0000_s1031" type="#_x0000_t202" style="position:absolute;margin-left:332.1pt;margin-top:2.65pt;width:30.55pt;height:23.05pt;z-index:2516817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" filled="f" stroked="f">
                <v:textbox>
                  <w:txbxContent>
                    <w:p w14:paraId="46E6273A" w14:textId="77777777" w:rsidR="00DD5865" w:rsidRPr="0036101C" w:rsidRDefault="00DD5865" w:rsidP="00DD5865">
                      <w:r w:rsidRPr="0036101C">
                        <w:t>(</w:t>
                      </w:r>
                      <w:r>
                        <w:t>c</w:t>
                      </w:r>
                      <w:r w:rsidRPr="0036101C">
                        <w:t>)</w:t>
                      </w:r>
                    </w:p>
                  </w:txbxContent>
                </v:textbox>
                <w10:wrap type="square" anchorx="margin"/>
              </v:shape>
            </w:pict>
          </mc:Fallback>
        </mc:AlternateContent>
      </w:r>
    </w:p>
    <w:p w14:paraId="170A7F39" w14:textId="77777777" w:rsidR="00D64AB4" w:rsidRDefault="00D64AB4" w:rsidP="00DD5865">
      <w:pPr>
        <w:rPr>
          <w:rFonts w:ascii="AdvOTc999d02f" w:hAnsi="AdvOTc999d02f" w:cs="AdvOTc999d02f"/>
          <w:sz w:val="16"/>
          <w:szCs w:val="16"/>
        </w:rPr>
      </w:pPr>
    </w:p>
    <w:p w14:paraId="48430811" w14:textId="19A8B44E" w:rsidR="00D64AB4" w:rsidRDefault="00D64AB4" w:rsidP="00DD5865">
      <w:pPr>
        <w:rPr>
          <w:rFonts w:ascii="AdvOTc999d02f" w:hAnsi="AdvOTc999d02f" w:cs="AdvOTc999d02f"/>
          <w:sz w:val="16"/>
          <w:szCs w:val="16"/>
        </w:rPr>
      </w:pPr>
    </w:p>
    <w:p w14:paraId="065930F7" w14:textId="77777777" w:rsidR="00D64AB4" w:rsidRDefault="00D64AB4" w:rsidP="00DD5865">
      <w:pPr>
        <w:rPr>
          <w:rFonts w:ascii="AdvOTc999d02f" w:hAnsi="AdvOTc999d02f" w:cs="AdvOTc999d02f"/>
          <w:sz w:val="16"/>
          <w:szCs w:val="16"/>
        </w:rPr>
      </w:pPr>
    </w:p>
    <w:p w14:paraId="2DCB5482" w14:textId="77777777" w:rsidR="00D64AB4" w:rsidRDefault="00D64AB4" w:rsidP="00DD5865">
      <w:pPr>
        <w:rPr>
          <w:rFonts w:ascii="AdvOTc999d02f" w:hAnsi="AdvOTc999d02f" w:cs="AdvOTc999d02f"/>
          <w:sz w:val="16"/>
          <w:szCs w:val="16"/>
        </w:rPr>
      </w:pPr>
    </w:p>
    <w:p w14:paraId="18B2D765" w14:textId="06E07E62" w:rsidR="00D64AB4" w:rsidRDefault="00D64AB4" w:rsidP="00DD5865">
      <w:pPr>
        <w:rPr>
          <w:rFonts w:ascii="AdvOTc999d02f" w:hAnsi="AdvOTc999d02f" w:cs="AdvOTc999d02f"/>
          <w:sz w:val="16"/>
          <w:szCs w:val="16"/>
        </w:rPr>
      </w:pPr>
      <w:r w:rsidRPr="003B7D92">
        <w:rPr>
          <w:rFonts w:ascii="AdvOTc999d02f" w:hAnsi="AdvOTc999d02f" w:cs="AdvOTc999d02f"/>
          <w:noProof/>
          <w:sz w:val="16"/>
          <w:szCs w:val="16"/>
        </w:rPr>
        <mc:AlternateContent>
          <mc:Choice Requires="wps">
            <w:drawing>
              <wp:anchor distT="45720" distB="45720" distL="114300" distR="114300" simplePos="0" relativeHeight="251680768" behindDoc="0" locked="0" layoutInCell="1" allowOverlap="1" wp14:anchorId="3AF2C9C9" wp14:editId="10151497">
                <wp:simplePos x="0" y="0"/>
                <wp:positionH relativeFrom="margin">
                  <wp:posOffset>3087753</wp:posOffset>
                </wp:positionH>
                <wp:positionV relativeFrom="paragraph">
                  <wp:posOffset>10640</wp:posOffset>
                </wp:positionV>
                <wp:extent cx="387985" cy="292735"/>
                <wp:effectExtent l="0" t="0" r="0" b="0"/>
                <wp:wrapSquare wrapText="bothSides"/>
                <wp:docPr id="21044675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7985" cy="292735"/>
                        </a:xfrm>
                        <a:prstGeom prst="rect">
                          <a:avLst/>
                        </a:prstGeom>
                        <a:noFill/>
                        <a:ln w="9525">
                          <a:noFill/>
                          <a:miter lim="800000"/>
                          <a:headEnd/>
                          <a:tailEnd/>
                        </a:ln>
                      </wps:spPr>
                      <wps:txbx>
                        <w:txbxContent>
                          <w:p w14:paraId="5C323B83" w14:textId="77777777" w:rsidR="00DD5865" w:rsidRPr="0036101C" w:rsidRDefault="00DD5865" w:rsidP="00DD5865">
                            <w:r w:rsidRPr="0036101C">
                              <w:t>(</w:t>
                            </w:r>
                            <w:r>
                              <w:t>b</w:t>
                            </w:r>
                            <w:r w:rsidRPr="0036101C">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F2C9C9" id="_x0000_s1032" type="#_x0000_t202" style="position:absolute;margin-left:243.15pt;margin-top:.85pt;width:30.55pt;height:23.05pt;z-index:2516807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" filled="f" stroked="f">
                <v:textbox>
                  <w:txbxContent>
                    <w:p w14:paraId="5C323B83" w14:textId="77777777" w:rsidR="00DD5865" w:rsidRPr="0036101C" w:rsidRDefault="00DD5865" w:rsidP="00DD5865">
                      <w:r w:rsidRPr="0036101C">
                        <w:t>(</w:t>
                      </w:r>
                      <w:r>
                        <w:t>b</w:t>
                      </w:r>
                      <w:r w:rsidRPr="0036101C">
                        <w:t>)</w:t>
                      </w:r>
                    </w:p>
                  </w:txbxContent>
                </v:textbox>
                <w10:wrap type="square" anchorx="margin"/>
              </v:shape>
            </w:pict>
          </mc:Fallback>
        </mc:AlternateContent>
      </w:r>
    </w:p>
    <w:p w14:paraId="33C6A98D" w14:textId="77777777" w:rsidR="00D64AB4" w:rsidRDefault="00D64AB4" w:rsidP="00DD5865">
      <w:pPr>
        <w:rPr>
          <w:rFonts w:ascii="AdvOTc999d02f" w:hAnsi="AdvOTc999d02f" w:cs="AdvOTc999d02f"/>
          <w:sz w:val="16"/>
          <w:szCs w:val="16"/>
        </w:rPr>
      </w:pPr>
    </w:p>
    <w:p w14:paraId="2481DD53" w14:textId="77777777" w:rsidR="00D64AB4" w:rsidRDefault="00D64AB4" w:rsidP="00DD5865">
      <w:pPr>
        <w:rPr>
          <w:rFonts w:ascii="AdvOTc999d02f" w:hAnsi="AdvOTc999d02f" w:cs="AdvOTc999d02f"/>
          <w:sz w:val="16"/>
          <w:szCs w:val="16"/>
        </w:rPr>
      </w:pPr>
    </w:p>
    <w:p w14:paraId="74B54A39" w14:textId="1101AE5D" w:rsidR="00DD5865" w:rsidRDefault="00DD5865" w:rsidP="00DD5865">
      <w:pPr>
        <w:rPr>
          <w:rFonts w:ascii="AdvOTc999d02f" w:hAnsi="AdvOTc999d02f" w:cs="AdvOTc999d02f"/>
          <w:sz w:val="16"/>
          <w:szCs w:val="16"/>
        </w:rPr>
      </w:pPr>
    </w:p>
    <w:p w14:paraId="69ED5083" w14:textId="77777777" w:rsidR="00DD5865" w:rsidRDefault="00DD5865" w:rsidP="00DD5865">
      <w:pPr>
        <w:rPr>
          <w:rFonts w:ascii="AdvOTc999d02f" w:hAnsi="AdvOTc999d02f" w:cs="AdvOTc999d02f"/>
          <w:sz w:val="16"/>
          <w:szCs w:val="16"/>
        </w:rPr>
      </w:pPr>
    </w:p>
    <w:p w14:paraId="58F9FC56" w14:textId="200C10D9" w:rsidR="00DD5865" w:rsidRDefault="00DD5865" w:rsidP="00DD5865">
      <w:r w:rsidRPr="00244C6E">
        <w:rPr>
          <w:rFonts w:cstheme="minorHAnsi"/>
        </w:rPr>
        <w:t xml:space="preserve">Figure </w:t>
      </w:r>
      <w:r>
        <w:t>10.</w:t>
      </w:r>
      <w:r w:rsidRPr="00244C6E">
        <w:rPr>
          <w:rFonts w:cstheme="minorHAnsi"/>
        </w:rPr>
        <w:t>13. Macroscopic heat transfer and mesoscale cellular automata coupling. a) A schematic illustration showing competition among columnar grains with nucleation of equiaxed grains ahead of the front and with the macroscopic finite element mesh overlaid, b) a discretized, regular cellular automata grid with the columnar and equiaxed grains overlaid, c) three interpolation factors (</w:t>
      </w:r>
      <w:r w:rsidRPr="00244C6E">
        <w:rPr>
          <w:rFonts w:cstheme="minorHAnsi"/>
          <w:i/>
          <w:iCs/>
        </w:rPr>
        <w:sym w:font="Symbol" w:char="F066"/>
      </w:r>
      <w:r w:rsidRPr="00244C6E">
        <w:rPr>
          <w:rFonts w:cstheme="minorHAnsi"/>
        </w:rPr>
        <w:t xml:space="preserve"> ) linking finite element nodes to a particular cellular automata cell</w:t>
      </w:r>
      <w:r>
        <w:rPr>
          <w:rFonts w:cstheme="minorHAnsi"/>
        </w:rPr>
        <w:t xml:space="preserve"> </w:t>
      </w:r>
      <w:r>
        <w:fldChar w:fldCharType="begin"/>
      </w:r>
      <w:r>
        <w:instrText xml:space="preserve"> ADDIN ZOTERO_ITEM CSL_CITATION {"citationID":"aEEdgl65","properties":{"formattedCitation":"(Gandin and Rappaz 1994)","plainCitation":"(Gandin and Rappaz 1994)","noteIndex":0},"citationItems":[{"id":258,"uris":["http://zotero.org/users/9870952/items/PATGB9LG"],"itemData":{"id":258,"type":"article-journal","container-title":"Acta metallurgica et materialia","issue":"7","note":"publisher: Elsevier","page":"2233–2246","source":"Google Scholar","title":"A coupled finite element-cellular automaton model for the prediction of dendritic grain structures in solidification processes","volume":"42","author":[{"family":"Gandin","given":"Ch-A."},{"family":"Rappaz","given":"Michel"}],"issued":{"date-parts":[["1994"]]}}}],"schema":"https://github.com/citation-style-language/schema/raw/master/csl-citation.json"} </w:instrText>
      </w:r>
      <w:r>
        <w:fldChar w:fldCharType="separate"/>
      </w:r>
      <w:r w:rsidRPr="00826A79">
        <w:rPr>
          <w:rFonts w:cs="Calibri"/>
        </w:rPr>
        <w:t>(Gandin and Rappaz 1994)</w:t>
      </w:r>
      <w:r>
        <w:fldChar w:fldCharType="end"/>
      </w:r>
      <w:r>
        <w:t>.</w:t>
      </w:r>
    </w:p>
    <w:p w14:paraId="09525A78" w14:textId="77777777" w:rsidR="00DD5865" w:rsidRPr="00244C6E" w:rsidRDefault="00DD5865" w:rsidP="00DD5865">
      <w:pPr>
        <w:rPr>
          <w:rFonts w:cstheme="minorHAnsi"/>
        </w:rPr>
      </w:pPr>
    </w:p>
    <w:p w14:paraId="37655E4C" w14:textId="77777777" w:rsidR="00DD5865" w:rsidRDefault="00DD5865" w:rsidP="00DD5865">
      <w:r>
        <w:br w:type="page"/>
      </w:r>
    </w:p>
    <w:p w14:paraId="46DF65FF" w14:textId="77777777" w:rsidR="00DD5865" w:rsidRDefault="00DD5865" w:rsidP="00DD5865"/>
    <w:p w14:paraId="0358C00E" w14:textId="77777777" w:rsidR="00DD5865" w:rsidRDefault="00DD5865" w:rsidP="00DD5865">
      <w:r>
        <w:rPr>
          <w:noProof/>
        </w:rPr>
        <w:drawing>
          <wp:anchor distT="0" distB="0" distL="114300" distR="114300" simplePos="0" relativeHeight="251665408" behindDoc="0" locked="0" layoutInCell="1" allowOverlap="1" wp14:anchorId="4FB061DB" wp14:editId="3CA6E5B3">
            <wp:simplePos x="0" y="0"/>
            <wp:positionH relativeFrom="margin">
              <wp:posOffset>0</wp:posOffset>
            </wp:positionH>
            <wp:positionV relativeFrom="paragraph">
              <wp:posOffset>0</wp:posOffset>
            </wp:positionV>
            <wp:extent cx="5373662" cy="4893938"/>
            <wp:effectExtent l="0" t="0" r="0" b="2540"/>
            <wp:wrapNone/>
            <wp:docPr id="2104467607" name="Picture 2104467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a:picLocks noChangeAspect="1" noChangeArrowheads="1"/>
                    </pic:cNvPicPr>
                  </pic:nvPicPr>
                  <pic:blipFill>
                    <a:blip r:embed="rId1501">
                      <a:extLst>
                        <a:ext uri="{28A0092B-C50C-407E-A947-70E740481C1C}">
                          <a14:useLocalDpi xmlns:a14="http://schemas.microsoft.com/office/drawing/2010/main" val="0"/>
                        </a:ext>
                      </a:extLst>
                    </a:blip>
                    <a:srcRect/>
                    <a:stretch>
                      <a:fillRect/>
                    </a:stretch>
                  </pic:blipFill>
                  <pic:spPr bwMode="auto">
                    <a:xfrm>
                      <a:off x="0" y="0"/>
                      <a:ext cx="5373662" cy="4893938"/>
                    </a:xfrm>
                    <a:prstGeom prst="rect">
                      <a:avLst/>
                    </a:prstGeom>
                    <a:noFill/>
                    <a:ln>
                      <a:noFill/>
                    </a:ln>
                  </pic:spPr>
                </pic:pic>
              </a:graphicData>
            </a:graphic>
          </wp:anchor>
        </w:drawing>
      </w:r>
    </w:p>
    <w:p w14:paraId="7ECC9972" w14:textId="77777777" w:rsidR="00DD5865" w:rsidRDefault="00DD5865" w:rsidP="00DD5865"/>
    <w:p w14:paraId="0A27ABBE" w14:textId="77777777" w:rsidR="00DD5865" w:rsidRDefault="00DD5865" w:rsidP="00DD5865"/>
    <w:p w14:paraId="2EF45F48" w14:textId="77777777" w:rsidR="00DD5865" w:rsidRDefault="00DD5865" w:rsidP="00DD5865"/>
    <w:p w14:paraId="6FF81D07" w14:textId="77777777" w:rsidR="00DD5865" w:rsidRDefault="00DD5865" w:rsidP="00DD5865"/>
    <w:p w14:paraId="1C7E8783" w14:textId="77777777" w:rsidR="00DD5865" w:rsidRDefault="00DD5865" w:rsidP="00DD5865"/>
    <w:p w14:paraId="3D216AB5" w14:textId="77777777" w:rsidR="00DD5865" w:rsidRDefault="00DD5865" w:rsidP="00DD5865"/>
    <w:p w14:paraId="46076B7C" w14:textId="77777777" w:rsidR="00DD5865" w:rsidRDefault="00DD5865" w:rsidP="00DD5865"/>
    <w:p w14:paraId="25B343B3" w14:textId="77777777" w:rsidR="00DD5865" w:rsidRDefault="00DD5865" w:rsidP="00DD5865"/>
    <w:p w14:paraId="6938E0B9" w14:textId="77777777" w:rsidR="00DD5865" w:rsidRDefault="00DD5865" w:rsidP="00DD5865"/>
    <w:p w14:paraId="461209F9" w14:textId="77777777" w:rsidR="00DD5865" w:rsidRDefault="00DD5865" w:rsidP="00DD5865"/>
    <w:p w14:paraId="3D157D75" w14:textId="77777777" w:rsidR="00DD5865" w:rsidRDefault="00DD5865" w:rsidP="00DD5865"/>
    <w:p w14:paraId="7C7ACFD6" w14:textId="77777777" w:rsidR="00DD5865" w:rsidRDefault="00DD5865" w:rsidP="00DD5865"/>
    <w:p w14:paraId="0E8438E2" w14:textId="77777777" w:rsidR="00DD5865" w:rsidRDefault="00DD5865" w:rsidP="00DD5865"/>
    <w:p w14:paraId="0186FE90" w14:textId="77777777" w:rsidR="00DD5865" w:rsidRDefault="00DD5865" w:rsidP="00DD5865"/>
    <w:p w14:paraId="32E0803A" w14:textId="77777777" w:rsidR="00DD5865" w:rsidRDefault="00DD5865" w:rsidP="00DD5865"/>
    <w:p w14:paraId="69A40776" w14:textId="77777777" w:rsidR="00DD5865" w:rsidRDefault="00DD5865" w:rsidP="00DD5865"/>
    <w:p w14:paraId="5FEACF8D" w14:textId="77777777" w:rsidR="00A42D54" w:rsidRDefault="00A42D54" w:rsidP="00DD5865"/>
    <w:p w14:paraId="12BB942C" w14:textId="77777777" w:rsidR="00A42D54" w:rsidRDefault="00A42D54" w:rsidP="00DD5865"/>
    <w:p w14:paraId="116FE389" w14:textId="77777777" w:rsidR="00A42D54" w:rsidRDefault="00A42D54" w:rsidP="00DD5865"/>
    <w:p w14:paraId="1BB5F38D" w14:textId="77777777" w:rsidR="00A42D54" w:rsidRDefault="00A42D54" w:rsidP="00DD5865"/>
    <w:p w14:paraId="7E9725B6" w14:textId="77777777" w:rsidR="00A42D54" w:rsidRDefault="00A42D54" w:rsidP="00DD5865"/>
    <w:p w14:paraId="3FF08862" w14:textId="77777777" w:rsidR="00A42D54" w:rsidRDefault="00A42D54" w:rsidP="00DD5865"/>
    <w:p w14:paraId="2D1797E6" w14:textId="77777777" w:rsidR="00A42D54" w:rsidRDefault="00A42D54" w:rsidP="00DD5865"/>
    <w:p w14:paraId="189CF8F7" w14:textId="77777777" w:rsidR="00A42D54" w:rsidRDefault="00A42D54" w:rsidP="00DD5865"/>
    <w:p w14:paraId="72204222" w14:textId="77777777" w:rsidR="00A42D54" w:rsidRDefault="00A42D54" w:rsidP="00DD5865"/>
    <w:p w14:paraId="0FC7B43B" w14:textId="77777777" w:rsidR="00A42D54" w:rsidRDefault="00A42D54" w:rsidP="00DD5865"/>
    <w:p w14:paraId="2A27080B" w14:textId="77777777" w:rsidR="00A42D54" w:rsidRDefault="00A42D54" w:rsidP="00DD5865"/>
    <w:p w14:paraId="54BF2FC4" w14:textId="77777777" w:rsidR="00DD5865" w:rsidRDefault="00DD5865" w:rsidP="00DD5865"/>
    <w:p w14:paraId="459857F5" w14:textId="77777777" w:rsidR="00DD5865" w:rsidRDefault="00DD5865" w:rsidP="00DD5865">
      <w:r>
        <w:t xml:space="preserve">Figure 10.14. An example of modeling dendritic growth and microsegregation by a combined FE-CA technique. </w:t>
      </w:r>
      <w:r w:rsidRPr="00A92DF6">
        <w:t>Solidification microstructure when laser moving speed is (a) 2 mm s</w:t>
      </w:r>
      <w:r w:rsidRPr="00C45C85">
        <w:rPr>
          <w:vertAlign w:val="superscript"/>
        </w:rPr>
        <w:t>−1</w:t>
      </w:r>
      <w:r w:rsidRPr="00A92DF6">
        <w:t>, (b) 10 mm s</w:t>
      </w:r>
      <w:r w:rsidRPr="00C45C85">
        <w:rPr>
          <w:vertAlign w:val="superscript"/>
        </w:rPr>
        <w:t>−1</w:t>
      </w:r>
      <w:r w:rsidRPr="00A92DF6">
        <w:t xml:space="preserve"> and (c) 20 mm s</w:t>
      </w:r>
      <w:r w:rsidRPr="00C45C85">
        <w:rPr>
          <w:vertAlign w:val="superscript"/>
        </w:rPr>
        <w:t>−1</w:t>
      </w:r>
      <w:r w:rsidRPr="00A92DF6">
        <w:t>. Cooling rate (K s</w:t>
      </w:r>
      <w:r w:rsidRPr="00C45C85">
        <w:rPr>
          <w:vertAlign w:val="superscript"/>
        </w:rPr>
        <w:t>−1</w:t>
      </w:r>
      <w:r w:rsidRPr="00A92DF6">
        <w:t>) is also shown. Color bar denotes solute concentration of C (</w:t>
      </w:r>
      <w:r w:rsidRPr="001B068D">
        <w:rPr>
          <w:highlight w:val="yellow"/>
        </w:rPr>
        <w:t>wt</w:t>
      </w:r>
      <w:r w:rsidRPr="00A92DF6">
        <w:t>.%). Note dendritic to cellular transition for the highest cooling rate (c)</w:t>
      </w:r>
      <w:r>
        <w:t xml:space="preserve"> </w:t>
      </w:r>
      <w:r>
        <w:fldChar w:fldCharType="begin"/>
      </w:r>
      <w:r>
        <w:instrText xml:space="preserve"> ADDIN ZOTERO_ITEM CSL_CITATION {"citationID":"EucMIOuU","properties":{"formattedCitation":"(Yin and Felicelli 2010)","plainCitation":"(Yin and Felicelli 2010)","noteIndex":0},"citationItems":[{"id":260,"uris":["http://zotero.org/users/9870952/items/2BTKXARS"],"itemData":{"id":260,"type":"article-journal","container-title":"Acta Materialia","issue":"4","note":"publisher: Elsevier","page":"1455–1465","source":"Google Scholar","title":"Dendrite growth simulation during solidification in the LENS process","volume":"58","author":[{"family":"Yin","given":"H."},{"family":"Felicelli","given":"S. D."}],"issued":{"date-parts":[["2010"]]}}}],"schema":"https://github.com/citation-style-language/schema/raw/master/csl-citation.json"} </w:instrText>
      </w:r>
      <w:r>
        <w:fldChar w:fldCharType="separate"/>
      </w:r>
      <w:r w:rsidRPr="00826A79">
        <w:rPr>
          <w:rFonts w:cs="Calibri"/>
        </w:rPr>
        <w:t>(Yin and Felicelli 2010)</w:t>
      </w:r>
      <w:r>
        <w:fldChar w:fldCharType="end"/>
      </w:r>
      <w:r>
        <w:t>.</w:t>
      </w:r>
    </w:p>
    <w:p w14:paraId="00731F1C" w14:textId="77777777" w:rsidR="00DD5865" w:rsidRDefault="00DD5865" w:rsidP="00DD5865"/>
    <w:p w14:paraId="5B7D2520" w14:textId="77777777" w:rsidR="00DD5865" w:rsidRDefault="00DD5865" w:rsidP="00DD5865">
      <w:pPr>
        <w:rPr>
          <w:rFonts w:ascii="AdvOTc999d02f" w:hAnsi="AdvOTc999d02f" w:cs="AdvOTc999d02f"/>
        </w:rPr>
      </w:pPr>
    </w:p>
    <w:p w14:paraId="6B06200E" w14:textId="77777777" w:rsidR="00DD5865" w:rsidRDefault="00DD5865" w:rsidP="00DD5865">
      <w:pPr>
        <w:rPr>
          <w:rFonts w:ascii="AdvOTc999d02f" w:hAnsi="AdvOTc999d02f" w:cs="AdvOTc999d02f"/>
        </w:rPr>
      </w:pPr>
      <w:r w:rsidRPr="00CD728B">
        <w:rPr>
          <w:rFonts w:ascii="AdvOTc999d02f" w:hAnsi="AdvOTc999d02f" w:cs="AdvOTc999d02f"/>
          <w:noProof/>
        </w:rPr>
        <w:lastRenderedPageBreak/>
        <w:drawing>
          <wp:inline distT="0" distB="0" distL="0" distR="0" wp14:anchorId="69C6E761" wp14:editId="0EA76EE6">
            <wp:extent cx="3246120" cy="1984375"/>
            <wp:effectExtent l="0" t="0" r="0" b="0"/>
            <wp:docPr id="2104467608" name="Picture 2104467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502" cstate="print">
                      <a:extLst>
                        <a:ext uri="{28A0092B-C50C-407E-A947-70E740481C1C}">
                          <a14:useLocalDpi xmlns:a14="http://schemas.microsoft.com/office/drawing/2010/main" val="0"/>
                        </a:ext>
                      </a:extLst>
                    </a:blip>
                    <a:srcRect l="45384"/>
                    <a:stretch/>
                  </pic:blipFill>
                  <pic:spPr bwMode="auto">
                    <a:xfrm>
                      <a:off x="0" y="0"/>
                      <a:ext cx="3246120" cy="1984375"/>
                    </a:xfrm>
                    <a:prstGeom prst="rect">
                      <a:avLst/>
                    </a:prstGeom>
                    <a:noFill/>
                    <a:ln>
                      <a:noFill/>
                    </a:ln>
                    <a:extLst>
                      <a:ext uri="{53640926-AAD7-44D8-BBD7-CCE9431645EC}">
                        <a14:shadowObscured xmlns:a14="http://schemas.microsoft.com/office/drawing/2010/main"/>
                      </a:ext>
                    </a:extLst>
                  </pic:spPr>
                </pic:pic>
              </a:graphicData>
            </a:graphic>
          </wp:inline>
        </w:drawing>
      </w:r>
    </w:p>
    <w:p w14:paraId="64B00132" w14:textId="77777777" w:rsidR="00A42D54" w:rsidRDefault="00A42D54" w:rsidP="00DD5865">
      <w:pPr>
        <w:rPr>
          <w:rFonts w:ascii="AdvOTc999d02f" w:hAnsi="AdvOTc999d02f" w:cs="AdvOTc999d02f"/>
        </w:rPr>
      </w:pPr>
    </w:p>
    <w:p w14:paraId="65089FD0" w14:textId="5E4052A9" w:rsidR="00DD5865" w:rsidRDefault="00DD5865" w:rsidP="00DD5865">
      <w:pPr>
        <w:rPr>
          <w:rFonts w:ascii="AdvOTc999d02f" w:hAnsi="AdvOTc999d02f" w:cs="AdvOTc999d02f"/>
        </w:rPr>
      </w:pPr>
      <w:r>
        <w:rPr>
          <w:rFonts w:ascii="AdvOTc999d02f" w:hAnsi="AdvOTc999d02f" w:cs="AdvOTc999d02f"/>
        </w:rPr>
        <w:t xml:space="preserve">Fig </w:t>
      </w:r>
      <w:r>
        <w:t>10.</w:t>
      </w:r>
      <w:r>
        <w:rPr>
          <w:rFonts w:ascii="AdvOTc999d02f" w:hAnsi="AdvOTc999d02f" w:cs="AdvOTc999d02f"/>
        </w:rPr>
        <w:t xml:space="preserve">15 Microstructure showing fine, rapidly solidified microstructure in selective laser melting of </w:t>
      </w:r>
      <w:r w:rsidRPr="00AB5CAF">
        <w:rPr>
          <w:rFonts w:ascii="AdvOTc999d02f" w:hAnsi="AdvOTc999d02f" w:cs="AdvOTc999d02f"/>
        </w:rPr>
        <w:t>50wt.% Fe, 20wt.% Ni, 15wt.% Cu and 15wt.% Fe3P</w:t>
      </w:r>
      <w:r>
        <w:rPr>
          <w:rFonts w:ascii="AdvOTc999d02f" w:hAnsi="AdvOTc999d02f" w:cs="AdvOTc999d02f"/>
        </w:rPr>
        <w:t xml:space="preserve"> powders at a power level that allows for</w:t>
      </w:r>
      <w:r w:rsidRPr="00AB5CAF">
        <w:rPr>
          <w:rFonts w:ascii="AdvOTc999d02f" w:hAnsi="AdvOTc999d02f" w:cs="AdvOTc999d02f"/>
        </w:rPr>
        <w:t xml:space="preserve"> full melting and partial evaporation</w:t>
      </w:r>
      <w:r>
        <w:rPr>
          <w:rFonts w:ascii="AdvOTc999d02f" w:hAnsi="AdvOTc999d02f" w:cs="AdvOTc999d02f"/>
        </w:rPr>
        <w:t xml:space="preserve"> </w:t>
      </w:r>
      <w:r>
        <w:rPr>
          <w:rFonts w:ascii="AdvOTc999d02f" w:hAnsi="AdvOTc999d02f" w:cs="AdvOTc999d02f"/>
        </w:rPr>
        <w:fldChar w:fldCharType="begin"/>
      </w:r>
      <w:r>
        <w:rPr>
          <w:rFonts w:ascii="AdvOTc999d02f" w:hAnsi="AdvOTc999d02f" w:cs="AdvOTc999d02f"/>
        </w:rPr>
        <w:instrText xml:space="preserve"> ADDIN ZOTERO_ITEM CSL_CITATION {"citationID":"St0sFYfC","properties":{"formattedCitation":"(Kruth et al. 2004)","plainCitation":"(Kruth et al. 2004)","noteIndex":0},"citationItems":[{"id":290,"uris":["http://zotero.org/users/9870952/items/9HTAAIGW"],"itemData":{"id":290,"type":"article-journal","container-title":"Journal of materials processing technology","issue":"1-3","note":"publisher: Elsevier","page":"616–622","source":"Google Scholar","title":"Selective laser melting of iron-based powder","volume":"149","author":[{"family":"Kruth","given":"Jean-Pierre"},{"family":"Froyen","given":"Ludo"},{"family":"Van Vaerenbergh","given":"Jonas"},{"family":"Mercelis","given":"Peter"},{"family":"Rombouts","given":"Marleen"},{"family":"Lauwers","given":"Bert"}],"issued":{"date-parts":[["2004"]]}}}],"schema":"https://github.com/citation-style-language/schema/raw/master/csl-citation.json"} </w:instrText>
      </w:r>
      <w:r>
        <w:rPr>
          <w:rFonts w:ascii="AdvOTc999d02f" w:hAnsi="AdvOTc999d02f" w:cs="AdvOTc999d02f"/>
        </w:rPr>
        <w:fldChar w:fldCharType="separate"/>
      </w:r>
      <w:r w:rsidRPr="000D2BE6">
        <w:rPr>
          <w:rFonts w:ascii="AdvOTc999d02f" w:hAnsi="AdvOTc999d02f"/>
        </w:rPr>
        <w:t>(Kruth et al. 2004)</w:t>
      </w:r>
      <w:r>
        <w:rPr>
          <w:rFonts w:ascii="AdvOTc999d02f" w:hAnsi="AdvOTc999d02f" w:cs="AdvOTc999d02f"/>
        </w:rPr>
        <w:fldChar w:fldCharType="end"/>
      </w:r>
      <w:r>
        <w:rPr>
          <w:rFonts w:ascii="AdvOTc999d02f" w:hAnsi="AdvOTc999d02f" w:cs="AdvOTc999d02f"/>
        </w:rPr>
        <w:t>.</w:t>
      </w:r>
    </w:p>
    <w:p w14:paraId="0D31CD33" w14:textId="77777777" w:rsidR="00A42D54" w:rsidRDefault="00A42D54" w:rsidP="00DD5865">
      <w:pPr>
        <w:rPr>
          <w:rFonts w:ascii="AdvOTc999d02f" w:hAnsi="AdvOTc999d02f" w:cs="AdvOTc999d02f"/>
        </w:rPr>
      </w:pPr>
    </w:p>
    <w:p w14:paraId="3788BAC0" w14:textId="77777777" w:rsidR="00A42D54" w:rsidRPr="00DC7A89" w:rsidRDefault="00A42D54" w:rsidP="00DD5865">
      <w:pPr>
        <w:rPr>
          <w:rFonts w:ascii="AdvOTc999d02f" w:hAnsi="AdvOTc999d02f" w:cs="AdvOTc999d02f"/>
        </w:rPr>
      </w:pPr>
    </w:p>
    <w:p w14:paraId="16E7C99A" w14:textId="77777777" w:rsidR="00DD5865" w:rsidRDefault="00DD5865" w:rsidP="00DD5865">
      <w:r w:rsidRPr="00F27A7A">
        <w:rPr>
          <w:noProof/>
        </w:rPr>
        <w:drawing>
          <wp:inline distT="0" distB="0" distL="0" distR="0" wp14:anchorId="48562E4B" wp14:editId="2D3ACAB0">
            <wp:extent cx="2962275" cy="2604135"/>
            <wp:effectExtent l="0" t="0" r="9525" b="5715"/>
            <wp:docPr id="2104467609" name="Picture 2104467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503" cstate="print">
                      <a:extLst>
                        <a:ext uri="{28A0092B-C50C-407E-A947-70E740481C1C}">
                          <a14:useLocalDpi xmlns:a14="http://schemas.microsoft.com/office/drawing/2010/main" val="0"/>
                        </a:ext>
                      </a:extLst>
                    </a:blip>
                    <a:srcRect r="50160"/>
                    <a:stretch/>
                  </pic:blipFill>
                  <pic:spPr bwMode="auto">
                    <a:xfrm>
                      <a:off x="0" y="0"/>
                      <a:ext cx="2962275" cy="2604135"/>
                    </a:xfrm>
                    <a:prstGeom prst="rect">
                      <a:avLst/>
                    </a:prstGeom>
                    <a:noFill/>
                    <a:ln>
                      <a:noFill/>
                    </a:ln>
                    <a:extLst>
                      <a:ext uri="{53640926-AAD7-44D8-BBD7-CCE9431645EC}">
                        <a14:shadowObscured xmlns:a14="http://schemas.microsoft.com/office/drawing/2010/main"/>
                      </a:ext>
                    </a:extLst>
                  </pic:spPr>
                </pic:pic>
              </a:graphicData>
            </a:graphic>
          </wp:inline>
        </w:drawing>
      </w:r>
    </w:p>
    <w:p w14:paraId="552DE705" w14:textId="77777777" w:rsidR="00DD5865" w:rsidRDefault="00DD5865" w:rsidP="00DD5865">
      <w:r>
        <w:t xml:space="preserve">Figure 10.16 </w:t>
      </w:r>
      <w:r w:rsidRPr="00F27A7A">
        <w:t>Materials property space for room temperature yield strength vs elongation of additively manufactured alloys</w:t>
      </w:r>
      <w:r>
        <w:t xml:space="preserve"> </w:t>
      </w:r>
      <w:r>
        <w:fldChar w:fldCharType="begin"/>
      </w:r>
      <w:r>
        <w:instrText xml:space="preserve"> ADDIN ZOTERO_ITEM CSL_CITATION {"citationID":"mjGEJRA6","properties":{"formattedCitation":"(Lewandowski and Seifi 2016)","plainCitation":"(Lewandowski and Seifi 2016)","noteIndex":0},"citationItems":[{"id":292,"uris":["http://zotero.org/users/9870952/items/Z35K4GPJ"],"itemData":{"id":292,"type":"article-journal","abstract":"This article reviews published data on the mechanical properties of additively manufactured metallic materials. The additive manufacturing techniques utilized to generate samples covered in this review include powder bed fusion (e.g., EBM, SLM, DMLS) and directed energy deposition (e.g., LENS, EBF\n              3\n              ). Although only a limited number of metallic alloy systems are currently available for additive manufacturing (e.g., Ti-6Al-4V, TiAl, stainless steel, Inconel 625/718, and Al-Si-10Mg), the bulk of the published mechanical properties information has been generated on Ti-6Al-4V. However, summary tables for published mechanical properties and/or key figures are included for each of the alloys listed above, grouped by the additive technique used to generate the data. Published values for mechanical properties obtained from hardness, tension/compression, fracture toughness, fatigue crack growth, and high cycle fatigue are included for as-built, heat-treated, and/or HIP conditions, when available. The effects of test orientation/build direction on properties, when available, are also provided, along with discussion of the potential source(s) (e.g., texture, microstructure changes, defects) of anisotropy in properties. Recommendations for additional work are also provided.","container-title":"Annual Review of Materials Research","DOI":"10.1146/annurev-matsci-070115-032024","ISSN":"1531-7331, 1545-4118","issue":"1","journalAbbreviation":"Annu. Rev. Mater. Res.","language":"en","page":"151-186","source":"DOI.org (Crossref)","title":"Metal Additive Manufacturing: A Review of Mechanical Properties","title-short":"Metal Additive Manufacturing","volume":"46","author":[{"family":"Lewandowski","given":"John J."},{"family":"Seifi","given":"Mohsen"}],"issued":{"date-parts":[["2016",7,1]]}}}],"schema":"https://github.com/citation-style-language/schema/raw/master/csl-citation.json"} </w:instrText>
      </w:r>
      <w:r>
        <w:fldChar w:fldCharType="separate"/>
      </w:r>
      <w:r w:rsidRPr="00826A79">
        <w:rPr>
          <w:rFonts w:cs="Calibri"/>
        </w:rPr>
        <w:t>(Lewandowski and Seifi 2016)</w:t>
      </w:r>
      <w:r>
        <w:fldChar w:fldCharType="end"/>
      </w:r>
      <w:r>
        <w:t>.</w:t>
      </w:r>
    </w:p>
    <w:p w14:paraId="25197DE6" w14:textId="77777777" w:rsidR="00A42D54" w:rsidRDefault="00A42D54" w:rsidP="00DD5865"/>
    <w:p w14:paraId="70A17FF8" w14:textId="77777777" w:rsidR="00A42D54" w:rsidRPr="003B6799" w:rsidRDefault="00A42D54" w:rsidP="00DD5865"/>
    <w:p w14:paraId="5D048EFE" w14:textId="77777777" w:rsidR="00DD5865" w:rsidRDefault="00DD5865" w:rsidP="00DD5865">
      <w:pPr>
        <w:rPr>
          <w:rFonts w:ascii="AdvOTc999d02f" w:hAnsi="AdvOTc999d02f" w:cs="AdvOTc999d02f"/>
          <w:sz w:val="16"/>
          <w:szCs w:val="16"/>
        </w:rPr>
      </w:pPr>
    </w:p>
    <w:p w14:paraId="12EEA0DC" w14:textId="77777777" w:rsidR="00DD5865" w:rsidRDefault="00DD5865" w:rsidP="00DD5865">
      <w:r w:rsidRPr="00F33E71">
        <w:rPr>
          <w:noProof/>
        </w:rPr>
        <w:lastRenderedPageBreak/>
        <w:drawing>
          <wp:inline distT="0" distB="0" distL="0" distR="0" wp14:anchorId="437E9ACD" wp14:editId="6B0594A5">
            <wp:extent cx="5932934" cy="1818005"/>
            <wp:effectExtent l="0" t="0" r="0" b="0"/>
            <wp:docPr id="2104467584" name="Picture 2104467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4467584" name="Picture 2104467584"/>
                    <pic:cNvPicPr>
                      <a:picLocks noChangeAspect="1" noChangeArrowheads="1"/>
                    </pic:cNvPicPr>
                  </pic:nvPicPr>
                  <pic:blipFill>
                    <a:blip r:embed="rId1504" cstate="print">
                      <a:extLst>
                        <a:ext uri="{28A0092B-C50C-407E-A947-70E740481C1C}">
                          <a14:useLocalDpi xmlns:a14="http://schemas.microsoft.com/office/drawing/2010/main" val="0"/>
                        </a:ext>
                      </a:extLst>
                    </a:blip>
                    <a:stretch>
                      <a:fillRect/>
                    </a:stretch>
                  </pic:blipFill>
                  <pic:spPr bwMode="auto">
                    <a:xfrm>
                      <a:off x="0" y="0"/>
                      <a:ext cx="5932934" cy="1818005"/>
                    </a:xfrm>
                    <a:prstGeom prst="rect">
                      <a:avLst/>
                    </a:prstGeom>
                    <a:noFill/>
                    <a:ln>
                      <a:noFill/>
                    </a:ln>
                  </pic:spPr>
                </pic:pic>
              </a:graphicData>
            </a:graphic>
          </wp:inline>
        </w:drawing>
      </w:r>
    </w:p>
    <w:p w14:paraId="39B5A477" w14:textId="77777777" w:rsidR="00A42D54" w:rsidRDefault="00A42D54" w:rsidP="00DD5865"/>
    <w:p w14:paraId="679DD1B1" w14:textId="7DF1A0E0" w:rsidR="00DD5865" w:rsidRDefault="00DD5865" w:rsidP="00DD5865">
      <w:r>
        <w:t xml:space="preserve">Figure 10.17. (a) Elongation, (b) yield strength, and (c) tensile strengths of both conventionally produced and LPBF processed Cu-0.5Cr alloy parts </w:t>
      </w:r>
      <w:r>
        <w:fldChar w:fldCharType="begin"/>
      </w:r>
      <w:r>
        <w:instrText xml:space="preserve"> ADDIN ZOTERO_ITEM CSL_CITATION {"citationID":"2rJQxTSy","properties":{"formattedCitation":"(Vahedi Nemani et al. 2024)","plainCitation":"(Vahedi Nemani et al. 2024)","noteIndex":0},"citationItems":[{"id":237,"uris":["http://zotero.org/users/9870952/items/YTVEXBKF"],"itemData":{"id":237,"type":"article-journal","abstract":"Copper-based materials have long been used for their outstanding thermal and electrical conductivities in various applications, such as heat exchangers, induction heat coils, cooling channels, radiators, and electronic connectors. The development of advanced copper alloys has broadened their utilization to include structural applications in harsh service conditions found in industries like oil and gas, marine, power plants, and water treatment, where good corrosion resistance and a combination of high strength, wear, and fatigue tolerance are critical. These advanced multi-component structures often have complex designs and intricate geometries, requiring extensive metallurgical processing routes and the joining of the individual components into a final structure. Additive manufacturing (AM) has revolutionized the way complex structures are designed and manufactured. It has reduced the processing steps, assemblies, and tooling while also eliminating the need for joining processes. However, the high thermal conductivity of copper and its high reflectivity to near-infrared radiation present challenges in the production of copper alloys using fusion-based AM processes, especially with Yb-fiber laser-based techniques. To overcome these difficulties, various solutions have been proposed, such as the use of high-power, low-wavelength laser sources, preheating the build chamber, employing low thermal conductivity building platforms, and adding alloying elements or composite particles to the feedstock material. This article systematically reviews different aspects of AM processing of common industrial copper alloys and composites, including copper-chrome, copper-nickel, tin-bronze, nickel-aluminum bronze, copper-carbon composites, copper-ceramic composites, and copper-metal composites. It focuses on the state-of-the-art AM techniques employed for processing different copper-based materials and the associated technological and metallurgical challenges, optimized processing variables, the impact of post-printing heat treatments, the resulting microstructural features, physical properties, mechanical performance, and corrosion response of the AM-fabricated parts. Where applicable, a comprehensive comparison of the results with those of their conventionally fabricated counterparts is provided.","container-title":"Journal of Manufacturing and Materials Processing","DOI":"10.3390/jmmp8020054","ISSN":"2504-4494","issue":"2","language":"en","license":"http://creativecommons.org/licenses/by/3.0/","note":"number: 2\npublisher: Multidisciplinary Digital Publishing Institute","page":"54","source":"www.mdpi.com","title":"Advancements in Additive Manufacturing for Copper-Based Alloys and Composites: A Comprehensive Review","title-short":"Advancements in Additive Manufacturing for Copper-Based Alloys and Composites","volume":"8","author":[{"family":"Vahedi Nemani","given":"Alireza"},{"family":"Ghaffari","given":"Mahya"},{"family":"Sabet Bokati","given":"Kazem"},{"family":"Valizade","given":"Nima"},{"family":"Afshari","given":"Elham"},{"family":"Nasiri","given":"Ali"}],"issued":{"date-parts":[["2024",4]]}}}],"schema":"https://github.com/citation-style-language/schema/raw/master/csl-citation.json"} </w:instrText>
      </w:r>
      <w:r>
        <w:fldChar w:fldCharType="separate"/>
      </w:r>
      <w:r w:rsidRPr="00826A79">
        <w:rPr>
          <w:rFonts w:cs="Calibri"/>
        </w:rPr>
        <w:t>(Vahedi Nemani et al. 2024)</w:t>
      </w:r>
      <w:r>
        <w:fldChar w:fldCharType="end"/>
      </w:r>
      <w:r>
        <w:t xml:space="preserve"> </w:t>
      </w:r>
      <w:r>
        <w:fldChar w:fldCharType="begin"/>
      </w:r>
      <w:r>
        <w:instrText xml:space="preserve"> ADDIN ZOTERO_ITEM CSL_CITATION {"citationID":"yIuo3we7","properties":{"formattedCitation":"(Zhang et al. 2019b; 2019a)","plainCitation":"(Zhang et al. 2019b; 2019a)","noteIndex":0},"citationItems":[{"id":294,"uris":["http://zotero.org/users/9870952/items/AQB8PUPF"],"itemData":{"id":294,"type":"article-journal","container-title":"Materials Letters","note":"publisher: Elsevier","page":"306–309","source":"Google Scholar","title":"Microstructure and properties of high strength and high conductivity Cu-Cr alloy components fabricated by high power selective laser melting","volume":"237","author":[{"family":"Zhang","given":"Shasha"},{"family":"Zhu","given":"Haihong"},{"family":"Zhang","given":"Luo"},{"family":"Zhang","given":"Wenqi"},{"family":"Yang","given":"Huanqing"},{"family":"Zeng","given":"Xiaoyan"}],"issued":{"date-parts":[["2019"]]}}},{"id":296,"uris":["http://zotero.org/users/9870952/items/BLXV35IQ"],"itemData":{"id":296,"type":"article-journal","container-title":"Journal of Alloys and Compounds","note":"publisher: Elsevier","page":"286–293","source":"Google Scholar","title":"Microstructure and properties in QCr0. 8 alloy produced by selective laser melting with different heat treatment","volume":"800","author":[{"family":"Zhang","given":"Shasha"},{"family":"Zhu","given":"Haihong"},{"family":"Zhang","given":"Luo"},{"family":"Zhang","given":"Wenqi"},{"family":"Yang","given":"Huanqing"},{"family":"Zeng","given":"Xiaoyan"}],"issued":{"date-parts":[["2019"]]}}}],"schema":"https://github.com/citation-style-language/schema/raw/master/csl-citation.json"} </w:instrText>
      </w:r>
      <w:r>
        <w:fldChar w:fldCharType="separate"/>
      </w:r>
      <w:r w:rsidRPr="00826A79">
        <w:rPr>
          <w:rFonts w:cs="Calibri"/>
        </w:rPr>
        <w:t>(Zhang et al. 2019b; 2019a)</w:t>
      </w:r>
      <w:r>
        <w:fldChar w:fldCharType="end"/>
      </w:r>
      <w:r>
        <w:t>.</w:t>
      </w:r>
    </w:p>
    <w:p w14:paraId="65D93AAC" w14:textId="77777777" w:rsidR="00A42D54" w:rsidRDefault="00A42D54" w:rsidP="00DD5865"/>
    <w:p w14:paraId="329B5E57" w14:textId="77777777" w:rsidR="00A42D54" w:rsidRDefault="00A42D54" w:rsidP="00DD5865"/>
    <w:p w14:paraId="2C824EDD" w14:textId="77777777" w:rsidR="00DD5865" w:rsidRDefault="00DD5865" w:rsidP="00DD5865">
      <w:r w:rsidRPr="00782D9E">
        <w:rPr>
          <w:noProof/>
        </w:rPr>
        <w:drawing>
          <wp:inline distT="0" distB="0" distL="0" distR="0" wp14:anchorId="5024668A" wp14:editId="1F7EABDA">
            <wp:extent cx="5943464" cy="3197240"/>
            <wp:effectExtent l="0" t="0" r="635" b="3175"/>
            <wp:docPr id="2104467585" name="Picture 2104467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505">
                      <a:extLst>
                        <a:ext uri="{28A0092B-C50C-407E-A947-70E740481C1C}">
                          <a14:useLocalDpi xmlns:a14="http://schemas.microsoft.com/office/drawing/2010/main" val="0"/>
                        </a:ext>
                      </a:extLst>
                    </a:blip>
                    <a:srcRect t="7392"/>
                    <a:stretch/>
                  </pic:blipFill>
                  <pic:spPr bwMode="auto">
                    <a:xfrm>
                      <a:off x="0" y="0"/>
                      <a:ext cx="5943600" cy="3197313"/>
                    </a:xfrm>
                    <a:prstGeom prst="rect">
                      <a:avLst/>
                    </a:prstGeom>
                    <a:noFill/>
                    <a:ln>
                      <a:noFill/>
                    </a:ln>
                    <a:extLst>
                      <a:ext uri="{53640926-AAD7-44D8-BBD7-CCE9431645EC}">
                        <a14:shadowObscured xmlns:a14="http://schemas.microsoft.com/office/drawing/2010/main"/>
                      </a:ext>
                    </a:extLst>
                  </pic:spPr>
                </pic:pic>
              </a:graphicData>
            </a:graphic>
          </wp:inline>
        </w:drawing>
      </w:r>
    </w:p>
    <w:p w14:paraId="30E7CDD8" w14:textId="77777777" w:rsidR="00A42D54" w:rsidRDefault="00A42D54" w:rsidP="00DD5865"/>
    <w:p w14:paraId="1E184CC7" w14:textId="1B0BDB46" w:rsidR="00DD5865" w:rsidRDefault="00DD5865" w:rsidP="00DD5865">
      <w:r>
        <w:t xml:space="preserve">Figure 10.18. Stress strain curve comparison in a Cu-10Sn alloy </w:t>
      </w:r>
      <w:r>
        <w:fldChar w:fldCharType="begin"/>
      </w:r>
      <w:r>
        <w:instrText xml:space="preserve"> ADDIN ZOTERO_ITEM CSL_CITATION {"citationID":"dGYpfOk0","properties":{"formattedCitation":"(Scudino et al. 2015)","plainCitation":"(Scudino et al. 2015)","noteIndex":0},"citationItems":[{"id":302,"uris":["http://zotero.org/users/9870952/items/489Y4E8C"],"itemData":{"id":302,"type":"article-journal","container-title":"Materials Letters","note":"publisher: Elsevier","page":"202–204","source":"Google Scholar","title":"Additive manufacturing of Cu–10Sn bronze","volume":"156","author":[{"family":"Scudino","given":"S."},{"family":"Unterdörfer","given":"C."},{"family":"Prashanth","given":"K. G."},{"family":"Attar","given":"Hooyar"},{"family":"Ellendt","given":"N."},{"family":"Uhlenwinkel","given":"V."},{"family":"Eckert","given":"J."}],"issued":{"date-parts":[["2015"]]}}}],"schema":"https://github.com/citation-style-language/schema/raw/master/csl-citation.json"} </w:instrText>
      </w:r>
      <w:r>
        <w:fldChar w:fldCharType="separate"/>
      </w:r>
      <w:r w:rsidRPr="00826A79">
        <w:rPr>
          <w:rFonts w:cs="Calibri"/>
        </w:rPr>
        <w:t>(Scudino et al. 2015)</w:t>
      </w:r>
      <w:r>
        <w:fldChar w:fldCharType="end"/>
      </w:r>
      <w:r>
        <w:t>.</w:t>
      </w:r>
    </w:p>
    <w:p w14:paraId="254635A0" w14:textId="77777777" w:rsidR="00DD5865" w:rsidRDefault="00DD5865" w:rsidP="00DD5865">
      <w:r>
        <w:br w:type="page"/>
      </w:r>
    </w:p>
    <w:p w14:paraId="118411F8" w14:textId="77777777" w:rsidR="00DD5865" w:rsidRDefault="00DD5865" w:rsidP="00DD5865">
      <w:r w:rsidRPr="00F2410C">
        <w:rPr>
          <w:noProof/>
        </w:rPr>
        <w:lastRenderedPageBreak/>
        <w:drawing>
          <wp:inline distT="0" distB="0" distL="0" distR="0" wp14:anchorId="59939D5D" wp14:editId="0F08EA74">
            <wp:extent cx="5943600" cy="5212715"/>
            <wp:effectExtent l="0" t="0" r="0" b="6985"/>
            <wp:docPr id="2104467586" name="Picture 2104467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06">
                      <a:extLst>
                        <a:ext uri="{28A0092B-C50C-407E-A947-70E740481C1C}">
                          <a14:useLocalDpi xmlns:a14="http://schemas.microsoft.com/office/drawing/2010/main" val="0"/>
                        </a:ext>
                      </a:extLst>
                    </a:blip>
                    <a:srcRect/>
                    <a:stretch>
                      <a:fillRect/>
                    </a:stretch>
                  </pic:blipFill>
                  <pic:spPr bwMode="auto">
                    <a:xfrm>
                      <a:off x="0" y="0"/>
                      <a:ext cx="5943600" cy="5212715"/>
                    </a:xfrm>
                    <a:prstGeom prst="rect">
                      <a:avLst/>
                    </a:prstGeom>
                    <a:noFill/>
                    <a:ln>
                      <a:noFill/>
                    </a:ln>
                  </pic:spPr>
                </pic:pic>
              </a:graphicData>
            </a:graphic>
          </wp:inline>
        </w:drawing>
      </w:r>
      <w:r w:rsidRPr="00F2410C">
        <w:rPr>
          <w:noProof/>
        </w:rPr>
        <w:drawing>
          <wp:inline distT="0" distB="0" distL="0" distR="0" wp14:anchorId="64172CAB" wp14:editId="681995BA">
            <wp:extent cx="5943600" cy="2598420"/>
            <wp:effectExtent l="0" t="0" r="0" b="0"/>
            <wp:docPr id="2104467587" name="Picture 2104467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07">
                      <a:extLst>
                        <a:ext uri="{28A0092B-C50C-407E-A947-70E740481C1C}">
                          <a14:useLocalDpi xmlns:a14="http://schemas.microsoft.com/office/drawing/2010/main" val="0"/>
                        </a:ext>
                      </a:extLst>
                    </a:blip>
                    <a:srcRect/>
                    <a:stretch>
                      <a:fillRect/>
                    </a:stretch>
                  </pic:blipFill>
                  <pic:spPr bwMode="auto">
                    <a:xfrm>
                      <a:off x="0" y="0"/>
                      <a:ext cx="5943600" cy="2598420"/>
                    </a:xfrm>
                    <a:prstGeom prst="rect">
                      <a:avLst/>
                    </a:prstGeom>
                    <a:noFill/>
                    <a:ln>
                      <a:noFill/>
                    </a:ln>
                  </pic:spPr>
                </pic:pic>
              </a:graphicData>
            </a:graphic>
          </wp:inline>
        </w:drawing>
      </w:r>
    </w:p>
    <w:p w14:paraId="6624BBB7" w14:textId="77777777" w:rsidR="00A42D54" w:rsidRDefault="00A42D54" w:rsidP="00DD5865"/>
    <w:p w14:paraId="12B21E94" w14:textId="30A28713" w:rsidR="00DD5865" w:rsidRDefault="00DD5865" w:rsidP="00DD5865">
      <w:r>
        <w:lastRenderedPageBreak/>
        <w:t xml:space="preserve">Figure 10.19 Mechanical properties of various tin-bronzes produced by conventional and various AM methods </w:t>
      </w:r>
      <w:r>
        <w:fldChar w:fldCharType="begin"/>
      </w:r>
      <w:r>
        <w:instrText xml:space="preserve"> ADDIN ZOTERO_ITEM CSL_CITATION {"citationID":"0gIjtono","properties":{"formattedCitation":"(Vahedi Nemani et al. 2024)","plainCitation":"(Vahedi Nemani et al. 2024)","noteIndex":0},"citationItems":[{"id":237,"uris":["http://zotero.org/users/9870952/items/YTVEXBKF"],"itemData":{"id":237,"type":"article-journal","abstract":"Copper-based materials have long been used for their outstanding thermal and electrical conductivities in various applications, such as heat exchangers, induction heat coils, cooling channels, radiators, and electronic connectors. The development of advanced copper alloys has broadened their utilization to include structural applications in harsh service conditions found in industries like oil and gas, marine, power plants, and water treatment, where good corrosion resistance and a combination of high strength, wear, and fatigue tolerance are critical. These advanced multi-component structures often have complex designs and intricate geometries, requiring extensive metallurgical processing routes and the joining of the individual components into a final structure. Additive manufacturing (AM) has revolutionized the way complex structures are designed and manufactured. It has reduced the processing steps, assemblies, and tooling while also eliminating the need for joining processes. However, the high thermal conductivity of copper and its high reflectivity to near-infrared radiation present challenges in the production of copper alloys using fusion-based AM processes, especially with Yb-fiber laser-based techniques. To overcome these difficulties, various solutions have been proposed, such as the use of high-power, low-wavelength laser sources, preheating the build chamber, employing low thermal conductivity building platforms, and adding alloying elements or composite particles to the feedstock material. This article systematically reviews different aspects of AM processing of common industrial copper alloys and composites, including copper-chrome, copper-nickel, tin-bronze, nickel-aluminum bronze, copper-carbon composites, copper-ceramic composites, and copper-metal composites. It focuses on the state-of-the-art AM techniques employed for processing different copper-based materials and the associated technological and metallurgical challenges, optimized processing variables, the impact of post-printing heat treatments, the resulting microstructural features, physical properties, mechanical performance, and corrosion response of the AM-fabricated parts. Where applicable, a comprehensive comparison of the results with those of their conventionally fabricated counterparts is provided.","container-title":"Journal of Manufacturing and Materials Processing","DOI":"10.3390/jmmp8020054","ISSN":"2504-4494","issue":"2","language":"en","license":"http://creativecommons.org/licenses/by/3.0/","note":"number: 2\npublisher: Multidisciplinary Digital Publishing Institute","page":"54","source":"www.mdpi.com","title":"Advancements in Additive Manufacturing for Copper-Based Alloys and Composites: A Comprehensive Review","title-short":"Advancements in Additive Manufacturing for Copper-Based Alloys and Composites","volume":"8","author":[{"family":"Vahedi Nemani","given":"Alireza"},{"family":"Ghaffari","given":"Mahya"},{"family":"Sabet Bokati","given":"Kazem"},{"family":"Valizade","given":"Nima"},{"family":"Afshari","given":"Elham"},{"family":"Nasiri","given":"Ali"}],"issued":{"date-parts":[["2024",4]]}}}],"schema":"https://github.com/citation-style-language/schema/raw/master/csl-citation.json"} </w:instrText>
      </w:r>
      <w:r>
        <w:fldChar w:fldCharType="separate"/>
      </w:r>
      <w:r w:rsidRPr="00826A79">
        <w:rPr>
          <w:rFonts w:cs="Calibri"/>
        </w:rPr>
        <w:t>(Vahedi Nemani et al. 2024)</w:t>
      </w:r>
      <w:r>
        <w:fldChar w:fldCharType="end"/>
      </w:r>
      <w:r>
        <w:t>.</w:t>
      </w:r>
    </w:p>
    <w:p w14:paraId="109B2C88" w14:textId="77777777" w:rsidR="00A42D54" w:rsidRDefault="00A42D54" w:rsidP="00DD5865"/>
    <w:p w14:paraId="056A78ED" w14:textId="77777777" w:rsidR="00A42D54" w:rsidRDefault="00A42D54" w:rsidP="00DD5865"/>
    <w:p w14:paraId="564BD22E" w14:textId="77777777" w:rsidR="00DD5865" w:rsidRDefault="00DD5865" w:rsidP="00DD5865">
      <w:r w:rsidRPr="000762A6">
        <w:rPr>
          <w:noProof/>
        </w:rPr>
        <w:drawing>
          <wp:inline distT="0" distB="0" distL="0" distR="0" wp14:anchorId="3891F935" wp14:editId="53122AAA">
            <wp:extent cx="5943600" cy="2707005"/>
            <wp:effectExtent l="0" t="0" r="0" b="0"/>
            <wp:docPr id="2104467588" name="Picture 2104467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08">
                      <a:extLst>
                        <a:ext uri="{28A0092B-C50C-407E-A947-70E740481C1C}">
                          <a14:useLocalDpi xmlns:a14="http://schemas.microsoft.com/office/drawing/2010/main" val="0"/>
                        </a:ext>
                      </a:extLst>
                    </a:blip>
                    <a:srcRect/>
                    <a:stretch>
                      <a:fillRect/>
                    </a:stretch>
                  </pic:blipFill>
                  <pic:spPr bwMode="auto">
                    <a:xfrm>
                      <a:off x="0" y="0"/>
                      <a:ext cx="5943600" cy="2707005"/>
                    </a:xfrm>
                    <a:prstGeom prst="rect">
                      <a:avLst/>
                    </a:prstGeom>
                    <a:noFill/>
                    <a:ln>
                      <a:noFill/>
                    </a:ln>
                  </pic:spPr>
                </pic:pic>
              </a:graphicData>
            </a:graphic>
          </wp:inline>
        </w:drawing>
      </w:r>
    </w:p>
    <w:p w14:paraId="35CB1451" w14:textId="77777777" w:rsidR="00DD5865" w:rsidRDefault="00DD5865" w:rsidP="00DD5865">
      <w:r>
        <w:t xml:space="preserve">Figure 10.20. Mechanical properties for NAB alloys from various NAB alloys </w:t>
      </w:r>
      <w:r>
        <w:fldChar w:fldCharType="begin"/>
      </w:r>
      <w:r>
        <w:instrText xml:space="preserve"> ADDIN ZOTERO_ITEM CSL_CITATION {"citationID":"hvMILkTy","properties":{"formattedCitation":"(Vahedi Nemani et al. 2024)","plainCitation":"(Vahedi Nemani et al. 2024)","noteIndex":0},"citationItems":[{"id":237,"uris":["http://zotero.org/users/9870952/items/YTVEXBKF"],"itemData":{"id":237,"type":"article-journal","abstract":"Copper-based materials have long been used for their outstanding thermal and electrical conductivities in various applications, such as heat exchangers, induction heat coils, cooling channels, radiators, and electronic connectors. The development of advanced copper alloys has broadened their utilization to include structural applications in harsh service conditions found in industries like oil and gas, marine, power plants, and water treatment, where good corrosion resistance and a combination of high strength, wear, and fatigue tolerance are critical. These advanced multi-component structures often have complex designs and intricate geometries, requiring extensive metallurgical processing routes and the joining of the individual components into a final structure. Additive manufacturing (AM) has revolutionized the way complex structures are designed and manufactured. It has reduced the processing steps, assemblies, and tooling while also eliminating the need for joining processes. However, the high thermal conductivity of copper and its high reflectivity to near-infrared radiation present challenges in the production of copper alloys using fusion-based AM processes, especially with Yb-fiber laser-based techniques. To overcome these difficulties, various solutions have been proposed, such as the use of high-power, low-wavelength laser sources, preheating the build chamber, employing low thermal conductivity building platforms, and adding alloying elements or composite particles to the feedstock material. This article systematically reviews different aspects of AM processing of common industrial copper alloys and composites, including copper-chrome, copper-nickel, tin-bronze, nickel-aluminum bronze, copper-carbon composites, copper-ceramic composites, and copper-metal composites. It focuses on the state-of-the-art AM techniques employed for processing different copper-based materials and the associated technological and metallurgical challenges, optimized processing variables, the impact of post-printing heat treatments, the resulting microstructural features, physical properties, mechanical performance, and corrosion response of the AM-fabricated parts. Where applicable, a comprehensive comparison of the results with those of their conventionally fabricated counterparts is provided.","container-title":"Journal of Manufacturing and Materials Processing","DOI":"10.3390/jmmp8020054","ISSN":"2504-4494","issue":"2","language":"en","license":"http://creativecommons.org/licenses/by/3.0/","note":"number: 2\npublisher: Multidisciplinary Digital Publishing Institute","page":"54","source":"www.mdpi.com","title":"Advancements in Additive Manufacturing for Copper-Based Alloys and Composites: A Comprehensive Review","title-short":"Advancements in Additive Manufacturing for Copper-Based Alloys and Composites","volume":"8","author":[{"family":"Vahedi Nemani","given":"Alireza"},{"family":"Ghaffari","given":"Mahya"},{"family":"Sabet Bokati","given":"Kazem"},{"family":"Valizade","given":"Nima"},{"family":"Afshari","given":"Elham"},{"family":"Nasiri","given":"Ali"}],"issued":{"date-parts":[["2024",4]]}}}],"schema":"https://github.com/citation-style-language/schema/raw/master/csl-citation.json"} </w:instrText>
      </w:r>
      <w:r>
        <w:fldChar w:fldCharType="separate"/>
      </w:r>
      <w:r w:rsidRPr="00826A79">
        <w:rPr>
          <w:rFonts w:cs="Calibri"/>
        </w:rPr>
        <w:t>(Vahedi Nemani et al. 2024)</w:t>
      </w:r>
      <w:r>
        <w:fldChar w:fldCharType="end"/>
      </w:r>
      <w:r>
        <w:t>.</w:t>
      </w:r>
    </w:p>
    <w:p w14:paraId="4AD72697" w14:textId="77777777" w:rsidR="00DD5865" w:rsidRDefault="00DD5865" w:rsidP="00DD5865"/>
    <w:p w14:paraId="1DA662F1" w14:textId="77777777" w:rsidR="00A42D54" w:rsidRDefault="00A42D54" w:rsidP="00DD5865"/>
    <w:p w14:paraId="3AF04D6A" w14:textId="77777777" w:rsidR="00DD5865" w:rsidRDefault="00DD5865" w:rsidP="00DD5865">
      <w:r w:rsidRPr="00C77A5B">
        <w:rPr>
          <w:noProof/>
        </w:rPr>
        <w:drawing>
          <wp:inline distT="0" distB="0" distL="0" distR="0" wp14:anchorId="7AFB8F60" wp14:editId="1FB84AFD">
            <wp:extent cx="5943600" cy="3941445"/>
            <wp:effectExtent l="0" t="0" r="0" b="1905"/>
            <wp:docPr id="2104467589" name="Picture 2104467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09">
                      <a:extLst>
                        <a:ext uri="{28A0092B-C50C-407E-A947-70E740481C1C}">
                          <a14:useLocalDpi xmlns:a14="http://schemas.microsoft.com/office/drawing/2010/main" val="0"/>
                        </a:ext>
                      </a:extLst>
                    </a:blip>
                    <a:srcRect/>
                    <a:stretch>
                      <a:fillRect/>
                    </a:stretch>
                  </pic:blipFill>
                  <pic:spPr bwMode="auto">
                    <a:xfrm>
                      <a:off x="0" y="0"/>
                      <a:ext cx="5943600" cy="3941445"/>
                    </a:xfrm>
                    <a:prstGeom prst="rect">
                      <a:avLst/>
                    </a:prstGeom>
                    <a:noFill/>
                    <a:ln>
                      <a:noFill/>
                    </a:ln>
                  </pic:spPr>
                </pic:pic>
              </a:graphicData>
            </a:graphic>
          </wp:inline>
        </w:drawing>
      </w:r>
    </w:p>
    <w:p w14:paraId="2FD6BE31" w14:textId="77777777" w:rsidR="00DD5865" w:rsidRDefault="00DD5865" w:rsidP="00DD5865">
      <w:r>
        <w:lastRenderedPageBreak/>
        <w:t xml:space="preserve">Figure 10.21. Stress-strain curves of various Ni-aluminum bronzes in as-built and heat treated conditions </w:t>
      </w:r>
      <w:r>
        <w:fldChar w:fldCharType="begin"/>
      </w:r>
      <w:r>
        <w:instrText xml:space="preserve"> ADDIN ZOTERO_ITEM CSL_CITATION {"citationID":"I2z6cRth","properties":{"formattedCitation":"(Barr et al. 2022)","plainCitation":"(Barr et al. 2022)","noteIndex":0},"citationItems":[{"id":306,"uris":["http://zotero.org/users/9870952/items/6JNY8PZW"],"itemData":{"id":306,"type":"article-journal","container-title":"Additive Manufacturing","note":"publisher: Elsevier","page":"102771","source":"Google Scholar","title":"Effect of composition on the tensile and corrosion performance of nickel aluminium bronze produced via laser powder bed fusion","volume":"54","author":[{"family":"Barr","given":"Cameron"},{"family":"Pateras","given":"Aaron"},{"family":"Molotnikov","given":"Andrey"},{"family":"Clarke","given":"David"},{"family":"Brandt","given":"Milan"}],"issued":{"date-parts":[["2022"]]}}}],"schema":"https://github.com/citation-style-language/schema/raw/master/csl-citation.json"} </w:instrText>
      </w:r>
      <w:r>
        <w:fldChar w:fldCharType="separate"/>
      </w:r>
      <w:r w:rsidRPr="00826A79">
        <w:rPr>
          <w:rFonts w:cs="Calibri"/>
        </w:rPr>
        <w:t>(Barr et al. 2022)</w:t>
      </w:r>
      <w:r>
        <w:fldChar w:fldCharType="end"/>
      </w:r>
      <w:r>
        <w:t>.</w:t>
      </w:r>
    </w:p>
    <w:p w14:paraId="649FBE64" w14:textId="77777777" w:rsidR="00A42D54" w:rsidRDefault="00A42D54" w:rsidP="00DD5865"/>
    <w:p w14:paraId="459C6BA3" w14:textId="77777777" w:rsidR="00A42D54" w:rsidRDefault="00A42D54" w:rsidP="00DD5865"/>
    <w:p w14:paraId="5C4B19BE" w14:textId="77777777" w:rsidR="00DD5865" w:rsidRDefault="00DD5865" w:rsidP="00DD5865">
      <w:r w:rsidRPr="00242790">
        <w:rPr>
          <w:noProof/>
        </w:rPr>
        <w:drawing>
          <wp:inline distT="0" distB="0" distL="0" distR="0" wp14:anchorId="7C21A226" wp14:editId="31568EA1">
            <wp:extent cx="3840480" cy="3831336"/>
            <wp:effectExtent l="0" t="0" r="7620" b="0"/>
            <wp:docPr id="2104467590" name="Picture 2104467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10" cstate="print">
                      <a:extLst>
                        <a:ext uri="{28A0092B-C50C-407E-A947-70E740481C1C}">
                          <a14:useLocalDpi xmlns:a14="http://schemas.microsoft.com/office/drawing/2010/main" val="0"/>
                        </a:ext>
                      </a:extLst>
                    </a:blip>
                    <a:srcRect/>
                    <a:stretch>
                      <a:fillRect/>
                    </a:stretch>
                  </pic:blipFill>
                  <pic:spPr bwMode="auto">
                    <a:xfrm>
                      <a:off x="0" y="0"/>
                      <a:ext cx="3840480" cy="3831336"/>
                    </a:xfrm>
                    <a:prstGeom prst="rect">
                      <a:avLst/>
                    </a:prstGeom>
                    <a:noFill/>
                    <a:ln>
                      <a:noFill/>
                    </a:ln>
                  </pic:spPr>
                </pic:pic>
              </a:graphicData>
            </a:graphic>
          </wp:inline>
        </w:drawing>
      </w:r>
    </w:p>
    <w:p w14:paraId="79355457" w14:textId="77777777" w:rsidR="00A42D54" w:rsidRDefault="00A42D54" w:rsidP="00DD5865"/>
    <w:p w14:paraId="482773DA" w14:textId="55E97B8B" w:rsidR="00DD5865" w:rsidRDefault="00DD5865" w:rsidP="00DD5865">
      <w:r>
        <w:t xml:space="preserve">Figure 10.22 A Pie chart showing the Ni-based superalloys in laser powder bed fusion research from 290 studies. Inconel 718 and Inconel 625 are the most studied alloys due to their wide use in aerospace applications </w:t>
      </w:r>
      <w:r>
        <w:fldChar w:fldCharType="begin"/>
      </w:r>
      <w:r>
        <w:instrText xml:space="preserve"> ADDIN ZOTERO_ITEM CSL_CITATION {"citationID":"qGbXyGlx","properties":{"formattedCitation":"(Sanchez et al. 2021)","plainCitation":"(Sanchez et al. 2021)","noteIndex":0},"citationItems":[{"id":239,"uris":["http://zotero.org/users/9870952/items/5K6DPZQJ"],"itemData":{"id":239,"type":"article-journal","abstract":"Powder Bed Fusion (PBF) techniques constitute a family of Additive Manufacturing (AM) processes, which are characterised by high design flexibility and no tooling requirement. This makes PBF techniques attractive to many modern manufacturing sectors (e.g. aerospace, defence, energy and automotive) where some materials, such as Nickel-based superalloys, cannot be easily processed using conventional subtractive techniques. Nickel-based superalloys are crucial materials in modern engineering and underpin the performance of many advanced mechanical systems. Their physical properties (high mechanical integrity at high temperature) make them difficult to process via traditional techniques. Consequently, manufacture of nickel-based superalloys using PBF platforms has attracted significant attention. To permit a wider application, a deep understanding of their mechanical behaviour and relation to process needs to be achieved. The motivation for this paper is to provide a comprehensive review of the mechanical properties of PBF nickel-based superalloys and how process parameters affect these, and to aid practitioners in identifying the shortcomings and the opportunities in this field. Therefore, this paper aims to review research contributions regarding the microstructure and mechanical properties of nickel-based superalloys, manufactured using the two principle PBF techniques: Laser Powder Bed Fusion (LPBF) and Electron Beam Melting (EBM). The ‘target’ microstructures are introduced alongside the characteristics of those produced by PBF process, followed by an overview of the most used building processes, as well as build quality inspection techniques. A comprehensive evaluation of the mechanical properties, including tensile strength, hardness, shear strength, fatigue resistance, creep resistance and fracture toughness of PBF nickel-based superalloys are analysed. This work concludes with summary tables for data published on these properties serving as a quick reference to scholars. Characteristic process factors influencing functional performance are also discussed and compared throughout for the purpose of identifying research opportunities and directing the research community toward the end goal of achieving part integrity that extends beyond static components only.","container-title":"International Journal of Machine Tools and Manufacture","DOI":"10.1016/j.ijmachtools.2021.103729","ISSN":"0890-6955","journalAbbreviation":"International Journal of Machine Tools and Manufacture","page":"103729","source":"ScienceDirect","title":"Powder Bed Fusion of nickel-based superalloys: A review","title-short":"Powder Bed Fusion of nickel-based superalloys","volume":"165","author":[{"family":"Sanchez","given":"Salomé"},{"family":"Smith","given":"Peter"},{"family":"Xu","given":"Zhengkai"},{"family":"Gaspard","given":"Gabriele"},{"family":"Hyde","given":"Christopher J."},{"family":"Wits","given":"Wessel W."},{"family":"Ashcroft","given":"Ian A."},{"family":"Chen","given":"Hao"},{"family":"Clare","given":"Adam T."}],"issued":{"date-parts":[["2021",6,1]]}}}],"schema":"https://github.com/citation-style-language/schema/raw/master/csl-citation.json"} </w:instrText>
      </w:r>
      <w:r>
        <w:fldChar w:fldCharType="separate"/>
      </w:r>
      <w:r w:rsidRPr="00826A79">
        <w:rPr>
          <w:rFonts w:cs="Calibri"/>
        </w:rPr>
        <w:t>(Sanchez et al. 2021)</w:t>
      </w:r>
      <w:r>
        <w:fldChar w:fldCharType="end"/>
      </w:r>
      <w:r>
        <w:t>.</w:t>
      </w:r>
    </w:p>
    <w:p w14:paraId="2E497C84" w14:textId="77777777" w:rsidR="00A42D54" w:rsidRDefault="00A42D54" w:rsidP="00DD5865"/>
    <w:p w14:paraId="2C944644" w14:textId="77777777" w:rsidR="00DD5865" w:rsidRDefault="00DD5865" w:rsidP="00DD5865">
      <w:r w:rsidRPr="009E40F2">
        <w:rPr>
          <w:noProof/>
        </w:rPr>
        <w:drawing>
          <wp:inline distT="0" distB="0" distL="0" distR="0" wp14:anchorId="60AA9605" wp14:editId="0B4A2E5D">
            <wp:extent cx="5943600" cy="2457450"/>
            <wp:effectExtent l="0" t="0" r="0" b="0"/>
            <wp:docPr id="2104467591" name="Picture 2104467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11">
                      <a:extLst>
                        <a:ext uri="{28A0092B-C50C-407E-A947-70E740481C1C}">
                          <a14:useLocalDpi xmlns:a14="http://schemas.microsoft.com/office/drawing/2010/main" val="0"/>
                        </a:ext>
                      </a:extLst>
                    </a:blip>
                    <a:srcRect/>
                    <a:stretch>
                      <a:fillRect/>
                    </a:stretch>
                  </pic:blipFill>
                  <pic:spPr bwMode="auto">
                    <a:xfrm>
                      <a:off x="0" y="0"/>
                      <a:ext cx="5943600" cy="2457450"/>
                    </a:xfrm>
                    <a:prstGeom prst="rect">
                      <a:avLst/>
                    </a:prstGeom>
                    <a:noFill/>
                    <a:ln>
                      <a:noFill/>
                    </a:ln>
                  </pic:spPr>
                </pic:pic>
              </a:graphicData>
            </a:graphic>
          </wp:inline>
        </w:drawing>
      </w:r>
    </w:p>
    <w:p w14:paraId="4F5870E6" w14:textId="77777777" w:rsidR="00DD5865" w:rsidRDefault="00DD5865" w:rsidP="00DD5865">
      <w:r>
        <w:t xml:space="preserve">Figure 10.23 A comparison of fatigue life curves for LPBF processed and forged IN 718 alloy specimens: (a) strain vs. number of cycles, (b) stress vs. number of cycles. It is </w:t>
      </w:r>
      <w:r>
        <w:lastRenderedPageBreak/>
        <w:t xml:space="preserve">known that defects in LPBF processed parts result in inferior fatigue performance and deteriorate the fatigue crack growth behavior in comparison to parts produced by traditional methods </w:t>
      </w:r>
      <w:r>
        <w:fldChar w:fldCharType="begin"/>
      </w:r>
      <w:r>
        <w:instrText xml:space="preserve"> ADDIN ZOTERO_ITEM CSL_CITATION {"citationID":"P7Js7oZA","properties":{"formattedCitation":"(Pei, Zeng, and Yuan 2020)","plainCitation":"(Pei, Zeng, and Yuan 2020)","noteIndex":0},"citationItems":[{"id":310,"uris":["http://zotero.org/users/9870952/items/R62HPCF4"],"itemData":{"id":310,"type":"article-journal","container-title":"International Journal of Fatigue","note":"publisher: Elsevier","page":"105279","source":"Google Scholar","title":"A damage evolution model based on micro-structural characteristics for an additive manufactured superalloy under monotonic and cyclic loading conditions","volume":"131","author":[{"family":"Pei","given":"Changhao"},{"family":"Zeng","given":"Wu"},{"family":"Yuan","given":"Huang"}],"issued":{"date-parts":[["2020"]]}}}],"schema":"https://github.com/citation-style-language/schema/raw/master/csl-citation.json"} </w:instrText>
      </w:r>
      <w:r>
        <w:fldChar w:fldCharType="separate"/>
      </w:r>
      <w:r w:rsidRPr="00826A79">
        <w:rPr>
          <w:rFonts w:cs="Calibri"/>
        </w:rPr>
        <w:t>(Pei, Zeng, and Yuan 2020)</w:t>
      </w:r>
      <w:r>
        <w:fldChar w:fldCharType="end"/>
      </w:r>
      <w:r>
        <w:t>.</w:t>
      </w:r>
    </w:p>
    <w:p w14:paraId="14E3757D" w14:textId="77777777" w:rsidR="00A42D54" w:rsidRDefault="00A42D54" w:rsidP="00DD5865"/>
    <w:p w14:paraId="0EF00B5D" w14:textId="77777777" w:rsidR="00DD5865" w:rsidRDefault="00DD5865" w:rsidP="00DD5865">
      <w:r w:rsidRPr="0032437B">
        <w:rPr>
          <w:noProof/>
        </w:rPr>
        <w:drawing>
          <wp:anchor distT="0" distB="0" distL="114300" distR="114300" simplePos="0" relativeHeight="251673600" behindDoc="0" locked="0" layoutInCell="1" allowOverlap="1" wp14:anchorId="37E15285" wp14:editId="5A277CA6">
            <wp:simplePos x="0" y="0"/>
            <wp:positionH relativeFrom="column">
              <wp:posOffset>3286125</wp:posOffset>
            </wp:positionH>
            <wp:positionV relativeFrom="paragraph">
              <wp:posOffset>0</wp:posOffset>
            </wp:positionV>
            <wp:extent cx="2990088" cy="2130552"/>
            <wp:effectExtent l="0" t="0" r="1270" b="3175"/>
            <wp:wrapSquare wrapText="bothSides"/>
            <wp:docPr id="2104467593" name="Picture 2104467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12" cstate="print">
                      <a:extLst>
                        <a:ext uri="{28A0092B-C50C-407E-A947-70E740481C1C}">
                          <a14:useLocalDpi xmlns:a14="http://schemas.microsoft.com/office/drawing/2010/main" val="0"/>
                        </a:ext>
                      </a:extLst>
                    </a:blip>
                    <a:srcRect/>
                    <a:stretch>
                      <a:fillRect/>
                    </a:stretch>
                  </pic:blipFill>
                  <pic:spPr bwMode="auto">
                    <a:xfrm>
                      <a:off x="0" y="0"/>
                      <a:ext cx="2990088" cy="2130552"/>
                    </a:xfrm>
                    <a:prstGeom prst="rect">
                      <a:avLst/>
                    </a:prstGeom>
                    <a:noFill/>
                    <a:ln>
                      <a:noFill/>
                    </a:ln>
                  </pic:spPr>
                </pic:pic>
              </a:graphicData>
            </a:graphic>
            <wp14:sizeRelH relativeFrom="page">
              <wp14:pctWidth>0</wp14:pctWidth>
            </wp14:sizeRelH>
            <wp14:sizeRelV relativeFrom="page">
              <wp14:pctHeight>0</wp14:pctHeight>
            </wp14:sizeRelV>
          </wp:anchor>
        </w:drawing>
      </w:r>
      <w:r w:rsidRPr="0032437B">
        <w:rPr>
          <w:noProof/>
        </w:rPr>
        <w:drawing>
          <wp:anchor distT="0" distB="0" distL="114300" distR="114300" simplePos="0" relativeHeight="251672576" behindDoc="0" locked="0" layoutInCell="1" allowOverlap="1" wp14:anchorId="37E5DF52" wp14:editId="08B51FAA">
            <wp:simplePos x="0" y="0"/>
            <wp:positionH relativeFrom="column">
              <wp:posOffset>0</wp:posOffset>
            </wp:positionH>
            <wp:positionV relativeFrom="paragraph">
              <wp:posOffset>0</wp:posOffset>
            </wp:positionV>
            <wp:extent cx="2999232" cy="2130552"/>
            <wp:effectExtent l="0" t="0" r="0" b="3175"/>
            <wp:wrapSquare wrapText="bothSides"/>
            <wp:docPr id="2104467592" name="Picture 2104467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13" cstate="print">
                      <a:extLst>
                        <a:ext uri="{28A0092B-C50C-407E-A947-70E740481C1C}">
                          <a14:useLocalDpi xmlns:a14="http://schemas.microsoft.com/office/drawing/2010/main" val="0"/>
                        </a:ext>
                      </a:extLst>
                    </a:blip>
                    <a:srcRect/>
                    <a:stretch>
                      <a:fillRect/>
                    </a:stretch>
                  </pic:blipFill>
                  <pic:spPr bwMode="auto">
                    <a:xfrm>
                      <a:off x="0" y="0"/>
                      <a:ext cx="2999232" cy="213055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9F0A02A" w14:textId="77777777" w:rsidR="00DD5865" w:rsidRDefault="00DD5865" w:rsidP="00DD5865">
      <w:r>
        <w:t xml:space="preserve">Figure 10.24 (a) Mechanical properties for tensile </w:t>
      </w:r>
      <w:r w:rsidRPr="009953F3">
        <w:t xml:space="preserve">AlSi10Mg </w:t>
      </w:r>
      <w:r>
        <w:t xml:space="preserve">specimens built with laser power of 240 W, scan speed of 500 mm/s and (b) Mechanical properties for tensile specimens built with laser power of 960 W, scan speed &gt;1000 mm/s </w:t>
      </w:r>
      <w:r>
        <w:fldChar w:fldCharType="begin"/>
      </w:r>
      <w:r>
        <w:instrText xml:space="preserve"> ADDIN ZOTERO_ITEM CSL_CITATION {"citationID":"P9yhmBGp","properties":{"formattedCitation":"(Buchbinder et al. 2015)","plainCitation":"(Buchbinder et al. 2015)","noteIndex":0},"citationItems":[{"id":312,"uris":["http://zotero.org/users/9870952/items/FSNYRPAB"],"itemData":{"id":312,"type":"article-journal","container-title":"Journal of Laser Applications","issue":"S2","note":"publisher: AIP Publishing","source":"Google Scholar","title":"Selective laser melting of aluminum die-cast alloy—Correlations between process parameters, solidification conditions, and resulting mechanical properties","URL":"https://pubs.aip.org/lia/jla/article/27/S2/S29205/313998","volume":"27","author":[{"family":"Buchbinder","given":"D."},{"family":"Meiners","given":"W."},{"family":"Wissenbach","given":"K."},{"family":"Poprawe","given":"R."}],"accessed":{"date-parts":[["2024",4,12]]},"issued":{"date-parts":[["2015"]]}}}],"schema":"https://github.com/citation-style-language/schema/raw/master/csl-citation.json"} </w:instrText>
      </w:r>
      <w:r>
        <w:fldChar w:fldCharType="separate"/>
      </w:r>
      <w:r w:rsidRPr="00826A79">
        <w:rPr>
          <w:rFonts w:cs="Calibri"/>
        </w:rPr>
        <w:t>(Buchbinder et al. 2015)</w:t>
      </w:r>
      <w:r>
        <w:fldChar w:fldCharType="end"/>
      </w:r>
      <w:r>
        <w:t>.</w:t>
      </w:r>
    </w:p>
    <w:p w14:paraId="0F3D39A3" w14:textId="77777777" w:rsidR="00DD5865" w:rsidRDefault="00DD5865" w:rsidP="00DD5865"/>
    <w:p w14:paraId="3AD8D58B" w14:textId="77777777" w:rsidR="00DD5865" w:rsidRDefault="00DD5865" w:rsidP="00DD5865">
      <w:r w:rsidRPr="004572A5">
        <w:rPr>
          <w:noProof/>
        </w:rPr>
        <w:drawing>
          <wp:inline distT="0" distB="0" distL="0" distR="0" wp14:anchorId="278C6C30" wp14:editId="511F4674">
            <wp:extent cx="5943600" cy="4069080"/>
            <wp:effectExtent l="0" t="0" r="0" b="7620"/>
            <wp:docPr id="2104467610" name="Picture 2104467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14" cstate="print">
                      <a:extLst>
                        <a:ext uri="{28A0092B-C50C-407E-A947-70E740481C1C}">
                          <a14:useLocalDpi xmlns:a14="http://schemas.microsoft.com/office/drawing/2010/main" val="0"/>
                        </a:ext>
                      </a:extLst>
                    </a:blip>
                    <a:srcRect/>
                    <a:stretch>
                      <a:fillRect/>
                    </a:stretch>
                  </pic:blipFill>
                  <pic:spPr bwMode="auto">
                    <a:xfrm>
                      <a:off x="0" y="0"/>
                      <a:ext cx="5943600" cy="4069080"/>
                    </a:xfrm>
                    <a:prstGeom prst="rect">
                      <a:avLst/>
                    </a:prstGeom>
                    <a:noFill/>
                    <a:ln>
                      <a:noFill/>
                    </a:ln>
                  </pic:spPr>
                </pic:pic>
              </a:graphicData>
            </a:graphic>
          </wp:inline>
        </w:drawing>
      </w:r>
    </w:p>
    <w:p w14:paraId="70E186DF" w14:textId="77777777" w:rsidR="00A42D54" w:rsidRDefault="00A42D54" w:rsidP="00DD5865"/>
    <w:p w14:paraId="2B84F93C" w14:textId="38500521" w:rsidR="00DD5865" w:rsidRDefault="00DD5865" w:rsidP="00DD5865">
      <w:r>
        <w:lastRenderedPageBreak/>
        <w:t xml:space="preserve">Figure 10.25 Engineering stress/strain curves for wrought 316L compared with as built 316L fabricated on an EOS280 using factory default settings. The tensile sample was built directly and tested without any machining or surface treatments. The gauge length was 20 mm, and width and thickness 5 mm each </w:t>
      </w:r>
      <w:r>
        <w:fldChar w:fldCharType="begin"/>
      </w:r>
      <w:r>
        <w:instrText xml:space="preserve"> ADDIN ZOTERO_ITEM CSL_CITATION {"citationID":"qBv6bUZT","properties":{"formattedCitation":"(Gorsse et al. 2017)","plainCitation":"(Gorsse et al. 2017)","noteIndex":0},"citationItems":[{"id":324,"uris":["http://zotero.org/users/9870952/items/NYCH8H9P"],"itemData":{"id":324,"type":"article-journal","container-title":"Science and Technology of Advanced Materials","DOI":"10.1080/14686996.2017.1361305","ISSN":"1468-6996, 1878-5514","issue":"1","journalAbbreviation":"Science and Technology of Advanced Materials","language":"en","page":"584-610","source":"DOI.org (Crossref)","title":"Additive manufacturing of metals: a brief review of the characteristic microstructures and properties of steels, Ti-6Al-4V and high-entropy alloys","title-short":"Additive manufacturing of metals","volume":"18","author":[{"family":"Gorsse","given":"Stéphane"},{"family":"Hutchinson","given":"Christopher"},{"family":"Gouné","given":"Mohamed"},{"family":"Banerjee","given":"Rajarshi"}],"issued":{"date-parts":[["2017",12,31]]}}}],"schema":"https://github.com/citation-style-language/schema/raw/master/csl-citation.json"} </w:instrText>
      </w:r>
      <w:r>
        <w:fldChar w:fldCharType="separate"/>
      </w:r>
      <w:r w:rsidRPr="00826A79">
        <w:rPr>
          <w:rFonts w:cs="Calibri"/>
        </w:rPr>
        <w:t>(Gorsse et al. 2017)</w:t>
      </w:r>
      <w:r>
        <w:fldChar w:fldCharType="end"/>
      </w:r>
      <w:r>
        <w:t>.</w:t>
      </w:r>
    </w:p>
    <w:p w14:paraId="42846D89" w14:textId="275A2E11" w:rsidR="00DD5865" w:rsidRDefault="00DD5865">
      <w:pPr>
        <w:rPr>
          <w:spacing w:val="-3"/>
        </w:rPr>
      </w:pPr>
      <w:r>
        <w:rPr>
          <w:spacing w:val="-3"/>
        </w:rPr>
        <w:br w:type="page"/>
      </w:r>
    </w:p>
    <w:p w14:paraId="46D06C03" w14:textId="699C5FDA" w:rsidR="003753B9" w:rsidRDefault="003753B9" w:rsidP="003753B9">
      <w:pPr>
        <w:suppressAutoHyphens/>
        <w:spacing w:line="240" w:lineRule="atLeast"/>
        <w:rPr>
          <w:b/>
          <w:bCs/>
          <w:i/>
          <w:iCs/>
          <w:sz w:val="28"/>
          <w:szCs w:val="28"/>
        </w:rPr>
      </w:pPr>
      <w:r>
        <w:rPr>
          <w:b/>
          <w:bCs/>
          <w:i/>
          <w:iCs/>
          <w:sz w:val="28"/>
          <w:szCs w:val="28"/>
        </w:rPr>
        <w:lastRenderedPageBreak/>
        <w:t>Figure</w:t>
      </w:r>
      <w:r w:rsidR="00F26DEE">
        <w:rPr>
          <w:b/>
          <w:bCs/>
          <w:i/>
          <w:iCs/>
          <w:sz w:val="28"/>
          <w:szCs w:val="28"/>
        </w:rPr>
        <w:t xml:space="preserve"> Captions</w:t>
      </w:r>
      <w:r>
        <w:rPr>
          <w:b/>
          <w:bCs/>
          <w:i/>
          <w:iCs/>
          <w:sz w:val="28"/>
          <w:szCs w:val="28"/>
        </w:rPr>
        <w:t xml:space="preserve"> </w:t>
      </w:r>
    </w:p>
    <w:p w14:paraId="44CC8BB4" w14:textId="77777777" w:rsidR="0059051C" w:rsidRDefault="0059051C" w:rsidP="003753B9">
      <w:pPr>
        <w:suppressAutoHyphens/>
        <w:spacing w:line="240" w:lineRule="atLeast"/>
        <w:rPr>
          <w:b/>
          <w:bCs/>
          <w:i/>
          <w:iCs/>
          <w:spacing w:val="-3"/>
        </w:rPr>
      </w:pPr>
    </w:p>
    <w:p w14:paraId="76185659" w14:textId="77777777" w:rsidR="003753B9" w:rsidRDefault="003753B9" w:rsidP="000261B0">
      <w:pPr>
        <w:suppressAutoHyphens/>
        <w:spacing w:line="240" w:lineRule="atLeast"/>
        <w:jc w:val="center"/>
        <w:rPr>
          <w:spacing w:val="-3"/>
        </w:rPr>
      </w:pPr>
    </w:p>
    <w:p w14:paraId="1EB58BFF" w14:textId="77777777" w:rsidR="003753B9" w:rsidRPr="00C1702E" w:rsidRDefault="003753B9" w:rsidP="003753B9">
      <w:pPr>
        <w:tabs>
          <w:tab w:val="left" w:pos="-720"/>
          <w:tab w:val="left" w:pos="0"/>
          <w:tab w:val="left" w:pos="737"/>
        </w:tabs>
        <w:suppressAutoHyphens/>
        <w:spacing w:line="240" w:lineRule="atLeast"/>
        <w:ind w:left="1440" w:hanging="1440"/>
        <w:rPr>
          <w:spacing w:val="-3"/>
        </w:rPr>
      </w:pPr>
      <w:r w:rsidRPr="00C1702E">
        <w:rPr>
          <w:spacing w:val="-3"/>
        </w:rPr>
        <w:t>Figure 2.1</w:t>
      </w:r>
      <w:r>
        <w:rPr>
          <w:spacing w:val="-3"/>
        </w:rPr>
        <w:tab/>
      </w:r>
      <w:r w:rsidRPr="00C1702E">
        <w:rPr>
          <w:spacing w:val="-3"/>
        </w:rPr>
        <w:t>Two-dimensional illustration of the unit volume of material associated with a FEM (finite element model) node point (center black dot). The FEM mesh is shown as thin black lines, and the boundaries of the volumes associated with each node are represented by grey lines.</w:t>
      </w:r>
    </w:p>
    <w:p w14:paraId="35C86C43" w14:textId="77777777" w:rsidR="003753B9" w:rsidRPr="00C1702E" w:rsidRDefault="003753B9" w:rsidP="000261B0">
      <w:pPr>
        <w:tabs>
          <w:tab w:val="left" w:pos="-720"/>
          <w:tab w:val="left" w:pos="0"/>
          <w:tab w:val="left" w:pos="737"/>
        </w:tabs>
        <w:suppressAutoHyphens/>
        <w:spacing w:line="240" w:lineRule="atLeast"/>
        <w:ind w:left="1440" w:hanging="1440"/>
        <w:jc w:val="center"/>
        <w:rPr>
          <w:spacing w:val="-3"/>
        </w:rPr>
      </w:pPr>
    </w:p>
    <w:p w14:paraId="64EE09C6" w14:textId="77777777" w:rsidR="003753B9" w:rsidRDefault="003753B9" w:rsidP="003753B9">
      <w:pPr>
        <w:tabs>
          <w:tab w:val="left" w:pos="-720"/>
          <w:tab w:val="left" w:pos="0"/>
          <w:tab w:val="left" w:pos="720"/>
        </w:tabs>
        <w:suppressAutoHyphens/>
        <w:spacing w:line="240" w:lineRule="atLeast"/>
        <w:ind w:left="1440" w:hanging="1440"/>
        <w:rPr>
          <w:spacing w:val="-3"/>
        </w:rPr>
      </w:pPr>
      <w:r w:rsidRPr="00C1702E">
        <w:rPr>
          <w:spacing w:val="-3"/>
        </w:rPr>
        <w:t>Figure 2.2</w:t>
      </w:r>
      <w:r>
        <w:rPr>
          <w:spacing w:val="-3"/>
        </w:rPr>
        <w:tab/>
      </w:r>
      <w:r w:rsidR="00907650">
        <w:rPr>
          <w:spacing w:val="-3"/>
        </w:rPr>
        <w:t xml:space="preserve">Schematic illustration of the averaging volume (e.g., RVE or representative volume element) containing (a) columnar dendritic crystals and (b) equiaxed dendritic crystals. </w:t>
      </w:r>
    </w:p>
    <w:p w14:paraId="1AF9DD0E" w14:textId="77777777" w:rsidR="00647046" w:rsidRDefault="00647046" w:rsidP="000261B0">
      <w:pPr>
        <w:tabs>
          <w:tab w:val="left" w:pos="-720"/>
          <w:tab w:val="left" w:pos="0"/>
          <w:tab w:val="left" w:pos="720"/>
        </w:tabs>
        <w:suppressAutoHyphens/>
        <w:spacing w:line="240" w:lineRule="atLeast"/>
        <w:ind w:left="1440" w:hanging="1440"/>
        <w:jc w:val="center"/>
        <w:rPr>
          <w:spacing w:val="-3"/>
        </w:rPr>
      </w:pPr>
    </w:p>
    <w:p w14:paraId="7EA219AE" w14:textId="77777777" w:rsidR="003753B9" w:rsidRDefault="003753B9" w:rsidP="003753B9">
      <w:pPr>
        <w:tabs>
          <w:tab w:val="left" w:pos="-720"/>
          <w:tab w:val="left" w:pos="0"/>
          <w:tab w:val="left" w:pos="720"/>
        </w:tabs>
        <w:suppressAutoHyphens/>
        <w:spacing w:line="240" w:lineRule="atLeast"/>
        <w:ind w:left="1440" w:hanging="1440"/>
        <w:rPr>
          <w:spacing w:val="-3"/>
        </w:rPr>
      </w:pPr>
      <w:r>
        <w:rPr>
          <w:spacing w:val="-3"/>
        </w:rPr>
        <w:t xml:space="preserve">Figure 2.3  </w:t>
      </w:r>
      <w:r>
        <w:rPr>
          <w:spacing w:val="-3"/>
        </w:rPr>
        <w:tab/>
        <w:t xml:space="preserve">Nature of the thermal contact between the metal and the mold and equivalent Newtonian model of the metal-mold interface. (a) The complex nature of the contact and different types of heat transfer occurring at the interface are shown schematically. At point A good local contact assures a higher heat conduction. As a consequence, </w:t>
      </w:r>
      <w:r>
        <w:rPr>
          <w:i/>
          <w:iCs/>
          <w:spacing w:val="-3"/>
        </w:rPr>
        <w:t>h</w:t>
      </w:r>
      <w:r>
        <w:rPr>
          <w:spacing w:val="-3"/>
          <w:vertAlign w:val="subscript"/>
        </w:rPr>
        <w:t>i</w:t>
      </w:r>
      <w:r>
        <w:rPr>
          <w:spacing w:val="-3"/>
        </w:rPr>
        <w:t xml:space="preserve"> will locally be higher than at the rest of the metal-mold interface. (b) The equivalent Newtonian model is based on an effective value of the gap, </w:t>
      </w:r>
      <w:r w:rsidRPr="00692568">
        <w:rPr>
          <w:spacing w:val="-3"/>
          <w:position w:val="-6"/>
        </w:rPr>
        <w:object w:dxaOrig="180" w:dyaOrig="220" w14:anchorId="0B9FD5DC">
          <v:shape id="_x0000_i1737" type="#_x0000_t75" style="width:7.5pt;height:14.05pt" o:ole="">
            <v:imagedata r:id="rId1374" o:title=""/>
          </v:shape>
          <o:OLEObject Type="Embed" ProgID="Equation.DSMT4" ShapeID="_x0000_i1737" DrawAspect="Content" ObjectID="_1840627303" r:id="rId1515"/>
        </w:object>
      </w:r>
      <w:r>
        <w:rPr>
          <w:spacing w:val="-3"/>
        </w:rPr>
        <w:t xml:space="preserve">, to yield an average value of </w:t>
      </w:r>
      <w:r w:rsidRPr="00F84448">
        <w:rPr>
          <w:i/>
          <w:spacing w:val="-3"/>
        </w:rPr>
        <w:t>h</w:t>
      </w:r>
      <w:r w:rsidRPr="00F84448">
        <w:rPr>
          <w:i/>
          <w:spacing w:val="-3"/>
          <w:vertAlign w:val="subscript"/>
        </w:rPr>
        <w:t>i</w:t>
      </w:r>
      <w:r>
        <w:rPr>
          <w:spacing w:val="-3"/>
        </w:rPr>
        <w:t xml:space="preserve">. </w:t>
      </w:r>
    </w:p>
    <w:p w14:paraId="2BC01FDF" w14:textId="77777777" w:rsidR="00647046" w:rsidRDefault="00647046" w:rsidP="000261B0">
      <w:pPr>
        <w:tabs>
          <w:tab w:val="left" w:pos="-720"/>
          <w:tab w:val="left" w:pos="0"/>
          <w:tab w:val="left" w:pos="720"/>
        </w:tabs>
        <w:suppressAutoHyphens/>
        <w:spacing w:line="240" w:lineRule="atLeast"/>
        <w:ind w:left="1440" w:hanging="1440"/>
        <w:jc w:val="center"/>
        <w:rPr>
          <w:spacing w:val="-3"/>
        </w:rPr>
      </w:pPr>
    </w:p>
    <w:p w14:paraId="04938B00" w14:textId="77777777" w:rsidR="003753B9" w:rsidRDefault="003753B9" w:rsidP="003753B9">
      <w:pPr>
        <w:tabs>
          <w:tab w:val="left" w:pos="-720"/>
          <w:tab w:val="left" w:pos="0"/>
          <w:tab w:val="left" w:pos="720"/>
        </w:tabs>
        <w:suppressAutoHyphens/>
        <w:spacing w:line="240" w:lineRule="atLeast"/>
        <w:ind w:left="1440" w:hanging="1440"/>
        <w:rPr>
          <w:spacing w:val="-3"/>
        </w:rPr>
      </w:pPr>
      <w:r>
        <w:t xml:space="preserve">Figure 2.4  </w:t>
      </w:r>
      <w:r>
        <w:tab/>
        <w:t>Temperature vs. distance plot during metal solidification in a cooled mold for the real system (solid line) and for the virtual system (dashed line) used in the approximate heat flow calculation (</w:t>
      </w:r>
      <w:r w:rsidRPr="003A58C4">
        <w:t>CLYNE and GARCIA 1980</w:t>
      </w:r>
      <w:r>
        <w:t>).</w:t>
      </w:r>
    </w:p>
    <w:p w14:paraId="2B484270" w14:textId="77777777" w:rsidR="003753B9" w:rsidRDefault="003753B9" w:rsidP="000261B0">
      <w:pPr>
        <w:tabs>
          <w:tab w:val="left" w:pos="-720"/>
        </w:tabs>
        <w:suppressAutoHyphens/>
        <w:spacing w:line="240" w:lineRule="atLeast"/>
        <w:jc w:val="center"/>
        <w:rPr>
          <w:spacing w:val="-3"/>
        </w:rPr>
      </w:pPr>
    </w:p>
    <w:p w14:paraId="0E298873" w14:textId="77777777" w:rsidR="003753B9" w:rsidRDefault="003753B9" w:rsidP="003753B9">
      <w:pPr>
        <w:tabs>
          <w:tab w:val="left" w:pos="-720"/>
          <w:tab w:val="left" w:pos="0"/>
          <w:tab w:val="left" w:pos="720"/>
        </w:tabs>
        <w:suppressAutoHyphens/>
        <w:spacing w:line="240" w:lineRule="atLeast"/>
        <w:ind w:left="1440" w:hanging="1440"/>
        <w:rPr>
          <w:spacing w:val="-3"/>
        </w:rPr>
      </w:pPr>
      <w:r>
        <w:rPr>
          <w:spacing w:val="-3"/>
        </w:rPr>
        <w:t xml:space="preserve">Figure 2.5   </w:t>
      </w:r>
      <w:r>
        <w:rPr>
          <w:spacing w:val="-3"/>
        </w:rPr>
        <w:tab/>
        <w:t xml:space="preserve">Calculated temperature-time histories for two positions within a liquid layer 5 and 50 μm from a chilling substrate. Nucleation occurs at the substrate surface at time, </w:t>
      </w:r>
      <w:r>
        <w:rPr>
          <w:i/>
          <w:iCs/>
          <w:spacing w:val="-3"/>
        </w:rPr>
        <w:t>t</w:t>
      </w:r>
      <w:r>
        <w:rPr>
          <w:spacing w:val="-3"/>
          <w:vertAlign w:val="subscript"/>
        </w:rPr>
        <w:t>N</w:t>
      </w:r>
      <w:r>
        <w:rPr>
          <w:spacing w:val="-3"/>
        </w:rPr>
        <w:t>, at an undercooling of ~0.4</w:t>
      </w:r>
      <w:r>
        <w:rPr>
          <w:i/>
          <w:iCs/>
          <w:spacing w:val="-3"/>
        </w:rPr>
        <w:t>L/C</w:t>
      </w:r>
      <w:r>
        <w:rPr>
          <w:spacing w:val="-3"/>
          <w:vertAlign w:val="subscript"/>
        </w:rPr>
        <w:t>p</w:t>
      </w:r>
      <w:r>
        <w:rPr>
          <w:spacing w:val="-3"/>
          <w:vertAlign w:val="superscript"/>
        </w:rPr>
        <w:t>L</w:t>
      </w:r>
      <w:r>
        <w:rPr>
          <w:spacing w:val="-3"/>
        </w:rPr>
        <w:t>. The recalescence after the passing of the liquid-solid interface is evident at both positions. CLYNE [1984].</w:t>
      </w:r>
    </w:p>
    <w:p w14:paraId="6A645B5F" w14:textId="77777777" w:rsidR="003753B9" w:rsidRDefault="003753B9" w:rsidP="000261B0">
      <w:pPr>
        <w:tabs>
          <w:tab w:val="left" w:pos="-720"/>
        </w:tabs>
        <w:suppressAutoHyphens/>
        <w:spacing w:line="240" w:lineRule="atLeast"/>
        <w:jc w:val="center"/>
        <w:rPr>
          <w:spacing w:val="-3"/>
        </w:rPr>
      </w:pPr>
    </w:p>
    <w:p w14:paraId="2712432D" w14:textId="77777777" w:rsidR="003753B9" w:rsidRDefault="003753B9" w:rsidP="003753B9">
      <w:pPr>
        <w:tabs>
          <w:tab w:val="left" w:pos="-720"/>
          <w:tab w:val="left" w:pos="0"/>
          <w:tab w:val="left" w:pos="720"/>
        </w:tabs>
        <w:suppressAutoHyphens/>
        <w:spacing w:line="240" w:lineRule="atLeast"/>
        <w:ind w:left="1440" w:hanging="1440"/>
        <w:rPr>
          <w:spacing w:val="-3"/>
        </w:rPr>
      </w:pPr>
      <w:r>
        <w:rPr>
          <w:spacing w:val="-3"/>
        </w:rPr>
        <w:t xml:space="preserve">Figure 2.6  </w:t>
      </w:r>
      <w:r>
        <w:rPr>
          <w:spacing w:val="-3"/>
        </w:rPr>
        <w:tab/>
        <w:t xml:space="preserve">Calculated interface temperature (LEVI and MEHRABIAN [1982]) for the solidification of a powder particle initially undercooled by 1/2 </w:t>
      </w:r>
      <w:r>
        <w:rPr>
          <w:i/>
          <w:iCs/>
          <w:spacing w:val="-3"/>
        </w:rPr>
        <w:t>L/C</w:t>
      </w:r>
      <w:r>
        <w:rPr>
          <w:spacing w:val="-3"/>
          <w:vertAlign w:val="subscript"/>
        </w:rPr>
        <w:t>p</w:t>
      </w:r>
      <w:r>
        <w:rPr>
          <w:spacing w:val="-3"/>
          <w:vertAlign w:val="superscript"/>
        </w:rPr>
        <w:t>L</w:t>
      </w:r>
      <w:r>
        <w:rPr>
          <w:spacing w:val="-3"/>
        </w:rPr>
        <w:t xml:space="preserve">. The temperature rises and the velocity falls as growth proceeds from the point of nucleation on the powder surface across the powder particle. The effect of various values of the heat transfer coefficient </w:t>
      </w:r>
      <w:r>
        <w:rPr>
          <w:i/>
          <w:iCs/>
          <w:spacing w:val="-3"/>
        </w:rPr>
        <w:t>h</w:t>
      </w:r>
      <w:r>
        <w:rPr>
          <w:spacing w:val="-3"/>
          <w:vertAlign w:val="subscript"/>
        </w:rPr>
        <w:t>i</w:t>
      </w:r>
      <w:r>
        <w:rPr>
          <w:spacing w:val="-3"/>
        </w:rPr>
        <w:t xml:space="preserve"> is also shown. The velocity scale on the right was added by BOETTINGER and PEREPEZKO [1985].</w:t>
      </w:r>
    </w:p>
    <w:p w14:paraId="02A7CBE6" w14:textId="77777777" w:rsidR="003753B9" w:rsidRDefault="003753B9" w:rsidP="000261B0">
      <w:pPr>
        <w:tabs>
          <w:tab w:val="left" w:pos="-720"/>
          <w:tab w:val="left" w:pos="0"/>
          <w:tab w:val="left" w:pos="720"/>
        </w:tabs>
        <w:suppressAutoHyphens/>
        <w:spacing w:line="240" w:lineRule="atLeast"/>
        <w:ind w:left="1440" w:hanging="1440"/>
        <w:jc w:val="center"/>
        <w:rPr>
          <w:spacing w:val="-3"/>
        </w:rPr>
      </w:pPr>
    </w:p>
    <w:p w14:paraId="7A45F305" w14:textId="77777777" w:rsidR="003753B9" w:rsidRDefault="003753B9" w:rsidP="003753B9">
      <w:pPr>
        <w:ind w:left="1440" w:hanging="1440"/>
      </w:pPr>
      <w:r>
        <w:t xml:space="preserve">Figure  2.7. </w:t>
      </w:r>
      <w:r>
        <w:tab/>
        <w:t xml:space="preserve">(a) </w:t>
      </w:r>
      <w:r w:rsidRPr="00E87E02">
        <w:t>A shaded finite element model of an improved design of a casting for an alumi</w:t>
      </w:r>
      <w:r>
        <w:t>num transfer case housing; (b) e</w:t>
      </w:r>
      <w:r w:rsidRPr="00E87E02">
        <w:t>arly trial casting with serious mis-runs and other defects. (</w:t>
      </w:r>
      <w:r w:rsidR="003B351E">
        <w:t xml:space="preserve">Courtesy </w:t>
      </w:r>
      <w:r w:rsidRPr="00E87E02">
        <w:t>Mahaney</w:t>
      </w:r>
      <w:r>
        <w:t xml:space="preserve"> </w:t>
      </w:r>
      <w:r w:rsidRPr="00E87E02">
        <w:t>and Kim</w:t>
      </w:r>
      <w:r w:rsidR="003B351E">
        <w:t>, EKK Inc.</w:t>
      </w:r>
      <w:r>
        <w:t>)</w:t>
      </w:r>
      <w:r w:rsidRPr="00E87E02">
        <w:t>.</w:t>
      </w:r>
    </w:p>
    <w:p w14:paraId="6888F70F" w14:textId="77777777" w:rsidR="003753B9" w:rsidRPr="00E87E02" w:rsidRDefault="003753B9" w:rsidP="000261B0">
      <w:pPr>
        <w:jc w:val="center"/>
      </w:pPr>
    </w:p>
    <w:p w14:paraId="697AEF1C" w14:textId="77777777" w:rsidR="003753B9" w:rsidRDefault="003753B9" w:rsidP="003753B9">
      <w:pPr>
        <w:ind w:left="1440" w:hanging="1440"/>
        <w:rPr>
          <w:spacing w:val="-3"/>
        </w:rPr>
      </w:pPr>
      <w:r>
        <w:rPr>
          <w:spacing w:val="-3"/>
        </w:rPr>
        <w:t xml:space="preserve">Figure 2.8 </w:t>
      </w:r>
      <w:r>
        <w:rPr>
          <w:spacing w:val="-3"/>
        </w:rPr>
        <w:tab/>
      </w:r>
      <w:r w:rsidRPr="00D41D01">
        <w:rPr>
          <w:spacing w:val="-3"/>
        </w:rPr>
        <w:t>A map of final eutectic grain size (austenite) of a ductile iron casting computed using macro-microscopic modeling approach in ProCAST 3.0 (</w:t>
      </w:r>
      <w:r>
        <w:rPr>
          <w:spacing w:val="-3"/>
        </w:rPr>
        <w:t>Source</w:t>
      </w:r>
      <w:r w:rsidRPr="00D41D01">
        <w:rPr>
          <w:spacing w:val="-3"/>
        </w:rPr>
        <w:t>: UES Software, Inc., Dayton, OH – Current owner: ESI North America, , Columbia, MD, USA).</w:t>
      </w:r>
    </w:p>
    <w:p w14:paraId="2C33FE42" w14:textId="77777777" w:rsidR="003753B9" w:rsidRDefault="00647046" w:rsidP="00F26DEE">
      <w:pPr>
        <w:tabs>
          <w:tab w:val="left" w:pos="-720"/>
        </w:tabs>
        <w:suppressAutoHyphens/>
        <w:spacing w:line="240" w:lineRule="atLeast"/>
        <w:rPr>
          <w:spacing w:val="-3"/>
        </w:rPr>
      </w:pPr>
      <w:r>
        <w:rPr>
          <w:b/>
          <w:bCs/>
          <w:i/>
          <w:iCs/>
          <w:spacing w:val="-3"/>
        </w:rPr>
        <w:lastRenderedPageBreak/>
        <w:br w:type="page"/>
      </w:r>
    </w:p>
    <w:p w14:paraId="61ADF1D5" w14:textId="77777777" w:rsidR="003753B9" w:rsidRDefault="003753B9" w:rsidP="003753B9">
      <w:pPr>
        <w:tabs>
          <w:tab w:val="left" w:pos="-720"/>
          <w:tab w:val="left" w:pos="0"/>
          <w:tab w:val="left" w:pos="720"/>
        </w:tabs>
        <w:suppressAutoHyphens/>
        <w:spacing w:line="240" w:lineRule="atLeast"/>
        <w:ind w:left="1440" w:hanging="1440"/>
        <w:rPr>
          <w:spacing w:val="-3"/>
        </w:rPr>
      </w:pPr>
      <w:r>
        <w:rPr>
          <w:spacing w:val="-3"/>
        </w:rPr>
        <w:lastRenderedPageBreak/>
        <w:t xml:space="preserve">Figure 3.1 </w:t>
      </w:r>
      <w:r>
        <w:rPr>
          <w:spacing w:val="-3"/>
        </w:rPr>
        <w:tab/>
        <w:t xml:space="preserve">Calculated Al-rich portion of the stable Al-Fe phase diagram is shown by solid lines. The </w:t>
      </w:r>
      <w:r>
        <w:rPr>
          <w:i/>
          <w:iCs/>
          <w:spacing w:val="-3"/>
        </w:rPr>
        <w:t>T</w:t>
      </w:r>
      <w:r>
        <w:rPr>
          <w:spacing w:val="-3"/>
          <w:vertAlign w:val="subscript"/>
        </w:rPr>
        <w:t>0</w:t>
      </w:r>
      <w:r>
        <w:rPr>
          <w:spacing w:val="-3"/>
        </w:rPr>
        <w:t xml:space="preserve"> for the solidification of Al solid solution is shown dashed. The solvus curves are omitted for clarity. </w:t>
      </w:r>
      <w:smartTag w:uri="urn:schemas-microsoft-com:office:smarttags" w:element="place">
        <w:smartTag w:uri="urn:schemas-microsoft-com:office:smarttags" w:element="City">
          <w:r>
            <w:rPr>
              <w:spacing w:val="-3"/>
            </w:rPr>
            <w:t>MURRAY</w:t>
          </w:r>
        </w:smartTag>
      </w:smartTag>
      <w:r>
        <w:rPr>
          <w:spacing w:val="-3"/>
        </w:rPr>
        <w:t xml:space="preserve"> [1983a].</w:t>
      </w:r>
    </w:p>
    <w:p w14:paraId="692359A2" w14:textId="77777777" w:rsidR="003753B9" w:rsidRDefault="003753B9" w:rsidP="000261B0">
      <w:pPr>
        <w:tabs>
          <w:tab w:val="left" w:pos="-720"/>
        </w:tabs>
        <w:suppressAutoHyphens/>
        <w:spacing w:line="240" w:lineRule="atLeast"/>
        <w:jc w:val="center"/>
        <w:rPr>
          <w:spacing w:val="-3"/>
        </w:rPr>
      </w:pPr>
    </w:p>
    <w:p w14:paraId="0C329337" w14:textId="77777777" w:rsidR="003753B9" w:rsidRDefault="003753B9" w:rsidP="003753B9">
      <w:pPr>
        <w:tabs>
          <w:tab w:val="left" w:pos="-720"/>
          <w:tab w:val="left" w:pos="0"/>
          <w:tab w:val="left" w:pos="720"/>
        </w:tabs>
        <w:suppressAutoHyphens/>
        <w:spacing w:line="240" w:lineRule="atLeast"/>
        <w:ind w:left="1440" w:hanging="1440"/>
        <w:rPr>
          <w:spacing w:val="-3"/>
        </w:rPr>
      </w:pPr>
      <w:r>
        <w:rPr>
          <w:spacing w:val="-3"/>
        </w:rPr>
        <w:t xml:space="preserve">Figure 3.2 </w:t>
      </w:r>
      <w:r>
        <w:rPr>
          <w:spacing w:val="-3"/>
        </w:rPr>
        <w:tab/>
        <w:t xml:space="preserve">The shaded regions indicate thermodynamically allowed solid compositions </w:t>
      </w:r>
      <w:r>
        <w:rPr>
          <w:i/>
          <w:iCs/>
          <w:spacing w:val="-3"/>
        </w:rPr>
        <w:t>C</w:t>
      </w:r>
      <w:r>
        <w:rPr>
          <w:i/>
          <w:iCs/>
          <w:spacing w:val="-3"/>
          <w:vertAlign w:val="subscript"/>
        </w:rPr>
        <w:t>s</w:t>
      </w:r>
      <w:r>
        <w:rPr>
          <w:i/>
          <w:iCs/>
          <w:spacing w:val="-3"/>
          <w:vertAlign w:val="superscript"/>
        </w:rPr>
        <w:t>*</w:t>
      </w:r>
      <w:r>
        <w:rPr>
          <w:spacing w:val="-3"/>
        </w:rPr>
        <w:t xml:space="preserve"> that may be formed from liquid of composition </w:t>
      </w:r>
      <w:r>
        <w:rPr>
          <w:i/>
          <w:iCs/>
          <w:spacing w:val="-3"/>
        </w:rPr>
        <w:t>C</w:t>
      </w:r>
      <w:r>
        <w:rPr>
          <w:i/>
          <w:iCs/>
          <w:spacing w:val="-3"/>
          <w:vertAlign w:val="subscript"/>
        </w:rPr>
        <w:t>L</w:t>
      </w:r>
      <w:r>
        <w:rPr>
          <w:i/>
          <w:iCs/>
          <w:spacing w:val="-3"/>
          <w:vertAlign w:val="superscript"/>
        </w:rPr>
        <w:t>*</w:t>
      </w:r>
      <w:r>
        <w:rPr>
          <w:spacing w:val="-3"/>
        </w:rPr>
        <w:t xml:space="preserve"> at various temperatures. In (b) the </w:t>
      </w:r>
      <w:r>
        <w:rPr>
          <w:i/>
          <w:iCs/>
          <w:spacing w:val="-3"/>
        </w:rPr>
        <w:t>T</w:t>
      </w:r>
      <w:r>
        <w:rPr>
          <w:spacing w:val="-3"/>
          <w:vertAlign w:val="subscript"/>
        </w:rPr>
        <w:t>0</w:t>
      </w:r>
      <w:r>
        <w:rPr>
          <w:spacing w:val="-3"/>
        </w:rPr>
        <w:t xml:space="preserve"> temperature plunges and partitionless solidification is impossible for liquid of composition </w:t>
      </w:r>
      <w:r>
        <w:rPr>
          <w:i/>
          <w:iCs/>
          <w:spacing w:val="-3"/>
        </w:rPr>
        <w:t>C</w:t>
      </w:r>
      <w:r>
        <w:rPr>
          <w:i/>
          <w:iCs/>
          <w:spacing w:val="-3"/>
          <w:vertAlign w:val="subscript"/>
        </w:rPr>
        <w:t>L</w:t>
      </w:r>
      <w:r>
        <w:rPr>
          <w:i/>
          <w:iCs/>
          <w:spacing w:val="-3"/>
          <w:vertAlign w:val="superscript"/>
        </w:rPr>
        <w:t>*</w:t>
      </w:r>
      <w:r>
        <w:rPr>
          <w:spacing w:val="-3"/>
        </w:rPr>
        <w:t>. BOETTINGER [1982].</w:t>
      </w:r>
    </w:p>
    <w:p w14:paraId="0B466606" w14:textId="77777777" w:rsidR="003753B9" w:rsidRDefault="003753B9" w:rsidP="000261B0">
      <w:pPr>
        <w:tabs>
          <w:tab w:val="left" w:pos="-720"/>
        </w:tabs>
        <w:suppressAutoHyphens/>
        <w:spacing w:line="240" w:lineRule="atLeast"/>
        <w:jc w:val="center"/>
        <w:rPr>
          <w:spacing w:val="-3"/>
        </w:rPr>
      </w:pPr>
    </w:p>
    <w:p w14:paraId="26C49AC5" w14:textId="77777777" w:rsidR="003753B9" w:rsidRDefault="003753B9" w:rsidP="003753B9">
      <w:pPr>
        <w:tabs>
          <w:tab w:val="left" w:pos="-720"/>
          <w:tab w:val="left" w:pos="0"/>
          <w:tab w:val="left" w:pos="720"/>
        </w:tabs>
        <w:suppressAutoHyphens/>
        <w:spacing w:line="240" w:lineRule="atLeast"/>
        <w:ind w:left="1440" w:hanging="1440"/>
        <w:rPr>
          <w:spacing w:val="-3"/>
        </w:rPr>
      </w:pPr>
      <w:r>
        <w:rPr>
          <w:spacing w:val="-3"/>
        </w:rPr>
        <w:t xml:space="preserve">Figure 3.3 </w:t>
      </w:r>
      <w:r>
        <w:rPr>
          <w:spacing w:val="-3"/>
        </w:rPr>
        <w:tab/>
        <w:t xml:space="preserve">Schematic representation of </w:t>
      </w:r>
      <w:r>
        <w:rPr>
          <w:i/>
          <w:iCs/>
          <w:spacing w:val="-3"/>
        </w:rPr>
        <w:t>T</w:t>
      </w:r>
      <w:r>
        <w:rPr>
          <w:spacing w:val="-3"/>
          <w:vertAlign w:val="subscript"/>
        </w:rPr>
        <w:t>0</w:t>
      </w:r>
      <w:r>
        <w:rPr>
          <w:spacing w:val="-3"/>
        </w:rPr>
        <w:t xml:space="preserve"> curves for liquid to crystal transformations  in  three  types of eutectic systems. BOETTINGER [1982].</w:t>
      </w:r>
    </w:p>
    <w:p w14:paraId="5F723FF2" w14:textId="77777777" w:rsidR="003753B9" w:rsidRDefault="003753B9" w:rsidP="000261B0">
      <w:pPr>
        <w:tabs>
          <w:tab w:val="left" w:pos="-720"/>
          <w:tab w:val="left" w:pos="0"/>
          <w:tab w:val="left" w:pos="720"/>
        </w:tabs>
        <w:suppressAutoHyphens/>
        <w:spacing w:line="240" w:lineRule="atLeast"/>
        <w:ind w:left="1440" w:hanging="1440"/>
        <w:jc w:val="center"/>
        <w:rPr>
          <w:spacing w:val="-3"/>
        </w:rPr>
      </w:pPr>
    </w:p>
    <w:p w14:paraId="3D0C1296" w14:textId="77777777" w:rsidR="003753B9" w:rsidRDefault="003753B9" w:rsidP="003753B9">
      <w:pPr>
        <w:tabs>
          <w:tab w:val="left" w:pos="-720"/>
        </w:tabs>
        <w:suppressAutoHyphens/>
        <w:spacing w:line="360" w:lineRule="atLeast"/>
        <w:ind w:left="1440" w:hanging="1440"/>
        <w:rPr>
          <w:spacing w:val="-3"/>
        </w:rPr>
      </w:pPr>
      <w:r>
        <w:rPr>
          <w:spacing w:val="-3"/>
        </w:rPr>
        <w:t xml:space="preserve">Figure  3.4  </w:t>
      </w:r>
      <w:r>
        <w:rPr>
          <w:spacing w:val="-3"/>
        </w:rPr>
        <w:tab/>
        <w:t>Calculated Co-Mo phase diagram (lines) and experimental points. Ansara et al [1998].</w:t>
      </w:r>
    </w:p>
    <w:p w14:paraId="1331DF02" w14:textId="77777777" w:rsidR="003753B9" w:rsidRDefault="003753B9" w:rsidP="000261B0">
      <w:pPr>
        <w:tabs>
          <w:tab w:val="left" w:pos="-720"/>
        </w:tabs>
        <w:suppressAutoHyphens/>
        <w:spacing w:line="360" w:lineRule="atLeast"/>
        <w:jc w:val="center"/>
        <w:rPr>
          <w:spacing w:val="-3"/>
        </w:rPr>
      </w:pPr>
    </w:p>
    <w:p w14:paraId="7B451362" w14:textId="77777777" w:rsidR="003753B9" w:rsidRDefault="003753B9" w:rsidP="003753B9">
      <w:pPr>
        <w:tabs>
          <w:tab w:val="left" w:pos="-720"/>
        </w:tabs>
        <w:suppressAutoHyphens/>
        <w:spacing w:line="360" w:lineRule="atLeast"/>
        <w:ind w:left="1440" w:hanging="1440"/>
        <w:rPr>
          <w:spacing w:val="-3"/>
        </w:rPr>
      </w:pPr>
      <w:r>
        <w:rPr>
          <w:spacing w:val="-3"/>
        </w:rPr>
        <w:t xml:space="preserve">Figure </w:t>
      </w:r>
      <w:r w:rsidRPr="005C752E">
        <w:rPr>
          <w:spacing w:val="-3"/>
        </w:rPr>
        <w:t xml:space="preserve"> </w:t>
      </w:r>
      <w:r>
        <w:rPr>
          <w:spacing w:val="-3"/>
        </w:rPr>
        <w:t>3.5</w:t>
      </w:r>
      <w:r w:rsidRPr="005C752E">
        <w:rPr>
          <w:spacing w:val="-3"/>
        </w:rPr>
        <w:t xml:space="preserve"> </w:t>
      </w:r>
      <w:r>
        <w:rPr>
          <w:spacing w:val="-3"/>
        </w:rPr>
        <w:tab/>
      </w:r>
      <w:r w:rsidRPr="005C752E">
        <w:rPr>
          <w:spacing w:val="-3"/>
        </w:rPr>
        <w:t>Schematic representation of a possible physical interpretation of the phase field variable. Adapted from M</w:t>
      </w:r>
      <w:r w:rsidR="00604D63">
        <w:rPr>
          <w:spacing w:val="-3"/>
        </w:rPr>
        <w:t>i</w:t>
      </w:r>
      <w:r w:rsidRPr="005C752E">
        <w:rPr>
          <w:spacing w:val="-3"/>
        </w:rPr>
        <w:t>ke</w:t>
      </w:r>
      <w:r w:rsidR="00604D63">
        <w:rPr>
          <w:spacing w:val="-3"/>
        </w:rPr>
        <w:t>e</w:t>
      </w:r>
      <w:r w:rsidRPr="005C752E">
        <w:rPr>
          <w:spacing w:val="-3"/>
        </w:rPr>
        <w:t>v and Chernov [</w:t>
      </w:r>
      <w:r>
        <w:rPr>
          <w:spacing w:val="-3"/>
        </w:rPr>
        <w:t>1991</w:t>
      </w:r>
      <w:r w:rsidRPr="005C752E">
        <w:rPr>
          <w:spacing w:val="-3"/>
        </w:rPr>
        <w:t>].</w:t>
      </w:r>
    </w:p>
    <w:p w14:paraId="240597A1" w14:textId="77777777" w:rsidR="00F26DEE" w:rsidRDefault="00F26DEE" w:rsidP="003753B9">
      <w:pPr>
        <w:tabs>
          <w:tab w:val="left" w:pos="-720"/>
        </w:tabs>
        <w:suppressAutoHyphens/>
        <w:spacing w:line="360" w:lineRule="atLeast"/>
        <w:rPr>
          <w:spacing w:val="-3"/>
        </w:rPr>
      </w:pPr>
    </w:p>
    <w:p w14:paraId="0596CD3D" w14:textId="77777777" w:rsidR="003753B9" w:rsidRPr="00C258CA" w:rsidRDefault="003753B9" w:rsidP="003753B9">
      <w:pPr>
        <w:tabs>
          <w:tab w:val="left" w:pos="-720"/>
        </w:tabs>
        <w:suppressAutoHyphens/>
        <w:spacing w:line="360" w:lineRule="atLeast"/>
        <w:rPr>
          <w:spacing w:val="-3"/>
        </w:rPr>
      </w:pPr>
      <w:r>
        <w:rPr>
          <w:spacing w:val="-3"/>
        </w:rPr>
        <w:t xml:space="preserve">Figure </w:t>
      </w:r>
      <w:r w:rsidRPr="00C258CA">
        <w:rPr>
          <w:spacing w:val="-3"/>
        </w:rPr>
        <w:t xml:space="preserve"> </w:t>
      </w:r>
      <w:r>
        <w:rPr>
          <w:spacing w:val="-3"/>
        </w:rPr>
        <w:t>3.6</w:t>
      </w:r>
      <w:r w:rsidRPr="00C258CA">
        <w:rPr>
          <w:spacing w:val="-3"/>
        </w:rPr>
        <w:t xml:space="preserve"> </w:t>
      </w:r>
      <w:r>
        <w:rPr>
          <w:spacing w:val="-3"/>
        </w:rPr>
        <w:tab/>
      </w:r>
      <w:r w:rsidRPr="00C258CA">
        <w:rPr>
          <w:spacing w:val="-3"/>
        </w:rPr>
        <w:t xml:space="preserve">The functions </w:t>
      </w:r>
      <w:r w:rsidRPr="00C258CA">
        <w:rPr>
          <w:i/>
          <w:spacing w:val="-3"/>
        </w:rPr>
        <w:t>g(</w:t>
      </w:r>
      <w:r w:rsidRPr="00C258CA">
        <w:rPr>
          <w:i/>
          <w:spacing w:val="-3"/>
        </w:rPr>
        <w:sym w:font="Symbol" w:char="F066"/>
      </w:r>
      <w:r w:rsidRPr="00C258CA">
        <w:rPr>
          <w:i/>
          <w:spacing w:val="-3"/>
        </w:rPr>
        <w:t>)</w:t>
      </w:r>
      <w:r w:rsidRPr="00C258CA">
        <w:rPr>
          <w:spacing w:val="-3"/>
        </w:rPr>
        <w:t xml:space="preserve"> and </w:t>
      </w:r>
      <w:r w:rsidRPr="00C258CA">
        <w:rPr>
          <w:i/>
          <w:spacing w:val="-3"/>
        </w:rPr>
        <w:t>p(</w:t>
      </w:r>
      <w:r w:rsidRPr="00C258CA">
        <w:rPr>
          <w:i/>
          <w:spacing w:val="-3"/>
        </w:rPr>
        <w:sym w:font="Symbol" w:char="F066"/>
      </w:r>
      <w:r w:rsidR="00604D63">
        <w:rPr>
          <w:i/>
          <w:spacing w:val="-3"/>
        </w:rPr>
        <w:t>)</w:t>
      </w:r>
      <w:r>
        <w:rPr>
          <w:i/>
          <w:spacing w:val="-3"/>
        </w:rPr>
        <w:t>.</w:t>
      </w:r>
    </w:p>
    <w:p w14:paraId="054C5729" w14:textId="77777777" w:rsidR="003753B9" w:rsidRPr="00647046" w:rsidRDefault="003753B9" w:rsidP="000261B0">
      <w:pPr>
        <w:tabs>
          <w:tab w:val="left" w:pos="-720"/>
        </w:tabs>
        <w:suppressAutoHyphens/>
        <w:spacing w:line="360" w:lineRule="atLeast"/>
        <w:jc w:val="center"/>
        <w:rPr>
          <w:spacing w:val="-3"/>
        </w:rPr>
      </w:pPr>
    </w:p>
    <w:p w14:paraId="5CB863A2" w14:textId="77777777" w:rsidR="003753B9" w:rsidRDefault="003753B9" w:rsidP="003753B9">
      <w:pPr>
        <w:tabs>
          <w:tab w:val="left" w:pos="-720"/>
        </w:tabs>
        <w:suppressAutoHyphens/>
        <w:spacing w:line="360" w:lineRule="atLeast"/>
        <w:ind w:left="1440" w:hanging="1440"/>
        <w:rPr>
          <w:spacing w:val="-3"/>
        </w:rPr>
      </w:pPr>
      <w:r>
        <w:rPr>
          <w:spacing w:val="-3"/>
        </w:rPr>
        <w:t xml:space="preserve">Figure </w:t>
      </w:r>
      <w:r w:rsidRPr="005279D3">
        <w:rPr>
          <w:spacing w:val="-3"/>
        </w:rPr>
        <w:t xml:space="preserve"> 3</w:t>
      </w:r>
      <w:r>
        <w:rPr>
          <w:spacing w:val="-3"/>
        </w:rPr>
        <w:t>.7</w:t>
      </w:r>
      <w:r w:rsidRPr="005279D3">
        <w:rPr>
          <w:spacing w:val="-3"/>
        </w:rPr>
        <w:t xml:space="preserve"> </w:t>
      </w:r>
      <w:r>
        <w:rPr>
          <w:spacing w:val="-3"/>
        </w:rPr>
        <w:tab/>
      </w:r>
      <w:r w:rsidRPr="005279D3">
        <w:rPr>
          <w:spacing w:val="-3"/>
        </w:rPr>
        <w:t xml:space="preserve">Variation of the phase field parameter, </w:t>
      </w:r>
      <w:r w:rsidRPr="005279D3">
        <w:rPr>
          <w:i/>
          <w:spacing w:val="-3"/>
        </w:rPr>
        <w:sym w:font="Symbol" w:char="F066"/>
      </w:r>
      <w:r w:rsidRPr="005279D3">
        <w:rPr>
          <w:spacing w:val="-3"/>
        </w:rPr>
        <w:t xml:space="preserve">, and the energy/unit volume, </w:t>
      </w:r>
      <w:r w:rsidRPr="005279D3">
        <w:rPr>
          <w:i/>
          <w:spacing w:val="-3"/>
        </w:rPr>
        <w:t>f(</w:t>
      </w:r>
      <w:r w:rsidRPr="005279D3">
        <w:rPr>
          <w:i/>
          <w:spacing w:val="-3"/>
        </w:rPr>
        <w:sym w:font="Symbol" w:char="F066"/>
      </w:r>
      <w:r w:rsidRPr="005279D3">
        <w:rPr>
          <w:i/>
          <w:spacing w:val="-3"/>
        </w:rPr>
        <w:t>)+½</w:t>
      </w:r>
      <w:r w:rsidRPr="005279D3">
        <w:rPr>
          <w:i/>
          <w:spacing w:val="-3"/>
        </w:rPr>
        <w:sym w:font="Symbol" w:char="F065"/>
      </w:r>
      <w:r w:rsidRPr="005279D3">
        <w:rPr>
          <w:i/>
          <w:spacing w:val="-3"/>
          <w:vertAlign w:val="subscript"/>
        </w:rPr>
        <w:sym w:font="Symbol" w:char="F066"/>
      </w:r>
      <w:r w:rsidRPr="005279D3">
        <w:rPr>
          <w:i/>
          <w:spacing w:val="-3"/>
          <w:vertAlign w:val="superscript"/>
        </w:rPr>
        <w:t>2</w:t>
      </w:r>
      <w:r w:rsidRPr="005279D3">
        <w:rPr>
          <w:i/>
          <w:spacing w:val="-3"/>
        </w:rPr>
        <w:t>(</w:t>
      </w:r>
      <w:r w:rsidRPr="005279D3">
        <w:rPr>
          <w:i/>
          <w:spacing w:val="-3"/>
        </w:rPr>
        <w:sym w:font="Symbol" w:char="F0D1"/>
      </w:r>
      <w:r w:rsidRPr="005279D3">
        <w:rPr>
          <w:i/>
          <w:spacing w:val="-3"/>
        </w:rPr>
        <w:sym w:font="Symbol" w:char="F066"/>
      </w:r>
      <w:r w:rsidRPr="005279D3">
        <w:rPr>
          <w:i/>
          <w:spacing w:val="-3"/>
        </w:rPr>
        <w:t>)</w:t>
      </w:r>
      <w:r w:rsidRPr="005279D3">
        <w:rPr>
          <w:i/>
          <w:spacing w:val="-3"/>
          <w:vertAlign w:val="superscript"/>
        </w:rPr>
        <w:t>2</w:t>
      </w:r>
      <w:r w:rsidRPr="005279D3">
        <w:rPr>
          <w:spacing w:val="-3"/>
        </w:rPr>
        <w:t xml:space="preserve">, with distance, </w:t>
      </w:r>
      <w:r w:rsidRPr="005279D3">
        <w:rPr>
          <w:i/>
          <w:spacing w:val="-3"/>
        </w:rPr>
        <w:t>x</w:t>
      </w:r>
      <w:r w:rsidRPr="005279D3">
        <w:rPr>
          <w:spacing w:val="-3"/>
        </w:rPr>
        <w:t>, across a stationary flat liquid-solid interface at the melting point in a pure material.</w:t>
      </w:r>
    </w:p>
    <w:p w14:paraId="28D33058" w14:textId="77777777" w:rsidR="003753B9" w:rsidRDefault="003753B9" w:rsidP="000261B0">
      <w:pPr>
        <w:tabs>
          <w:tab w:val="left" w:pos="-720"/>
        </w:tabs>
        <w:suppressAutoHyphens/>
        <w:spacing w:line="360" w:lineRule="atLeast"/>
        <w:ind w:left="1440" w:hanging="1440"/>
        <w:jc w:val="center"/>
        <w:rPr>
          <w:spacing w:val="-3"/>
        </w:rPr>
      </w:pPr>
    </w:p>
    <w:p w14:paraId="48F2686D" w14:textId="77777777" w:rsidR="00965B6D" w:rsidRDefault="003753B9" w:rsidP="003753B9">
      <w:pPr>
        <w:tabs>
          <w:tab w:val="left" w:pos="-720"/>
        </w:tabs>
        <w:suppressAutoHyphens/>
        <w:spacing w:line="360" w:lineRule="atLeast"/>
        <w:ind w:left="1440" w:hanging="1440"/>
        <w:rPr>
          <w:spacing w:val="-3"/>
        </w:rPr>
      </w:pPr>
      <w:r>
        <w:rPr>
          <w:spacing w:val="-3"/>
        </w:rPr>
        <w:t xml:space="preserve">Figure </w:t>
      </w:r>
      <w:r w:rsidRPr="00F113AF">
        <w:rPr>
          <w:spacing w:val="-3"/>
        </w:rPr>
        <w:t xml:space="preserve"> </w:t>
      </w:r>
      <w:r>
        <w:rPr>
          <w:spacing w:val="-3"/>
        </w:rPr>
        <w:t xml:space="preserve">3.8 </w:t>
      </w:r>
      <w:r>
        <w:rPr>
          <w:spacing w:val="-3"/>
        </w:rPr>
        <w:tab/>
      </w:r>
      <w:r w:rsidRPr="00F113AF">
        <w:rPr>
          <w:spacing w:val="-3"/>
        </w:rPr>
        <w:t xml:space="preserve">(a) The alloy free energy function </w:t>
      </w:r>
      <w:r w:rsidRPr="00F113AF">
        <w:rPr>
          <w:i/>
          <w:spacing w:val="-3"/>
        </w:rPr>
        <w:t>f(</w:t>
      </w:r>
      <w:r w:rsidRPr="00F113AF">
        <w:rPr>
          <w:i/>
          <w:spacing w:val="-3"/>
        </w:rPr>
        <w:sym w:font="Symbol" w:char="F066"/>
      </w:r>
      <w:r w:rsidRPr="00F113AF">
        <w:rPr>
          <w:i/>
          <w:spacing w:val="-3"/>
        </w:rPr>
        <w:t>,c,T)</w:t>
      </w:r>
      <w:r w:rsidRPr="00F113AF">
        <w:rPr>
          <w:spacing w:val="-3"/>
        </w:rPr>
        <w:t xml:space="preserve"> for a temperature, </w:t>
      </w:r>
      <w:r w:rsidRPr="00F113AF">
        <w:rPr>
          <w:i/>
          <w:spacing w:val="-3"/>
        </w:rPr>
        <w:t>T</w:t>
      </w:r>
      <w:r w:rsidRPr="00F113AF">
        <w:rPr>
          <w:spacing w:val="-3"/>
        </w:rPr>
        <w:t>, between the pure component melting points (</w:t>
      </w:r>
      <w:r w:rsidRPr="00F113AF">
        <w:rPr>
          <w:i/>
          <w:spacing w:val="-3"/>
        </w:rPr>
        <w:t>T</w:t>
      </w:r>
      <w:r w:rsidRPr="00F113AF">
        <w:rPr>
          <w:i/>
          <w:spacing w:val="-3"/>
        </w:rPr>
        <w:fldChar w:fldCharType="begin"/>
      </w:r>
      <w:r w:rsidRPr="00F113AF">
        <w:rPr>
          <w:i/>
          <w:spacing w:val="-3"/>
        </w:rPr>
        <w:instrText>EQ \O(</w:instrText>
      </w:r>
      <w:r w:rsidRPr="00F113AF">
        <w:rPr>
          <w:i/>
          <w:spacing w:val="-3"/>
          <w:vertAlign w:val="subscript"/>
        </w:rPr>
        <w:instrText>M</w:instrText>
      </w:r>
      <w:r w:rsidRPr="00F113AF">
        <w:rPr>
          <w:i/>
          <w:spacing w:val="-3"/>
          <w:vertAlign w:val="superscript"/>
        </w:rPr>
        <w:instrText>,B</w:instrText>
      </w:r>
      <w:r w:rsidRPr="00F113AF">
        <w:rPr>
          <w:i/>
          <w:spacing w:val="-3"/>
        </w:rPr>
        <w:instrText>)</w:instrText>
      </w:r>
      <w:r w:rsidRPr="00F113AF">
        <w:rPr>
          <w:spacing w:val="-3"/>
        </w:rPr>
        <w:fldChar w:fldCharType="end"/>
      </w:r>
      <w:r>
        <w:rPr>
          <w:spacing w:val="-3"/>
        </w:rPr>
        <w:t xml:space="preserve"> </w:t>
      </w:r>
      <w:r w:rsidRPr="00F113AF">
        <w:rPr>
          <w:i/>
          <w:spacing w:val="-3"/>
        </w:rPr>
        <w:t>&lt;</w:t>
      </w:r>
      <w:r>
        <w:rPr>
          <w:i/>
          <w:spacing w:val="-3"/>
        </w:rPr>
        <w:t xml:space="preserve"> </w:t>
      </w:r>
      <w:r w:rsidRPr="00F113AF">
        <w:rPr>
          <w:i/>
          <w:spacing w:val="-3"/>
        </w:rPr>
        <w:t>T</w:t>
      </w:r>
      <w:r>
        <w:rPr>
          <w:i/>
          <w:spacing w:val="-3"/>
        </w:rPr>
        <w:t xml:space="preserve"> </w:t>
      </w:r>
      <w:r w:rsidRPr="00F113AF">
        <w:rPr>
          <w:i/>
          <w:spacing w:val="-3"/>
        </w:rPr>
        <w:t>&lt;</w:t>
      </w:r>
      <w:r>
        <w:rPr>
          <w:i/>
          <w:spacing w:val="-3"/>
        </w:rPr>
        <w:t xml:space="preserve"> </w:t>
      </w:r>
      <w:r w:rsidRPr="00F113AF">
        <w:rPr>
          <w:i/>
          <w:spacing w:val="-3"/>
        </w:rPr>
        <w:t>T</w:t>
      </w:r>
      <w:r w:rsidRPr="00F113AF">
        <w:rPr>
          <w:i/>
          <w:spacing w:val="-3"/>
        </w:rPr>
        <w:fldChar w:fldCharType="begin"/>
      </w:r>
      <w:r w:rsidRPr="00F113AF">
        <w:rPr>
          <w:i/>
          <w:spacing w:val="-3"/>
        </w:rPr>
        <w:instrText>EQ \O(</w:instrText>
      </w:r>
      <w:r w:rsidRPr="00F113AF">
        <w:rPr>
          <w:i/>
          <w:spacing w:val="-3"/>
          <w:vertAlign w:val="subscript"/>
        </w:rPr>
        <w:instrText>M</w:instrText>
      </w:r>
      <w:r w:rsidRPr="00F113AF">
        <w:rPr>
          <w:i/>
          <w:spacing w:val="-3"/>
          <w:vertAlign w:val="superscript"/>
        </w:rPr>
        <w:instrText>,A</w:instrText>
      </w:r>
      <w:r w:rsidRPr="00F113AF">
        <w:rPr>
          <w:i/>
          <w:spacing w:val="-3"/>
        </w:rPr>
        <w:instrText>)</w:instrText>
      </w:r>
      <w:r w:rsidRPr="00F113AF">
        <w:rPr>
          <w:spacing w:val="-3"/>
        </w:rPr>
        <w:fldChar w:fldCharType="end"/>
      </w:r>
      <w:r w:rsidRPr="00F113AF">
        <w:rPr>
          <w:spacing w:val="-3"/>
        </w:rPr>
        <w:t xml:space="preserve">) The locus of </w:t>
      </w:r>
      <w:r w:rsidRPr="00F113AF">
        <w:rPr>
          <w:i/>
          <w:spacing w:val="-3"/>
        </w:rPr>
        <w:sym w:font="Symbol" w:char="F066"/>
      </w:r>
      <w:r w:rsidRPr="00F113AF">
        <w:rPr>
          <w:spacing w:val="-3"/>
        </w:rPr>
        <w:t xml:space="preserve"> and </w:t>
      </w:r>
      <w:r w:rsidRPr="00F113AF">
        <w:rPr>
          <w:i/>
          <w:spacing w:val="-3"/>
        </w:rPr>
        <w:t>c</w:t>
      </w:r>
      <w:r w:rsidRPr="00F113AF">
        <w:rPr>
          <w:spacing w:val="-3"/>
        </w:rPr>
        <w:t xml:space="preserve"> through the thin interfacial region is shown dotted. (b) Projection of (a) along the </w:t>
      </w:r>
      <w:r w:rsidRPr="00F113AF">
        <w:rPr>
          <w:i/>
          <w:spacing w:val="-3"/>
        </w:rPr>
        <w:sym w:font="Symbol" w:char="F066"/>
      </w:r>
      <w:r w:rsidRPr="00F113AF">
        <w:rPr>
          <w:spacing w:val="-3"/>
        </w:rPr>
        <w:t xml:space="preserve"> axis showing</w:t>
      </w:r>
      <w:r>
        <w:rPr>
          <w:spacing w:val="-3"/>
        </w:rPr>
        <w:t xml:space="preserve"> </w:t>
      </w:r>
      <w:r w:rsidRPr="00F113AF">
        <w:rPr>
          <w:spacing w:val="-3"/>
        </w:rPr>
        <w:t xml:space="preserve">the common tangent line. The free energy surface is only shown for 0&lt; </w:t>
      </w:r>
      <w:r w:rsidRPr="00F113AF">
        <w:rPr>
          <w:i/>
          <w:spacing w:val="-3"/>
        </w:rPr>
        <w:sym w:font="Symbol" w:char="F066"/>
      </w:r>
      <w:r w:rsidRPr="00F113AF">
        <w:rPr>
          <w:i/>
          <w:spacing w:val="-3"/>
        </w:rPr>
        <w:t xml:space="preserve"> </w:t>
      </w:r>
      <w:r w:rsidRPr="00F113AF">
        <w:rPr>
          <w:spacing w:val="-3"/>
        </w:rPr>
        <w:t>&lt;1.</w:t>
      </w:r>
    </w:p>
    <w:p w14:paraId="169CE9E1" w14:textId="77777777" w:rsidR="00965B6D" w:rsidRDefault="00965B6D" w:rsidP="003753B9">
      <w:pPr>
        <w:tabs>
          <w:tab w:val="left" w:pos="-720"/>
        </w:tabs>
        <w:suppressAutoHyphens/>
        <w:spacing w:line="240" w:lineRule="atLeast"/>
        <w:rPr>
          <w:spacing w:val="-3"/>
        </w:rPr>
      </w:pPr>
    </w:p>
    <w:p w14:paraId="1CC50CC5" w14:textId="77777777" w:rsidR="003753B9" w:rsidRDefault="003753B9" w:rsidP="003753B9">
      <w:pPr>
        <w:tabs>
          <w:tab w:val="left" w:pos="-720"/>
          <w:tab w:val="left" w:pos="0"/>
          <w:tab w:val="left" w:pos="720"/>
        </w:tabs>
        <w:suppressAutoHyphens/>
        <w:spacing w:line="240" w:lineRule="atLeast"/>
        <w:ind w:left="1440" w:hanging="1440"/>
        <w:rPr>
          <w:spacing w:val="-3"/>
        </w:rPr>
      </w:pPr>
      <w:r>
        <w:rPr>
          <w:spacing w:val="-3"/>
        </w:rPr>
        <w:t xml:space="preserve">Figure 4.1 </w:t>
      </w:r>
      <w:r>
        <w:rPr>
          <w:spacing w:val="-3"/>
        </w:rPr>
        <w:tab/>
        <w:t>Volume, surface and total values of the free energy of a crystal cluster as a function of radius,</w:t>
      </w:r>
      <w:r>
        <w:rPr>
          <w:i/>
          <w:iCs/>
          <w:spacing w:val="-3"/>
        </w:rPr>
        <w:t xml:space="preserve"> r,</w:t>
      </w:r>
      <w:r>
        <w:rPr>
          <w:spacing w:val="-3"/>
        </w:rPr>
        <w:t xml:space="preserve"> at three temperatures: (a)</w:t>
      </w:r>
      <w:r>
        <w:rPr>
          <w:i/>
          <w:iCs/>
          <w:spacing w:val="-3"/>
        </w:rPr>
        <w:t xml:space="preserve"> T&gt;T</w:t>
      </w:r>
      <w:r>
        <w:rPr>
          <w:spacing w:val="-3"/>
          <w:vertAlign w:val="subscript"/>
        </w:rPr>
        <w:t>m</w:t>
      </w:r>
      <w:r>
        <w:rPr>
          <w:spacing w:val="-3"/>
        </w:rPr>
        <w:t xml:space="preserve">, (b) </w:t>
      </w:r>
      <w:r>
        <w:rPr>
          <w:i/>
          <w:iCs/>
          <w:spacing w:val="-3"/>
        </w:rPr>
        <w:t>T</w:t>
      </w:r>
      <w:r>
        <w:rPr>
          <w:spacing w:val="-3"/>
        </w:rPr>
        <w:t>=</w:t>
      </w:r>
      <w:r>
        <w:rPr>
          <w:i/>
          <w:iCs/>
          <w:spacing w:val="-3"/>
        </w:rPr>
        <w:t>T</w:t>
      </w:r>
      <w:r>
        <w:rPr>
          <w:spacing w:val="-3"/>
          <w:vertAlign w:val="subscript"/>
        </w:rPr>
        <w:t>m</w:t>
      </w:r>
      <w:r>
        <w:rPr>
          <w:spacing w:val="-3"/>
        </w:rPr>
        <w:t>, and (c)</w:t>
      </w:r>
      <w:r>
        <w:rPr>
          <w:i/>
          <w:iCs/>
          <w:spacing w:val="-3"/>
        </w:rPr>
        <w:t xml:space="preserve"> T&lt;T</w:t>
      </w:r>
      <w:r>
        <w:rPr>
          <w:spacing w:val="-3"/>
          <w:vertAlign w:val="subscript"/>
        </w:rPr>
        <w:t>m</w:t>
      </w:r>
      <w:r>
        <w:rPr>
          <w:spacing w:val="-3"/>
        </w:rPr>
        <w:t>. KURZ and FISHER [1989].</w:t>
      </w:r>
    </w:p>
    <w:p w14:paraId="4E87A59A" w14:textId="77777777" w:rsidR="003753B9" w:rsidRDefault="003753B9" w:rsidP="000261B0">
      <w:pPr>
        <w:tabs>
          <w:tab w:val="left" w:pos="-720"/>
        </w:tabs>
        <w:suppressAutoHyphens/>
        <w:spacing w:line="240" w:lineRule="atLeast"/>
        <w:jc w:val="center"/>
        <w:rPr>
          <w:spacing w:val="-3"/>
        </w:rPr>
      </w:pPr>
    </w:p>
    <w:p w14:paraId="44E8DC16" w14:textId="77777777" w:rsidR="003753B9" w:rsidRDefault="003753B9" w:rsidP="003753B9">
      <w:pPr>
        <w:tabs>
          <w:tab w:val="left" w:pos="-720"/>
          <w:tab w:val="left" w:pos="0"/>
          <w:tab w:val="left" w:pos="720"/>
        </w:tabs>
        <w:suppressAutoHyphens/>
        <w:spacing w:line="240" w:lineRule="atLeast"/>
        <w:ind w:left="1440" w:hanging="1440"/>
        <w:rPr>
          <w:spacing w:val="-3"/>
        </w:rPr>
      </w:pPr>
      <w:r>
        <w:rPr>
          <w:spacing w:val="-3"/>
        </w:rPr>
        <w:t xml:space="preserve">Figure 4.2 </w:t>
      </w:r>
      <w:r>
        <w:rPr>
          <w:spacing w:val="-3"/>
        </w:rPr>
        <w:tab/>
        <w:t>Schematic comparison of (a) homogeneous and (b) heterogeneous nucleation of a crystal in a supercooled liquid. The interface energies are assumed to be isotropic and in (b) the catalytic surface is assumed to be flat.</w:t>
      </w:r>
    </w:p>
    <w:p w14:paraId="34501B59" w14:textId="77777777" w:rsidR="003753B9" w:rsidRDefault="003753B9" w:rsidP="000261B0">
      <w:pPr>
        <w:tabs>
          <w:tab w:val="left" w:pos="-720"/>
        </w:tabs>
        <w:suppressAutoHyphens/>
        <w:spacing w:line="240" w:lineRule="atLeast"/>
        <w:jc w:val="center"/>
        <w:rPr>
          <w:spacing w:val="-3"/>
        </w:rPr>
      </w:pPr>
    </w:p>
    <w:p w14:paraId="0035F9A1" w14:textId="77777777" w:rsidR="003753B9" w:rsidRDefault="003753B9" w:rsidP="003753B9">
      <w:pPr>
        <w:tabs>
          <w:tab w:val="left" w:pos="-720"/>
          <w:tab w:val="left" w:pos="0"/>
          <w:tab w:val="left" w:pos="720"/>
        </w:tabs>
        <w:suppressAutoHyphens/>
        <w:spacing w:line="240" w:lineRule="atLeast"/>
        <w:ind w:left="1440" w:hanging="1440"/>
        <w:rPr>
          <w:spacing w:val="-3"/>
        </w:rPr>
      </w:pPr>
      <w:r>
        <w:rPr>
          <w:spacing w:val="-3"/>
        </w:rPr>
        <w:t xml:space="preserve">Figure 4.3 </w:t>
      </w:r>
      <w:r>
        <w:rPr>
          <w:spacing w:val="-3"/>
        </w:rPr>
        <w:tab/>
        <w:t>Sample configuration for different supercooling methods. PEREPEZKO and ANDERSON [1980].</w:t>
      </w:r>
    </w:p>
    <w:p w14:paraId="31B6563A" w14:textId="77777777" w:rsidR="00965B6D" w:rsidRDefault="00965B6D" w:rsidP="000261B0">
      <w:pPr>
        <w:tabs>
          <w:tab w:val="left" w:pos="-720"/>
          <w:tab w:val="left" w:pos="0"/>
          <w:tab w:val="left" w:pos="720"/>
        </w:tabs>
        <w:suppressAutoHyphens/>
        <w:spacing w:line="240" w:lineRule="atLeast"/>
        <w:ind w:left="1440" w:hanging="1440"/>
        <w:jc w:val="center"/>
        <w:rPr>
          <w:spacing w:val="-3"/>
        </w:rPr>
      </w:pPr>
    </w:p>
    <w:p w14:paraId="3B16C684" w14:textId="4AC5FAB5" w:rsidR="003753B9" w:rsidRDefault="003753B9" w:rsidP="003753B9">
      <w:pPr>
        <w:tabs>
          <w:tab w:val="left" w:pos="-720"/>
          <w:tab w:val="left" w:pos="0"/>
          <w:tab w:val="left" w:pos="720"/>
        </w:tabs>
        <w:suppressAutoHyphens/>
        <w:spacing w:line="240" w:lineRule="atLeast"/>
        <w:ind w:left="1440" w:hanging="1440"/>
        <w:rPr>
          <w:spacing w:val="-3"/>
        </w:rPr>
      </w:pPr>
      <w:r>
        <w:rPr>
          <w:spacing w:val="-3"/>
        </w:rPr>
        <w:t xml:space="preserve">Fig 4.4 </w:t>
      </w:r>
      <w:r>
        <w:rPr>
          <w:spacing w:val="-3"/>
        </w:rPr>
        <w:tab/>
        <w:t>Liquid</w:t>
      </w:r>
      <w:r w:rsidR="0063267B">
        <w:rPr>
          <w:spacing w:val="-3"/>
        </w:rPr>
        <w:t>-</w:t>
      </w:r>
      <w:r>
        <w:rPr>
          <w:spacing w:val="-3"/>
        </w:rPr>
        <w:t xml:space="preserve">solid interface energy for pure </w:t>
      </w:r>
      <w:r w:rsidR="00B36D3D">
        <w:rPr>
          <w:spacing w:val="-3"/>
        </w:rPr>
        <w:t>BCC</w:t>
      </w:r>
      <w:r>
        <w:rPr>
          <w:spacing w:val="-3"/>
        </w:rPr>
        <w:t xml:space="preserve"> and FCC metals calculated by the capillary fluctuation method using EAM potentials The plot shows the correlation of the normalized interface energy with heat of fusion for the two structures (Hoyt et al. [2006]).</w:t>
      </w:r>
    </w:p>
    <w:p w14:paraId="73CA76D7" w14:textId="77777777" w:rsidR="003753B9" w:rsidRDefault="003753B9" w:rsidP="000261B0">
      <w:pPr>
        <w:tabs>
          <w:tab w:val="left" w:pos="-720"/>
          <w:tab w:val="left" w:pos="0"/>
          <w:tab w:val="left" w:pos="720"/>
        </w:tabs>
        <w:suppressAutoHyphens/>
        <w:spacing w:line="240" w:lineRule="atLeast"/>
        <w:ind w:left="1440" w:hanging="1440"/>
        <w:jc w:val="center"/>
        <w:rPr>
          <w:spacing w:val="-3"/>
        </w:rPr>
      </w:pPr>
    </w:p>
    <w:p w14:paraId="393DFB7C" w14:textId="77777777" w:rsidR="003753B9" w:rsidRDefault="003753B9" w:rsidP="003753B9">
      <w:pPr>
        <w:tabs>
          <w:tab w:val="left" w:pos="-720"/>
          <w:tab w:val="left" w:pos="0"/>
          <w:tab w:val="left" w:pos="720"/>
        </w:tabs>
        <w:suppressAutoHyphens/>
        <w:spacing w:line="240" w:lineRule="atLeast"/>
        <w:ind w:left="1440" w:hanging="1440"/>
        <w:rPr>
          <w:spacing w:val="-3"/>
        </w:rPr>
      </w:pPr>
      <w:r>
        <w:rPr>
          <w:spacing w:val="-3"/>
        </w:rPr>
        <w:t xml:space="preserve">Figure 4.5 </w:t>
      </w:r>
      <w:r>
        <w:rPr>
          <w:spacing w:val="-3"/>
        </w:rPr>
        <w:tab/>
        <w:t xml:space="preserve">Schematic free energy versus composition curves for liquid and solid at three temperatures: (a) above the liquidus for composition </w:t>
      </w:r>
      <w:r w:rsidR="0063267B">
        <w:rPr>
          <w:spacing w:val="-3"/>
        </w:rPr>
        <w:t>X</w:t>
      </w:r>
      <w:r w:rsidR="0063267B">
        <w:rPr>
          <w:spacing w:val="-3"/>
          <w:vertAlign w:val="subscript"/>
        </w:rPr>
        <w:t>L</w:t>
      </w:r>
      <w:r>
        <w:rPr>
          <w:spacing w:val="-3"/>
        </w:rPr>
        <w:t xml:space="preserve">, (b) at the liquidus, and (c) below the liquidus at an arbitrary nucleation temperature. The composition of a nucleus, </w:t>
      </w:r>
      <w:r w:rsidR="0063267B">
        <w:rPr>
          <w:spacing w:val="-3"/>
        </w:rPr>
        <w:t>X</w:t>
      </w:r>
      <w:r w:rsidR="0063267B">
        <w:rPr>
          <w:spacing w:val="-3"/>
          <w:vertAlign w:val="subscript"/>
        </w:rPr>
        <w:t>N</w:t>
      </w:r>
      <w:r>
        <w:rPr>
          <w:spacing w:val="-3"/>
        </w:rPr>
        <w:t xml:space="preserve">, that maximizes the free energy change at the temperature given in (c) is given by the parallel tangent construction. THOMPSON and SPAEPEN [1983]. </w:t>
      </w:r>
    </w:p>
    <w:p w14:paraId="19E594BF" w14:textId="77777777" w:rsidR="003753B9" w:rsidRDefault="003753B9" w:rsidP="000261B0">
      <w:pPr>
        <w:tabs>
          <w:tab w:val="left" w:pos="-720"/>
        </w:tabs>
        <w:suppressAutoHyphens/>
        <w:spacing w:line="240" w:lineRule="atLeast"/>
        <w:jc w:val="center"/>
        <w:rPr>
          <w:spacing w:val="-3"/>
        </w:rPr>
      </w:pPr>
    </w:p>
    <w:p w14:paraId="17882EEB" w14:textId="77777777" w:rsidR="003753B9" w:rsidRDefault="003753B9" w:rsidP="003753B9">
      <w:pPr>
        <w:tabs>
          <w:tab w:val="left" w:pos="-720"/>
          <w:tab w:val="left" w:pos="0"/>
          <w:tab w:val="left" w:pos="720"/>
        </w:tabs>
        <w:suppressAutoHyphens/>
        <w:spacing w:line="240" w:lineRule="atLeast"/>
        <w:ind w:left="1440" w:hanging="1440"/>
        <w:rPr>
          <w:spacing w:val="-3"/>
        </w:rPr>
      </w:pPr>
      <w:r>
        <w:rPr>
          <w:spacing w:val="-3"/>
        </w:rPr>
        <w:t xml:space="preserve">Figure 4.6 </w:t>
      </w:r>
      <w:r>
        <w:rPr>
          <w:spacing w:val="-3"/>
        </w:rPr>
        <w:tab/>
        <w:t xml:space="preserve">Summary of nucleation temperatures for Pb-Sb alloys which generally follow the liquidus slope (RICHMOND </w:t>
      </w:r>
      <w:r>
        <w:rPr>
          <w:i/>
          <w:iCs/>
          <w:spacing w:val="-3"/>
        </w:rPr>
        <w:t>et al</w:t>
      </w:r>
      <w:r>
        <w:rPr>
          <w:spacing w:val="-3"/>
        </w:rPr>
        <w:t>. [1983]).  Supercooling trends at different levels are produced by different droplet surface coating treatments.</w:t>
      </w:r>
    </w:p>
    <w:p w14:paraId="5E7CA471" w14:textId="77777777" w:rsidR="003753B9" w:rsidRDefault="003753B9" w:rsidP="000261B0">
      <w:pPr>
        <w:tabs>
          <w:tab w:val="left" w:pos="-720"/>
        </w:tabs>
        <w:suppressAutoHyphens/>
        <w:spacing w:line="240" w:lineRule="atLeast"/>
        <w:jc w:val="center"/>
        <w:rPr>
          <w:spacing w:val="-3"/>
        </w:rPr>
      </w:pPr>
    </w:p>
    <w:p w14:paraId="6EBD704B" w14:textId="77777777" w:rsidR="003753B9" w:rsidRDefault="003753B9" w:rsidP="003753B9">
      <w:pPr>
        <w:tabs>
          <w:tab w:val="left" w:pos="-720"/>
          <w:tab w:val="left" w:pos="0"/>
          <w:tab w:val="left" w:pos="720"/>
        </w:tabs>
        <w:suppressAutoHyphens/>
        <w:spacing w:line="240" w:lineRule="atLeast"/>
        <w:ind w:left="1440" w:hanging="1440"/>
        <w:rPr>
          <w:spacing w:val="-3"/>
        </w:rPr>
      </w:pPr>
      <w:r>
        <w:rPr>
          <w:spacing w:val="-3"/>
        </w:rPr>
        <w:t xml:space="preserve">Figure 4.7 </w:t>
      </w:r>
      <w:r>
        <w:rPr>
          <w:spacing w:val="-3"/>
        </w:rPr>
        <w:tab/>
        <w:t>The stable Pb-Sn phase diagram (solid line), including measured and calculated metastable extensions (dashed line) of liquidus and solidus curves (FECHT and PEREPEZKO [1989]).</w:t>
      </w:r>
    </w:p>
    <w:p w14:paraId="7489E700" w14:textId="77777777" w:rsidR="003753B9" w:rsidRDefault="003753B9" w:rsidP="000261B0">
      <w:pPr>
        <w:tabs>
          <w:tab w:val="left" w:pos="-720"/>
          <w:tab w:val="left" w:pos="0"/>
          <w:tab w:val="left" w:pos="720"/>
        </w:tabs>
        <w:suppressAutoHyphens/>
        <w:spacing w:line="240" w:lineRule="atLeast"/>
        <w:ind w:left="1440" w:hanging="1440"/>
        <w:jc w:val="center"/>
        <w:rPr>
          <w:spacing w:val="-3"/>
        </w:rPr>
      </w:pPr>
    </w:p>
    <w:p w14:paraId="696FF1A5" w14:textId="77777777" w:rsidR="003753B9" w:rsidRDefault="003753B9" w:rsidP="003753B9">
      <w:pPr>
        <w:tabs>
          <w:tab w:val="left" w:pos="-720"/>
          <w:tab w:val="left" w:pos="0"/>
          <w:tab w:val="left" w:pos="720"/>
        </w:tabs>
        <w:suppressAutoHyphens/>
        <w:spacing w:line="240" w:lineRule="atLeast"/>
        <w:ind w:left="1440" w:hanging="1440"/>
        <w:rPr>
          <w:spacing w:val="-3"/>
        </w:rPr>
      </w:pPr>
      <w:r>
        <w:rPr>
          <w:spacing w:val="-3"/>
        </w:rPr>
        <w:t xml:space="preserve">Figure 4.8 </w:t>
      </w:r>
      <w:r>
        <w:rPr>
          <w:spacing w:val="-3"/>
        </w:rPr>
        <w:tab/>
        <w:t xml:space="preserve">Free growth model of GREER et al. [2000], which shows that  heterogeneous nucleation on a catalytic surface of limited lateral extent can not produce growth until the triple junction between liquid, solid and heterogeneity reaches the edge of the catalytic surface and the size. When the solid reaches the critical hemispherical condition it is free to effectively produce solidification.  </w:t>
      </w:r>
    </w:p>
    <w:p w14:paraId="06963085" w14:textId="77777777" w:rsidR="003753B9" w:rsidRDefault="003753B9" w:rsidP="003753B9">
      <w:pPr>
        <w:tabs>
          <w:tab w:val="left" w:pos="-720"/>
        </w:tabs>
        <w:suppressAutoHyphens/>
        <w:spacing w:line="240" w:lineRule="atLeast"/>
        <w:rPr>
          <w:spacing w:val="-3"/>
        </w:rPr>
      </w:pPr>
    </w:p>
    <w:p w14:paraId="4AD00F2B" w14:textId="77777777" w:rsidR="003753B9" w:rsidRDefault="003753B9" w:rsidP="003753B9">
      <w:pPr>
        <w:tabs>
          <w:tab w:val="left" w:pos="-720"/>
          <w:tab w:val="left" w:pos="0"/>
          <w:tab w:val="left" w:pos="720"/>
        </w:tabs>
        <w:suppressAutoHyphens/>
        <w:spacing w:line="240" w:lineRule="atLeast"/>
        <w:ind w:left="1440" w:hanging="1440"/>
        <w:rPr>
          <w:spacing w:val="-3"/>
        </w:rPr>
      </w:pPr>
      <w:r>
        <w:rPr>
          <w:spacing w:val="-3"/>
        </w:rPr>
        <w:t>Figure  5.1</w:t>
      </w:r>
      <w:r>
        <w:rPr>
          <w:spacing w:val="-3"/>
        </w:rPr>
        <w:tab/>
        <w:t xml:space="preserve">Surface configuration showing increasing roughness with decreasing values of </w:t>
      </w:r>
      <w:r>
        <w:rPr>
          <w:i/>
          <w:iCs/>
          <w:spacing w:val="-3"/>
        </w:rPr>
        <w:t>L</w:t>
      </w:r>
      <w:r>
        <w:rPr>
          <w:spacing w:val="-3"/>
          <w:vertAlign w:val="subscript"/>
        </w:rPr>
        <w:t>m</w:t>
      </w:r>
      <w:r>
        <w:rPr>
          <w:spacing w:val="-3"/>
        </w:rPr>
        <w:t>/</w:t>
      </w:r>
      <w:r>
        <w:rPr>
          <w:i/>
          <w:iCs/>
          <w:spacing w:val="-3"/>
        </w:rPr>
        <w:t>RT</w:t>
      </w:r>
      <w:r>
        <w:rPr>
          <w:spacing w:val="-3"/>
          <w:vertAlign w:val="subscript"/>
        </w:rPr>
        <w:t>m</w:t>
      </w:r>
      <w:r>
        <w:rPr>
          <w:spacing w:val="-3"/>
        </w:rPr>
        <w:t xml:space="preserve"> (LEAMY and GILMER [1974]). </w:t>
      </w:r>
      <w:r w:rsidR="000261B0">
        <w:rPr>
          <w:spacing w:val="-3"/>
        </w:rPr>
        <w:br/>
      </w:r>
    </w:p>
    <w:p w14:paraId="2AE2CEF2" w14:textId="77777777" w:rsidR="003753B9" w:rsidRDefault="003753B9" w:rsidP="003753B9">
      <w:pPr>
        <w:tabs>
          <w:tab w:val="left" w:pos="-720"/>
          <w:tab w:val="left" w:pos="0"/>
          <w:tab w:val="left" w:pos="720"/>
        </w:tabs>
        <w:suppressAutoHyphens/>
        <w:spacing w:line="240" w:lineRule="atLeast"/>
        <w:ind w:left="1440" w:hanging="1440"/>
        <w:rPr>
          <w:spacing w:val="-3"/>
        </w:rPr>
      </w:pPr>
      <w:r>
        <w:rPr>
          <w:spacing w:val="-3"/>
        </w:rPr>
        <w:t xml:space="preserve">Figure  5.2 </w:t>
      </w:r>
      <w:r>
        <w:rPr>
          <w:spacing w:val="-3"/>
        </w:rPr>
        <w:tab/>
        <w:t xml:space="preserve">Trajectories of the molecules in layers parallel to a (111) interface going from solid (layer 5) into the liquid (layer 8) that were obtained by molecular dynamics simulations by BROUGHTON </w:t>
      </w:r>
      <w:r>
        <w:rPr>
          <w:i/>
          <w:iCs/>
          <w:spacing w:val="-3"/>
        </w:rPr>
        <w:t>et al.</w:t>
      </w:r>
      <w:r>
        <w:rPr>
          <w:spacing w:val="-3"/>
        </w:rPr>
        <w:t xml:space="preserve"> [1981].</w:t>
      </w:r>
    </w:p>
    <w:p w14:paraId="5A29EA16" w14:textId="77777777" w:rsidR="003753B9" w:rsidRDefault="003753B9" w:rsidP="000261B0">
      <w:pPr>
        <w:tabs>
          <w:tab w:val="left" w:pos="-720"/>
        </w:tabs>
        <w:suppressAutoHyphens/>
        <w:spacing w:line="240" w:lineRule="atLeast"/>
        <w:jc w:val="center"/>
        <w:rPr>
          <w:spacing w:val="-3"/>
        </w:rPr>
      </w:pPr>
    </w:p>
    <w:p w14:paraId="15063579" w14:textId="77777777" w:rsidR="003753B9" w:rsidRDefault="003753B9" w:rsidP="003753B9">
      <w:pPr>
        <w:tabs>
          <w:tab w:val="left" w:pos="-720"/>
          <w:tab w:val="left" w:pos="0"/>
          <w:tab w:val="left" w:pos="720"/>
        </w:tabs>
        <w:suppressAutoHyphens/>
        <w:spacing w:line="240" w:lineRule="atLeast"/>
        <w:ind w:left="1440" w:hanging="1440"/>
        <w:rPr>
          <w:spacing w:val="-3"/>
        </w:rPr>
      </w:pPr>
      <w:r>
        <w:rPr>
          <w:spacing w:val="-3"/>
        </w:rPr>
        <w:t xml:space="preserve">Figure  5.3  </w:t>
      </w:r>
      <w:r>
        <w:rPr>
          <w:spacing w:val="-3"/>
        </w:rPr>
        <w:tab/>
        <w:t>Growth rate versus interface supercooling according to the three classical laws of interface kinetics.</w:t>
      </w:r>
    </w:p>
    <w:p w14:paraId="2A3E1084" w14:textId="77777777" w:rsidR="003753B9" w:rsidRDefault="003753B9" w:rsidP="003753B9">
      <w:pPr>
        <w:tabs>
          <w:tab w:val="left" w:pos="-720"/>
          <w:tab w:val="left" w:pos="0"/>
          <w:tab w:val="left" w:pos="720"/>
        </w:tabs>
        <w:suppressAutoHyphens/>
        <w:spacing w:line="240" w:lineRule="atLeast"/>
        <w:ind w:left="1440" w:hanging="1440"/>
        <w:rPr>
          <w:spacing w:val="-3"/>
        </w:rPr>
      </w:pPr>
    </w:p>
    <w:p w14:paraId="2A0C5C37" w14:textId="77777777" w:rsidR="003753B9" w:rsidRDefault="003753B9" w:rsidP="003753B9">
      <w:pPr>
        <w:tabs>
          <w:tab w:val="left" w:pos="-720"/>
          <w:tab w:val="left" w:pos="0"/>
          <w:tab w:val="left" w:pos="720"/>
        </w:tabs>
        <w:suppressAutoHyphens/>
        <w:spacing w:line="240" w:lineRule="atLeast"/>
        <w:ind w:left="1440" w:hanging="1440"/>
        <w:rPr>
          <w:spacing w:val="-3"/>
        </w:rPr>
      </w:pPr>
      <w:r>
        <w:rPr>
          <w:spacing w:val="-3"/>
        </w:rPr>
        <w:t xml:space="preserve">Figure  5.4 </w:t>
      </w:r>
      <w:r>
        <w:rPr>
          <w:spacing w:val="-3"/>
        </w:rPr>
        <w:tab/>
        <w:t xml:space="preserve">Plot of interface temperature vs. liquid composition </w:t>
      </w:r>
      <w:r>
        <w:rPr>
          <w:i/>
          <w:iCs/>
          <w:spacing w:val="-3"/>
        </w:rPr>
        <w:t>C</w:t>
      </w:r>
      <w:r>
        <w:rPr>
          <w:i/>
          <w:iCs/>
          <w:spacing w:val="-3"/>
          <w:vertAlign w:val="subscript"/>
        </w:rPr>
        <w:t>L</w:t>
      </w:r>
      <w:r>
        <w:rPr>
          <w:i/>
          <w:iCs/>
          <w:spacing w:val="-3"/>
          <w:vertAlign w:val="superscript"/>
        </w:rPr>
        <w:t>*</w:t>
      </w:r>
      <w:r>
        <w:rPr>
          <w:spacing w:val="-3"/>
        </w:rPr>
        <w:t xml:space="preserve"> at the interface for  a fixed solid composition, (</w:t>
      </w:r>
      <w:r>
        <w:rPr>
          <w:i/>
          <w:iCs/>
          <w:spacing w:val="-3"/>
        </w:rPr>
        <w:t>C</w:t>
      </w:r>
      <w:r>
        <w:rPr>
          <w:spacing w:val="-3"/>
          <w:vertAlign w:val="subscript"/>
        </w:rPr>
        <w:t>s</w:t>
      </w:r>
      <w:r>
        <w:rPr>
          <w:spacing w:val="-3"/>
          <w:vertAlign w:val="superscript"/>
        </w:rPr>
        <w:t>*</w:t>
      </w:r>
      <w:r w:rsidR="00BD6531">
        <w:rPr>
          <w:spacing w:val="-3"/>
        </w:rPr>
        <w:t>= 5 at</w:t>
      </w:r>
      <w:r>
        <w:rPr>
          <w:spacing w:val="-3"/>
        </w:rPr>
        <w:t>%), forming at the indicated velocities (in m/s) superimposed on the phase diagram.</w:t>
      </w:r>
    </w:p>
    <w:p w14:paraId="373A6FAA" w14:textId="77777777" w:rsidR="003753B9" w:rsidRDefault="003753B9" w:rsidP="000261B0">
      <w:pPr>
        <w:tabs>
          <w:tab w:val="left" w:pos="-720"/>
        </w:tabs>
        <w:suppressAutoHyphens/>
        <w:spacing w:line="240" w:lineRule="atLeast"/>
        <w:jc w:val="center"/>
        <w:rPr>
          <w:spacing w:val="-3"/>
        </w:rPr>
      </w:pPr>
    </w:p>
    <w:p w14:paraId="57DAA3C0" w14:textId="77777777" w:rsidR="00965B6D" w:rsidRDefault="003753B9" w:rsidP="00965B6D">
      <w:pPr>
        <w:tabs>
          <w:tab w:val="left" w:pos="-720"/>
          <w:tab w:val="left" w:pos="0"/>
          <w:tab w:val="left" w:pos="720"/>
        </w:tabs>
        <w:suppressAutoHyphens/>
        <w:spacing w:line="240" w:lineRule="atLeast"/>
        <w:ind w:left="1440" w:hanging="1440"/>
        <w:rPr>
          <w:spacing w:val="-3"/>
        </w:rPr>
      </w:pPr>
      <w:r>
        <w:rPr>
          <w:spacing w:val="-3"/>
        </w:rPr>
        <w:t xml:space="preserve">Figure  5.5 </w:t>
      </w:r>
      <w:r>
        <w:rPr>
          <w:spacing w:val="-3"/>
        </w:rPr>
        <w:tab/>
        <w:t xml:space="preserve">Kinetic interface condition diagram for ideal liquid and solid with pure component melting points as shown, pure component entropies of fusion equal to </w:t>
      </w:r>
      <w:r>
        <w:rPr>
          <w:i/>
          <w:iCs/>
          <w:spacing w:val="-3"/>
        </w:rPr>
        <w:t>R</w:t>
      </w:r>
      <w:r>
        <w:rPr>
          <w:spacing w:val="-3"/>
        </w:rPr>
        <w:t xml:space="preserve">, and </w:t>
      </w:r>
      <w:r>
        <w:rPr>
          <w:i/>
          <w:iCs/>
          <w:spacing w:val="-3"/>
        </w:rPr>
        <w:t>V</w:t>
      </w:r>
      <w:r>
        <w:rPr>
          <w:spacing w:val="-3"/>
          <w:vertAlign w:val="subscript"/>
        </w:rPr>
        <w:t>C</w:t>
      </w:r>
      <w:r>
        <w:rPr>
          <w:spacing w:val="-3"/>
        </w:rPr>
        <w:t>/</w:t>
      </w:r>
      <w:r>
        <w:rPr>
          <w:i/>
          <w:iCs/>
          <w:spacing w:val="-3"/>
        </w:rPr>
        <w:t>V</w:t>
      </w:r>
      <w:r>
        <w:rPr>
          <w:spacing w:val="-3"/>
          <w:vertAlign w:val="subscript"/>
        </w:rPr>
        <w:t>D</w:t>
      </w:r>
      <w:r>
        <w:rPr>
          <w:spacing w:val="-3"/>
        </w:rPr>
        <w:t xml:space="preserve">=100.  Dashed lines: equilibrium liquidus and solidus </w:t>
      </w:r>
      <w:r>
        <w:rPr>
          <w:spacing w:val="-3"/>
        </w:rPr>
        <w:lastRenderedPageBreak/>
        <w:t xml:space="preserve">labeled  zero, dash-dot lines: kinetic liquidus and solidus at different interface velocity given as values of </w:t>
      </w:r>
      <w:r>
        <w:rPr>
          <w:i/>
          <w:iCs/>
          <w:spacing w:val="-3"/>
        </w:rPr>
        <w:t>V</w:t>
      </w:r>
      <w:r>
        <w:rPr>
          <w:spacing w:val="-3"/>
        </w:rPr>
        <w:t>/</w:t>
      </w:r>
      <w:r>
        <w:rPr>
          <w:i/>
          <w:iCs/>
          <w:spacing w:val="-3"/>
        </w:rPr>
        <w:t>V</w:t>
      </w:r>
      <w:r>
        <w:rPr>
          <w:spacing w:val="-3"/>
          <w:vertAlign w:val="subscript"/>
        </w:rPr>
        <w:t>D</w:t>
      </w:r>
      <w:r>
        <w:rPr>
          <w:spacing w:val="-3"/>
        </w:rPr>
        <w:t xml:space="preserve">, dotted line: </w:t>
      </w:r>
      <w:r>
        <w:rPr>
          <w:i/>
          <w:iCs/>
          <w:spacing w:val="-3"/>
        </w:rPr>
        <w:t>T</w:t>
      </w:r>
      <w:r>
        <w:rPr>
          <w:spacing w:val="-3"/>
          <w:vertAlign w:val="subscript"/>
        </w:rPr>
        <w:t>0</w:t>
      </w:r>
      <w:r>
        <w:rPr>
          <w:spacing w:val="-3"/>
        </w:rPr>
        <w:t xml:space="preserve"> curve (AZIZ and KAPLAN [1988]).</w:t>
      </w:r>
    </w:p>
    <w:p w14:paraId="79C8D22A" w14:textId="77777777" w:rsidR="003753B9" w:rsidRDefault="003753B9" w:rsidP="000261B0">
      <w:pPr>
        <w:tabs>
          <w:tab w:val="left" w:pos="-720"/>
        </w:tabs>
        <w:suppressAutoHyphens/>
        <w:spacing w:line="240" w:lineRule="atLeast"/>
        <w:jc w:val="center"/>
        <w:rPr>
          <w:spacing w:val="-3"/>
        </w:rPr>
      </w:pPr>
    </w:p>
    <w:p w14:paraId="28339829" w14:textId="77777777" w:rsidR="0063267B" w:rsidRDefault="003753B9" w:rsidP="003753B9">
      <w:pPr>
        <w:tabs>
          <w:tab w:val="left" w:pos="-720"/>
          <w:tab w:val="left" w:pos="0"/>
          <w:tab w:val="left" w:pos="720"/>
        </w:tabs>
        <w:suppressAutoHyphens/>
        <w:spacing w:line="240" w:lineRule="atLeast"/>
        <w:ind w:left="1440" w:hanging="2160"/>
        <w:rPr>
          <w:spacing w:val="-3"/>
        </w:rPr>
      </w:pPr>
      <w:r>
        <w:rPr>
          <w:spacing w:val="-3"/>
        </w:rPr>
        <w:tab/>
        <w:t xml:space="preserve">Figure  6.1  </w:t>
      </w:r>
      <w:r>
        <w:rPr>
          <w:spacing w:val="-3"/>
        </w:rPr>
        <w:tab/>
        <w:t>Solute distribution remaining in the solid</w:t>
      </w:r>
      <w:r>
        <w:rPr>
          <w:i/>
          <w:iCs/>
          <w:spacing w:val="-3"/>
        </w:rPr>
        <w:t xml:space="preserve"> after</w:t>
      </w:r>
      <w:r>
        <w:rPr>
          <w:spacing w:val="-3"/>
        </w:rPr>
        <w:t xml:space="preserve"> one-dimensional  solidification: (a) equilibrium freezing; (b) complete liquid mixing with no solid diffusion; (c) diffusion in liquid only; (d) partial mixing in liquid, including convection.</w:t>
      </w:r>
    </w:p>
    <w:p w14:paraId="5E611CF5" w14:textId="77777777" w:rsidR="0063267B" w:rsidRDefault="0063267B" w:rsidP="003753B9">
      <w:pPr>
        <w:tabs>
          <w:tab w:val="left" w:pos="-720"/>
          <w:tab w:val="left" w:pos="0"/>
          <w:tab w:val="left" w:pos="720"/>
        </w:tabs>
        <w:suppressAutoHyphens/>
        <w:spacing w:line="240" w:lineRule="atLeast"/>
        <w:ind w:left="1440" w:hanging="2160"/>
        <w:rPr>
          <w:spacing w:val="-3"/>
        </w:rPr>
      </w:pPr>
    </w:p>
    <w:p w14:paraId="4EA0C875" w14:textId="77777777" w:rsidR="003753B9" w:rsidRDefault="003753B9" w:rsidP="003753B9">
      <w:pPr>
        <w:tabs>
          <w:tab w:val="left" w:pos="-720"/>
          <w:tab w:val="left" w:pos="0"/>
          <w:tab w:val="left" w:pos="720"/>
        </w:tabs>
        <w:suppressAutoHyphens/>
        <w:spacing w:line="240" w:lineRule="atLeast"/>
        <w:ind w:left="1440" w:hanging="1440"/>
        <w:rPr>
          <w:spacing w:val="-3"/>
        </w:rPr>
      </w:pPr>
      <w:r>
        <w:rPr>
          <w:spacing w:val="-3"/>
        </w:rPr>
        <w:t xml:space="preserve">Figure  6.2  </w:t>
      </w:r>
      <w:r>
        <w:rPr>
          <w:spacing w:val="-3"/>
        </w:rPr>
        <w:tab/>
        <w:t xml:space="preserve">Development of initial and final transient during steady-state diffusion controlled planar solidification for an alloy of composition </w:t>
      </w:r>
      <w:r>
        <w:rPr>
          <w:i/>
          <w:iCs/>
          <w:spacing w:val="-3"/>
        </w:rPr>
        <w:t>C</w:t>
      </w:r>
      <w:r>
        <w:rPr>
          <w:spacing w:val="-3"/>
          <w:vertAlign w:val="subscript"/>
        </w:rPr>
        <w:t>0</w:t>
      </w:r>
      <w:r>
        <w:rPr>
          <w:spacing w:val="-3"/>
        </w:rPr>
        <w:t>( KURZ and FISHER [1989]).</w:t>
      </w:r>
    </w:p>
    <w:p w14:paraId="09370819" w14:textId="77777777" w:rsidR="003753B9" w:rsidRDefault="003753B9" w:rsidP="000261B0">
      <w:pPr>
        <w:tabs>
          <w:tab w:val="left" w:pos="-720"/>
        </w:tabs>
        <w:suppressAutoHyphens/>
        <w:spacing w:line="240" w:lineRule="atLeast"/>
        <w:jc w:val="center"/>
        <w:rPr>
          <w:spacing w:val="-3"/>
        </w:rPr>
      </w:pPr>
    </w:p>
    <w:p w14:paraId="1F3E6786" w14:textId="77777777" w:rsidR="003753B9" w:rsidRDefault="003753B9" w:rsidP="003753B9">
      <w:pPr>
        <w:tabs>
          <w:tab w:val="left" w:pos="-720"/>
          <w:tab w:val="left" w:pos="0"/>
          <w:tab w:val="left" w:pos="720"/>
        </w:tabs>
        <w:suppressAutoHyphens/>
        <w:spacing w:line="240" w:lineRule="atLeast"/>
        <w:ind w:left="1440" w:hanging="1440"/>
        <w:rPr>
          <w:spacing w:val="-3"/>
        </w:rPr>
      </w:pPr>
      <w:r>
        <w:rPr>
          <w:spacing w:val="-3"/>
        </w:rPr>
        <w:t xml:space="preserve">Figure  6.3 </w:t>
      </w:r>
      <w:r>
        <w:rPr>
          <w:spacing w:val="-3"/>
        </w:rPr>
        <w:tab/>
        <w:t>Temperature and solute profile for</w:t>
      </w:r>
      <w:r>
        <w:rPr>
          <w:i/>
          <w:iCs/>
          <w:spacing w:val="-3"/>
        </w:rPr>
        <w:t xml:space="preserve"> k</w:t>
      </w:r>
      <w:r>
        <w:rPr>
          <w:spacing w:val="-3"/>
          <w:vertAlign w:val="subscript"/>
        </w:rPr>
        <w:t>E</w:t>
      </w:r>
      <w:r>
        <w:rPr>
          <w:spacing w:val="-3"/>
        </w:rPr>
        <w:t xml:space="preserve"> &lt; 1 as a function of distance </w:t>
      </w:r>
      <w:r>
        <w:rPr>
          <w:i/>
          <w:iCs/>
          <w:spacing w:val="-3"/>
        </w:rPr>
        <w:t>z</w:t>
      </w:r>
      <w:r>
        <w:rPr>
          <w:spacing w:val="-3"/>
        </w:rPr>
        <w:t xml:space="preserve"> measured from the </w:t>
      </w:r>
      <w:r w:rsidR="004201E7">
        <w:rPr>
          <w:spacing w:val="-3"/>
        </w:rPr>
        <w:t>L-S</w:t>
      </w:r>
      <w:r>
        <w:rPr>
          <w:spacing w:val="-3"/>
        </w:rPr>
        <w:t xml:space="preserve"> interface when constrained growth at a velocity </w:t>
      </w:r>
      <w:r>
        <w:rPr>
          <w:i/>
          <w:iCs/>
          <w:spacing w:val="-3"/>
        </w:rPr>
        <w:t>V</w:t>
      </w:r>
      <w:r>
        <w:rPr>
          <w:spacing w:val="-3"/>
        </w:rPr>
        <w:t xml:space="preserve"> occurs for a binary alloy. The concept of constitutional supercooling is shown ahead of the interface. </w:t>
      </w:r>
    </w:p>
    <w:p w14:paraId="38163B40" w14:textId="77777777" w:rsidR="003753B9" w:rsidRDefault="003753B9" w:rsidP="003753B9">
      <w:pPr>
        <w:tabs>
          <w:tab w:val="left" w:pos="-720"/>
        </w:tabs>
        <w:suppressAutoHyphens/>
        <w:spacing w:line="240" w:lineRule="atLeast"/>
        <w:rPr>
          <w:spacing w:val="-3"/>
        </w:rPr>
      </w:pPr>
    </w:p>
    <w:p w14:paraId="47EBC93C" w14:textId="77777777" w:rsidR="003753B9" w:rsidRDefault="003753B9" w:rsidP="003753B9">
      <w:pPr>
        <w:tabs>
          <w:tab w:val="left" w:pos="-720"/>
          <w:tab w:val="left" w:pos="0"/>
          <w:tab w:val="left" w:pos="720"/>
        </w:tabs>
        <w:suppressAutoHyphens/>
        <w:spacing w:line="240" w:lineRule="atLeast"/>
        <w:ind w:left="1440" w:hanging="1440"/>
        <w:rPr>
          <w:spacing w:val="-3"/>
        </w:rPr>
      </w:pPr>
      <w:r>
        <w:rPr>
          <w:spacing w:val="-3"/>
        </w:rPr>
        <w:t xml:space="preserve">Figure  6.4 </w:t>
      </w:r>
      <w:r>
        <w:rPr>
          <w:spacing w:val="-3"/>
        </w:rPr>
        <w:tab/>
        <w:t>Summary of the results of interface stability theory for Al-rich Al-Cu alloys (CORIELL and BOETTINGER [1994]).</w:t>
      </w:r>
    </w:p>
    <w:p w14:paraId="3B93EB79" w14:textId="77777777" w:rsidR="003753B9" w:rsidRDefault="003753B9" w:rsidP="003753B9">
      <w:pPr>
        <w:tabs>
          <w:tab w:val="left" w:pos="-720"/>
        </w:tabs>
        <w:suppressAutoHyphens/>
        <w:spacing w:line="240" w:lineRule="atLeast"/>
        <w:rPr>
          <w:spacing w:val="-3"/>
        </w:rPr>
      </w:pPr>
    </w:p>
    <w:p w14:paraId="34BD5148" w14:textId="77777777" w:rsidR="003753B9" w:rsidRDefault="003753B9" w:rsidP="003753B9">
      <w:pPr>
        <w:tabs>
          <w:tab w:val="left" w:pos="-720"/>
          <w:tab w:val="left" w:pos="0"/>
          <w:tab w:val="left" w:pos="720"/>
        </w:tabs>
        <w:suppressAutoHyphens/>
        <w:spacing w:line="240" w:lineRule="atLeast"/>
        <w:ind w:left="1440" w:hanging="1440"/>
        <w:rPr>
          <w:spacing w:val="-3"/>
        </w:rPr>
      </w:pPr>
      <w:r>
        <w:rPr>
          <w:spacing w:val="-3"/>
        </w:rPr>
        <w:t xml:space="preserve">Figure  6.5 </w:t>
      </w:r>
      <w:r>
        <w:rPr>
          <w:spacing w:val="-3"/>
        </w:rPr>
        <w:tab/>
        <w:t>Evolution of the segregation substructure as a function of constitutional supercooling shown by decanting the interface (left) and slightly  behind it  by  metallographic sectioning (right).</w:t>
      </w:r>
      <w:r w:rsidR="0063267B">
        <w:rPr>
          <w:spacing w:val="-3"/>
        </w:rPr>
        <w:t xml:space="preserve"> The growth direction is normal to the page.</w:t>
      </w:r>
      <w:r>
        <w:rPr>
          <w:spacing w:val="-3"/>
        </w:rPr>
        <w:t xml:space="preserve"> The amount of CS increases from (a) to (d). Magnifications: a) left: x 100, right: x 100; b) left: x 100, right: x 50; c) left: x 150, right: x 50; d) left: x 50, right: x 150 (BILONI [1970]).</w:t>
      </w:r>
    </w:p>
    <w:p w14:paraId="5DE40634" w14:textId="77777777" w:rsidR="003753B9" w:rsidRDefault="003753B9" w:rsidP="000261B0">
      <w:pPr>
        <w:tabs>
          <w:tab w:val="left" w:pos="-720"/>
        </w:tabs>
        <w:suppressAutoHyphens/>
        <w:spacing w:line="240" w:lineRule="atLeast"/>
        <w:jc w:val="center"/>
        <w:rPr>
          <w:spacing w:val="-3"/>
        </w:rPr>
      </w:pPr>
    </w:p>
    <w:p w14:paraId="0FCEEAEF" w14:textId="77777777" w:rsidR="003753B9" w:rsidRDefault="003753B9" w:rsidP="003753B9">
      <w:pPr>
        <w:tabs>
          <w:tab w:val="left" w:pos="-720"/>
          <w:tab w:val="left" w:pos="0"/>
          <w:tab w:val="left" w:pos="720"/>
        </w:tabs>
        <w:suppressAutoHyphens/>
        <w:spacing w:line="240" w:lineRule="atLeast"/>
        <w:ind w:left="1440" w:hanging="1440"/>
        <w:rPr>
          <w:spacing w:val="-3"/>
        </w:rPr>
      </w:pPr>
      <w:r>
        <w:rPr>
          <w:spacing w:val="-3"/>
        </w:rPr>
        <w:t xml:space="preserve">Figure  6.6 </w:t>
      </w:r>
      <w:r>
        <w:rPr>
          <w:spacing w:val="-3"/>
        </w:rPr>
        <w:tab/>
        <w:t>(a) Velocity-dependence of measured partition coefficient of Sn in (100) Si.</w:t>
      </w:r>
      <w:r>
        <w:rPr>
          <w:i/>
          <w:iCs/>
          <w:spacing w:val="-3"/>
        </w:rPr>
        <w:t xml:space="preserve"> k</w:t>
      </w:r>
      <w:r>
        <w:rPr>
          <w:spacing w:val="-3"/>
          <w:vertAlign w:val="subscript"/>
        </w:rPr>
        <w:t>E</w:t>
      </w:r>
      <w:r>
        <w:rPr>
          <w:spacing w:val="-3"/>
        </w:rPr>
        <w:t xml:space="preserve">=0.016. Data are fit with </w:t>
      </w:r>
      <w:r>
        <w:rPr>
          <w:i/>
          <w:iCs/>
          <w:spacing w:val="-3"/>
        </w:rPr>
        <w:t>V</w:t>
      </w:r>
      <w:r>
        <w:rPr>
          <w:spacing w:val="-3"/>
          <w:vertAlign w:val="subscript"/>
        </w:rPr>
        <w:t>D</w:t>
      </w:r>
      <w:r>
        <w:rPr>
          <w:spacing w:val="-3"/>
        </w:rPr>
        <w:t>=17 m/s. (b) Critical concentration above which cellular breakdown occurs: dashed curve stability theory using</w:t>
      </w:r>
      <w:r>
        <w:rPr>
          <w:i/>
          <w:iCs/>
          <w:spacing w:val="-3"/>
        </w:rPr>
        <w:t xml:space="preserve"> k</w:t>
      </w:r>
      <w:r>
        <w:rPr>
          <w:spacing w:val="-3"/>
          <w:vertAlign w:val="subscript"/>
        </w:rPr>
        <w:t>E</w:t>
      </w:r>
      <w:r>
        <w:rPr>
          <w:spacing w:val="-3"/>
        </w:rPr>
        <w:t xml:space="preserve">; solid line, stability theory using velocity dependent </w:t>
      </w:r>
      <w:r>
        <w:rPr>
          <w:i/>
          <w:iCs/>
          <w:spacing w:val="-3"/>
        </w:rPr>
        <w:t>k(V)</w:t>
      </w:r>
      <w:r>
        <w:rPr>
          <w:spacing w:val="-3"/>
        </w:rPr>
        <w:t xml:space="preserve"> and</w:t>
      </w:r>
      <w:r>
        <w:rPr>
          <w:i/>
          <w:iCs/>
          <w:spacing w:val="-3"/>
        </w:rPr>
        <w:t xml:space="preserve"> m</w:t>
      </w:r>
      <w:r>
        <w:rPr>
          <w:spacing w:val="-3"/>
          <w:vertAlign w:val="subscript"/>
        </w:rPr>
        <w:t>L</w:t>
      </w:r>
      <w:r>
        <w:rPr>
          <w:i/>
          <w:iCs/>
          <w:spacing w:val="-3"/>
        </w:rPr>
        <w:t>(V)</w:t>
      </w:r>
      <w:r>
        <w:rPr>
          <w:spacing w:val="-3"/>
        </w:rPr>
        <w:t xml:space="preserve"> (HOAGLUND </w:t>
      </w:r>
      <w:r>
        <w:rPr>
          <w:i/>
          <w:iCs/>
          <w:spacing w:val="-3"/>
        </w:rPr>
        <w:t>et al.</w:t>
      </w:r>
      <w:r>
        <w:rPr>
          <w:spacing w:val="-3"/>
        </w:rPr>
        <w:t xml:space="preserve"> [1991]).</w:t>
      </w:r>
    </w:p>
    <w:p w14:paraId="101797D6" w14:textId="77777777" w:rsidR="003753B9" w:rsidRDefault="003753B9" w:rsidP="000261B0">
      <w:pPr>
        <w:tabs>
          <w:tab w:val="left" w:pos="-720"/>
        </w:tabs>
        <w:suppressAutoHyphens/>
        <w:spacing w:line="240" w:lineRule="atLeast"/>
        <w:jc w:val="center"/>
        <w:rPr>
          <w:spacing w:val="-3"/>
        </w:rPr>
      </w:pPr>
    </w:p>
    <w:p w14:paraId="7428AB61" w14:textId="77777777" w:rsidR="003753B9" w:rsidRDefault="003753B9" w:rsidP="003753B9">
      <w:pPr>
        <w:tabs>
          <w:tab w:val="left" w:pos="-720"/>
          <w:tab w:val="left" w:pos="0"/>
          <w:tab w:val="left" w:pos="720"/>
        </w:tabs>
        <w:suppressAutoHyphens/>
        <w:spacing w:line="240" w:lineRule="atLeast"/>
        <w:ind w:left="1440" w:hanging="1440"/>
        <w:rPr>
          <w:spacing w:val="-3"/>
        </w:rPr>
      </w:pPr>
      <w:r>
        <w:rPr>
          <w:spacing w:val="-3"/>
        </w:rPr>
        <w:t xml:space="preserve">Figure  6.7 </w:t>
      </w:r>
      <w:r>
        <w:rPr>
          <w:spacing w:val="-3"/>
        </w:rPr>
        <w:tab/>
        <w:t>Macroscopic interface shape  across the full diameter of 4mm for an Al-10</w:t>
      </w:r>
      <w:r w:rsidR="00BD6531">
        <w:rPr>
          <w:spacing w:val="-3"/>
        </w:rPr>
        <w:t xml:space="preserve"> wt</w:t>
      </w:r>
      <w:r>
        <w:rPr>
          <w:spacing w:val="-3"/>
        </w:rPr>
        <w:t xml:space="preserve">%Cu alloy grown at </w:t>
      </w:r>
      <w:r>
        <w:rPr>
          <w:i/>
          <w:iCs/>
          <w:spacing w:val="-3"/>
        </w:rPr>
        <w:t>V</w:t>
      </w:r>
      <w:r>
        <w:rPr>
          <w:spacing w:val="-3"/>
        </w:rPr>
        <w:t>=2.8x10</w:t>
      </w:r>
      <w:r>
        <w:rPr>
          <w:spacing w:val="-3"/>
          <w:vertAlign w:val="superscript"/>
        </w:rPr>
        <w:t>-4</w:t>
      </w:r>
      <w:r>
        <w:rPr>
          <w:spacing w:val="-3"/>
        </w:rPr>
        <w:t xml:space="preserve">cm/s and </w:t>
      </w:r>
      <w:r>
        <w:rPr>
          <w:i/>
          <w:iCs/>
          <w:spacing w:val="-3"/>
        </w:rPr>
        <w:t>G</w:t>
      </w:r>
      <w:r>
        <w:rPr>
          <w:spacing w:val="-3"/>
          <w:vertAlign w:val="subscript"/>
        </w:rPr>
        <w:t>L</w:t>
      </w:r>
      <w:r>
        <w:rPr>
          <w:spacing w:val="-3"/>
        </w:rPr>
        <w:t xml:space="preserve">=60K/cm due to solute convection (BURDEN </w:t>
      </w:r>
      <w:r>
        <w:rPr>
          <w:i/>
          <w:iCs/>
          <w:spacing w:val="-3"/>
        </w:rPr>
        <w:t>et al.</w:t>
      </w:r>
      <w:r>
        <w:rPr>
          <w:spacing w:val="-3"/>
        </w:rPr>
        <w:t xml:space="preserve"> [1973]).</w:t>
      </w:r>
    </w:p>
    <w:p w14:paraId="5743A2BF" w14:textId="77777777" w:rsidR="003753B9" w:rsidRDefault="003753B9" w:rsidP="003753B9">
      <w:pPr>
        <w:tabs>
          <w:tab w:val="left" w:pos="-720"/>
        </w:tabs>
        <w:suppressAutoHyphens/>
        <w:spacing w:line="240" w:lineRule="atLeast"/>
        <w:rPr>
          <w:spacing w:val="-3"/>
        </w:rPr>
      </w:pPr>
    </w:p>
    <w:p w14:paraId="58C752A0" w14:textId="77777777" w:rsidR="003753B9" w:rsidRDefault="003753B9" w:rsidP="003753B9">
      <w:pPr>
        <w:tabs>
          <w:tab w:val="left" w:pos="-720"/>
        </w:tabs>
        <w:suppressAutoHyphens/>
        <w:spacing w:line="240" w:lineRule="atLeast"/>
        <w:rPr>
          <w:spacing w:val="-3"/>
        </w:rPr>
      </w:pPr>
    </w:p>
    <w:p w14:paraId="71B9AAC6" w14:textId="77777777" w:rsidR="003753B9" w:rsidRPr="00A945D2" w:rsidRDefault="003753B9" w:rsidP="003753B9">
      <w:pPr>
        <w:tabs>
          <w:tab w:val="left" w:pos="-720"/>
          <w:tab w:val="left" w:pos="0"/>
          <w:tab w:val="left" w:pos="720"/>
        </w:tabs>
        <w:suppressAutoHyphens/>
        <w:spacing w:line="240" w:lineRule="atLeast"/>
        <w:ind w:left="1440" w:hanging="1440"/>
        <w:rPr>
          <w:color w:val="FF0000"/>
          <w:spacing w:val="-3"/>
        </w:rPr>
      </w:pPr>
      <w:r>
        <w:rPr>
          <w:spacing w:val="-3"/>
        </w:rPr>
        <w:t xml:space="preserve">Figure  7.1 </w:t>
      </w:r>
      <w:r>
        <w:rPr>
          <w:spacing w:val="-3"/>
        </w:rPr>
        <w:tab/>
        <w:t xml:space="preserve">Calculated relationship between growth velocity and tip radius for dendritic growth of Ag-15 wt% Cu for a bulk supercooling of 50K, as given by Eqn. 7.7. Point </w:t>
      </w:r>
      <w:r>
        <w:rPr>
          <w:i/>
          <w:iCs/>
          <w:spacing w:val="-3"/>
        </w:rPr>
        <w:t>M</w:t>
      </w:r>
      <w:r>
        <w:rPr>
          <w:spacing w:val="-3"/>
        </w:rPr>
        <w:t xml:space="preserve"> corresponds to the maximum growth rate hypothesis and point </w:t>
      </w:r>
      <w:r>
        <w:rPr>
          <w:i/>
          <w:iCs/>
          <w:spacing w:val="-3"/>
        </w:rPr>
        <w:t>S</w:t>
      </w:r>
      <w:r>
        <w:rPr>
          <w:spacing w:val="-3"/>
        </w:rPr>
        <w:t xml:space="preserve"> is the operating point of the dendrite corresponding to the marginal stability hypothesis, Eqn. 7.8, shown dashed. </w:t>
      </w:r>
    </w:p>
    <w:p w14:paraId="7AD96849" w14:textId="77777777" w:rsidR="003753B9" w:rsidRDefault="003753B9" w:rsidP="000261B0">
      <w:pPr>
        <w:tabs>
          <w:tab w:val="left" w:pos="-720"/>
        </w:tabs>
        <w:suppressAutoHyphens/>
        <w:spacing w:line="240" w:lineRule="atLeast"/>
        <w:jc w:val="center"/>
        <w:rPr>
          <w:spacing w:val="-3"/>
        </w:rPr>
      </w:pPr>
    </w:p>
    <w:p w14:paraId="0182AA31" w14:textId="77777777" w:rsidR="003753B9" w:rsidRDefault="003753B9" w:rsidP="003753B9">
      <w:pPr>
        <w:tabs>
          <w:tab w:val="left" w:pos="-720"/>
          <w:tab w:val="left" w:pos="0"/>
          <w:tab w:val="left" w:pos="720"/>
        </w:tabs>
        <w:suppressAutoHyphens/>
        <w:spacing w:line="240" w:lineRule="atLeast"/>
        <w:ind w:left="1440" w:hanging="1440"/>
        <w:rPr>
          <w:spacing w:val="-3"/>
        </w:rPr>
      </w:pPr>
      <w:r>
        <w:rPr>
          <w:spacing w:val="-3"/>
        </w:rPr>
        <w:lastRenderedPageBreak/>
        <w:t xml:space="preserve">Figure  7.2 </w:t>
      </w:r>
      <w:r>
        <w:rPr>
          <w:spacing w:val="-3"/>
        </w:rPr>
        <w:tab/>
        <w:t>Plots of calculations for free dendritic growth of Ag</w:t>
      </w:r>
      <w:r>
        <w:rPr>
          <w:spacing w:val="-3"/>
        </w:rPr>
        <w:noBreakHyphen/>
        <w:t>15 wt% Cu for various supercoolings below the liquidus,</w:t>
      </w:r>
      <w:r>
        <w:rPr>
          <w:i/>
          <w:iCs/>
          <w:spacing w:val="-3"/>
        </w:rPr>
        <w:t xml:space="preserve"> ΔT</w:t>
      </w:r>
      <w:r>
        <w:rPr>
          <w:spacing w:val="-3"/>
        </w:rPr>
        <w:t xml:space="preserve">: (a) growth velocity, </w:t>
      </w:r>
      <w:r>
        <w:rPr>
          <w:i/>
          <w:iCs/>
          <w:spacing w:val="-3"/>
        </w:rPr>
        <w:t>V</w:t>
      </w:r>
      <w:r>
        <w:rPr>
          <w:spacing w:val="-3"/>
        </w:rPr>
        <w:t xml:space="preserve">; (b) non-equilibrium partition coefficient, </w:t>
      </w:r>
      <w:r>
        <w:rPr>
          <w:i/>
          <w:iCs/>
          <w:spacing w:val="-3"/>
        </w:rPr>
        <w:t>k</w:t>
      </w:r>
      <w:r w:rsidRPr="00D30FB8">
        <w:rPr>
          <w:iCs/>
          <w:spacing w:val="-3"/>
        </w:rPr>
        <w:t>(</w:t>
      </w:r>
      <w:r>
        <w:rPr>
          <w:spacing w:val="-3"/>
        </w:rPr>
        <w:t>V</w:t>
      </w:r>
      <w:r w:rsidRPr="00D30FB8">
        <w:rPr>
          <w:iCs/>
          <w:spacing w:val="-3"/>
        </w:rPr>
        <w:t>)</w:t>
      </w:r>
      <w:r>
        <w:rPr>
          <w:spacing w:val="-3"/>
        </w:rPr>
        <w:t xml:space="preserve">; (c) solid composition at the dendrite tip, </w:t>
      </w:r>
      <w:r>
        <w:rPr>
          <w:i/>
          <w:iCs/>
          <w:spacing w:val="-3"/>
        </w:rPr>
        <w:t>C</w:t>
      </w:r>
      <w:r>
        <w:rPr>
          <w:spacing w:val="-3"/>
          <w:vertAlign w:val="subscript"/>
        </w:rPr>
        <w:t>S</w:t>
      </w:r>
      <w:r>
        <w:rPr>
          <w:spacing w:val="-3"/>
          <w:vertAlign w:val="superscript"/>
        </w:rPr>
        <w:t>*</w:t>
      </w:r>
      <w:r>
        <w:rPr>
          <w:spacing w:val="-3"/>
        </w:rPr>
        <w:t>; and (d) tip radius</w:t>
      </w:r>
      <w:r>
        <w:rPr>
          <w:i/>
          <w:iCs/>
          <w:spacing w:val="-3"/>
        </w:rPr>
        <w:t xml:space="preserve"> r.(</w:t>
      </w:r>
      <w:r>
        <w:rPr>
          <w:spacing w:val="-3"/>
        </w:rPr>
        <w:t xml:space="preserve"> BOETTINGER</w:t>
      </w:r>
      <w:r>
        <w:rPr>
          <w:i/>
          <w:iCs/>
          <w:spacing w:val="-3"/>
        </w:rPr>
        <w:t xml:space="preserve"> et al.</w:t>
      </w:r>
      <w:r>
        <w:rPr>
          <w:spacing w:val="-3"/>
        </w:rPr>
        <w:t xml:space="preserve"> [1988</w:t>
      </w:r>
      <w:r w:rsidR="00742CE6">
        <w:rPr>
          <w:spacing w:val="-3"/>
        </w:rPr>
        <w:t>b</w:t>
      </w:r>
      <w:r>
        <w:rPr>
          <w:spacing w:val="-3"/>
        </w:rPr>
        <w:t>]).</w:t>
      </w:r>
    </w:p>
    <w:p w14:paraId="0CC7BC0C" w14:textId="77777777" w:rsidR="003753B9" w:rsidRDefault="003753B9" w:rsidP="000261B0">
      <w:pPr>
        <w:tabs>
          <w:tab w:val="left" w:pos="-720"/>
        </w:tabs>
        <w:suppressAutoHyphens/>
        <w:spacing w:line="240" w:lineRule="atLeast"/>
        <w:jc w:val="center"/>
        <w:rPr>
          <w:spacing w:val="-3"/>
        </w:rPr>
      </w:pPr>
    </w:p>
    <w:p w14:paraId="6585CC35" w14:textId="77777777" w:rsidR="003753B9" w:rsidRDefault="003753B9" w:rsidP="003753B9">
      <w:pPr>
        <w:tabs>
          <w:tab w:val="left" w:pos="-720"/>
          <w:tab w:val="left" w:pos="0"/>
          <w:tab w:val="left" w:pos="720"/>
        </w:tabs>
        <w:suppressAutoHyphens/>
        <w:spacing w:line="240" w:lineRule="atLeast"/>
        <w:ind w:left="1440" w:hanging="1440"/>
        <w:rPr>
          <w:spacing w:val="-3"/>
        </w:rPr>
      </w:pPr>
      <w:r>
        <w:rPr>
          <w:spacing w:val="-3"/>
        </w:rPr>
        <w:t xml:space="preserve">Figure  7.3 </w:t>
      </w:r>
      <w:r>
        <w:rPr>
          <w:spacing w:val="-3"/>
        </w:rPr>
        <w:tab/>
        <w:t>Calculated dendrite tip radius (a) and tip temperature (b) for Ag-Cu alloys of the noted compositions as a function of velocity for constrained growth at a temperature gradient of 10</w:t>
      </w:r>
      <w:r>
        <w:rPr>
          <w:spacing w:val="-3"/>
          <w:vertAlign w:val="superscript"/>
        </w:rPr>
        <w:t>5</w:t>
      </w:r>
      <w:r>
        <w:rPr>
          <w:i/>
          <w:iCs/>
          <w:spacing w:val="-3"/>
        </w:rPr>
        <w:t>K</w:t>
      </w:r>
      <w:r>
        <w:rPr>
          <w:spacing w:val="-3"/>
        </w:rPr>
        <w:t xml:space="preserve">/cm. In (b) the liquidus temperature is shown dashed. (KURZ, </w:t>
      </w:r>
      <w:r>
        <w:rPr>
          <w:i/>
          <w:iCs/>
          <w:spacing w:val="-3"/>
        </w:rPr>
        <w:t>et al.</w:t>
      </w:r>
      <w:r>
        <w:rPr>
          <w:spacing w:val="-3"/>
        </w:rPr>
        <w:t xml:space="preserve"> [1986]).</w:t>
      </w:r>
    </w:p>
    <w:p w14:paraId="58F80D45" w14:textId="77777777" w:rsidR="000261B0" w:rsidRDefault="000261B0" w:rsidP="000261B0">
      <w:pPr>
        <w:tabs>
          <w:tab w:val="left" w:pos="-720"/>
          <w:tab w:val="left" w:pos="0"/>
          <w:tab w:val="left" w:pos="720"/>
        </w:tabs>
        <w:suppressAutoHyphens/>
        <w:spacing w:line="240" w:lineRule="atLeast"/>
        <w:ind w:left="1440" w:hanging="1440"/>
        <w:jc w:val="center"/>
        <w:rPr>
          <w:spacing w:val="-3"/>
        </w:rPr>
      </w:pPr>
    </w:p>
    <w:p w14:paraId="3F21E389" w14:textId="77777777" w:rsidR="003753B9" w:rsidRDefault="003753B9" w:rsidP="003753B9">
      <w:pPr>
        <w:tabs>
          <w:tab w:val="left" w:pos="-720"/>
          <w:tab w:val="left" w:pos="0"/>
          <w:tab w:val="left" w:pos="720"/>
        </w:tabs>
        <w:suppressAutoHyphens/>
        <w:spacing w:line="240" w:lineRule="atLeast"/>
        <w:ind w:left="1440" w:hanging="1440"/>
        <w:rPr>
          <w:spacing w:val="-3"/>
        </w:rPr>
      </w:pPr>
      <w:r>
        <w:rPr>
          <w:spacing w:val="-3"/>
        </w:rPr>
        <w:t xml:space="preserve">Figure  7.4 </w:t>
      </w:r>
      <w:r>
        <w:rPr>
          <w:spacing w:val="-3"/>
        </w:rPr>
        <w:tab/>
        <w:t xml:space="preserve">Comparison of theoretical and measured dendrite growth velocities as a function of alloy composition for a fixed bulk supercooling below the liquidus of 0.5K for succinonitrile-acetone alloys (CHOPRA </w:t>
      </w:r>
      <w:r>
        <w:rPr>
          <w:i/>
          <w:iCs/>
          <w:spacing w:val="-3"/>
        </w:rPr>
        <w:t>et al.</w:t>
      </w:r>
      <w:r>
        <w:rPr>
          <w:spacing w:val="-3"/>
        </w:rPr>
        <w:t xml:space="preserve"> [1988]).</w:t>
      </w:r>
    </w:p>
    <w:p w14:paraId="1222E5F3" w14:textId="77777777" w:rsidR="003753B9" w:rsidRDefault="003753B9" w:rsidP="000261B0">
      <w:pPr>
        <w:tabs>
          <w:tab w:val="left" w:pos="-720"/>
        </w:tabs>
        <w:suppressAutoHyphens/>
        <w:spacing w:line="240" w:lineRule="atLeast"/>
        <w:jc w:val="center"/>
        <w:rPr>
          <w:spacing w:val="-3"/>
        </w:rPr>
      </w:pPr>
    </w:p>
    <w:p w14:paraId="5FDC5352" w14:textId="77777777" w:rsidR="003753B9" w:rsidRDefault="003753B9" w:rsidP="003753B9">
      <w:pPr>
        <w:tabs>
          <w:tab w:val="left" w:pos="-720"/>
          <w:tab w:val="left" w:pos="0"/>
          <w:tab w:val="left" w:pos="720"/>
        </w:tabs>
        <w:suppressAutoHyphens/>
        <w:spacing w:line="240" w:lineRule="atLeast"/>
        <w:ind w:left="1440" w:hanging="1440"/>
        <w:rPr>
          <w:spacing w:val="-3"/>
        </w:rPr>
      </w:pPr>
      <w:r>
        <w:rPr>
          <w:spacing w:val="-3"/>
        </w:rPr>
        <w:t xml:space="preserve">Figure  7.5 </w:t>
      </w:r>
      <w:r>
        <w:rPr>
          <w:spacing w:val="-3"/>
        </w:rPr>
        <w:tab/>
        <w:t xml:space="preserve">Comparison of theoretical and measured dendrite growth velocities as a function of bulk supercooling below the liquidus for pure Ni and two Ni-B alloys. ECKLER </w:t>
      </w:r>
      <w:r>
        <w:rPr>
          <w:i/>
          <w:iCs/>
          <w:spacing w:val="-3"/>
        </w:rPr>
        <w:t>et al.</w:t>
      </w:r>
      <w:r>
        <w:rPr>
          <w:spacing w:val="-3"/>
        </w:rPr>
        <w:t xml:space="preserve"> [1992].</w:t>
      </w:r>
    </w:p>
    <w:p w14:paraId="22756BE6" w14:textId="77777777" w:rsidR="003753B9" w:rsidRDefault="003753B9" w:rsidP="000261B0">
      <w:pPr>
        <w:tabs>
          <w:tab w:val="left" w:pos="-720"/>
        </w:tabs>
        <w:suppressAutoHyphens/>
        <w:spacing w:line="240" w:lineRule="atLeast"/>
        <w:jc w:val="center"/>
        <w:rPr>
          <w:spacing w:val="-3"/>
        </w:rPr>
      </w:pPr>
    </w:p>
    <w:p w14:paraId="0DB91ABE" w14:textId="77777777" w:rsidR="003753B9" w:rsidRDefault="003753B9" w:rsidP="003753B9">
      <w:pPr>
        <w:tabs>
          <w:tab w:val="left" w:pos="-720"/>
          <w:tab w:val="left" w:pos="0"/>
          <w:tab w:val="left" w:pos="720"/>
        </w:tabs>
        <w:suppressAutoHyphens/>
        <w:spacing w:line="240" w:lineRule="atLeast"/>
        <w:ind w:left="1440" w:hanging="1440"/>
        <w:rPr>
          <w:spacing w:val="-3"/>
        </w:rPr>
      </w:pPr>
      <w:r>
        <w:rPr>
          <w:spacing w:val="-3"/>
        </w:rPr>
        <w:t xml:space="preserve">Figure  7.6 </w:t>
      </w:r>
      <w:r>
        <w:rPr>
          <w:spacing w:val="-3"/>
        </w:rPr>
        <w:tab/>
        <w:t>Measured average composition (circles) of cells of the Ag-rich phase in a Ag</w:t>
      </w:r>
      <w:r>
        <w:rPr>
          <w:spacing w:val="-3"/>
        </w:rPr>
        <w:noBreakHyphen/>
        <w:t xml:space="preserve">15 wt% Cu alloy as a function of solidification velocity (BOETTINGER </w:t>
      </w:r>
      <w:r>
        <w:rPr>
          <w:i/>
          <w:iCs/>
          <w:spacing w:val="-3"/>
        </w:rPr>
        <w:t>et al.</w:t>
      </w:r>
      <w:r>
        <w:rPr>
          <w:spacing w:val="-3"/>
        </w:rPr>
        <w:t xml:space="preserve"> [1987]).  The three curves are: i) the predictions of dendritic growth theory with velocity dependent partition coefficient, (solid curve), ii) without the velocity dependent partition coefficient, curve labeled IV/MS, iii) the older Burden-Hunt model labeled BH (KURZ </w:t>
      </w:r>
      <w:r>
        <w:rPr>
          <w:i/>
          <w:iCs/>
          <w:spacing w:val="-3"/>
        </w:rPr>
        <w:t>et al.</w:t>
      </w:r>
      <w:r>
        <w:rPr>
          <w:spacing w:val="-3"/>
        </w:rPr>
        <w:t xml:space="preserve"> [1988]). </w:t>
      </w:r>
    </w:p>
    <w:p w14:paraId="1143A9BE" w14:textId="77777777" w:rsidR="003753B9" w:rsidRDefault="003753B9" w:rsidP="000261B0">
      <w:pPr>
        <w:tabs>
          <w:tab w:val="left" w:pos="-720"/>
        </w:tabs>
        <w:suppressAutoHyphens/>
        <w:spacing w:line="240" w:lineRule="atLeast"/>
        <w:jc w:val="center"/>
        <w:rPr>
          <w:spacing w:val="-3"/>
        </w:rPr>
      </w:pPr>
    </w:p>
    <w:p w14:paraId="6BD392C5" w14:textId="77777777" w:rsidR="003753B9" w:rsidRDefault="003753B9" w:rsidP="003753B9">
      <w:pPr>
        <w:tabs>
          <w:tab w:val="left" w:pos="-720"/>
          <w:tab w:val="left" w:pos="0"/>
          <w:tab w:val="left" w:pos="720"/>
        </w:tabs>
        <w:suppressAutoHyphens/>
        <w:spacing w:line="240" w:lineRule="atLeast"/>
        <w:ind w:left="1440" w:hanging="1440"/>
        <w:rPr>
          <w:spacing w:val="-3"/>
        </w:rPr>
      </w:pPr>
      <w:r>
        <w:rPr>
          <w:spacing w:val="-3"/>
        </w:rPr>
        <w:t xml:space="preserve">Figure  7.7 </w:t>
      </w:r>
      <w:r>
        <w:rPr>
          <w:spacing w:val="-3"/>
        </w:rPr>
        <w:tab/>
        <w:t>Schematic illustration of primary spacing adjustment mechanism for cells and dendrites (HUNT and Lu [1996]).</w:t>
      </w:r>
    </w:p>
    <w:p w14:paraId="2EB28AFA" w14:textId="77777777" w:rsidR="003753B9" w:rsidRDefault="003753B9" w:rsidP="000261B0">
      <w:pPr>
        <w:tabs>
          <w:tab w:val="left" w:pos="-720"/>
        </w:tabs>
        <w:suppressAutoHyphens/>
        <w:spacing w:line="240" w:lineRule="atLeast"/>
        <w:jc w:val="center"/>
        <w:rPr>
          <w:spacing w:val="-3"/>
        </w:rPr>
      </w:pPr>
    </w:p>
    <w:p w14:paraId="128A5298" w14:textId="77777777" w:rsidR="003753B9" w:rsidRDefault="003753B9" w:rsidP="003753B9">
      <w:pPr>
        <w:tabs>
          <w:tab w:val="left" w:pos="-720"/>
          <w:tab w:val="left" w:pos="0"/>
          <w:tab w:val="left" w:pos="720"/>
        </w:tabs>
        <w:suppressAutoHyphens/>
        <w:spacing w:line="240" w:lineRule="atLeast"/>
        <w:ind w:left="1440" w:hanging="1440"/>
        <w:rPr>
          <w:spacing w:val="-3"/>
        </w:rPr>
      </w:pPr>
      <w:r>
        <w:rPr>
          <w:spacing w:val="-3"/>
        </w:rPr>
        <w:t xml:space="preserve">Figure 7.8 </w:t>
      </w:r>
      <w:r>
        <w:rPr>
          <w:spacing w:val="-3"/>
        </w:rPr>
        <w:tab/>
        <w:t>Comparison of the predicted ranges of cell/dendrite primary spacings with experimental results: (a) succinonitrile-0.35 wt% acetone; (b) Al-0.34</w:t>
      </w:r>
      <w:r w:rsidR="00BD6531">
        <w:rPr>
          <w:spacing w:val="-3"/>
        </w:rPr>
        <w:t xml:space="preserve"> </w:t>
      </w:r>
      <w:r>
        <w:rPr>
          <w:spacing w:val="-3"/>
        </w:rPr>
        <w:t>wt% Si-0.14</w:t>
      </w:r>
      <w:r w:rsidR="00BD6531">
        <w:rPr>
          <w:spacing w:val="-3"/>
        </w:rPr>
        <w:t xml:space="preserve"> </w:t>
      </w:r>
      <w:r>
        <w:rPr>
          <w:spacing w:val="-3"/>
        </w:rPr>
        <w:t>wt%</w:t>
      </w:r>
      <w:r w:rsidR="00BD6531">
        <w:rPr>
          <w:spacing w:val="-3"/>
        </w:rPr>
        <w:t xml:space="preserve"> </w:t>
      </w:r>
      <w:r>
        <w:rPr>
          <w:spacing w:val="-3"/>
        </w:rPr>
        <w:t>Mg (HUNT and Lu [1996]).</w:t>
      </w:r>
    </w:p>
    <w:p w14:paraId="5F8F466B" w14:textId="77777777" w:rsidR="003753B9" w:rsidRDefault="003753B9" w:rsidP="000261B0">
      <w:pPr>
        <w:tabs>
          <w:tab w:val="left" w:pos="-720"/>
          <w:tab w:val="left" w:pos="0"/>
          <w:tab w:val="left" w:pos="720"/>
        </w:tabs>
        <w:suppressAutoHyphens/>
        <w:spacing w:line="240" w:lineRule="atLeast"/>
        <w:ind w:left="1440" w:hanging="1440"/>
        <w:jc w:val="center"/>
        <w:rPr>
          <w:spacing w:val="-3"/>
        </w:rPr>
      </w:pPr>
    </w:p>
    <w:p w14:paraId="168D4F5D" w14:textId="77777777" w:rsidR="003753B9" w:rsidRPr="003769D2" w:rsidRDefault="003753B9" w:rsidP="003753B9">
      <w:pPr>
        <w:tabs>
          <w:tab w:val="left" w:pos="-720"/>
          <w:tab w:val="left" w:pos="0"/>
          <w:tab w:val="left" w:pos="720"/>
        </w:tabs>
        <w:suppressAutoHyphens/>
        <w:spacing w:line="240" w:lineRule="atLeast"/>
        <w:ind w:left="1440" w:hanging="1440"/>
        <w:rPr>
          <w:spacing w:val="-3"/>
        </w:rPr>
      </w:pPr>
      <w:r>
        <w:rPr>
          <w:spacing w:val="-3"/>
        </w:rPr>
        <w:t xml:space="preserve">Figure 7.9  </w:t>
      </w:r>
      <w:r>
        <w:rPr>
          <w:spacing w:val="-3"/>
        </w:rPr>
        <w:tab/>
      </w:r>
      <w:r w:rsidRPr="003769D2">
        <w:rPr>
          <w:spacing w:val="-3"/>
        </w:rPr>
        <w:t>Range of spacing</w:t>
      </w:r>
      <w:r>
        <w:rPr>
          <w:spacing w:val="-3"/>
        </w:rPr>
        <w:t>s</w:t>
      </w:r>
      <w:r w:rsidRPr="003769D2">
        <w:rPr>
          <w:spacing w:val="-3"/>
        </w:rPr>
        <w:t xml:space="preserve"> </w:t>
      </w:r>
      <w:r>
        <w:rPr>
          <w:spacing w:val="-3"/>
        </w:rPr>
        <w:t xml:space="preserve">for the existence of finger </w:t>
      </w:r>
      <w:r w:rsidRPr="003769D2">
        <w:rPr>
          <w:spacing w:val="-3"/>
        </w:rPr>
        <w:t>and</w:t>
      </w:r>
      <w:r>
        <w:rPr>
          <w:spacing w:val="-3"/>
        </w:rPr>
        <w:t xml:space="preserve"> </w:t>
      </w:r>
      <w:r w:rsidRPr="003769D2">
        <w:rPr>
          <w:spacing w:val="-3"/>
        </w:rPr>
        <w:t>needle axisymmetric steady-state growth solutions as a function</w:t>
      </w:r>
      <w:r>
        <w:rPr>
          <w:spacing w:val="-3"/>
        </w:rPr>
        <w:t xml:space="preserve"> </w:t>
      </w:r>
      <w:r w:rsidRPr="003769D2">
        <w:rPr>
          <w:spacing w:val="-3"/>
        </w:rPr>
        <w:t>of growth velocity for G=38 Kcm</w:t>
      </w:r>
      <w:r w:rsidR="00BD6531" w:rsidRPr="00BD6531">
        <w:rPr>
          <w:spacing w:val="-3"/>
          <w:vertAlign w:val="superscript"/>
        </w:rPr>
        <w:t>-1</w:t>
      </w:r>
      <w:r w:rsidRPr="003769D2">
        <w:rPr>
          <w:spacing w:val="-3"/>
        </w:rPr>
        <w:t xml:space="preserve">, </w:t>
      </w:r>
      <w:r>
        <w:rPr>
          <w:spacing w:val="-3"/>
        </w:rPr>
        <w:t>C</w:t>
      </w:r>
      <w:r w:rsidRPr="003769D2">
        <w:rPr>
          <w:spacing w:val="-3"/>
          <w:vertAlign w:val="subscript"/>
        </w:rPr>
        <w:t>0</w:t>
      </w:r>
      <w:r w:rsidRPr="003769D2">
        <w:rPr>
          <w:spacing w:val="-3"/>
        </w:rPr>
        <w:t xml:space="preserve">=0.7 wt %, and </w:t>
      </w:r>
      <w:r>
        <w:rPr>
          <w:spacing w:val="-3"/>
        </w:rPr>
        <w:t xml:space="preserve">anisotropy </w:t>
      </w:r>
      <w:r w:rsidRPr="003769D2">
        <w:rPr>
          <w:spacing w:val="-3"/>
          <w:position w:val="-6"/>
        </w:rPr>
        <w:object w:dxaOrig="200" w:dyaOrig="220" w14:anchorId="0DDBFDCA">
          <v:shape id="_x0000_i1738" type="#_x0000_t75" style="width:7.5pt;height:14.05pt" o:ole="">
            <v:imagedata r:id="rId1418" o:title=""/>
          </v:shape>
          <o:OLEObject Type="Embed" ProgID="Equation.DSMT4" ShapeID="_x0000_i1738" DrawAspect="Content" ObjectID="_1840627304" r:id="rId1516"/>
        </w:object>
      </w:r>
      <w:r w:rsidRPr="003769D2">
        <w:rPr>
          <w:spacing w:val="-3"/>
        </w:rPr>
        <w:t xml:space="preserve">=0.01. Three different growth regimes can be distinguished </w:t>
      </w:r>
      <w:r>
        <w:rPr>
          <w:spacing w:val="-3"/>
        </w:rPr>
        <w:t xml:space="preserve">a) </w:t>
      </w:r>
      <w:r w:rsidRPr="003769D2">
        <w:rPr>
          <w:spacing w:val="-3"/>
        </w:rPr>
        <w:t>with</w:t>
      </w:r>
      <w:r>
        <w:rPr>
          <w:spacing w:val="-3"/>
        </w:rPr>
        <w:t xml:space="preserve"> </w:t>
      </w:r>
      <w:r w:rsidRPr="003769D2">
        <w:rPr>
          <w:spacing w:val="-3"/>
        </w:rPr>
        <w:t xml:space="preserve">only fingers for low velocity, </w:t>
      </w:r>
      <w:r>
        <w:rPr>
          <w:spacing w:val="-3"/>
        </w:rPr>
        <w:t xml:space="preserve">b) </w:t>
      </w:r>
      <w:r w:rsidRPr="003769D2">
        <w:rPr>
          <w:spacing w:val="-3"/>
        </w:rPr>
        <w:t>distinct branches of</w:t>
      </w:r>
      <w:r>
        <w:rPr>
          <w:spacing w:val="-3"/>
        </w:rPr>
        <w:t xml:space="preserve"> </w:t>
      </w:r>
      <w:r w:rsidRPr="003769D2">
        <w:rPr>
          <w:spacing w:val="-3"/>
        </w:rPr>
        <w:t xml:space="preserve">finger and needle solutions for intermediate velocities, and </w:t>
      </w:r>
      <w:r>
        <w:rPr>
          <w:spacing w:val="-3"/>
        </w:rPr>
        <w:t xml:space="preserve">c) </w:t>
      </w:r>
      <w:r w:rsidRPr="003769D2">
        <w:rPr>
          <w:spacing w:val="-3"/>
        </w:rPr>
        <w:t>merging of these branches into a single branch with a</w:t>
      </w:r>
      <w:r>
        <w:rPr>
          <w:spacing w:val="-3"/>
        </w:rPr>
        <w:t xml:space="preserve"> </w:t>
      </w:r>
      <w:r w:rsidRPr="003769D2">
        <w:rPr>
          <w:spacing w:val="-3"/>
        </w:rPr>
        <w:t>continuous shape evolution from finger to needle with increasing</w:t>
      </w:r>
      <w:r>
        <w:rPr>
          <w:spacing w:val="-3"/>
        </w:rPr>
        <w:t xml:space="preserve"> </w:t>
      </w:r>
      <w:r w:rsidRPr="003769D2">
        <w:rPr>
          <w:spacing w:val="-3"/>
        </w:rPr>
        <w:t>spacing</w:t>
      </w:r>
      <w:r>
        <w:rPr>
          <w:spacing w:val="-3"/>
        </w:rPr>
        <w:t xml:space="preserve"> (</w:t>
      </w:r>
      <w:r w:rsidRPr="003769D2">
        <w:rPr>
          <w:rFonts w:ascii="Times-Roman" w:hAnsi="Times-Roman" w:cs="Times-Roman"/>
        </w:rPr>
        <w:t>Gurevich et al</w:t>
      </w:r>
      <w:r>
        <w:rPr>
          <w:rFonts w:ascii="Times-Roman" w:hAnsi="Times-Roman" w:cs="Times-Roman"/>
        </w:rPr>
        <w:t>.</w:t>
      </w:r>
      <w:r w:rsidRPr="003769D2">
        <w:rPr>
          <w:rFonts w:ascii="Times-Roman" w:hAnsi="Times-Roman" w:cs="Times-Roman"/>
        </w:rPr>
        <w:t xml:space="preserve"> [2010]</w:t>
      </w:r>
      <w:r>
        <w:rPr>
          <w:rFonts w:ascii="Times-Roman" w:hAnsi="Times-Roman" w:cs="Times-Roman"/>
        </w:rPr>
        <w:t>).</w:t>
      </w:r>
    </w:p>
    <w:p w14:paraId="462A6A1E" w14:textId="77777777" w:rsidR="003753B9" w:rsidRDefault="003753B9" w:rsidP="000261B0">
      <w:pPr>
        <w:tabs>
          <w:tab w:val="left" w:pos="-720"/>
        </w:tabs>
        <w:suppressAutoHyphens/>
        <w:spacing w:line="240" w:lineRule="atLeast"/>
        <w:jc w:val="center"/>
        <w:rPr>
          <w:spacing w:val="-3"/>
        </w:rPr>
      </w:pPr>
    </w:p>
    <w:p w14:paraId="6435D7BD" w14:textId="77777777" w:rsidR="003753B9" w:rsidRDefault="003753B9" w:rsidP="003753B9">
      <w:pPr>
        <w:tabs>
          <w:tab w:val="left" w:pos="-720"/>
          <w:tab w:val="left" w:pos="0"/>
          <w:tab w:val="left" w:pos="720"/>
        </w:tabs>
        <w:suppressAutoHyphens/>
        <w:spacing w:line="240" w:lineRule="atLeast"/>
        <w:ind w:left="1440" w:hanging="1440"/>
        <w:rPr>
          <w:spacing w:val="-3"/>
        </w:rPr>
      </w:pPr>
      <w:r>
        <w:rPr>
          <w:spacing w:val="-3"/>
        </w:rPr>
        <w:t xml:space="preserve">Figure  7.10 </w:t>
      </w:r>
      <w:r>
        <w:rPr>
          <w:spacing w:val="-3"/>
        </w:rPr>
        <w:tab/>
        <w:t xml:space="preserve">Superposition of time-lapse photographs of the growth of a succinonitrile dendrite. Sidebranch evolution on the {100} branching sheets is evident (HUANG and GLICKSMAN [1981]). </w:t>
      </w:r>
    </w:p>
    <w:p w14:paraId="00A25B82" w14:textId="77777777" w:rsidR="003753B9" w:rsidRDefault="003753B9" w:rsidP="000261B0">
      <w:pPr>
        <w:tabs>
          <w:tab w:val="left" w:pos="-720"/>
          <w:tab w:val="left" w:pos="0"/>
          <w:tab w:val="left" w:pos="720"/>
        </w:tabs>
        <w:suppressAutoHyphens/>
        <w:spacing w:line="240" w:lineRule="atLeast"/>
        <w:ind w:left="1440" w:hanging="1440"/>
        <w:jc w:val="center"/>
        <w:rPr>
          <w:spacing w:val="-3"/>
        </w:rPr>
      </w:pPr>
    </w:p>
    <w:p w14:paraId="6F9D48A4" w14:textId="7A22BA12" w:rsidR="00806F95" w:rsidRDefault="003753B9" w:rsidP="003753B9">
      <w:pPr>
        <w:tabs>
          <w:tab w:val="left" w:pos="-720"/>
          <w:tab w:val="left" w:pos="0"/>
          <w:tab w:val="left" w:pos="720"/>
        </w:tabs>
        <w:suppressAutoHyphens/>
        <w:spacing w:line="240" w:lineRule="atLeast"/>
        <w:ind w:left="1440" w:hanging="1440"/>
      </w:pPr>
      <w:r w:rsidRPr="00EE429A">
        <w:lastRenderedPageBreak/>
        <w:t>Fig</w:t>
      </w:r>
      <w:r>
        <w:t>ure</w:t>
      </w:r>
      <w:r w:rsidRPr="00EE429A">
        <w:t xml:space="preserve"> </w:t>
      </w:r>
      <w:r>
        <w:t>7.11</w:t>
      </w:r>
      <w:r w:rsidRPr="00EE429A">
        <w:t>.</w:t>
      </w:r>
      <w:r>
        <w:tab/>
        <w:t xml:space="preserve">Phase field simulations of dendritic growth showing the variation of composition in the liquid and in the solid.  </w:t>
      </w:r>
      <w:r w:rsidRPr="00EE429A">
        <w:t>Plots showing the effects of variations in the solid diffusivity</w:t>
      </w:r>
      <w:r>
        <w:t xml:space="preserve">: (a) </w:t>
      </w:r>
      <w:r w:rsidRPr="00EE429A">
        <w:t>(c)</w:t>
      </w:r>
      <w:r>
        <w:t xml:space="preserve"> </w:t>
      </w:r>
      <w:r w:rsidRPr="00EE429A">
        <w:t xml:space="preserve">show the solute profile for </w:t>
      </w:r>
      <w:r>
        <w:rPr>
          <w:i/>
          <w:iCs/>
        </w:rPr>
        <w:t>D</w:t>
      </w:r>
      <w:r w:rsidRPr="00B551EF">
        <w:rPr>
          <w:i/>
          <w:iCs/>
          <w:vertAlign w:val="subscript"/>
        </w:rPr>
        <w:t>S</w:t>
      </w:r>
      <w:r>
        <w:rPr>
          <w:i/>
          <w:iCs/>
        </w:rPr>
        <w:t>/D</w:t>
      </w:r>
      <w:r w:rsidRPr="00B551EF">
        <w:rPr>
          <w:i/>
          <w:iCs/>
          <w:vertAlign w:val="subscript"/>
        </w:rPr>
        <w:t>L</w:t>
      </w:r>
      <w:r w:rsidRPr="00EE429A">
        <w:rPr>
          <w:i/>
          <w:iCs/>
        </w:rPr>
        <w:t xml:space="preserve"> </w:t>
      </w:r>
      <w:r w:rsidRPr="00EE429A">
        <w:t xml:space="preserve">= 10 </w:t>
      </w:r>
      <w:r w:rsidRPr="00B551EF">
        <w:rPr>
          <w:vertAlign w:val="superscript"/>
        </w:rPr>
        <w:t>-4</w:t>
      </w:r>
      <w:r w:rsidRPr="00EE429A">
        <w:t>, and (b), (d) show the solute profile for</w:t>
      </w:r>
      <w:r>
        <w:t xml:space="preserve"> </w:t>
      </w:r>
      <w:r w:rsidRPr="00EE429A">
        <w:rPr>
          <w:i/>
          <w:iCs/>
        </w:rPr>
        <w:t>D</w:t>
      </w:r>
      <w:r w:rsidRPr="00B551EF">
        <w:rPr>
          <w:i/>
          <w:iCs/>
          <w:vertAlign w:val="subscript"/>
        </w:rPr>
        <w:t>S</w:t>
      </w:r>
      <w:r>
        <w:rPr>
          <w:i/>
          <w:iCs/>
        </w:rPr>
        <w:t>/D</w:t>
      </w:r>
      <w:r w:rsidRPr="00B551EF">
        <w:rPr>
          <w:i/>
          <w:iCs/>
          <w:vertAlign w:val="subscript"/>
        </w:rPr>
        <w:t>L</w:t>
      </w:r>
      <w:r w:rsidRPr="00EE429A">
        <w:rPr>
          <w:i/>
          <w:iCs/>
        </w:rPr>
        <w:t xml:space="preserve"> </w:t>
      </w:r>
      <w:r w:rsidRPr="00EE429A">
        <w:t>= 10</w:t>
      </w:r>
      <w:r w:rsidRPr="00B551EF">
        <w:rPr>
          <w:vertAlign w:val="superscript"/>
        </w:rPr>
        <w:t>-1</w:t>
      </w:r>
      <w:r w:rsidRPr="00EE429A">
        <w:t>. (</w:t>
      </w:r>
      <w:r>
        <w:t>a</w:t>
      </w:r>
      <w:r w:rsidRPr="00EE429A">
        <w:t>) and (</w:t>
      </w:r>
      <w:r>
        <w:t>b</w:t>
      </w:r>
      <w:r w:rsidRPr="00EE429A">
        <w:t>) show the tip region and (</w:t>
      </w:r>
      <w:r>
        <w:t>c</w:t>
      </w:r>
      <w:r w:rsidRPr="00EE429A">
        <w:t>) and (</w:t>
      </w:r>
      <w:r>
        <w:t>d</w:t>
      </w:r>
      <w:r w:rsidRPr="00EE429A">
        <w:t>) show</w:t>
      </w:r>
      <w:r>
        <w:t xml:space="preserve"> the</w:t>
      </w:r>
      <w:r w:rsidRPr="00EE429A">
        <w:t xml:space="preserve"> interdendritic region. </w:t>
      </w:r>
      <w:r>
        <w:t xml:space="preserve">The bulk alloy concentration is </w:t>
      </w:r>
      <w:r w:rsidRPr="006A38E0">
        <w:t>0.408</w:t>
      </w:r>
      <w:r>
        <w:t xml:space="preserve"> </w:t>
      </w:r>
      <w:r w:rsidR="0019711B">
        <w:t xml:space="preserve">(mass fraction) </w:t>
      </w:r>
      <w:r>
        <w:t>and t</w:t>
      </w:r>
      <w:r w:rsidRPr="00EE429A">
        <w:t>hree contours for 0.397, 0.399 and 0.4005</w:t>
      </w:r>
      <w:r>
        <w:t xml:space="preserve"> are</w:t>
      </w:r>
      <w:r w:rsidRPr="00EE429A">
        <w:t xml:space="preserve"> </w:t>
      </w:r>
      <w:r>
        <w:t>shown in the solid as thin black lines (Warren and Boettinger [1995]).</w:t>
      </w:r>
    </w:p>
    <w:p w14:paraId="7FF8A12E" w14:textId="77777777" w:rsidR="003753B9" w:rsidRDefault="003753B9" w:rsidP="003753B9">
      <w:pPr>
        <w:tabs>
          <w:tab w:val="left" w:pos="-720"/>
          <w:tab w:val="left" w:pos="0"/>
          <w:tab w:val="left" w:pos="720"/>
        </w:tabs>
        <w:suppressAutoHyphens/>
        <w:spacing w:line="240" w:lineRule="atLeast"/>
        <w:ind w:left="1440" w:hanging="1440"/>
      </w:pPr>
    </w:p>
    <w:p w14:paraId="004C52C8" w14:textId="77777777" w:rsidR="003753B9" w:rsidRPr="00D30FB8" w:rsidRDefault="003753B9" w:rsidP="003753B9">
      <w:pPr>
        <w:tabs>
          <w:tab w:val="left" w:pos="-720"/>
          <w:tab w:val="left" w:pos="0"/>
          <w:tab w:val="left" w:pos="720"/>
        </w:tabs>
        <w:suppressAutoHyphens/>
        <w:spacing w:line="240" w:lineRule="atLeast"/>
        <w:ind w:left="1440" w:hanging="1440"/>
        <w:rPr>
          <w:color w:val="FF0000"/>
          <w:spacing w:val="-3"/>
        </w:rPr>
      </w:pPr>
      <w:r>
        <w:t>Figure 7.12</w:t>
      </w:r>
      <w:r>
        <w:tab/>
        <w:t xml:space="preserve">Details of the microsegregation computed for dendritic growth Boettinger and </w:t>
      </w:r>
      <w:smartTag w:uri="urn:schemas-microsoft-com:office:smarttags" w:element="place">
        <w:smartTag w:uri="urn:schemas-microsoft-com:office:smarttags" w:element="City">
          <w:r>
            <w:t>Warren</w:t>
          </w:r>
        </w:smartTag>
      </w:smartTag>
      <w:r>
        <w:t xml:space="preserve"> [1996].  a) portion of phase diagram showing</w:t>
      </w:r>
      <w:r w:rsidRPr="00A466EC">
        <w:t xml:space="preserve"> </w:t>
      </w:r>
      <w:r>
        <w:t xml:space="preserve">the bulk alloy composition of 0.408 and the liquid and solid compositions at the nucleation temperature; b) composition histogram and c)  concentration vs. solid fraction in the solidified material compared  to a Scheil prediction. </w:t>
      </w:r>
    </w:p>
    <w:p w14:paraId="0B1079E2" w14:textId="77777777" w:rsidR="003753B9" w:rsidRDefault="003753B9" w:rsidP="003753B9">
      <w:pPr>
        <w:tabs>
          <w:tab w:val="left" w:pos="-720"/>
          <w:tab w:val="left" w:pos="0"/>
          <w:tab w:val="left" w:pos="720"/>
        </w:tabs>
        <w:suppressAutoHyphens/>
        <w:spacing w:line="240" w:lineRule="atLeast"/>
        <w:ind w:left="1440" w:hanging="1440"/>
        <w:rPr>
          <w:spacing w:val="-3"/>
        </w:rPr>
      </w:pPr>
    </w:p>
    <w:p w14:paraId="12208190" w14:textId="77777777" w:rsidR="003753B9" w:rsidRDefault="003753B9" w:rsidP="003753B9">
      <w:pPr>
        <w:tabs>
          <w:tab w:val="left" w:pos="-720"/>
          <w:tab w:val="left" w:pos="0"/>
          <w:tab w:val="left" w:pos="720"/>
        </w:tabs>
        <w:suppressAutoHyphens/>
        <w:spacing w:line="240" w:lineRule="atLeast"/>
        <w:ind w:left="1440" w:hanging="1440"/>
        <w:rPr>
          <w:spacing w:val="-3"/>
        </w:rPr>
      </w:pPr>
      <w:r>
        <w:rPr>
          <w:spacing w:val="-3"/>
        </w:rPr>
        <w:t>Figure  7.13</w:t>
      </w:r>
      <w:r>
        <w:rPr>
          <w:spacing w:val="-3"/>
        </w:rPr>
        <w:tab/>
        <w:t>Conceptual model of cellular/dendritic freezing showing: (a) portion of the phase diagram; (b) schematic temperature distribution in the melt; (c) distribution of solute within the liquid in the mushy zone; (d) representation of plate-like, unbranched dendrites showing the position of a characteristic elemental volume (BRODY and FLEMINGS [1966]).</w:t>
      </w:r>
    </w:p>
    <w:p w14:paraId="0417247C" w14:textId="77777777" w:rsidR="003753B9" w:rsidRDefault="003753B9" w:rsidP="003753B9">
      <w:pPr>
        <w:tabs>
          <w:tab w:val="left" w:pos="-720"/>
          <w:tab w:val="left" w:pos="0"/>
          <w:tab w:val="left" w:pos="720"/>
        </w:tabs>
        <w:suppressAutoHyphens/>
        <w:spacing w:line="240" w:lineRule="atLeast"/>
        <w:ind w:left="1440" w:hanging="1440"/>
        <w:rPr>
          <w:spacing w:val="-3"/>
        </w:rPr>
      </w:pPr>
    </w:p>
    <w:p w14:paraId="06DF4F9A" w14:textId="77777777" w:rsidR="003753B9" w:rsidRPr="00A945D2" w:rsidRDefault="003753B9" w:rsidP="003753B9">
      <w:pPr>
        <w:tabs>
          <w:tab w:val="left" w:pos="-720"/>
          <w:tab w:val="left" w:pos="0"/>
          <w:tab w:val="left" w:pos="720"/>
        </w:tabs>
        <w:suppressAutoHyphens/>
        <w:spacing w:line="240" w:lineRule="atLeast"/>
        <w:ind w:left="1440" w:hanging="1440"/>
        <w:rPr>
          <w:color w:val="FF0000"/>
          <w:spacing w:val="-3"/>
        </w:rPr>
      </w:pPr>
      <w:r>
        <w:rPr>
          <w:spacing w:val="-3"/>
        </w:rPr>
        <w:t xml:space="preserve">Figure 7.14  </w:t>
      </w:r>
      <w:r w:rsidR="00D83B91">
        <w:rPr>
          <w:spacing w:val="-3"/>
        </w:rPr>
        <w:tab/>
      </w:r>
      <w:r>
        <w:rPr>
          <w:spacing w:val="-3"/>
        </w:rPr>
        <w:t xml:space="preserve">Schematic of the interface shape and microstructure produced during dendritic solidification of three binary alloys with different phase diagrams.  </w:t>
      </w:r>
    </w:p>
    <w:p w14:paraId="3FFD78A9" w14:textId="77777777" w:rsidR="003753B9" w:rsidRDefault="003753B9" w:rsidP="000261B0">
      <w:pPr>
        <w:tabs>
          <w:tab w:val="left" w:pos="-720"/>
        </w:tabs>
        <w:suppressAutoHyphens/>
        <w:spacing w:line="240" w:lineRule="atLeast"/>
        <w:jc w:val="center"/>
        <w:rPr>
          <w:spacing w:val="-3"/>
        </w:rPr>
      </w:pPr>
    </w:p>
    <w:p w14:paraId="7A0AC5F1" w14:textId="77777777" w:rsidR="003753B9" w:rsidRDefault="003753B9" w:rsidP="003753B9">
      <w:pPr>
        <w:tabs>
          <w:tab w:val="left" w:pos="-720"/>
          <w:tab w:val="left" w:pos="0"/>
          <w:tab w:val="left" w:pos="720"/>
        </w:tabs>
        <w:suppressAutoHyphens/>
        <w:spacing w:line="240" w:lineRule="atLeast"/>
        <w:ind w:left="1440" w:hanging="1440"/>
        <w:rPr>
          <w:color w:val="FF0000"/>
          <w:spacing w:val="-3"/>
        </w:rPr>
      </w:pPr>
      <w:r>
        <w:rPr>
          <w:spacing w:val="-3"/>
        </w:rPr>
        <w:t xml:space="preserve">Figure  7.15 </w:t>
      </w:r>
      <w:r w:rsidR="00D83B91">
        <w:rPr>
          <w:spacing w:val="-3"/>
        </w:rPr>
        <w:tab/>
      </w:r>
      <w:r>
        <w:rPr>
          <w:spacing w:val="-3"/>
        </w:rPr>
        <w:t xml:space="preserve">Comparison by Tong and Beckermann [1998] of various microsegregation models with the data experimental data of Bendersky and Boettinger[1985]. </w:t>
      </w:r>
    </w:p>
    <w:p w14:paraId="0A58AF48" w14:textId="77777777" w:rsidR="003753B9" w:rsidRDefault="003753B9" w:rsidP="00152EF7">
      <w:pPr>
        <w:tabs>
          <w:tab w:val="left" w:pos="-720"/>
        </w:tabs>
        <w:suppressAutoHyphens/>
        <w:spacing w:line="240" w:lineRule="atLeast"/>
        <w:jc w:val="center"/>
        <w:rPr>
          <w:spacing w:val="-3"/>
        </w:rPr>
      </w:pPr>
    </w:p>
    <w:p w14:paraId="07491309" w14:textId="77777777" w:rsidR="003753B9" w:rsidRDefault="003753B9" w:rsidP="003753B9">
      <w:pPr>
        <w:tabs>
          <w:tab w:val="left" w:pos="-720"/>
          <w:tab w:val="left" w:pos="0"/>
          <w:tab w:val="left" w:pos="720"/>
        </w:tabs>
        <w:suppressAutoHyphens/>
        <w:spacing w:line="240" w:lineRule="atLeast"/>
        <w:ind w:left="1440" w:hanging="1440"/>
        <w:rPr>
          <w:spacing w:val="-3"/>
        </w:rPr>
      </w:pPr>
      <w:r>
        <w:rPr>
          <w:spacing w:val="-3"/>
        </w:rPr>
        <w:t xml:space="preserve">Figure 7.16 </w:t>
      </w:r>
      <w:r>
        <w:rPr>
          <w:spacing w:val="-3"/>
        </w:rPr>
        <w:tab/>
        <w:t>Schematic of the interface shape and microstructure produced during dendritic solidification of</w:t>
      </w:r>
      <w:r w:rsidR="0063267B">
        <w:rPr>
          <w:spacing w:val="-3"/>
        </w:rPr>
        <w:t xml:space="preserve"> three</w:t>
      </w:r>
      <w:r>
        <w:rPr>
          <w:spacing w:val="-3"/>
        </w:rPr>
        <w:t xml:space="preserve"> ternary alloys with different phase diagrams. </w:t>
      </w:r>
    </w:p>
    <w:p w14:paraId="196BE463" w14:textId="77777777" w:rsidR="003753B9" w:rsidRDefault="003753B9" w:rsidP="003753B9">
      <w:pPr>
        <w:tabs>
          <w:tab w:val="left" w:pos="-720"/>
          <w:tab w:val="left" w:pos="0"/>
          <w:tab w:val="left" w:pos="720"/>
        </w:tabs>
        <w:suppressAutoHyphens/>
        <w:spacing w:line="240" w:lineRule="atLeast"/>
        <w:ind w:left="1440" w:hanging="1440"/>
        <w:rPr>
          <w:spacing w:val="-3"/>
        </w:rPr>
      </w:pPr>
    </w:p>
    <w:p w14:paraId="5B257292" w14:textId="77777777" w:rsidR="003753B9" w:rsidRDefault="003753B9" w:rsidP="003753B9">
      <w:pPr>
        <w:tabs>
          <w:tab w:val="left" w:pos="-720"/>
        </w:tabs>
        <w:suppressAutoHyphens/>
        <w:spacing w:line="360" w:lineRule="atLeast"/>
        <w:ind w:left="1440" w:hanging="1440"/>
        <w:rPr>
          <w:spacing w:val="-3"/>
        </w:rPr>
      </w:pPr>
      <w:r>
        <w:rPr>
          <w:rFonts w:ascii="Times-Roman" w:hAnsi="Times-Roman" w:cs="Times-Roman"/>
        </w:rPr>
        <w:t>Figure 7.17</w:t>
      </w:r>
      <w:r w:rsidRPr="00053EF3">
        <w:rPr>
          <w:spacing w:val="-3"/>
        </w:rPr>
        <w:t xml:space="preserve"> Ni-Cr-Zr; a) liquidus surface; b) isothermal section at 1473 K. The red circle shows the location of the initial composition and the red arrow the path of the liquid phase composition during Scheil solidification</w:t>
      </w:r>
      <w:r>
        <w:rPr>
          <w:spacing w:val="-3"/>
        </w:rPr>
        <w:t xml:space="preserve"> (Boettinger et al. [2010]).</w:t>
      </w:r>
    </w:p>
    <w:p w14:paraId="46A92541" w14:textId="77777777" w:rsidR="003753B9" w:rsidRDefault="003753B9" w:rsidP="003753B9">
      <w:pPr>
        <w:tabs>
          <w:tab w:val="left" w:pos="-720"/>
        </w:tabs>
        <w:suppressAutoHyphens/>
        <w:spacing w:line="360" w:lineRule="atLeast"/>
        <w:ind w:left="1440" w:hanging="1440"/>
        <w:rPr>
          <w:spacing w:val="-3"/>
        </w:rPr>
      </w:pPr>
    </w:p>
    <w:p w14:paraId="6206FCC3" w14:textId="77777777" w:rsidR="004005B5" w:rsidRDefault="003753B9" w:rsidP="003753B9">
      <w:pPr>
        <w:tabs>
          <w:tab w:val="left" w:pos="-720"/>
        </w:tabs>
        <w:suppressAutoHyphens/>
        <w:spacing w:line="360" w:lineRule="atLeast"/>
        <w:ind w:left="1440" w:hanging="1440"/>
        <w:rPr>
          <w:spacing w:val="-3"/>
        </w:rPr>
      </w:pPr>
      <w:r w:rsidRPr="00053EF3">
        <w:rPr>
          <w:spacing w:val="-3"/>
        </w:rPr>
        <w:t xml:space="preserve">Figure </w:t>
      </w:r>
      <w:r>
        <w:rPr>
          <w:spacing w:val="-3"/>
        </w:rPr>
        <w:t xml:space="preserve">7.18. </w:t>
      </w:r>
      <w:r w:rsidRPr="00053EF3">
        <w:rPr>
          <w:spacing w:val="-3"/>
        </w:rPr>
        <w:t xml:space="preserve"> Ni-20.6 at.%</w:t>
      </w:r>
      <w:r w:rsidR="00BD6531">
        <w:rPr>
          <w:spacing w:val="-3"/>
        </w:rPr>
        <w:t xml:space="preserve"> </w:t>
      </w:r>
      <w:r w:rsidRPr="00053EF3">
        <w:rPr>
          <w:spacing w:val="-3"/>
        </w:rPr>
        <w:t>Cr-33.5 at.%</w:t>
      </w:r>
      <w:r w:rsidR="00BD6531">
        <w:rPr>
          <w:spacing w:val="-3"/>
        </w:rPr>
        <w:t xml:space="preserve"> </w:t>
      </w:r>
      <w:r w:rsidRPr="00053EF3">
        <w:rPr>
          <w:spacing w:val="-3"/>
        </w:rPr>
        <w:t xml:space="preserve">Zr alloy; a) fraction solid vs. temperature plot and b) Cr and Zr composition of liquid and solid phases during solidification. The relationship during solidification among temperature, fraction solid and phase compositions are indicated </w:t>
      </w:r>
      <w:r>
        <w:rPr>
          <w:spacing w:val="-3"/>
        </w:rPr>
        <w:t xml:space="preserve">with </w:t>
      </w:r>
      <w:r w:rsidRPr="00053EF3">
        <w:rPr>
          <w:spacing w:val="-3"/>
        </w:rPr>
        <w:t>lette</w:t>
      </w:r>
      <w:r>
        <w:rPr>
          <w:spacing w:val="-3"/>
        </w:rPr>
        <w:t>rs a</w:t>
      </w:r>
      <w:r w:rsidR="00F26DEE">
        <w:rPr>
          <w:spacing w:val="-3"/>
        </w:rPr>
        <w:t>)</w:t>
      </w:r>
      <w:r>
        <w:rPr>
          <w:spacing w:val="-3"/>
        </w:rPr>
        <w:t xml:space="preserve"> through e</w:t>
      </w:r>
      <w:r w:rsidR="00F26DEE">
        <w:rPr>
          <w:spacing w:val="-3"/>
        </w:rPr>
        <w:t>)</w:t>
      </w:r>
      <w:r>
        <w:rPr>
          <w:spacing w:val="-3"/>
        </w:rPr>
        <w:t>.</w:t>
      </w:r>
    </w:p>
    <w:p w14:paraId="411BAFFD" w14:textId="77777777" w:rsidR="003753B9" w:rsidRDefault="003753B9" w:rsidP="000261B0">
      <w:pPr>
        <w:tabs>
          <w:tab w:val="left" w:pos="-720"/>
        </w:tabs>
        <w:suppressAutoHyphens/>
        <w:spacing w:line="240" w:lineRule="atLeast"/>
        <w:jc w:val="center"/>
        <w:rPr>
          <w:spacing w:val="-3"/>
        </w:rPr>
      </w:pPr>
    </w:p>
    <w:p w14:paraId="5E3B4D02" w14:textId="77777777" w:rsidR="004005B5" w:rsidRDefault="003753B9" w:rsidP="003753B9">
      <w:pPr>
        <w:tabs>
          <w:tab w:val="left" w:pos="-720"/>
          <w:tab w:val="left" w:pos="0"/>
          <w:tab w:val="left" w:pos="720"/>
        </w:tabs>
        <w:suppressAutoHyphens/>
        <w:spacing w:line="240" w:lineRule="atLeast"/>
        <w:ind w:left="1440" w:hanging="1440"/>
        <w:rPr>
          <w:spacing w:val="-3"/>
        </w:rPr>
      </w:pPr>
      <w:r>
        <w:rPr>
          <w:spacing w:val="-3"/>
        </w:rPr>
        <w:t>Figure  8.1</w:t>
      </w:r>
      <w:r>
        <w:rPr>
          <w:spacing w:val="-3"/>
        </w:rPr>
        <w:tab/>
        <w:t>(a) Liquid composition (%</w:t>
      </w:r>
      <w:r w:rsidR="00BD6531">
        <w:rPr>
          <w:spacing w:val="-3"/>
        </w:rPr>
        <w:t xml:space="preserve"> </w:t>
      </w:r>
      <w:r>
        <w:rPr>
          <w:spacing w:val="-3"/>
        </w:rPr>
        <w:t xml:space="preserve">B) across an </w:t>
      </w:r>
      <w:r>
        <w:rPr>
          <w:i/>
          <w:iCs/>
          <w:spacing w:val="-3"/>
        </w:rPr>
        <w:t>α - β</w:t>
      </w:r>
      <w:r>
        <w:rPr>
          <w:spacing w:val="-3"/>
        </w:rPr>
        <w:t xml:space="preserve"> interface. (b) Contributions to the total supercooling (</w:t>
      </w:r>
      <w:r>
        <w:rPr>
          <w:i/>
          <w:iCs/>
          <w:spacing w:val="-3"/>
        </w:rPr>
        <w:t>ΔT</w:t>
      </w:r>
      <w:r>
        <w:rPr>
          <w:spacing w:val="-3"/>
        </w:rPr>
        <w:t xml:space="preserve">) existing at the </w:t>
      </w:r>
      <w:r w:rsidR="004201E7">
        <w:rPr>
          <w:spacing w:val="-3"/>
        </w:rPr>
        <w:t>L-S</w:t>
      </w:r>
      <w:r>
        <w:rPr>
          <w:spacing w:val="-3"/>
        </w:rPr>
        <w:t xml:space="preserve"> interface, </w:t>
      </w:r>
      <w:r>
        <w:rPr>
          <w:i/>
          <w:iCs/>
          <w:spacing w:val="-3"/>
        </w:rPr>
        <w:t>ΔT</w:t>
      </w:r>
      <w:r>
        <w:rPr>
          <w:spacing w:val="-3"/>
          <w:vertAlign w:val="subscript"/>
        </w:rPr>
        <w:t>D</w:t>
      </w:r>
      <w:r>
        <w:rPr>
          <w:spacing w:val="-3"/>
        </w:rPr>
        <w:t xml:space="preserve">, </w:t>
      </w:r>
      <w:r>
        <w:rPr>
          <w:i/>
          <w:iCs/>
          <w:spacing w:val="-3"/>
        </w:rPr>
        <w:t>ΔT</w:t>
      </w:r>
      <w:r>
        <w:rPr>
          <w:spacing w:val="-3"/>
          <w:vertAlign w:val="subscript"/>
        </w:rPr>
        <w:t>c</w:t>
      </w:r>
      <w:r>
        <w:rPr>
          <w:spacing w:val="-3"/>
        </w:rPr>
        <w:t xml:space="preserve">, and </w:t>
      </w:r>
      <w:r>
        <w:rPr>
          <w:i/>
          <w:iCs/>
          <w:spacing w:val="-3"/>
        </w:rPr>
        <w:t>ΔT</w:t>
      </w:r>
      <w:r>
        <w:rPr>
          <w:spacing w:val="-3"/>
          <w:vertAlign w:val="subscript"/>
        </w:rPr>
        <w:t>K</w:t>
      </w:r>
      <w:r>
        <w:rPr>
          <w:spacing w:val="-3"/>
        </w:rPr>
        <w:t xml:space="preserve"> </w:t>
      </w:r>
      <w:r>
        <w:rPr>
          <w:spacing w:val="-3"/>
        </w:rPr>
        <w:lastRenderedPageBreak/>
        <w:t xml:space="preserve">are the solute, curvature and kinetic supercoolings respectively. (c) Shape of the lamellar </w:t>
      </w:r>
      <w:r w:rsidR="004201E7">
        <w:rPr>
          <w:spacing w:val="-3"/>
        </w:rPr>
        <w:t>L-S</w:t>
      </w:r>
      <w:r>
        <w:rPr>
          <w:spacing w:val="-3"/>
        </w:rPr>
        <w:t xml:space="preserve"> liquid interface. HUNT and JACKSON [1966].</w:t>
      </w:r>
    </w:p>
    <w:p w14:paraId="2406263C" w14:textId="77777777" w:rsidR="003753B9" w:rsidRDefault="003753B9" w:rsidP="000261B0">
      <w:pPr>
        <w:tabs>
          <w:tab w:val="left" w:pos="-720"/>
        </w:tabs>
        <w:suppressAutoHyphens/>
        <w:spacing w:line="240" w:lineRule="atLeast"/>
        <w:jc w:val="center"/>
        <w:rPr>
          <w:spacing w:val="-3"/>
        </w:rPr>
      </w:pPr>
    </w:p>
    <w:p w14:paraId="1AF5A3D7" w14:textId="77777777" w:rsidR="003753B9" w:rsidRDefault="003753B9" w:rsidP="003753B9">
      <w:pPr>
        <w:tabs>
          <w:tab w:val="left" w:pos="-720"/>
          <w:tab w:val="left" w:pos="0"/>
          <w:tab w:val="left" w:pos="720"/>
        </w:tabs>
        <w:suppressAutoHyphens/>
        <w:spacing w:line="240" w:lineRule="atLeast"/>
        <w:ind w:left="1440" w:hanging="1440"/>
        <w:rPr>
          <w:spacing w:val="-3"/>
        </w:rPr>
      </w:pPr>
      <w:r>
        <w:rPr>
          <w:spacing w:val="-3"/>
        </w:rPr>
        <w:t>Figure 8.2</w:t>
      </w:r>
      <w:r>
        <w:rPr>
          <w:spacing w:val="-3"/>
        </w:rPr>
        <w:tab/>
        <w:t xml:space="preserve">Interface supercooling, </w:t>
      </w:r>
      <w:r>
        <w:rPr>
          <w:i/>
          <w:iCs/>
          <w:spacing w:val="-3"/>
        </w:rPr>
        <w:t>ΔT</w:t>
      </w:r>
      <w:r>
        <w:rPr>
          <w:spacing w:val="-3"/>
        </w:rPr>
        <w:t xml:space="preserve">, as a function of lamellar spacing, </w:t>
      </w:r>
      <w:r>
        <w:rPr>
          <w:i/>
          <w:iCs/>
          <w:spacing w:val="-3"/>
        </w:rPr>
        <w:t>λ</w:t>
      </w:r>
      <w:r>
        <w:rPr>
          <w:spacing w:val="-3"/>
          <w:vertAlign w:val="subscript"/>
        </w:rPr>
        <w:t>E</w:t>
      </w:r>
      <w:r>
        <w:rPr>
          <w:spacing w:val="-3"/>
        </w:rPr>
        <w:t xml:space="preserve">, for different growth rates, </w:t>
      </w:r>
      <w:r>
        <w:rPr>
          <w:i/>
          <w:iCs/>
          <w:spacing w:val="-3"/>
        </w:rPr>
        <w:t>V</w:t>
      </w:r>
      <w:r>
        <w:rPr>
          <w:spacing w:val="-3"/>
        </w:rPr>
        <w:t xml:space="preserve"> using Eqn. 8.2 for </w:t>
      </w:r>
      <w:r>
        <w:rPr>
          <w:i/>
          <w:iCs/>
          <w:spacing w:val="-3"/>
        </w:rPr>
        <w:t>CBr</w:t>
      </w:r>
      <w:r>
        <w:rPr>
          <w:spacing w:val="-3"/>
          <w:vertAlign w:val="subscript"/>
        </w:rPr>
        <w:t>2</w:t>
      </w:r>
      <w:r>
        <w:rPr>
          <w:i/>
          <w:iCs/>
          <w:spacing w:val="-3"/>
        </w:rPr>
        <w:t>-C</w:t>
      </w:r>
      <w:r>
        <w:rPr>
          <w:spacing w:val="-3"/>
          <w:vertAlign w:val="subscript"/>
        </w:rPr>
        <w:t>2</w:t>
      </w:r>
      <w:r>
        <w:rPr>
          <w:i/>
          <w:iCs/>
          <w:spacing w:val="-3"/>
        </w:rPr>
        <w:t>Cl</w:t>
      </w:r>
      <w:r>
        <w:rPr>
          <w:spacing w:val="-3"/>
          <w:vertAlign w:val="subscript"/>
        </w:rPr>
        <w:t>6</w:t>
      </w:r>
      <w:r>
        <w:rPr>
          <w:spacing w:val="-3"/>
        </w:rPr>
        <w:t xml:space="preserve"> organic eutectic. The vertical arrows show the theoretical minimum (extremum) and maximum spacings for stable lamellar growth. Also shown are the experimentally observed range of spacings (hatch marks on curve) and the mean spacing (filled circles). (SEETHARAMAN and TRIVEDI [1988]).</w:t>
      </w:r>
    </w:p>
    <w:p w14:paraId="5C9B32FD" w14:textId="77777777" w:rsidR="003753B9" w:rsidRDefault="003753B9" w:rsidP="000261B0">
      <w:pPr>
        <w:tabs>
          <w:tab w:val="left" w:pos="-720"/>
        </w:tabs>
        <w:suppressAutoHyphens/>
        <w:spacing w:line="240" w:lineRule="atLeast"/>
        <w:jc w:val="center"/>
        <w:rPr>
          <w:spacing w:val="-3"/>
        </w:rPr>
      </w:pPr>
    </w:p>
    <w:p w14:paraId="4900037A" w14:textId="77777777" w:rsidR="003753B9" w:rsidRDefault="003753B9" w:rsidP="003753B9">
      <w:pPr>
        <w:tabs>
          <w:tab w:val="left" w:pos="-720"/>
          <w:tab w:val="left" w:pos="0"/>
          <w:tab w:val="left" w:pos="720"/>
        </w:tabs>
        <w:suppressAutoHyphens/>
        <w:spacing w:line="240" w:lineRule="atLeast"/>
        <w:ind w:left="1440" w:hanging="1440"/>
        <w:rPr>
          <w:spacing w:val="-3"/>
        </w:rPr>
      </w:pPr>
      <w:r>
        <w:rPr>
          <w:spacing w:val="-3"/>
        </w:rPr>
        <w:t>Figure  8.3</w:t>
      </w:r>
      <w:r>
        <w:rPr>
          <w:spacing w:val="-3"/>
        </w:rPr>
        <w:tab/>
        <w:t xml:space="preserve">(a) Schematic illustration of the instability of lamellae with </w:t>
      </w:r>
      <w:r>
        <w:rPr>
          <w:i/>
          <w:iCs/>
          <w:spacing w:val="-3"/>
        </w:rPr>
        <w:t>λ</w:t>
      </w:r>
      <w:r>
        <w:rPr>
          <w:spacing w:val="-3"/>
          <w:vertAlign w:val="subscript"/>
        </w:rPr>
        <w:t>E</w:t>
      </w:r>
      <w:r>
        <w:rPr>
          <w:spacing w:val="-3"/>
        </w:rPr>
        <w:t xml:space="preserve"> less than the extremum value. The lamella in the center will be pinched off with time. (b) The shape instability of the interface on one phase that occurs when the spacing becomes too large. A new lamella may be created in the depressed pocket. JACKSON and HUNT [1966]. Figure taken from TRIVEDI and KURZ [1988].</w:t>
      </w:r>
    </w:p>
    <w:p w14:paraId="20924AEB" w14:textId="77777777" w:rsidR="003753B9" w:rsidRDefault="003753B9" w:rsidP="000261B0">
      <w:pPr>
        <w:tabs>
          <w:tab w:val="left" w:pos="-720"/>
        </w:tabs>
        <w:suppressAutoHyphens/>
        <w:spacing w:line="240" w:lineRule="atLeast"/>
        <w:jc w:val="center"/>
        <w:rPr>
          <w:spacing w:val="-3"/>
        </w:rPr>
      </w:pPr>
    </w:p>
    <w:p w14:paraId="2750ECEB" w14:textId="77777777" w:rsidR="003753B9" w:rsidRDefault="003753B9" w:rsidP="003753B9">
      <w:pPr>
        <w:tabs>
          <w:tab w:val="left" w:pos="-720"/>
          <w:tab w:val="left" w:pos="0"/>
          <w:tab w:val="left" w:pos="720"/>
        </w:tabs>
        <w:suppressAutoHyphens/>
        <w:spacing w:line="240" w:lineRule="atLeast"/>
        <w:ind w:left="1440" w:hanging="1440"/>
        <w:rPr>
          <w:spacing w:val="-3"/>
        </w:rPr>
      </w:pPr>
      <w:r>
        <w:rPr>
          <w:spacing w:val="-3"/>
        </w:rPr>
        <w:t>Figure  8.4</w:t>
      </w:r>
      <w:r>
        <w:rPr>
          <w:spacing w:val="-3"/>
        </w:rPr>
        <w:tab/>
        <w:t>Proposed growth behavior of irregular eutectics, showing branching at</w:t>
      </w:r>
      <w:r>
        <w:rPr>
          <w:i/>
          <w:iCs/>
          <w:spacing w:val="-3"/>
        </w:rPr>
        <w:t xml:space="preserve"> λ</w:t>
      </w:r>
      <w:r>
        <w:rPr>
          <w:spacing w:val="-3"/>
          <w:vertAlign w:val="subscript"/>
        </w:rPr>
        <w:t>br</w:t>
      </w:r>
      <w:r>
        <w:rPr>
          <w:spacing w:val="-3"/>
        </w:rPr>
        <w:t xml:space="preserve"> and termination at</w:t>
      </w:r>
      <w:r>
        <w:rPr>
          <w:i/>
          <w:iCs/>
          <w:spacing w:val="-3"/>
        </w:rPr>
        <w:t xml:space="preserve"> λ</w:t>
      </w:r>
      <w:r>
        <w:rPr>
          <w:spacing w:val="-3"/>
          <w:vertAlign w:val="subscript"/>
        </w:rPr>
        <w:t>ex</w:t>
      </w:r>
      <w:r>
        <w:rPr>
          <w:spacing w:val="-3"/>
        </w:rPr>
        <w:t xml:space="preserve">. (a) Fe-graphite eutectic growth at </w:t>
      </w:r>
      <w:r>
        <w:rPr>
          <w:i/>
          <w:iCs/>
          <w:spacing w:val="-3"/>
        </w:rPr>
        <w:t>V</w:t>
      </w:r>
      <w:r>
        <w:rPr>
          <w:spacing w:val="-3"/>
        </w:rPr>
        <w:t xml:space="preserve"> = 1.7x10</w:t>
      </w:r>
      <w:r>
        <w:rPr>
          <w:spacing w:val="-3"/>
          <w:vertAlign w:val="superscript"/>
        </w:rPr>
        <w:t>-2</w:t>
      </w:r>
      <w:r>
        <w:rPr>
          <w:spacing w:val="-3"/>
        </w:rPr>
        <w:t xml:space="preserve"> μm/s. (b) schematic representation of solid-liquid interface during growth. (MAGNIN and KURZ [1987]).</w:t>
      </w:r>
    </w:p>
    <w:p w14:paraId="669DBB26" w14:textId="77777777" w:rsidR="003753B9" w:rsidRDefault="003753B9" w:rsidP="000261B0">
      <w:pPr>
        <w:tabs>
          <w:tab w:val="left" w:pos="-720"/>
          <w:tab w:val="left" w:pos="0"/>
          <w:tab w:val="left" w:pos="720"/>
        </w:tabs>
        <w:suppressAutoHyphens/>
        <w:spacing w:line="240" w:lineRule="atLeast"/>
        <w:ind w:left="1440" w:hanging="1440"/>
        <w:jc w:val="center"/>
        <w:rPr>
          <w:spacing w:val="-3"/>
        </w:rPr>
      </w:pPr>
    </w:p>
    <w:p w14:paraId="4C21A175" w14:textId="77777777" w:rsidR="003753B9" w:rsidRDefault="003753B9" w:rsidP="003753B9">
      <w:pPr>
        <w:tabs>
          <w:tab w:val="left" w:pos="-720"/>
          <w:tab w:val="left" w:pos="0"/>
          <w:tab w:val="left" w:pos="720"/>
        </w:tabs>
        <w:suppressAutoHyphens/>
        <w:spacing w:line="240" w:lineRule="atLeast"/>
        <w:ind w:left="1440" w:hanging="1440"/>
        <w:rPr>
          <w:spacing w:val="-3"/>
        </w:rPr>
      </w:pPr>
      <w:r>
        <w:rPr>
          <w:spacing w:val="-3"/>
        </w:rPr>
        <w:t xml:space="preserve">Figure 8.5 </w:t>
      </w:r>
      <w:r>
        <w:rPr>
          <w:spacing w:val="-3"/>
        </w:rPr>
        <w:tab/>
        <w:t xml:space="preserve">Phase field calculation results showing </w:t>
      </w:r>
      <w:r w:rsidR="0063267B">
        <w:rPr>
          <w:spacing w:val="-3"/>
        </w:rPr>
        <w:t xml:space="preserve">the time evolution of colony </w:t>
      </w:r>
      <w:r>
        <w:rPr>
          <w:spacing w:val="-3"/>
        </w:rPr>
        <w:t xml:space="preserve">formation </w:t>
      </w:r>
      <w:r w:rsidR="0063267B">
        <w:rPr>
          <w:spacing w:val="-3"/>
        </w:rPr>
        <w:t xml:space="preserve">for an alloy with a </w:t>
      </w:r>
      <w:r>
        <w:rPr>
          <w:spacing w:val="-3"/>
        </w:rPr>
        <w:t>small amount of third element (impurity) added to a binary eutectic. T</w:t>
      </w:r>
      <w:r w:rsidRPr="00AA5215">
        <w:rPr>
          <w:spacing w:val="-3"/>
        </w:rPr>
        <w:t>he smooth contours ahead of the front represent isoconcentration</w:t>
      </w:r>
      <w:r>
        <w:rPr>
          <w:spacing w:val="-3"/>
        </w:rPr>
        <w:t xml:space="preserve"> </w:t>
      </w:r>
      <w:r w:rsidRPr="00AA5215">
        <w:rPr>
          <w:spacing w:val="-3"/>
        </w:rPr>
        <w:t>lines of the ternary impurity; the small ‘‘halos’’ just in front of</w:t>
      </w:r>
      <w:r>
        <w:rPr>
          <w:spacing w:val="-3"/>
        </w:rPr>
        <w:t xml:space="preserve"> </w:t>
      </w:r>
      <w:r w:rsidRPr="00AA5215">
        <w:rPr>
          <w:spacing w:val="-3"/>
        </w:rPr>
        <w:t>the growing lamellae are a visualization of the interlamellar eutectic</w:t>
      </w:r>
      <w:r>
        <w:rPr>
          <w:spacing w:val="-3"/>
        </w:rPr>
        <w:t xml:space="preserve"> </w:t>
      </w:r>
      <w:r w:rsidRPr="00AA5215">
        <w:rPr>
          <w:spacing w:val="-3"/>
        </w:rPr>
        <w:t>diffusion field</w:t>
      </w:r>
      <w:r>
        <w:rPr>
          <w:spacing w:val="-3"/>
        </w:rPr>
        <w:t xml:space="preserve"> (Plapp and Karma [2002]).</w:t>
      </w:r>
    </w:p>
    <w:p w14:paraId="413BDA9F" w14:textId="77777777" w:rsidR="003753B9" w:rsidRDefault="003753B9" w:rsidP="003753B9">
      <w:pPr>
        <w:tabs>
          <w:tab w:val="left" w:pos="-720"/>
          <w:tab w:val="left" w:pos="0"/>
          <w:tab w:val="left" w:pos="720"/>
        </w:tabs>
        <w:suppressAutoHyphens/>
        <w:spacing w:line="240" w:lineRule="atLeast"/>
        <w:ind w:left="1440" w:hanging="1440"/>
        <w:rPr>
          <w:spacing w:val="-3"/>
        </w:rPr>
      </w:pPr>
    </w:p>
    <w:p w14:paraId="303EECCA" w14:textId="77777777" w:rsidR="003753B9" w:rsidRPr="00915EA7" w:rsidRDefault="003753B9" w:rsidP="003753B9">
      <w:pPr>
        <w:tabs>
          <w:tab w:val="left" w:pos="-720"/>
          <w:tab w:val="left" w:pos="0"/>
          <w:tab w:val="left" w:pos="720"/>
        </w:tabs>
        <w:suppressAutoHyphens/>
        <w:spacing w:line="240" w:lineRule="atLeast"/>
        <w:ind w:left="1440" w:hanging="1440"/>
        <w:rPr>
          <w:spacing w:val="-3"/>
        </w:rPr>
      </w:pPr>
      <w:r>
        <w:rPr>
          <w:spacing w:val="-3"/>
        </w:rPr>
        <w:t xml:space="preserve">Figure  8.6 </w:t>
      </w:r>
      <w:r>
        <w:rPr>
          <w:spacing w:val="-3"/>
        </w:rPr>
        <w:tab/>
        <w:t>Two phase dendrite formed when a large quantity of a third element is added to a binary eutectic. The a</w:t>
      </w:r>
      <w:r w:rsidRPr="00915EA7">
        <w:rPr>
          <w:spacing w:val="-3"/>
        </w:rPr>
        <w:t xml:space="preserve">lloy </w:t>
      </w:r>
      <w:r>
        <w:rPr>
          <w:spacing w:val="-3"/>
        </w:rPr>
        <w:t>lies</w:t>
      </w:r>
      <w:r w:rsidRPr="00915EA7">
        <w:rPr>
          <w:spacing w:val="-3"/>
        </w:rPr>
        <w:t xml:space="preserve"> on the two phase valley in the Sn-Pb-Cd ternary system</w:t>
      </w:r>
      <w:r>
        <w:rPr>
          <w:spacing w:val="-3"/>
        </w:rPr>
        <w:t xml:space="preserve"> (Boettinger [1973]).</w:t>
      </w:r>
    </w:p>
    <w:p w14:paraId="790ED1DA" w14:textId="77777777" w:rsidR="003753B9" w:rsidRDefault="003753B9" w:rsidP="000261B0">
      <w:pPr>
        <w:tabs>
          <w:tab w:val="left" w:pos="-720"/>
        </w:tabs>
        <w:suppressAutoHyphens/>
        <w:spacing w:line="240" w:lineRule="atLeast"/>
        <w:jc w:val="center"/>
        <w:rPr>
          <w:spacing w:val="-3"/>
        </w:rPr>
      </w:pPr>
    </w:p>
    <w:p w14:paraId="48959B8B" w14:textId="77777777" w:rsidR="003753B9" w:rsidRDefault="003753B9" w:rsidP="003753B9">
      <w:pPr>
        <w:tabs>
          <w:tab w:val="left" w:pos="-720"/>
          <w:tab w:val="left" w:pos="0"/>
          <w:tab w:val="left" w:pos="720"/>
        </w:tabs>
        <w:suppressAutoHyphens/>
        <w:spacing w:line="240" w:lineRule="atLeast"/>
        <w:ind w:left="1440" w:hanging="1440"/>
        <w:rPr>
          <w:spacing w:val="-3"/>
        </w:rPr>
      </w:pPr>
      <w:r>
        <w:rPr>
          <w:spacing w:val="-3"/>
        </w:rPr>
        <w:t>Figure  8.7</w:t>
      </w:r>
      <w:r>
        <w:rPr>
          <w:spacing w:val="-3"/>
        </w:rPr>
        <w:tab/>
        <w:t>The origin of the coupled zone (hatched) is understood by considering the variation in eutectic interface temperature and dendrite tip temperatures for an off-eutectic alloy. The dominant microstructure for any composition at a given velocity (or supercooling)  is that which grows with the highest temperature (or fastest growth rate) (TRIVEDI and KURZ [1988]).</w:t>
      </w:r>
    </w:p>
    <w:p w14:paraId="2E7D0D5F" w14:textId="77777777" w:rsidR="003753B9" w:rsidRDefault="003753B9" w:rsidP="000261B0">
      <w:pPr>
        <w:tabs>
          <w:tab w:val="left" w:pos="-720"/>
          <w:tab w:val="left" w:pos="0"/>
          <w:tab w:val="left" w:pos="720"/>
        </w:tabs>
        <w:suppressAutoHyphens/>
        <w:spacing w:line="240" w:lineRule="atLeast"/>
        <w:ind w:left="1440" w:hanging="1440"/>
        <w:jc w:val="center"/>
        <w:rPr>
          <w:spacing w:val="-3"/>
        </w:rPr>
      </w:pPr>
    </w:p>
    <w:p w14:paraId="0E76C23E" w14:textId="77777777" w:rsidR="003753B9" w:rsidRDefault="003753B9" w:rsidP="003753B9">
      <w:pPr>
        <w:tabs>
          <w:tab w:val="left" w:pos="-720"/>
          <w:tab w:val="left" w:pos="0"/>
          <w:tab w:val="left" w:pos="720"/>
        </w:tabs>
        <w:suppressAutoHyphens/>
        <w:spacing w:line="240" w:lineRule="atLeast"/>
        <w:ind w:left="1440" w:hanging="1440"/>
        <w:rPr>
          <w:spacing w:val="-3"/>
        </w:rPr>
      </w:pPr>
      <w:r>
        <w:rPr>
          <w:spacing w:val="-3"/>
        </w:rPr>
        <w:t xml:space="preserve">Figure 8.8 </w:t>
      </w:r>
      <w:r>
        <w:rPr>
          <w:spacing w:val="-3"/>
        </w:rPr>
        <w:tab/>
        <w:t xml:space="preserve">Micrograph of interdendritic region of an as-cast 2219 Aluminum alloy </w:t>
      </w:r>
      <w:r w:rsidR="0063267B">
        <w:rPr>
          <w:spacing w:val="-3"/>
        </w:rPr>
        <w:t>Part of the n</w:t>
      </w:r>
      <w:r>
        <w:rPr>
          <w:spacing w:val="-3"/>
        </w:rPr>
        <w:t xml:space="preserve">eedles of </w:t>
      </w:r>
      <w:r w:rsidR="0063267B">
        <w:rPr>
          <w:spacing w:val="-3"/>
        </w:rPr>
        <w:t xml:space="preserve">the </w:t>
      </w:r>
      <w:r w:rsidRPr="008313A7">
        <w:rPr>
          <w:spacing w:val="-3"/>
        </w:rPr>
        <w:t>Al</w:t>
      </w:r>
      <w:r w:rsidRPr="00645439">
        <w:rPr>
          <w:spacing w:val="-3"/>
          <w:vertAlign w:val="subscript"/>
        </w:rPr>
        <w:t>7</w:t>
      </w:r>
      <w:r w:rsidRPr="008313A7">
        <w:rPr>
          <w:spacing w:val="-3"/>
        </w:rPr>
        <w:t>Cu</w:t>
      </w:r>
      <w:r w:rsidRPr="00645439">
        <w:rPr>
          <w:spacing w:val="-3"/>
          <w:vertAlign w:val="subscript"/>
        </w:rPr>
        <w:t>2</w:t>
      </w:r>
      <w:r>
        <w:rPr>
          <w:spacing w:val="-3"/>
        </w:rPr>
        <w:t xml:space="preserve">Fe </w:t>
      </w:r>
      <w:r w:rsidR="0063267B">
        <w:rPr>
          <w:spacing w:val="-3"/>
        </w:rPr>
        <w:t xml:space="preserve">phase are </w:t>
      </w:r>
      <w:r>
        <w:rPr>
          <w:spacing w:val="-3"/>
        </w:rPr>
        <w:t>imbedded in Al dendritic matrix show</w:t>
      </w:r>
      <w:r w:rsidR="0063267B">
        <w:rPr>
          <w:spacing w:val="-3"/>
        </w:rPr>
        <w:t xml:space="preserve">ing </w:t>
      </w:r>
      <w:r>
        <w:rPr>
          <w:spacing w:val="-3"/>
        </w:rPr>
        <w:t xml:space="preserve"> that it formed along with the Al as a divorced (uncoupled ) L</w:t>
      </w:r>
      <w:r>
        <w:rPr>
          <w:spacing w:val="-3"/>
        </w:rPr>
        <w:sym w:font="Symbol" w:char="F0AE"/>
      </w:r>
      <w:r>
        <w:rPr>
          <w:spacing w:val="-3"/>
        </w:rPr>
        <w:t>Al + eutectic. Later freezing shows y a fine two phase mixture of Al+Al</w:t>
      </w:r>
      <w:r w:rsidRPr="00031621">
        <w:rPr>
          <w:spacing w:val="-3"/>
          <w:vertAlign w:val="subscript"/>
        </w:rPr>
        <w:t>2</w:t>
      </w:r>
      <w:r>
        <w:rPr>
          <w:spacing w:val="-3"/>
        </w:rPr>
        <w:t xml:space="preserve">Cu with additional needle-shaped </w:t>
      </w:r>
      <w:r w:rsidRPr="008313A7">
        <w:rPr>
          <w:spacing w:val="-3"/>
        </w:rPr>
        <w:t>Al</w:t>
      </w:r>
      <w:r w:rsidRPr="00645439">
        <w:rPr>
          <w:spacing w:val="-3"/>
          <w:vertAlign w:val="subscript"/>
        </w:rPr>
        <w:t>7</w:t>
      </w:r>
      <w:r w:rsidRPr="008313A7">
        <w:rPr>
          <w:spacing w:val="-3"/>
        </w:rPr>
        <w:t>Cu</w:t>
      </w:r>
      <w:r w:rsidRPr="00645439">
        <w:rPr>
          <w:spacing w:val="-3"/>
          <w:vertAlign w:val="subscript"/>
        </w:rPr>
        <w:t>2</w:t>
      </w:r>
      <w:r>
        <w:rPr>
          <w:spacing w:val="-3"/>
        </w:rPr>
        <w:t>Fe</w:t>
      </w:r>
      <w:r w:rsidRPr="00915EA7">
        <w:rPr>
          <w:spacing w:val="-3"/>
        </w:rPr>
        <w:t xml:space="preserve"> </w:t>
      </w:r>
      <w:r w:rsidR="0063267B">
        <w:rPr>
          <w:spacing w:val="-3"/>
        </w:rPr>
        <w:t xml:space="preserve">formation consistent with  </w:t>
      </w:r>
      <w:r>
        <w:rPr>
          <w:spacing w:val="-3"/>
        </w:rPr>
        <w:t>the fact that the phase diagram calls for a ternary eutectic of L</w:t>
      </w:r>
      <w:r>
        <w:rPr>
          <w:spacing w:val="-3"/>
        </w:rPr>
        <w:sym w:font="Symbol" w:char="F0AE"/>
      </w:r>
      <w:r>
        <w:rPr>
          <w:spacing w:val="-3"/>
        </w:rPr>
        <w:t xml:space="preserve">Al + </w:t>
      </w:r>
      <w:r w:rsidRPr="008313A7">
        <w:rPr>
          <w:spacing w:val="-3"/>
        </w:rPr>
        <w:t>Al</w:t>
      </w:r>
      <w:r w:rsidRPr="00645439">
        <w:rPr>
          <w:spacing w:val="-3"/>
          <w:vertAlign w:val="subscript"/>
        </w:rPr>
        <w:t>7</w:t>
      </w:r>
      <w:r w:rsidRPr="008313A7">
        <w:rPr>
          <w:spacing w:val="-3"/>
        </w:rPr>
        <w:t>Cu</w:t>
      </w:r>
      <w:r w:rsidRPr="00645439">
        <w:rPr>
          <w:spacing w:val="-3"/>
          <w:vertAlign w:val="subscript"/>
        </w:rPr>
        <w:t>2</w:t>
      </w:r>
      <w:r>
        <w:rPr>
          <w:spacing w:val="-3"/>
        </w:rPr>
        <w:t>Fe + Al</w:t>
      </w:r>
      <w:r w:rsidRPr="00DB0042">
        <w:rPr>
          <w:spacing w:val="-3"/>
          <w:vertAlign w:val="subscript"/>
        </w:rPr>
        <w:t>2</w:t>
      </w:r>
      <w:r>
        <w:rPr>
          <w:spacing w:val="-3"/>
        </w:rPr>
        <w:t>Cu. Boettinger (1981).</w:t>
      </w:r>
    </w:p>
    <w:p w14:paraId="7D0677FF" w14:textId="77777777" w:rsidR="003753B9" w:rsidRDefault="003753B9" w:rsidP="000261B0">
      <w:pPr>
        <w:tabs>
          <w:tab w:val="left" w:pos="-720"/>
          <w:tab w:val="left" w:pos="0"/>
          <w:tab w:val="left" w:pos="720"/>
        </w:tabs>
        <w:suppressAutoHyphens/>
        <w:spacing w:line="240" w:lineRule="atLeast"/>
        <w:ind w:left="1440" w:hanging="1440"/>
        <w:jc w:val="center"/>
        <w:rPr>
          <w:spacing w:val="-3"/>
        </w:rPr>
      </w:pPr>
    </w:p>
    <w:p w14:paraId="7C3669AB" w14:textId="77777777" w:rsidR="003753B9" w:rsidRDefault="003753B9" w:rsidP="003753B9">
      <w:pPr>
        <w:tabs>
          <w:tab w:val="left" w:pos="-720"/>
          <w:tab w:val="left" w:pos="0"/>
          <w:tab w:val="left" w:pos="720"/>
        </w:tabs>
        <w:suppressAutoHyphens/>
        <w:spacing w:line="240" w:lineRule="atLeast"/>
        <w:ind w:left="1440" w:hanging="1440"/>
        <w:rPr>
          <w:spacing w:val="-3"/>
        </w:rPr>
      </w:pPr>
      <w:r>
        <w:rPr>
          <w:spacing w:val="-3"/>
        </w:rPr>
        <w:t>Figure  8.9</w:t>
      </w:r>
      <w:r>
        <w:rPr>
          <w:spacing w:val="-3"/>
        </w:rPr>
        <w:tab/>
        <w:t xml:space="preserve">Plots showing variation of </w:t>
      </w:r>
      <w:r>
        <w:rPr>
          <w:i/>
          <w:iCs/>
          <w:spacing w:val="-3"/>
        </w:rPr>
        <w:t>λ</w:t>
      </w:r>
      <w:r>
        <w:rPr>
          <w:spacing w:val="-3"/>
          <w:vertAlign w:val="subscript"/>
        </w:rPr>
        <w:t>E</w:t>
      </w:r>
      <w:r>
        <w:rPr>
          <w:spacing w:val="-3"/>
        </w:rPr>
        <w:t xml:space="preserve"> with V when </w:t>
      </w:r>
      <w:r>
        <w:rPr>
          <w:i/>
          <w:iCs/>
          <w:spacing w:val="-3"/>
        </w:rPr>
        <w:t>D</w:t>
      </w:r>
      <w:r>
        <w:rPr>
          <w:spacing w:val="-3"/>
          <w:vertAlign w:val="subscript"/>
        </w:rPr>
        <w:t>L</w:t>
      </w:r>
      <w:r>
        <w:rPr>
          <w:spacing w:val="-3"/>
        </w:rPr>
        <w:t xml:space="preserve"> is assumed constant and when </w:t>
      </w:r>
      <w:r>
        <w:rPr>
          <w:i/>
          <w:iCs/>
          <w:spacing w:val="-3"/>
        </w:rPr>
        <w:t>D</w:t>
      </w:r>
      <w:r>
        <w:rPr>
          <w:spacing w:val="-3"/>
          <w:vertAlign w:val="subscript"/>
        </w:rPr>
        <w:t>L</w:t>
      </w:r>
      <w:r>
        <w:rPr>
          <w:spacing w:val="-3"/>
        </w:rPr>
        <w:t xml:space="preserve"> depends on temperature. At high solidification velocities the</w:t>
      </w:r>
      <w:r>
        <w:rPr>
          <w:i/>
          <w:iCs/>
          <w:spacing w:val="-3"/>
        </w:rPr>
        <w:t xml:space="preserve"> λ</w:t>
      </w:r>
      <w:r>
        <w:rPr>
          <w:spacing w:val="-3"/>
          <w:vertAlign w:val="subscript"/>
        </w:rPr>
        <w:t>E</w:t>
      </w:r>
      <w:r>
        <w:rPr>
          <w:spacing w:val="-3"/>
          <w:vertAlign w:val="superscript"/>
        </w:rPr>
        <w:t>2</w:t>
      </w:r>
      <w:r>
        <w:rPr>
          <w:i/>
          <w:iCs/>
          <w:spacing w:val="-3"/>
        </w:rPr>
        <w:t>V</w:t>
      </w:r>
      <w:r>
        <w:rPr>
          <w:spacing w:val="-3"/>
        </w:rPr>
        <w:t xml:space="preserve"> "constant" depends on the Peclet number and the relationship between</w:t>
      </w:r>
      <w:r>
        <w:rPr>
          <w:i/>
          <w:iCs/>
          <w:spacing w:val="-3"/>
        </w:rPr>
        <w:t xml:space="preserve"> λ</w:t>
      </w:r>
      <w:r>
        <w:rPr>
          <w:spacing w:val="-3"/>
          <w:vertAlign w:val="subscript"/>
        </w:rPr>
        <w:t>E</w:t>
      </w:r>
      <w:r>
        <w:rPr>
          <w:spacing w:val="-3"/>
        </w:rPr>
        <w:t xml:space="preserve"> and </w:t>
      </w:r>
      <w:r>
        <w:rPr>
          <w:i/>
          <w:iCs/>
          <w:spacing w:val="-3"/>
        </w:rPr>
        <w:t>V</w:t>
      </w:r>
      <w:r>
        <w:rPr>
          <w:spacing w:val="-3"/>
        </w:rPr>
        <w:t xml:space="preserve"> is altered. (TRIVEDI </w:t>
      </w:r>
      <w:r>
        <w:rPr>
          <w:i/>
          <w:iCs/>
          <w:spacing w:val="-3"/>
        </w:rPr>
        <w:t>et al.</w:t>
      </w:r>
      <w:r>
        <w:rPr>
          <w:spacing w:val="-3"/>
        </w:rPr>
        <w:t xml:space="preserve"> [1987]). </w:t>
      </w:r>
    </w:p>
    <w:p w14:paraId="4E80C506" w14:textId="77777777" w:rsidR="004005B5" w:rsidRDefault="004005B5" w:rsidP="003753B9">
      <w:pPr>
        <w:tabs>
          <w:tab w:val="left" w:pos="-720"/>
          <w:tab w:val="left" w:pos="0"/>
          <w:tab w:val="left" w:pos="720"/>
        </w:tabs>
        <w:suppressAutoHyphens/>
        <w:spacing w:line="240" w:lineRule="atLeast"/>
        <w:ind w:left="1440" w:hanging="1440"/>
        <w:rPr>
          <w:spacing w:val="-3"/>
        </w:rPr>
      </w:pPr>
    </w:p>
    <w:p w14:paraId="3D13536B" w14:textId="77777777" w:rsidR="003753B9" w:rsidRDefault="004005B5" w:rsidP="003753B9">
      <w:pPr>
        <w:tabs>
          <w:tab w:val="left" w:pos="-720"/>
          <w:tab w:val="left" w:pos="0"/>
          <w:tab w:val="left" w:pos="720"/>
        </w:tabs>
        <w:suppressAutoHyphens/>
        <w:spacing w:line="240" w:lineRule="atLeast"/>
        <w:ind w:left="1440" w:hanging="1440"/>
        <w:rPr>
          <w:spacing w:val="-3"/>
        </w:rPr>
      </w:pPr>
      <w:r>
        <w:rPr>
          <w:spacing w:val="-3"/>
        </w:rPr>
        <w:t>F</w:t>
      </w:r>
      <w:r w:rsidR="003753B9">
        <w:rPr>
          <w:spacing w:val="-3"/>
        </w:rPr>
        <w:t xml:space="preserve">igure 8.10. </w:t>
      </w:r>
      <w:r w:rsidR="003753B9">
        <w:rPr>
          <w:spacing w:val="-3"/>
        </w:rPr>
        <w:tab/>
        <w:t>a) Transition from fine eutectic growth to metallic glass when attempting directional solidification at 2.5 mm/s. a) Optical micrograph showing full diameter of directional solidified sample. b) TEM micrographs at low and high magnification proving that the growth just prior to the transition to glass is a fine two phase eutectic (Boettinger et al. [1980] and Boettinger [198</w:t>
      </w:r>
      <w:r w:rsidR="004E243B">
        <w:rPr>
          <w:spacing w:val="-3"/>
        </w:rPr>
        <w:t>2</w:t>
      </w:r>
      <w:r w:rsidR="003753B9">
        <w:rPr>
          <w:spacing w:val="-3"/>
        </w:rPr>
        <w:t>]).</w:t>
      </w:r>
    </w:p>
    <w:p w14:paraId="2973FA5A" w14:textId="77777777" w:rsidR="003753B9" w:rsidRDefault="003753B9" w:rsidP="000261B0">
      <w:pPr>
        <w:tabs>
          <w:tab w:val="left" w:pos="-720"/>
        </w:tabs>
        <w:suppressAutoHyphens/>
        <w:spacing w:line="240" w:lineRule="atLeast"/>
        <w:jc w:val="center"/>
        <w:rPr>
          <w:spacing w:val="-3"/>
        </w:rPr>
      </w:pPr>
    </w:p>
    <w:p w14:paraId="6158174D" w14:textId="77777777" w:rsidR="003753B9" w:rsidRDefault="003753B9" w:rsidP="003753B9">
      <w:pPr>
        <w:tabs>
          <w:tab w:val="left" w:pos="-720"/>
          <w:tab w:val="left" w:pos="0"/>
          <w:tab w:val="left" w:pos="720"/>
        </w:tabs>
        <w:suppressAutoHyphens/>
        <w:spacing w:line="240" w:lineRule="atLeast"/>
        <w:ind w:left="1440" w:hanging="1440"/>
        <w:rPr>
          <w:spacing w:val="-3"/>
        </w:rPr>
      </w:pPr>
      <w:r>
        <w:rPr>
          <w:spacing w:val="-3"/>
        </w:rPr>
        <w:t>Figure  8.11</w:t>
      </w:r>
      <w:r>
        <w:rPr>
          <w:spacing w:val="-3"/>
        </w:rPr>
        <w:tab/>
        <w:t xml:space="preserve">Experimental results for the variation in microstructure observed for Ag-Cu alloys depending on solidification velocity (BOETTINGER </w:t>
      </w:r>
      <w:r>
        <w:rPr>
          <w:i/>
          <w:iCs/>
          <w:spacing w:val="-3"/>
        </w:rPr>
        <w:t>et al.</w:t>
      </w:r>
      <w:r>
        <w:rPr>
          <w:spacing w:val="-3"/>
        </w:rPr>
        <w:t xml:space="preserve"> [1984</w:t>
      </w:r>
      <w:r w:rsidR="001F68B4">
        <w:rPr>
          <w:spacing w:val="-3"/>
        </w:rPr>
        <w:t>a</w:t>
      </w:r>
      <w:r>
        <w:rPr>
          <w:spacing w:val="-3"/>
        </w:rPr>
        <w:t>]).</w:t>
      </w:r>
    </w:p>
    <w:p w14:paraId="0B82BF31" w14:textId="77777777" w:rsidR="003753B9" w:rsidRDefault="003753B9" w:rsidP="000261B0">
      <w:pPr>
        <w:tabs>
          <w:tab w:val="left" w:pos="-720"/>
        </w:tabs>
        <w:suppressAutoHyphens/>
        <w:spacing w:line="240" w:lineRule="atLeast"/>
        <w:jc w:val="center"/>
        <w:rPr>
          <w:spacing w:val="-3"/>
        </w:rPr>
      </w:pPr>
    </w:p>
    <w:p w14:paraId="31ED6297" w14:textId="77777777" w:rsidR="003753B9" w:rsidRDefault="003753B9" w:rsidP="003753B9">
      <w:pPr>
        <w:tabs>
          <w:tab w:val="left" w:pos="-720"/>
          <w:tab w:val="left" w:pos="0"/>
          <w:tab w:val="left" w:pos="720"/>
        </w:tabs>
        <w:suppressAutoHyphens/>
        <w:spacing w:line="240" w:lineRule="atLeast"/>
        <w:ind w:left="1440" w:hanging="1440"/>
        <w:rPr>
          <w:spacing w:val="-3"/>
        </w:rPr>
      </w:pPr>
      <w:r>
        <w:rPr>
          <w:spacing w:val="-3"/>
        </w:rPr>
        <w:t xml:space="preserve">Figure  8.12 </w:t>
      </w:r>
      <w:r>
        <w:rPr>
          <w:spacing w:val="-3"/>
        </w:rPr>
        <w:tab/>
        <w:t>Theoretical coupled zones for the stable Al-Al</w:t>
      </w:r>
      <w:r>
        <w:rPr>
          <w:spacing w:val="-3"/>
          <w:vertAlign w:val="subscript"/>
        </w:rPr>
        <w:t>3</w:t>
      </w:r>
      <w:r>
        <w:rPr>
          <w:spacing w:val="-3"/>
        </w:rPr>
        <w:t>Fe and metastable Al-Al</w:t>
      </w:r>
      <w:r>
        <w:rPr>
          <w:spacing w:val="-3"/>
          <w:vertAlign w:val="subscript"/>
        </w:rPr>
        <w:t>6</w:t>
      </w:r>
      <w:r>
        <w:rPr>
          <w:spacing w:val="-3"/>
        </w:rPr>
        <w:t>Fe eutectics (hatched). The microstructure present at any value of interface supercooling and average alloy composition has been determined by a competitive growth analysis. Subscripts P and N refer to plate (2D) and needle (3-D) dendrites respectively (TRIVEDI and KURZ [1988]).</w:t>
      </w:r>
    </w:p>
    <w:p w14:paraId="7AEBFFA3" w14:textId="77777777" w:rsidR="003753B9" w:rsidRDefault="003753B9" w:rsidP="000261B0">
      <w:pPr>
        <w:tabs>
          <w:tab w:val="left" w:pos="-720"/>
          <w:tab w:val="left" w:pos="0"/>
          <w:tab w:val="left" w:pos="720"/>
        </w:tabs>
        <w:suppressAutoHyphens/>
        <w:spacing w:line="240" w:lineRule="atLeast"/>
        <w:ind w:left="1440" w:hanging="1440"/>
        <w:jc w:val="center"/>
        <w:rPr>
          <w:spacing w:val="-3"/>
        </w:rPr>
      </w:pPr>
    </w:p>
    <w:p w14:paraId="4ABB06AD" w14:textId="77777777" w:rsidR="003753B9" w:rsidRDefault="003753B9" w:rsidP="003753B9">
      <w:pPr>
        <w:tabs>
          <w:tab w:val="left" w:pos="-720"/>
          <w:tab w:val="left" w:pos="0"/>
          <w:tab w:val="left" w:pos="720"/>
        </w:tabs>
        <w:suppressAutoHyphens/>
        <w:spacing w:line="240" w:lineRule="atLeast"/>
        <w:ind w:left="1440" w:hanging="1440"/>
        <w:rPr>
          <w:spacing w:val="-3"/>
        </w:rPr>
      </w:pPr>
      <w:r>
        <w:rPr>
          <w:spacing w:val="-3"/>
        </w:rPr>
        <w:t xml:space="preserve">Figure 8.13 </w:t>
      </w:r>
      <w:r>
        <w:rPr>
          <w:spacing w:val="-3"/>
        </w:rPr>
        <w:tab/>
      </w:r>
      <w:r w:rsidRPr="00F81538">
        <w:rPr>
          <w:spacing w:val="-3"/>
        </w:rPr>
        <w:t>(a) Mechanism of growth of flake graphite from a rotation boundary which provides steps for the</w:t>
      </w:r>
      <w:r>
        <w:rPr>
          <w:spacing w:val="-3"/>
        </w:rPr>
        <w:t xml:space="preserve"> </w:t>
      </w:r>
      <w:r w:rsidRPr="00F81538">
        <w:rPr>
          <w:spacing w:val="-3"/>
        </w:rPr>
        <w:t>nucleation of (1010) faces. (b) Mechani</w:t>
      </w:r>
      <w:r>
        <w:rPr>
          <w:spacing w:val="-3"/>
        </w:rPr>
        <w:t>s</w:t>
      </w:r>
      <w:r w:rsidRPr="00F81538">
        <w:rPr>
          <w:spacing w:val="-3"/>
        </w:rPr>
        <w:t>m of growth of spheroidal graphite by repeated instability of pyramidal</w:t>
      </w:r>
      <w:r>
        <w:rPr>
          <w:spacing w:val="-3"/>
        </w:rPr>
        <w:t xml:space="preserve"> </w:t>
      </w:r>
      <w:r w:rsidRPr="00F81538">
        <w:rPr>
          <w:spacing w:val="-3"/>
        </w:rPr>
        <w:t>surfaces forming a radial array. (c) Mechanism of growth of compacted graphite by development of pyramidal</w:t>
      </w:r>
      <w:r>
        <w:rPr>
          <w:spacing w:val="-3"/>
        </w:rPr>
        <w:t xml:space="preserve"> </w:t>
      </w:r>
      <w:r w:rsidRPr="00F81538">
        <w:rPr>
          <w:spacing w:val="-3"/>
        </w:rPr>
        <w:t>forms on the crystal surface at steps due to screw dislocations</w:t>
      </w:r>
      <w:r>
        <w:rPr>
          <w:spacing w:val="-3"/>
        </w:rPr>
        <w:t xml:space="preserve"> (</w:t>
      </w:r>
      <w:r w:rsidRPr="00F81538">
        <w:rPr>
          <w:spacing w:val="-3"/>
        </w:rPr>
        <w:t>M</w:t>
      </w:r>
      <w:r>
        <w:rPr>
          <w:spacing w:val="-3"/>
        </w:rPr>
        <w:t>inkoff</w:t>
      </w:r>
      <w:r w:rsidRPr="00F81538">
        <w:rPr>
          <w:spacing w:val="-3"/>
        </w:rPr>
        <w:t xml:space="preserve"> [1990]</w:t>
      </w:r>
      <w:r>
        <w:rPr>
          <w:spacing w:val="-3"/>
        </w:rPr>
        <w:t>)</w:t>
      </w:r>
      <w:r w:rsidRPr="00F81538">
        <w:rPr>
          <w:spacing w:val="-3"/>
        </w:rPr>
        <w:t>.</w:t>
      </w:r>
    </w:p>
    <w:p w14:paraId="03FBFB6F" w14:textId="77777777" w:rsidR="003753B9" w:rsidRDefault="003753B9" w:rsidP="000261B0">
      <w:pPr>
        <w:tabs>
          <w:tab w:val="left" w:pos="-720"/>
          <w:tab w:val="left" w:pos="0"/>
          <w:tab w:val="left" w:pos="720"/>
        </w:tabs>
        <w:suppressAutoHyphens/>
        <w:spacing w:line="240" w:lineRule="atLeast"/>
        <w:ind w:left="1440" w:hanging="1440"/>
        <w:jc w:val="center"/>
        <w:rPr>
          <w:spacing w:val="-3"/>
        </w:rPr>
      </w:pPr>
    </w:p>
    <w:p w14:paraId="74E989F8" w14:textId="77777777" w:rsidR="003753B9" w:rsidRDefault="003753B9" w:rsidP="003753B9">
      <w:pPr>
        <w:tabs>
          <w:tab w:val="left" w:pos="-720"/>
          <w:tab w:val="left" w:pos="0"/>
          <w:tab w:val="left" w:pos="720"/>
        </w:tabs>
        <w:suppressAutoHyphens/>
        <w:spacing w:line="240" w:lineRule="atLeast"/>
        <w:ind w:left="1440" w:hanging="1440"/>
        <w:rPr>
          <w:spacing w:val="-3"/>
        </w:rPr>
      </w:pPr>
      <w:r>
        <w:rPr>
          <w:spacing w:val="-3"/>
        </w:rPr>
        <w:t xml:space="preserve">Figure 8.14 </w:t>
      </w:r>
      <w:r>
        <w:rPr>
          <w:spacing w:val="-3"/>
        </w:rPr>
        <w:tab/>
        <w:t>Schematic illustration of the progression of growth of the austenite-spheroidal graphite eutectic in directional solidification (Banerjee and Stefanescu [1991]).</w:t>
      </w:r>
    </w:p>
    <w:p w14:paraId="3E5ED539" w14:textId="77777777" w:rsidR="003753B9" w:rsidRDefault="003753B9" w:rsidP="000261B0">
      <w:pPr>
        <w:tabs>
          <w:tab w:val="left" w:pos="-720"/>
          <w:tab w:val="left" w:pos="0"/>
          <w:tab w:val="left" w:pos="720"/>
        </w:tabs>
        <w:suppressAutoHyphens/>
        <w:spacing w:line="240" w:lineRule="atLeast"/>
        <w:ind w:left="1440" w:hanging="1440"/>
        <w:jc w:val="center"/>
        <w:rPr>
          <w:spacing w:val="-3"/>
        </w:rPr>
      </w:pPr>
    </w:p>
    <w:p w14:paraId="5726B55C" w14:textId="77777777" w:rsidR="003753B9" w:rsidRDefault="003753B9" w:rsidP="003753B9">
      <w:pPr>
        <w:tabs>
          <w:tab w:val="left" w:pos="-720"/>
          <w:tab w:val="left" w:pos="0"/>
          <w:tab w:val="left" w:pos="720"/>
        </w:tabs>
        <w:suppressAutoHyphens/>
        <w:spacing w:line="240" w:lineRule="atLeast"/>
        <w:ind w:left="1440" w:hanging="1440"/>
        <w:rPr>
          <w:spacing w:val="-3"/>
        </w:rPr>
      </w:pPr>
      <w:r>
        <w:rPr>
          <w:spacing w:val="-3"/>
        </w:rPr>
        <w:t>Figure 8.15</w:t>
      </w:r>
      <w:r>
        <w:rPr>
          <w:spacing w:val="-3"/>
        </w:rPr>
        <w:tab/>
        <w:t>Schematic illustration of the sequence of formation of eutectic grains in sphedoidal graphite iron for the case of multi-directional solidification. (Banerjee and Stefanescu [1991]).</w:t>
      </w:r>
    </w:p>
    <w:p w14:paraId="03087978" w14:textId="77777777" w:rsidR="003753B9" w:rsidRDefault="003753B9" w:rsidP="003753B9">
      <w:pPr>
        <w:tabs>
          <w:tab w:val="left" w:pos="-720"/>
          <w:tab w:val="left" w:pos="0"/>
          <w:tab w:val="left" w:pos="720"/>
        </w:tabs>
        <w:suppressAutoHyphens/>
        <w:spacing w:line="240" w:lineRule="atLeast"/>
        <w:ind w:left="1440" w:hanging="1440"/>
        <w:rPr>
          <w:spacing w:val="-3"/>
        </w:rPr>
      </w:pPr>
    </w:p>
    <w:p w14:paraId="7728AB69" w14:textId="77777777" w:rsidR="003753B9" w:rsidRDefault="003753B9" w:rsidP="003753B9">
      <w:pPr>
        <w:tabs>
          <w:tab w:val="left" w:pos="-720"/>
          <w:tab w:val="left" w:pos="0"/>
          <w:tab w:val="left" w:pos="720"/>
        </w:tabs>
        <w:suppressAutoHyphens/>
        <w:spacing w:line="240" w:lineRule="atLeast"/>
        <w:ind w:left="1440" w:hanging="1440"/>
        <w:rPr>
          <w:spacing w:val="-3"/>
        </w:rPr>
      </w:pPr>
      <w:r>
        <w:rPr>
          <w:spacing w:val="-3"/>
        </w:rPr>
        <w:t>Figure 8.16</w:t>
      </w:r>
      <w:r>
        <w:rPr>
          <w:spacing w:val="-3"/>
        </w:rPr>
        <w:tab/>
        <w:t xml:space="preserve">Influence of G/V ratios and </w:t>
      </w:r>
      <w:r w:rsidR="00BD6531">
        <w:rPr>
          <w:spacing w:val="-3"/>
        </w:rPr>
        <w:t>wt</w:t>
      </w:r>
      <w:r>
        <w:rPr>
          <w:spacing w:val="-3"/>
        </w:rPr>
        <w:t>% Ce level on structural transition in cast iron. Banerjee and Stefanescu [1991])</w:t>
      </w:r>
    </w:p>
    <w:p w14:paraId="6E44CB89" w14:textId="77777777" w:rsidR="003753B9" w:rsidRDefault="003753B9" w:rsidP="000261B0">
      <w:pPr>
        <w:tabs>
          <w:tab w:val="left" w:pos="-720"/>
          <w:tab w:val="left" w:pos="0"/>
          <w:tab w:val="left" w:pos="720"/>
        </w:tabs>
        <w:suppressAutoHyphens/>
        <w:spacing w:line="240" w:lineRule="atLeast"/>
        <w:ind w:left="1440" w:hanging="1440"/>
        <w:jc w:val="center"/>
        <w:rPr>
          <w:spacing w:val="-3"/>
        </w:rPr>
      </w:pPr>
    </w:p>
    <w:p w14:paraId="6041495E" w14:textId="77777777" w:rsidR="003753B9" w:rsidRDefault="003753B9" w:rsidP="003753B9">
      <w:pPr>
        <w:tabs>
          <w:tab w:val="left" w:pos="-720"/>
          <w:tab w:val="left" w:pos="0"/>
          <w:tab w:val="left" w:pos="720"/>
        </w:tabs>
        <w:suppressAutoHyphens/>
        <w:spacing w:line="240" w:lineRule="atLeast"/>
        <w:ind w:left="1440" w:hanging="1440"/>
        <w:rPr>
          <w:spacing w:val="-3"/>
        </w:rPr>
      </w:pPr>
      <w:r>
        <w:rPr>
          <w:spacing w:val="-3"/>
        </w:rPr>
        <w:t>Figure 8.17</w:t>
      </w:r>
      <w:r>
        <w:rPr>
          <w:spacing w:val="-3"/>
        </w:rPr>
        <w:tab/>
        <w:t>Typical microstructures for various structural regions in Ce-treated hypo-eutectic irons, after directional solidification: a) lamellar graphite, b) lamellar + compacted, c) compacted, d) compacted + spheroidal, e) quasi-spereoidal , f) mottled. 50X.</w:t>
      </w:r>
      <w:r w:rsidRPr="00F37BF8">
        <w:rPr>
          <w:spacing w:val="-3"/>
        </w:rPr>
        <w:t xml:space="preserve"> </w:t>
      </w:r>
      <w:r w:rsidR="00711A4E">
        <w:rPr>
          <w:spacing w:val="-3"/>
        </w:rPr>
        <w:t>Bandyopadhyay (</w:t>
      </w:r>
      <w:r>
        <w:rPr>
          <w:spacing w:val="-3"/>
        </w:rPr>
        <w:t>Banerjee</w:t>
      </w:r>
      <w:r w:rsidR="00711A4E">
        <w:rPr>
          <w:spacing w:val="-3"/>
        </w:rPr>
        <w:t>)</w:t>
      </w:r>
      <w:r>
        <w:rPr>
          <w:spacing w:val="-3"/>
        </w:rPr>
        <w:t xml:space="preserve"> </w:t>
      </w:r>
      <w:r w:rsidR="00711A4E">
        <w:rPr>
          <w:spacing w:val="-3"/>
        </w:rPr>
        <w:t>et al.</w:t>
      </w:r>
      <w:r>
        <w:rPr>
          <w:spacing w:val="-3"/>
        </w:rPr>
        <w:t xml:space="preserve"> [(199</w:t>
      </w:r>
      <w:r w:rsidR="00711A4E">
        <w:rPr>
          <w:spacing w:val="-3"/>
        </w:rPr>
        <w:t>0</w:t>
      </w:r>
      <w:r w:rsidR="00684DC4">
        <w:rPr>
          <w:spacing w:val="-3"/>
        </w:rPr>
        <w:t>a</w:t>
      </w:r>
      <w:r>
        <w:rPr>
          <w:spacing w:val="-3"/>
        </w:rPr>
        <w:t>])</w:t>
      </w:r>
    </w:p>
    <w:p w14:paraId="43A88C11" w14:textId="77777777" w:rsidR="003753B9" w:rsidRDefault="003753B9" w:rsidP="000261B0">
      <w:pPr>
        <w:tabs>
          <w:tab w:val="left" w:pos="-720"/>
          <w:tab w:val="left" w:pos="0"/>
          <w:tab w:val="left" w:pos="720"/>
        </w:tabs>
        <w:suppressAutoHyphens/>
        <w:spacing w:line="240" w:lineRule="atLeast"/>
        <w:ind w:left="1440" w:hanging="1440"/>
        <w:jc w:val="center"/>
        <w:rPr>
          <w:spacing w:val="-3"/>
        </w:rPr>
      </w:pPr>
    </w:p>
    <w:p w14:paraId="341237C0" w14:textId="77777777" w:rsidR="003753B9" w:rsidRDefault="003753B9" w:rsidP="003753B9">
      <w:pPr>
        <w:tabs>
          <w:tab w:val="left" w:pos="-720"/>
          <w:tab w:val="left" w:pos="0"/>
          <w:tab w:val="left" w:pos="720"/>
        </w:tabs>
        <w:suppressAutoHyphens/>
        <w:spacing w:line="240" w:lineRule="atLeast"/>
        <w:ind w:left="1440" w:hanging="1440"/>
        <w:rPr>
          <w:spacing w:val="-3"/>
        </w:rPr>
      </w:pPr>
      <w:r>
        <w:rPr>
          <w:spacing w:val="-3"/>
        </w:rPr>
        <w:t xml:space="preserve">Figure  8.18 </w:t>
      </w:r>
      <w:r>
        <w:rPr>
          <w:spacing w:val="-3"/>
        </w:rPr>
        <w:tab/>
        <w:t>Possible morphologies of the solid-liquid interface and of the graphite in eutectic cast iron (Banerjee and Stefanescu [1991]).</w:t>
      </w:r>
    </w:p>
    <w:p w14:paraId="39F196D8" w14:textId="77777777" w:rsidR="003753B9" w:rsidRDefault="006133A9" w:rsidP="000261B0">
      <w:pPr>
        <w:tabs>
          <w:tab w:val="left" w:pos="-720"/>
          <w:tab w:val="left" w:pos="0"/>
          <w:tab w:val="left" w:pos="720"/>
        </w:tabs>
        <w:suppressAutoHyphens/>
        <w:spacing w:line="240" w:lineRule="atLeast"/>
        <w:ind w:left="1440" w:hanging="1440"/>
        <w:jc w:val="center"/>
        <w:rPr>
          <w:spacing w:val="-3"/>
        </w:rPr>
      </w:pPr>
      <w:r>
        <w:rPr>
          <w:spacing w:val="-3"/>
        </w:rPr>
        <w:lastRenderedPageBreak/>
        <w:t xml:space="preserve">  </w:t>
      </w:r>
    </w:p>
    <w:p w14:paraId="0434AAFF" w14:textId="77777777" w:rsidR="003753B9" w:rsidRDefault="003753B9" w:rsidP="003753B9">
      <w:pPr>
        <w:tabs>
          <w:tab w:val="left" w:pos="-720"/>
          <w:tab w:val="left" w:pos="0"/>
          <w:tab w:val="left" w:pos="720"/>
        </w:tabs>
        <w:suppressAutoHyphens/>
        <w:spacing w:line="240" w:lineRule="atLeast"/>
        <w:ind w:left="1440" w:hanging="1440"/>
        <w:rPr>
          <w:spacing w:val="-3"/>
        </w:rPr>
      </w:pPr>
      <w:r>
        <w:rPr>
          <w:spacing w:val="-3"/>
        </w:rPr>
        <w:t xml:space="preserve">Figure  8.19 </w:t>
      </w:r>
      <w:r>
        <w:rPr>
          <w:spacing w:val="-3"/>
        </w:rPr>
        <w:tab/>
        <w:t>Maps of gray and white cast iron structural regions in a casting: a) experimental, b) calculated. (</w:t>
      </w:r>
      <w:r w:rsidR="00711A4E">
        <w:rPr>
          <w:spacing w:val="-3"/>
        </w:rPr>
        <w:t>Upadhya et al. [1990]).</w:t>
      </w:r>
    </w:p>
    <w:p w14:paraId="7390B9E5" w14:textId="77777777" w:rsidR="003753B9" w:rsidRDefault="003753B9" w:rsidP="000261B0">
      <w:pPr>
        <w:tabs>
          <w:tab w:val="left" w:pos="-720"/>
          <w:tab w:val="left" w:pos="0"/>
          <w:tab w:val="left" w:pos="720"/>
        </w:tabs>
        <w:suppressAutoHyphens/>
        <w:spacing w:line="240" w:lineRule="atLeast"/>
        <w:ind w:left="1440" w:hanging="1440"/>
        <w:jc w:val="center"/>
        <w:rPr>
          <w:spacing w:val="-3"/>
        </w:rPr>
      </w:pPr>
    </w:p>
    <w:p w14:paraId="12388E6A" w14:textId="77777777" w:rsidR="003753B9" w:rsidRDefault="003753B9" w:rsidP="003753B9">
      <w:pPr>
        <w:tabs>
          <w:tab w:val="left" w:pos="-720"/>
          <w:tab w:val="left" w:pos="0"/>
          <w:tab w:val="left" w:pos="720"/>
        </w:tabs>
        <w:suppressAutoHyphens/>
        <w:spacing w:line="240" w:lineRule="atLeast"/>
        <w:ind w:left="1440" w:hanging="1440"/>
        <w:rPr>
          <w:spacing w:val="-3"/>
        </w:rPr>
      </w:pPr>
      <w:r>
        <w:rPr>
          <w:spacing w:val="-3"/>
        </w:rPr>
        <w:t>Figure  8.20</w:t>
      </w:r>
      <w:r>
        <w:rPr>
          <w:spacing w:val="-3"/>
        </w:rPr>
        <w:tab/>
        <w:t>Al-In monotectic-type diagram (</w:t>
      </w:r>
      <w:smartTag w:uri="urn:schemas-microsoft-com:office:smarttags" w:element="place">
        <w:smartTag w:uri="urn:schemas-microsoft-com:office:smarttags" w:element="City">
          <w:r>
            <w:rPr>
              <w:spacing w:val="-3"/>
            </w:rPr>
            <w:t>MURRAY</w:t>
          </w:r>
        </w:smartTag>
      </w:smartTag>
      <w:r>
        <w:rPr>
          <w:spacing w:val="-3"/>
        </w:rPr>
        <w:t xml:space="preserve"> [</w:t>
      </w:r>
      <w:r w:rsidR="00426C06">
        <w:rPr>
          <w:spacing w:val="-3"/>
        </w:rPr>
        <w:t>1983b</w:t>
      </w:r>
      <w:r>
        <w:rPr>
          <w:spacing w:val="-3"/>
        </w:rPr>
        <w:t>]).</w:t>
      </w:r>
    </w:p>
    <w:p w14:paraId="1EBC34AD" w14:textId="77777777" w:rsidR="003753B9" w:rsidRDefault="003753B9" w:rsidP="000261B0">
      <w:pPr>
        <w:tabs>
          <w:tab w:val="left" w:pos="-720"/>
        </w:tabs>
        <w:suppressAutoHyphens/>
        <w:spacing w:line="240" w:lineRule="atLeast"/>
        <w:jc w:val="center"/>
        <w:rPr>
          <w:spacing w:val="-3"/>
        </w:rPr>
      </w:pPr>
    </w:p>
    <w:p w14:paraId="353DA538" w14:textId="77777777" w:rsidR="003753B9" w:rsidRDefault="003753B9" w:rsidP="003753B9">
      <w:pPr>
        <w:tabs>
          <w:tab w:val="left" w:pos="-720"/>
          <w:tab w:val="left" w:pos="0"/>
          <w:tab w:val="left" w:pos="720"/>
        </w:tabs>
        <w:suppressAutoHyphens/>
        <w:spacing w:line="240" w:lineRule="atLeast"/>
        <w:ind w:left="1440" w:hanging="1440"/>
        <w:rPr>
          <w:spacing w:val="-3"/>
        </w:rPr>
      </w:pPr>
      <w:r>
        <w:rPr>
          <w:spacing w:val="-3"/>
        </w:rPr>
        <w:t xml:space="preserve">Figure  8.21 </w:t>
      </w:r>
      <w:r>
        <w:rPr>
          <w:spacing w:val="-3"/>
        </w:rPr>
        <w:tab/>
        <w:t>Schematic sequence to show liquid particle pushing, growth,  and engulfment during irregular monotectic growth</w:t>
      </w:r>
      <w:r w:rsidR="0063267B">
        <w:rPr>
          <w:spacing w:val="-3"/>
        </w:rPr>
        <w:t xml:space="preserve"> </w:t>
      </w:r>
      <w:r>
        <w:rPr>
          <w:spacing w:val="-3"/>
        </w:rPr>
        <w:t xml:space="preserve">(GRUGEL </w:t>
      </w:r>
      <w:r>
        <w:rPr>
          <w:i/>
          <w:iCs/>
          <w:spacing w:val="-3"/>
        </w:rPr>
        <w:t>et al.</w:t>
      </w:r>
      <w:r>
        <w:rPr>
          <w:spacing w:val="-3"/>
        </w:rPr>
        <w:t xml:space="preserve"> [1984]).</w:t>
      </w:r>
    </w:p>
    <w:p w14:paraId="18F81D0E" w14:textId="77777777" w:rsidR="003753B9" w:rsidRDefault="003753B9" w:rsidP="000261B0">
      <w:pPr>
        <w:tabs>
          <w:tab w:val="left" w:pos="-720"/>
        </w:tabs>
        <w:suppressAutoHyphens/>
        <w:spacing w:line="240" w:lineRule="atLeast"/>
        <w:jc w:val="center"/>
        <w:rPr>
          <w:spacing w:val="-3"/>
        </w:rPr>
      </w:pPr>
    </w:p>
    <w:p w14:paraId="017F4F0C" w14:textId="77777777" w:rsidR="003753B9" w:rsidRDefault="003753B9" w:rsidP="003753B9">
      <w:pPr>
        <w:tabs>
          <w:tab w:val="left" w:pos="-720"/>
          <w:tab w:val="left" w:pos="0"/>
          <w:tab w:val="left" w:pos="720"/>
        </w:tabs>
        <w:suppressAutoHyphens/>
        <w:spacing w:line="240" w:lineRule="atLeast"/>
        <w:ind w:left="1440" w:hanging="1440"/>
        <w:rPr>
          <w:spacing w:val="-3"/>
        </w:rPr>
      </w:pPr>
      <w:r>
        <w:rPr>
          <w:spacing w:val="-3"/>
        </w:rPr>
        <w:t>Figure  8.22</w:t>
      </w:r>
      <w:r>
        <w:rPr>
          <w:spacing w:val="-3"/>
        </w:rPr>
        <w:tab/>
        <w:t>(a) Pb-Bi peritectic phase diagram. (b) Concentration (</w:t>
      </w:r>
      <w:r w:rsidR="00BD6531">
        <w:rPr>
          <w:spacing w:val="-3"/>
        </w:rPr>
        <w:t xml:space="preserve">wt </w:t>
      </w:r>
      <w:r>
        <w:rPr>
          <w:spacing w:val="-3"/>
        </w:rPr>
        <w:t>% Bi) in the solid according to a Scheil model of solidification (FLEMINGS [1974]).</w:t>
      </w:r>
    </w:p>
    <w:p w14:paraId="0C08323D" w14:textId="77777777" w:rsidR="003753B9" w:rsidRDefault="003753B9" w:rsidP="000261B0">
      <w:pPr>
        <w:tabs>
          <w:tab w:val="left" w:pos="-720"/>
        </w:tabs>
        <w:suppressAutoHyphens/>
        <w:spacing w:line="240" w:lineRule="atLeast"/>
        <w:jc w:val="center"/>
        <w:rPr>
          <w:spacing w:val="-3"/>
        </w:rPr>
      </w:pPr>
    </w:p>
    <w:p w14:paraId="317C0E73" w14:textId="77777777" w:rsidR="003753B9" w:rsidRDefault="003753B9" w:rsidP="003753B9">
      <w:pPr>
        <w:tabs>
          <w:tab w:val="left" w:pos="-720"/>
          <w:tab w:val="left" w:pos="0"/>
          <w:tab w:val="left" w:pos="720"/>
        </w:tabs>
        <w:suppressAutoHyphens/>
        <w:spacing w:line="240" w:lineRule="atLeast"/>
        <w:ind w:left="1440" w:hanging="1440"/>
        <w:rPr>
          <w:spacing w:val="-3"/>
        </w:rPr>
      </w:pPr>
      <w:r>
        <w:rPr>
          <w:spacing w:val="-3"/>
        </w:rPr>
        <w:t>Figure  8.23</w:t>
      </w:r>
      <w:r>
        <w:rPr>
          <w:spacing w:val="-3"/>
        </w:rPr>
        <w:tab/>
        <w:t>Peritectic reaction and peritectic transformation.  (a) in the peritectic reaction a second solid phase,</w:t>
      </w:r>
      <w:r>
        <w:rPr>
          <w:i/>
          <w:iCs/>
          <w:spacing w:val="-3"/>
        </w:rPr>
        <w:t xml:space="preserve"> β</w:t>
      </w:r>
      <w:r>
        <w:rPr>
          <w:spacing w:val="-3"/>
        </w:rPr>
        <w:t xml:space="preserve">, grows along the surface of the primary phase </w:t>
      </w:r>
      <w:r>
        <w:rPr>
          <w:i/>
          <w:iCs/>
          <w:spacing w:val="-3"/>
        </w:rPr>
        <w:t>α</w:t>
      </w:r>
      <w:r>
        <w:rPr>
          <w:spacing w:val="-3"/>
        </w:rPr>
        <w:t xml:space="preserve">  by diffusion through the liquid. (b) In the peritectic transformation, diffusion of B atoms through the already formed solid phase</w:t>
      </w:r>
      <w:r>
        <w:rPr>
          <w:i/>
          <w:iCs/>
          <w:spacing w:val="-3"/>
        </w:rPr>
        <w:t xml:space="preserve"> β</w:t>
      </w:r>
      <w:r>
        <w:rPr>
          <w:spacing w:val="-3"/>
        </w:rPr>
        <w:t xml:space="preserve"> occurs (HILLERT [1979]).</w:t>
      </w:r>
    </w:p>
    <w:p w14:paraId="7F433145" w14:textId="77777777" w:rsidR="003753B9" w:rsidRDefault="003753B9" w:rsidP="000261B0">
      <w:pPr>
        <w:tabs>
          <w:tab w:val="left" w:pos="-720"/>
          <w:tab w:val="left" w:pos="0"/>
          <w:tab w:val="left" w:pos="720"/>
        </w:tabs>
        <w:suppressAutoHyphens/>
        <w:spacing w:line="240" w:lineRule="atLeast"/>
        <w:ind w:left="1440" w:hanging="1440"/>
        <w:jc w:val="center"/>
        <w:rPr>
          <w:spacing w:val="-3"/>
        </w:rPr>
      </w:pPr>
    </w:p>
    <w:p w14:paraId="4FC6244E" w14:textId="77777777" w:rsidR="003753B9" w:rsidRDefault="003753B9" w:rsidP="003753B9">
      <w:pPr>
        <w:tabs>
          <w:tab w:val="left" w:pos="-720"/>
          <w:tab w:val="left" w:pos="0"/>
          <w:tab w:val="left" w:pos="720"/>
        </w:tabs>
        <w:suppressAutoHyphens/>
        <w:spacing w:line="240" w:lineRule="atLeast"/>
        <w:ind w:left="1440" w:hanging="1440"/>
        <w:rPr>
          <w:spacing w:val="-3"/>
        </w:rPr>
      </w:pPr>
      <w:r>
        <w:rPr>
          <w:spacing w:val="-3"/>
        </w:rPr>
        <w:t>Figure  8.24</w:t>
      </w:r>
      <w:r>
        <w:rPr>
          <w:spacing w:val="-3"/>
        </w:rPr>
        <w:tab/>
        <w:t xml:space="preserve">Phase field  simulation of </w:t>
      </w:r>
      <w:r w:rsidRPr="008313A7">
        <w:rPr>
          <w:spacing w:val="-3"/>
        </w:rPr>
        <w:t>Solidification of Fe</w:t>
      </w:r>
      <w:r>
        <w:rPr>
          <w:spacing w:val="-3"/>
        </w:rPr>
        <w:t xml:space="preserve"> -</w:t>
      </w:r>
      <w:r w:rsidR="00BD6531">
        <w:rPr>
          <w:spacing w:val="-3"/>
        </w:rPr>
        <w:t xml:space="preserve"> </w:t>
      </w:r>
      <w:r w:rsidRPr="008313A7">
        <w:rPr>
          <w:spacing w:val="-3"/>
        </w:rPr>
        <w:t>1 at.%</w:t>
      </w:r>
      <w:r w:rsidRPr="00645439">
        <w:rPr>
          <w:spacing w:val="-3"/>
        </w:rPr>
        <w:t xml:space="preserve"> </w:t>
      </w:r>
      <w:r w:rsidRPr="008313A7">
        <w:rPr>
          <w:spacing w:val="-3"/>
        </w:rPr>
        <w:t xml:space="preserve">C </w:t>
      </w:r>
      <w:r>
        <w:rPr>
          <w:spacing w:val="-3"/>
        </w:rPr>
        <w:t xml:space="preserve">- </w:t>
      </w:r>
      <w:r w:rsidRPr="008313A7">
        <w:rPr>
          <w:spacing w:val="-3"/>
        </w:rPr>
        <w:t>1 at.%</w:t>
      </w:r>
      <w:r w:rsidRPr="00645439">
        <w:rPr>
          <w:spacing w:val="-3"/>
        </w:rPr>
        <w:t xml:space="preserve"> </w:t>
      </w:r>
      <w:r w:rsidRPr="008313A7">
        <w:rPr>
          <w:spacing w:val="-3"/>
        </w:rPr>
        <w:t>Mn at a cooling rate of 1 K</w:t>
      </w:r>
      <w:r>
        <w:rPr>
          <w:spacing w:val="-3"/>
        </w:rPr>
        <w:t>s</w:t>
      </w:r>
      <w:r w:rsidRPr="00645439">
        <w:rPr>
          <w:spacing w:val="-3"/>
          <w:vertAlign w:val="superscript"/>
        </w:rPr>
        <w:t>-1</w:t>
      </w:r>
      <w:r w:rsidRPr="008313A7">
        <w:rPr>
          <w:spacing w:val="-3"/>
        </w:rPr>
        <w:t xml:space="preserve"> in a temperature gradient of 2</w:t>
      </w:r>
      <w:r>
        <w:rPr>
          <w:spacing w:val="-3"/>
        </w:rPr>
        <w:t xml:space="preserve"> x</w:t>
      </w:r>
      <w:r w:rsidRPr="008313A7">
        <w:rPr>
          <w:spacing w:val="-3"/>
        </w:rPr>
        <w:t>10</w:t>
      </w:r>
      <w:r>
        <w:rPr>
          <w:spacing w:val="-3"/>
          <w:vertAlign w:val="superscript"/>
        </w:rPr>
        <w:t>4</w:t>
      </w:r>
      <w:r w:rsidRPr="008313A7">
        <w:rPr>
          <w:spacing w:val="-3"/>
        </w:rPr>
        <w:t xml:space="preserve"> K</w:t>
      </w:r>
      <w:r>
        <w:rPr>
          <w:spacing w:val="-3"/>
        </w:rPr>
        <w:t>m</w:t>
      </w:r>
      <w:r w:rsidRPr="00645439">
        <w:rPr>
          <w:spacing w:val="-3"/>
          <w:vertAlign w:val="superscript"/>
        </w:rPr>
        <w:t>-1</w:t>
      </w:r>
      <w:r>
        <w:rPr>
          <w:spacing w:val="-3"/>
        </w:rPr>
        <w:t xml:space="preserve"> </w:t>
      </w:r>
      <w:r w:rsidRPr="008313A7">
        <w:rPr>
          <w:spacing w:val="-3"/>
        </w:rPr>
        <w:t>Shown are the composition maps of carbon and manganese in atom fractions as well as the phase map</w:t>
      </w:r>
      <w:r>
        <w:rPr>
          <w:spacing w:val="-3"/>
        </w:rPr>
        <w:t xml:space="preserve"> (Hecht et al. [2004]).</w:t>
      </w:r>
    </w:p>
    <w:p w14:paraId="7F6BACB5" w14:textId="77777777" w:rsidR="003753B9" w:rsidRDefault="003753B9" w:rsidP="000261B0">
      <w:pPr>
        <w:tabs>
          <w:tab w:val="left" w:pos="-720"/>
        </w:tabs>
        <w:suppressAutoHyphens/>
        <w:spacing w:line="240" w:lineRule="atLeast"/>
        <w:jc w:val="center"/>
        <w:rPr>
          <w:spacing w:val="-3"/>
        </w:rPr>
      </w:pPr>
    </w:p>
    <w:p w14:paraId="60CD9CEE" w14:textId="77777777" w:rsidR="003753B9" w:rsidRDefault="003753B9" w:rsidP="003753B9">
      <w:pPr>
        <w:tabs>
          <w:tab w:val="left" w:pos="-720"/>
          <w:tab w:val="left" w:pos="0"/>
          <w:tab w:val="left" w:pos="720"/>
        </w:tabs>
        <w:suppressAutoHyphens/>
        <w:spacing w:line="240" w:lineRule="atLeast"/>
        <w:ind w:left="1440" w:hanging="1440"/>
        <w:rPr>
          <w:spacing w:val="-3"/>
        </w:rPr>
      </w:pPr>
      <w:r>
        <w:rPr>
          <w:spacing w:val="-3"/>
        </w:rPr>
        <w:t>Figure 8.25</w:t>
      </w:r>
      <w:r>
        <w:rPr>
          <w:spacing w:val="-3"/>
        </w:rPr>
        <w:tab/>
        <w:t xml:space="preserve">Peritectic phase diagram with metastable extensions of </w:t>
      </w:r>
      <w:r>
        <w:rPr>
          <w:i/>
          <w:iCs/>
          <w:spacing w:val="-3"/>
        </w:rPr>
        <w:t>α</w:t>
      </w:r>
      <w:r>
        <w:rPr>
          <w:spacing w:val="-3"/>
        </w:rPr>
        <w:t xml:space="preserve"> and</w:t>
      </w:r>
      <w:r>
        <w:rPr>
          <w:i/>
          <w:iCs/>
          <w:spacing w:val="-3"/>
        </w:rPr>
        <w:t xml:space="preserve"> β</w:t>
      </w:r>
      <w:r>
        <w:rPr>
          <w:spacing w:val="-3"/>
        </w:rPr>
        <w:t xml:space="preserve"> liquidus and solidus curves below and above the peritectic temperature respectively. For an alloy of the composition of the vertical line, planar steady-state growth of either </w:t>
      </w:r>
      <w:r>
        <w:rPr>
          <w:i/>
          <w:iCs/>
          <w:spacing w:val="-3"/>
        </w:rPr>
        <w:t>α</w:t>
      </w:r>
      <w:r>
        <w:rPr>
          <w:spacing w:val="-3"/>
        </w:rPr>
        <w:t xml:space="preserve"> or </w:t>
      </w:r>
      <w:r>
        <w:rPr>
          <w:i/>
          <w:iCs/>
          <w:spacing w:val="-3"/>
        </w:rPr>
        <w:t xml:space="preserve">β </w:t>
      </w:r>
      <w:r>
        <w:rPr>
          <w:spacing w:val="-3"/>
        </w:rPr>
        <w:t xml:space="preserve">is possible at the temperatures </w:t>
      </w:r>
      <w:r>
        <w:rPr>
          <w:i/>
          <w:iCs/>
          <w:spacing w:val="-3"/>
        </w:rPr>
        <w:t>T</w:t>
      </w:r>
      <w:r>
        <w:rPr>
          <w:spacing w:val="-3"/>
          <w:vertAlign w:val="subscript"/>
        </w:rPr>
        <w:t>1</w:t>
      </w:r>
      <w:r>
        <w:rPr>
          <w:spacing w:val="-3"/>
        </w:rPr>
        <w:t xml:space="preserve"> and</w:t>
      </w:r>
      <w:r>
        <w:rPr>
          <w:i/>
          <w:iCs/>
          <w:spacing w:val="-3"/>
        </w:rPr>
        <w:t xml:space="preserve"> T</w:t>
      </w:r>
      <w:r>
        <w:rPr>
          <w:spacing w:val="-3"/>
          <w:vertAlign w:val="subscript"/>
        </w:rPr>
        <w:t>2</w:t>
      </w:r>
      <w:r>
        <w:rPr>
          <w:spacing w:val="-3"/>
        </w:rPr>
        <w:t xml:space="preserve"> respectively (HILLERT [1979])</w:t>
      </w:r>
      <w:r w:rsidR="00F7556C">
        <w:rPr>
          <w:spacing w:val="-3"/>
        </w:rPr>
        <w:t>.</w:t>
      </w:r>
    </w:p>
    <w:p w14:paraId="4B0A35FF" w14:textId="77777777" w:rsidR="003753B9" w:rsidRDefault="003753B9" w:rsidP="000261B0">
      <w:pPr>
        <w:tabs>
          <w:tab w:val="left" w:pos="-720"/>
        </w:tabs>
        <w:suppressAutoHyphens/>
        <w:spacing w:line="240" w:lineRule="atLeast"/>
        <w:jc w:val="center"/>
        <w:rPr>
          <w:spacing w:val="-3"/>
        </w:rPr>
      </w:pPr>
    </w:p>
    <w:p w14:paraId="61C641D0" w14:textId="0C443C7F" w:rsidR="003753B9" w:rsidRDefault="003753B9" w:rsidP="003753B9">
      <w:pPr>
        <w:tabs>
          <w:tab w:val="left" w:pos="-720"/>
          <w:tab w:val="left" w:pos="0"/>
          <w:tab w:val="left" w:pos="720"/>
        </w:tabs>
        <w:suppressAutoHyphens/>
        <w:spacing w:line="240" w:lineRule="atLeast"/>
        <w:ind w:left="1440" w:hanging="1440"/>
        <w:rPr>
          <w:spacing w:val="-3"/>
        </w:rPr>
      </w:pPr>
      <w:r>
        <w:rPr>
          <w:spacing w:val="-3"/>
        </w:rPr>
        <w:t xml:space="preserve">Figure 9.1 a) Al </w:t>
      </w:r>
      <w:r w:rsidR="00BD6531">
        <w:rPr>
          <w:spacing w:val="-3"/>
        </w:rPr>
        <w:t>–</w:t>
      </w:r>
      <w:r>
        <w:rPr>
          <w:spacing w:val="-3"/>
        </w:rPr>
        <w:t xml:space="preserve"> 1</w:t>
      </w:r>
      <w:r w:rsidR="00BD6531">
        <w:rPr>
          <w:spacing w:val="-3"/>
        </w:rPr>
        <w:t xml:space="preserve"> wt</w:t>
      </w:r>
      <w:r>
        <w:rPr>
          <w:spacing w:val="-3"/>
        </w:rPr>
        <w:t xml:space="preserve">% Cu cast in a cold copper </w:t>
      </w:r>
      <w:r w:rsidR="00CD7156">
        <w:rPr>
          <w:spacing w:val="-3"/>
        </w:rPr>
        <w:t>mold</w:t>
      </w:r>
      <w:r>
        <w:rPr>
          <w:spacing w:val="-3"/>
        </w:rPr>
        <w:t xml:space="preserve"> coated with lamp black, except in the area of the cross b) Substructure corresponding to the uncoated region of a). Each grain has a predendritic region as origin. c) Substructure corresponding to the coated region; notice the "cells", probably produced by a multiplication mechanism, as origin of the dendrites (BILONI [1980]).</w:t>
      </w:r>
    </w:p>
    <w:p w14:paraId="0DD7C206" w14:textId="77777777" w:rsidR="003753B9" w:rsidRDefault="003753B9" w:rsidP="000261B0">
      <w:pPr>
        <w:tabs>
          <w:tab w:val="left" w:pos="-720"/>
        </w:tabs>
        <w:suppressAutoHyphens/>
        <w:spacing w:line="240" w:lineRule="atLeast"/>
        <w:jc w:val="center"/>
        <w:rPr>
          <w:spacing w:val="-3"/>
        </w:rPr>
      </w:pPr>
    </w:p>
    <w:p w14:paraId="293B2484" w14:textId="6F7D9887" w:rsidR="003753B9" w:rsidRDefault="003753B9" w:rsidP="003753B9">
      <w:pPr>
        <w:tabs>
          <w:tab w:val="left" w:pos="-720"/>
          <w:tab w:val="left" w:pos="0"/>
          <w:tab w:val="left" w:pos="720"/>
        </w:tabs>
        <w:suppressAutoHyphens/>
        <w:spacing w:line="240" w:lineRule="atLeast"/>
        <w:ind w:left="1440" w:hanging="1440"/>
        <w:rPr>
          <w:spacing w:val="-3"/>
        </w:rPr>
      </w:pPr>
      <w:r>
        <w:rPr>
          <w:spacing w:val="-3"/>
        </w:rPr>
        <w:t>Figure 9.2</w:t>
      </w:r>
      <w:r>
        <w:rPr>
          <w:spacing w:val="-3"/>
        </w:rPr>
        <w:tab/>
        <w:t xml:space="preserve">Longitudinal section of an ingot poured from the bottom, after macroetch. The difference in grain size is due to </w:t>
      </w:r>
      <w:r w:rsidR="00CD7156">
        <w:rPr>
          <w:spacing w:val="-3"/>
        </w:rPr>
        <w:t>mold</w:t>
      </w:r>
      <w:r>
        <w:rPr>
          <w:spacing w:val="-3"/>
        </w:rPr>
        <w:t xml:space="preserve"> walls with different microgeometries. The small columnar grains start at the asperities of an alumina </w:t>
      </w:r>
      <w:r w:rsidR="00CD7156">
        <w:rPr>
          <w:spacing w:val="-3"/>
        </w:rPr>
        <w:t>mold</w:t>
      </w:r>
      <w:r>
        <w:rPr>
          <w:spacing w:val="-3"/>
        </w:rPr>
        <w:t xml:space="preserve"> coating presenting a controlled microgeometry; the very large grain started from a wall coated with a very smooth film of lamp black (MORALES </w:t>
      </w:r>
      <w:r>
        <w:rPr>
          <w:i/>
          <w:iCs/>
          <w:spacing w:val="-3"/>
        </w:rPr>
        <w:t>et al.</w:t>
      </w:r>
      <w:r>
        <w:rPr>
          <w:spacing w:val="-3"/>
        </w:rPr>
        <w:t xml:space="preserve"> [1979]).</w:t>
      </w:r>
    </w:p>
    <w:p w14:paraId="5CF4A89A" w14:textId="77777777" w:rsidR="006133A9" w:rsidRDefault="006133A9" w:rsidP="000261B0">
      <w:pPr>
        <w:tabs>
          <w:tab w:val="left" w:pos="-720"/>
          <w:tab w:val="left" w:pos="0"/>
          <w:tab w:val="left" w:pos="720"/>
        </w:tabs>
        <w:suppressAutoHyphens/>
        <w:spacing w:line="240" w:lineRule="atLeast"/>
        <w:ind w:left="1440" w:hanging="1440"/>
        <w:jc w:val="center"/>
        <w:rPr>
          <w:spacing w:val="-3"/>
        </w:rPr>
      </w:pPr>
    </w:p>
    <w:p w14:paraId="30F5152E" w14:textId="77777777" w:rsidR="003753B9" w:rsidRDefault="003753B9" w:rsidP="003753B9">
      <w:pPr>
        <w:tabs>
          <w:tab w:val="left" w:pos="-720"/>
          <w:tab w:val="left" w:pos="0"/>
          <w:tab w:val="left" w:pos="720"/>
        </w:tabs>
        <w:suppressAutoHyphens/>
        <w:spacing w:line="240" w:lineRule="atLeast"/>
        <w:ind w:left="1440" w:hanging="1440"/>
        <w:rPr>
          <w:spacing w:val="-3"/>
        </w:rPr>
      </w:pPr>
      <w:r>
        <w:rPr>
          <w:spacing w:val="-3"/>
        </w:rPr>
        <w:t>Figure 9.3</w:t>
      </w:r>
      <w:r>
        <w:rPr>
          <w:spacing w:val="-3"/>
        </w:rPr>
        <w:tab/>
        <w:t>Competing processes during directional dendritic growth: development of preferred orientation in the columnar region, formation of equiaxed grains ahead of the columnar front</w:t>
      </w:r>
      <w:r w:rsidR="00C36CAA">
        <w:rPr>
          <w:spacing w:val="-3"/>
        </w:rPr>
        <w:t>. Three grains are shown.</w:t>
      </w:r>
      <w:r>
        <w:rPr>
          <w:spacing w:val="-3"/>
        </w:rPr>
        <w:t xml:space="preserve"> (RAPPAZ and GANDIN [1993]).</w:t>
      </w:r>
    </w:p>
    <w:p w14:paraId="453A5B81" w14:textId="77777777" w:rsidR="003753B9" w:rsidRDefault="003753B9" w:rsidP="000261B0">
      <w:pPr>
        <w:tabs>
          <w:tab w:val="left" w:pos="-720"/>
          <w:tab w:val="left" w:pos="0"/>
          <w:tab w:val="left" w:pos="720"/>
        </w:tabs>
        <w:suppressAutoHyphens/>
        <w:spacing w:line="240" w:lineRule="atLeast"/>
        <w:ind w:left="1440" w:hanging="1440"/>
        <w:jc w:val="center"/>
        <w:rPr>
          <w:spacing w:val="-3"/>
        </w:rPr>
      </w:pPr>
    </w:p>
    <w:p w14:paraId="6AD53CE0" w14:textId="77777777" w:rsidR="003753B9" w:rsidRDefault="003753B9" w:rsidP="003753B9">
      <w:pPr>
        <w:tabs>
          <w:tab w:val="left" w:pos="-720"/>
          <w:tab w:val="left" w:pos="0"/>
          <w:tab w:val="left" w:pos="720"/>
        </w:tabs>
        <w:suppressAutoHyphens/>
        <w:spacing w:line="240" w:lineRule="atLeast"/>
        <w:ind w:left="1440" w:hanging="1440"/>
        <w:rPr>
          <w:spacing w:val="-3"/>
        </w:rPr>
      </w:pPr>
      <w:r>
        <w:rPr>
          <w:spacing w:val="-3"/>
        </w:rPr>
        <w:t>Figure 9.4</w:t>
      </w:r>
      <w:r>
        <w:rPr>
          <w:spacing w:val="-3"/>
        </w:rPr>
        <w:tab/>
        <w:t>a) Low magnification view of solute rich plumes rising from a mushy zone of NH</w:t>
      </w:r>
      <w:r w:rsidRPr="00844762">
        <w:rPr>
          <w:spacing w:val="-3"/>
          <w:vertAlign w:val="subscript"/>
        </w:rPr>
        <w:t>4</w:t>
      </w:r>
      <w:r>
        <w:rPr>
          <w:spacing w:val="-3"/>
        </w:rPr>
        <w:t>Cl dendrites growing from a NH</w:t>
      </w:r>
      <w:r w:rsidRPr="00844762">
        <w:rPr>
          <w:spacing w:val="-3"/>
          <w:vertAlign w:val="subscript"/>
        </w:rPr>
        <w:t>4</w:t>
      </w:r>
      <w:r>
        <w:rPr>
          <w:spacing w:val="-3"/>
        </w:rPr>
        <w:t>Cl-H</w:t>
      </w:r>
      <w:r w:rsidRPr="004A6764">
        <w:rPr>
          <w:spacing w:val="-3"/>
          <w:vertAlign w:val="subscript"/>
        </w:rPr>
        <w:t>2</w:t>
      </w:r>
      <w:r>
        <w:rPr>
          <w:spacing w:val="-3"/>
        </w:rPr>
        <w:t>0 solution being cooled from the bottom. b) High magnification view of upper region of channel formed in the mushy zone with a single fragment that has been ejected, grown and is falling back to the advancing dendritic front causing the formation of a new grain. c) High magnification view deep in the channel where dendritic fragments have fallen back into the channel (forming the characteristic freckle appearance seen in micrographs after solidification of superalloys). d) and e) shown sketches of b) and c). (adapted from Hellawell et al., 1993).</w:t>
      </w:r>
    </w:p>
    <w:p w14:paraId="118D557D" w14:textId="77777777" w:rsidR="003753B9" w:rsidRDefault="003753B9" w:rsidP="000261B0">
      <w:pPr>
        <w:tabs>
          <w:tab w:val="left" w:pos="-720"/>
          <w:tab w:val="left" w:pos="0"/>
          <w:tab w:val="left" w:pos="720"/>
        </w:tabs>
        <w:suppressAutoHyphens/>
        <w:spacing w:line="240" w:lineRule="atLeast"/>
        <w:ind w:left="1440" w:hanging="1440"/>
        <w:jc w:val="center"/>
        <w:rPr>
          <w:spacing w:val="-3"/>
        </w:rPr>
      </w:pPr>
    </w:p>
    <w:p w14:paraId="7615567A" w14:textId="77777777" w:rsidR="003753B9" w:rsidRDefault="003753B9" w:rsidP="003753B9">
      <w:pPr>
        <w:tabs>
          <w:tab w:val="left" w:pos="-720"/>
          <w:tab w:val="left" w:pos="0"/>
          <w:tab w:val="left" w:pos="720"/>
        </w:tabs>
        <w:suppressAutoHyphens/>
        <w:spacing w:line="240" w:lineRule="atLeast"/>
        <w:ind w:left="1440" w:hanging="1440"/>
        <w:rPr>
          <w:spacing w:val="-3"/>
        </w:rPr>
      </w:pPr>
      <w:r>
        <w:rPr>
          <w:spacing w:val="-3"/>
        </w:rPr>
        <w:t>Figure 9.5</w:t>
      </w:r>
      <w:r>
        <w:rPr>
          <w:spacing w:val="-3"/>
        </w:rPr>
        <w:tab/>
        <w:t>Dendrite fragmentation and columnar front blockage in metallic Al-Cu alloy observed by synchrotron radiation (</w:t>
      </w:r>
      <w:r w:rsidR="008E22C5">
        <w:rPr>
          <w:spacing w:val="-3"/>
        </w:rPr>
        <w:t xml:space="preserve">Mathiesen </w:t>
      </w:r>
      <w:r>
        <w:rPr>
          <w:spacing w:val="-3"/>
        </w:rPr>
        <w:t>et al.[2006]).</w:t>
      </w:r>
    </w:p>
    <w:p w14:paraId="2BA37DC2" w14:textId="77777777" w:rsidR="003753B9" w:rsidRDefault="003753B9" w:rsidP="000261B0">
      <w:pPr>
        <w:tabs>
          <w:tab w:val="left" w:pos="-720"/>
          <w:tab w:val="left" w:pos="0"/>
          <w:tab w:val="left" w:pos="720"/>
        </w:tabs>
        <w:suppressAutoHyphens/>
        <w:spacing w:line="240" w:lineRule="atLeast"/>
        <w:ind w:left="1440" w:hanging="1440"/>
        <w:jc w:val="center"/>
        <w:rPr>
          <w:spacing w:val="-3"/>
        </w:rPr>
      </w:pPr>
    </w:p>
    <w:p w14:paraId="3A1C43A2" w14:textId="77777777" w:rsidR="003753B9" w:rsidRDefault="003753B9" w:rsidP="003753B9">
      <w:pPr>
        <w:tabs>
          <w:tab w:val="left" w:pos="-720"/>
          <w:tab w:val="left" w:pos="0"/>
          <w:tab w:val="left" w:pos="720"/>
        </w:tabs>
        <w:suppressAutoHyphens/>
        <w:spacing w:line="240" w:lineRule="atLeast"/>
        <w:ind w:left="1440" w:hanging="1440"/>
        <w:rPr>
          <w:spacing w:val="-3"/>
        </w:rPr>
      </w:pPr>
      <w:r>
        <w:rPr>
          <w:spacing w:val="-3"/>
        </w:rPr>
        <w:t>Figure 9.6</w:t>
      </w:r>
      <w:r>
        <w:rPr>
          <w:spacing w:val="-3"/>
        </w:rPr>
        <w:tab/>
        <w:t>Simulation of columnar and equiaxed structures by RAPPAZ and GANDIN [1993].</w:t>
      </w:r>
      <w:r w:rsidR="0063267B" w:rsidRPr="0063267B">
        <w:rPr>
          <w:spacing w:val="-3"/>
        </w:rPr>
        <w:t xml:space="preserve"> </w:t>
      </w:r>
      <w:r w:rsidR="0063267B">
        <w:rPr>
          <w:spacing w:val="-3"/>
        </w:rPr>
        <w:t>(a) Al-5</w:t>
      </w:r>
      <w:r w:rsidR="00BD6531">
        <w:rPr>
          <w:spacing w:val="-3"/>
        </w:rPr>
        <w:t xml:space="preserve"> wt</w:t>
      </w:r>
      <w:r w:rsidR="0063267B">
        <w:rPr>
          <w:spacing w:val="-3"/>
        </w:rPr>
        <w:t>%</w:t>
      </w:r>
      <w:r w:rsidR="00BD6531">
        <w:rPr>
          <w:spacing w:val="-3"/>
        </w:rPr>
        <w:t xml:space="preserve"> </w:t>
      </w:r>
      <w:r w:rsidR="0063267B">
        <w:rPr>
          <w:spacing w:val="-3"/>
        </w:rPr>
        <w:t>Si cooled at 2.3</w:t>
      </w:r>
      <w:r w:rsidR="002006B3">
        <w:rPr>
          <w:spacing w:val="-3"/>
        </w:rPr>
        <w:t xml:space="preserve"> </w:t>
      </w:r>
      <w:r w:rsidR="0063267B">
        <w:rPr>
          <w:spacing w:val="-3"/>
        </w:rPr>
        <w:t>Ks</w:t>
      </w:r>
      <w:r w:rsidR="002006B3" w:rsidRPr="002006B3">
        <w:rPr>
          <w:spacing w:val="-3"/>
          <w:vertAlign w:val="superscript"/>
        </w:rPr>
        <w:t>-1</w:t>
      </w:r>
      <w:r w:rsidR="0063267B">
        <w:rPr>
          <w:spacing w:val="-3"/>
        </w:rPr>
        <w:t>; (b) Al-7</w:t>
      </w:r>
      <w:r w:rsidR="00BD6531">
        <w:rPr>
          <w:spacing w:val="-3"/>
        </w:rPr>
        <w:t xml:space="preserve"> wt</w:t>
      </w:r>
      <w:r w:rsidR="0063267B">
        <w:rPr>
          <w:spacing w:val="-3"/>
        </w:rPr>
        <w:t>%</w:t>
      </w:r>
      <w:r w:rsidR="00BD6531">
        <w:rPr>
          <w:spacing w:val="-3"/>
        </w:rPr>
        <w:t xml:space="preserve"> </w:t>
      </w:r>
      <w:r w:rsidR="0063267B">
        <w:rPr>
          <w:spacing w:val="-3"/>
        </w:rPr>
        <w:t xml:space="preserve">Si cooled at </w:t>
      </w:r>
      <w:r w:rsidR="002006B3">
        <w:rPr>
          <w:spacing w:val="-3"/>
        </w:rPr>
        <w:t xml:space="preserve"> </w:t>
      </w:r>
      <w:r w:rsidR="0063267B">
        <w:rPr>
          <w:spacing w:val="-3"/>
        </w:rPr>
        <w:t>3</w:t>
      </w:r>
      <w:r w:rsidR="002006B3">
        <w:rPr>
          <w:spacing w:val="-3"/>
        </w:rPr>
        <w:t xml:space="preserve"> Ks</w:t>
      </w:r>
      <w:r w:rsidR="002006B3" w:rsidRPr="002006B3">
        <w:rPr>
          <w:spacing w:val="-3"/>
          <w:vertAlign w:val="superscript"/>
        </w:rPr>
        <w:t>-1</w:t>
      </w:r>
      <w:r w:rsidR="002006B3">
        <w:rPr>
          <w:spacing w:val="-3"/>
        </w:rPr>
        <w:t>,</w:t>
      </w:r>
      <w:r w:rsidR="0063267B">
        <w:rPr>
          <w:spacing w:val="-3"/>
        </w:rPr>
        <w:t xml:space="preserve"> and (c) Al-7</w:t>
      </w:r>
      <w:r w:rsidR="00BD6531">
        <w:rPr>
          <w:spacing w:val="-3"/>
        </w:rPr>
        <w:t xml:space="preserve"> wt</w:t>
      </w:r>
      <w:r w:rsidR="0063267B">
        <w:rPr>
          <w:spacing w:val="-3"/>
        </w:rPr>
        <w:t>%</w:t>
      </w:r>
      <w:r w:rsidR="00BD6531">
        <w:rPr>
          <w:spacing w:val="-3"/>
        </w:rPr>
        <w:t xml:space="preserve"> </w:t>
      </w:r>
      <w:r w:rsidR="0063267B">
        <w:rPr>
          <w:spacing w:val="-3"/>
        </w:rPr>
        <w:t>Si cooled at 7.0</w:t>
      </w:r>
      <w:r w:rsidR="002006B3">
        <w:rPr>
          <w:spacing w:val="-3"/>
        </w:rPr>
        <w:t xml:space="preserve"> Ks</w:t>
      </w:r>
      <w:r w:rsidR="002006B3" w:rsidRPr="002006B3">
        <w:rPr>
          <w:spacing w:val="-3"/>
          <w:vertAlign w:val="superscript"/>
        </w:rPr>
        <w:t>-1</w:t>
      </w:r>
      <w:r w:rsidR="0063267B">
        <w:rPr>
          <w:spacing w:val="-3"/>
        </w:rPr>
        <w:t>.</w:t>
      </w:r>
    </w:p>
    <w:p w14:paraId="695B749E" w14:textId="77777777" w:rsidR="003753B9" w:rsidRDefault="003753B9" w:rsidP="000261B0">
      <w:pPr>
        <w:tabs>
          <w:tab w:val="left" w:pos="-720"/>
        </w:tabs>
        <w:suppressAutoHyphens/>
        <w:spacing w:line="240" w:lineRule="atLeast"/>
        <w:jc w:val="center"/>
        <w:rPr>
          <w:spacing w:val="-3"/>
        </w:rPr>
      </w:pPr>
    </w:p>
    <w:p w14:paraId="7495B846" w14:textId="77777777" w:rsidR="003753B9" w:rsidRDefault="003753B9" w:rsidP="003753B9">
      <w:pPr>
        <w:tabs>
          <w:tab w:val="left" w:pos="-720"/>
          <w:tab w:val="left" w:pos="0"/>
          <w:tab w:val="left" w:pos="720"/>
        </w:tabs>
        <w:suppressAutoHyphens/>
        <w:spacing w:line="240" w:lineRule="atLeast"/>
        <w:ind w:left="1440" w:hanging="1440"/>
        <w:rPr>
          <w:spacing w:val="-3"/>
        </w:rPr>
      </w:pPr>
      <w:r>
        <w:rPr>
          <w:spacing w:val="-3"/>
        </w:rPr>
        <w:t>Figure 9.7</w:t>
      </w:r>
      <w:r>
        <w:rPr>
          <w:spacing w:val="-3"/>
        </w:rPr>
        <w:tab/>
      </w:r>
      <w:r w:rsidRPr="00972C76">
        <w:rPr>
          <w:spacing w:val="-3"/>
        </w:rPr>
        <w:t>Microstructure selection map for CMSX-4. The rectangular insert r</w:t>
      </w:r>
      <w:r>
        <w:rPr>
          <w:spacing w:val="-3"/>
        </w:rPr>
        <w:t>e</w:t>
      </w:r>
      <w:r w:rsidRPr="00972C76">
        <w:rPr>
          <w:spacing w:val="-3"/>
        </w:rPr>
        <w:t xml:space="preserve">presents range of conditions that are typical for laser process. The evolution of G and V is calculated for initial substrate temperatures of 20 </w:t>
      </w:r>
      <w:r w:rsidRPr="00972C76">
        <w:rPr>
          <w:spacing w:val="-3"/>
          <w:vertAlign w:val="superscript"/>
        </w:rPr>
        <w:t>0</w:t>
      </w:r>
      <w:r w:rsidRPr="00972C76">
        <w:rPr>
          <w:spacing w:val="-3"/>
        </w:rPr>
        <w:t xml:space="preserve">C (curve A) and 500 </w:t>
      </w:r>
      <w:r w:rsidRPr="00972C76">
        <w:rPr>
          <w:spacing w:val="-3"/>
          <w:vertAlign w:val="superscript"/>
        </w:rPr>
        <w:t>0</w:t>
      </w:r>
      <w:r w:rsidRPr="00972C76">
        <w:rPr>
          <w:spacing w:val="-3"/>
        </w:rPr>
        <w:t>C (curve B). The squares represent average values.</w:t>
      </w:r>
      <w:r>
        <w:rPr>
          <w:spacing w:val="-3"/>
        </w:rPr>
        <w:t xml:space="preserve"> </w:t>
      </w:r>
      <w:r w:rsidRPr="00972C76">
        <w:rPr>
          <w:rFonts w:ascii="Lucida Sans Unicode" w:hAnsi="Lucida Sans Unicode" w:cs="Lucida Sans Unicode"/>
          <w:i/>
          <w:spacing w:val="-3"/>
        </w:rPr>
        <w:t>ϕ</w:t>
      </w:r>
      <w:r>
        <w:rPr>
          <w:spacing w:val="-3"/>
        </w:rPr>
        <w:t xml:space="preserve"> is the volume fraction of equiaxed grains. cst is a function of alloy constants and nucleation density (Kurz et. al. [2001]).</w:t>
      </w:r>
    </w:p>
    <w:p w14:paraId="2ECB3E55" w14:textId="77777777" w:rsidR="003753B9" w:rsidRDefault="003753B9" w:rsidP="000261B0">
      <w:pPr>
        <w:tabs>
          <w:tab w:val="left" w:pos="-720"/>
        </w:tabs>
        <w:suppressAutoHyphens/>
        <w:spacing w:line="240" w:lineRule="atLeast"/>
        <w:jc w:val="center"/>
        <w:rPr>
          <w:spacing w:val="-3"/>
        </w:rPr>
      </w:pPr>
    </w:p>
    <w:p w14:paraId="462301BE" w14:textId="77777777" w:rsidR="003753B9" w:rsidRDefault="003753B9" w:rsidP="003753B9">
      <w:pPr>
        <w:tabs>
          <w:tab w:val="left" w:pos="-720"/>
          <w:tab w:val="left" w:pos="0"/>
          <w:tab w:val="left" w:pos="720"/>
        </w:tabs>
        <w:suppressAutoHyphens/>
        <w:spacing w:line="240" w:lineRule="atLeast"/>
        <w:ind w:left="1440" w:hanging="1440"/>
        <w:rPr>
          <w:spacing w:val="-3"/>
        </w:rPr>
      </w:pPr>
      <w:r>
        <w:rPr>
          <w:spacing w:val="-3"/>
        </w:rPr>
        <w:t>Figure 9.8 Different types of macrosegregation in an industrial steel ingot. (FLEMINGS [1974]).</w:t>
      </w:r>
    </w:p>
    <w:p w14:paraId="4806BF13" w14:textId="77777777" w:rsidR="003753B9" w:rsidRDefault="003753B9" w:rsidP="000261B0">
      <w:pPr>
        <w:tabs>
          <w:tab w:val="left" w:pos="-720"/>
        </w:tabs>
        <w:suppressAutoHyphens/>
        <w:spacing w:line="240" w:lineRule="atLeast"/>
        <w:jc w:val="center"/>
        <w:rPr>
          <w:spacing w:val="-3"/>
        </w:rPr>
      </w:pPr>
    </w:p>
    <w:p w14:paraId="45DD08B4" w14:textId="77777777" w:rsidR="003753B9" w:rsidRDefault="003753B9" w:rsidP="003753B9">
      <w:pPr>
        <w:tabs>
          <w:tab w:val="left" w:pos="-1432"/>
          <w:tab w:val="left" w:pos="-1021"/>
          <w:tab w:val="left" w:pos="850"/>
          <w:tab w:val="left" w:pos="1260"/>
          <w:tab w:val="left" w:pos="10800"/>
          <w:tab w:val="left" w:pos="11339"/>
          <w:tab w:val="left" w:pos="11905"/>
          <w:tab w:val="left" w:pos="12240"/>
        </w:tabs>
        <w:suppressAutoHyphens/>
        <w:spacing w:line="360" w:lineRule="atLeast"/>
        <w:ind w:left="1440" w:hanging="1440"/>
        <w:rPr>
          <w:spacing w:val="-3"/>
        </w:rPr>
      </w:pPr>
      <w:r>
        <w:rPr>
          <w:spacing w:val="-3"/>
        </w:rPr>
        <w:t>Fig. 9.9. Comparison of measured and predicted macrosegregation variations along vertical centerline of a steel ingot (C</w:t>
      </w:r>
      <w:r w:rsidRPr="00760AFC">
        <w:rPr>
          <w:spacing w:val="-3"/>
          <w:vertAlign w:val="subscript"/>
        </w:rPr>
        <w:t>mix</w:t>
      </w:r>
      <w:r>
        <w:rPr>
          <w:spacing w:val="-3"/>
        </w:rPr>
        <w:t xml:space="preserve"> and C</w:t>
      </w:r>
      <w:r w:rsidRPr="00760AFC">
        <w:rPr>
          <w:spacing w:val="-3"/>
          <w:vertAlign w:val="subscript"/>
        </w:rPr>
        <w:t>in</w:t>
      </w:r>
      <w:r>
        <w:rPr>
          <w:spacing w:val="-3"/>
        </w:rPr>
        <w:t xml:space="preserve"> are local solute mixture concentration and initial solute concentration respectively) (Gu and Beckermann [1999]).</w:t>
      </w:r>
    </w:p>
    <w:p w14:paraId="4BA3C233" w14:textId="77777777" w:rsidR="003753B9" w:rsidRDefault="003753B9" w:rsidP="000261B0">
      <w:pPr>
        <w:tabs>
          <w:tab w:val="left" w:pos="-720"/>
        </w:tabs>
        <w:suppressAutoHyphens/>
        <w:spacing w:line="240" w:lineRule="atLeast"/>
        <w:jc w:val="center"/>
        <w:rPr>
          <w:spacing w:val="-3"/>
        </w:rPr>
      </w:pPr>
    </w:p>
    <w:p w14:paraId="645DEC14" w14:textId="77777777" w:rsidR="00F26DEE" w:rsidRDefault="003753B9" w:rsidP="003753B9">
      <w:pPr>
        <w:tabs>
          <w:tab w:val="left" w:pos="-1432"/>
          <w:tab w:val="left" w:pos="-1021"/>
          <w:tab w:val="left" w:pos="850"/>
          <w:tab w:val="left" w:pos="10800"/>
          <w:tab w:val="left" w:pos="11339"/>
          <w:tab w:val="left" w:pos="11905"/>
          <w:tab w:val="left" w:pos="12240"/>
        </w:tabs>
        <w:suppressAutoHyphens/>
        <w:spacing w:line="360" w:lineRule="atLeast"/>
        <w:ind w:left="1440" w:hanging="1440"/>
        <w:rPr>
          <w:spacing w:val="-3"/>
        </w:rPr>
      </w:pPr>
      <w:r>
        <w:rPr>
          <w:spacing w:val="-3"/>
        </w:rPr>
        <w:t>Fig. 9.10. a. Predicted velocity vectors (largest represents 6.3 mm/s) and contours of solid fraction (in increment</w:t>
      </w:r>
      <w:r w:rsidR="00BD6531">
        <w:rPr>
          <w:spacing w:val="-3"/>
        </w:rPr>
        <w:t>s</w:t>
      </w:r>
      <w:r>
        <w:rPr>
          <w:spacing w:val="-3"/>
        </w:rPr>
        <w:t xml:space="preserve"> of 20</w:t>
      </w:r>
      <w:r w:rsidR="00BD6531">
        <w:rPr>
          <w:spacing w:val="-3"/>
        </w:rPr>
        <w:t xml:space="preserve"> </w:t>
      </w:r>
      <w:r>
        <w:rPr>
          <w:spacing w:val="-3"/>
        </w:rPr>
        <w:t>%); b. macrosegregation pattern (Ti concentration normalized by initial concentration shown in equal increments between 0.87 and 1.34) showing freckle formation during upward directional solidification of a single crystal Ni-base superalloy in 5x15 cm rectangular computational domain (Schneider et al [1997]).</w:t>
      </w:r>
    </w:p>
    <w:p w14:paraId="02369509" w14:textId="77777777" w:rsidR="003753B9" w:rsidRDefault="003753B9" w:rsidP="003753B9">
      <w:pPr>
        <w:tabs>
          <w:tab w:val="left" w:pos="-1432"/>
          <w:tab w:val="left" w:pos="-1021"/>
          <w:tab w:val="left" w:pos="850"/>
          <w:tab w:val="left" w:pos="10800"/>
          <w:tab w:val="left" w:pos="11339"/>
          <w:tab w:val="left" w:pos="11905"/>
          <w:tab w:val="left" w:pos="12240"/>
        </w:tabs>
        <w:suppressAutoHyphens/>
        <w:spacing w:line="360" w:lineRule="atLeast"/>
        <w:ind w:left="1440" w:hanging="1440"/>
        <w:rPr>
          <w:spacing w:val="-3"/>
        </w:rPr>
      </w:pPr>
      <w:r>
        <w:rPr>
          <w:spacing w:val="-3"/>
        </w:rPr>
        <w:t xml:space="preserve">Fig. 9.11. Predicted macrosegregation patterns during continuous casting of steel; </w:t>
      </w:r>
      <w:r w:rsidRPr="00741953">
        <w:rPr>
          <w:i/>
          <w:spacing w:val="-3"/>
        </w:rPr>
        <w:t>C</w:t>
      </w:r>
      <w:r w:rsidRPr="00741953">
        <w:rPr>
          <w:i/>
          <w:spacing w:val="-3"/>
          <w:vertAlign w:val="subscript"/>
        </w:rPr>
        <w:t>0</w:t>
      </w:r>
      <w:r>
        <w:rPr>
          <w:spacing w:val="-3"/>
        </w:rPr>
        <w:t xml:space="preserve"> is initial carbon content. a) along centerline (distance between rolls is 400 mm); b) across slab thickness after six rolls (f</w:t>
      </w:r>
      <w:r w:rsidRPr="00466B76">
        <w:rPr>
          <w:spacing w:val="-3"/>
          <w:vertAlign w:val="subscript"/>
        </w:rPr>
        <w:t>s</w:t>
      </w:r>
      <w:r>
        <w:rPr>
          <w:spacing w:val="-3"/>
        </w:rPr>
        <w:t>=0.37 at centerline, maximum bulging of 0.1 mm) (Kajitani et al [2001]).</w:t>
      </w:r>
    </w:p>
    <w:p w14:paraId="03001E9D" w14:textId="77777777" w:rsidR="003753B9" w:rsidRDefault="003753B9" w:rsidP="003753B9">
      <w:pPr>
        <w:tabs>
          <w:tab w:val="left" w:pos="-1432"/>
          <w:tab w:val="left" w:pos="-1021"/>
          <w:tab w:val="left" w:pos="850"/>
          <w:tab w:val="left" w:pos="10800"/>
          <w:tab w:val="left" w:pos="11339"/>
          <w:tab w:val="left" w:pos="11905"/>
          <w:tab w:val="left" w:pos="12240"/>
        </w:tabs>
        <w:suppressAutoHyphens/>
        <w:spacing w:line="360" w:lineRule="atLeast"/>
        <w:rPr>
          <w:spacing w:val="-3"/>
        </w:rPr>
      </w:pPr>
    </w:p>
    <w:p w14:paraId="36A32430" w14:textId="77777777" w:rsidR="003753B9" w:rsidRDefault="003753B9" w:rsidP="000261B0">
      <w:pPr>
        <w:tabs>
          <w:tab w:val="left" w:pos="-1432"/>
          <w:tab w:val="left" w:pos="-1021"/>
          <w:tab w:val="left" w:pos="850"/>
          <w:tab w:val="left" w:pos="10800"/>
          <w:tab w:val="left" w:pos="11339"/>
          <w:tab w:val="left" w:pos="11905"/>
          <w:tab w:val="left" w:pos="12240"/>
        </w:tabs>
        <w:suppressAutoHyphens/>
        <w:spacing w:line="360" w:lineRule="atLeast"/>
        <w:jc w:val="center"/>
        <w:rPr>
          <w:spacing w:val="-3"/>
        </w:rPr>
      </w:pPr>
    </w:p>
    <w:p w14:paraId="2BB003ED" w14:textId="77777777" w:rsidR="003753B9" w:rsidRDefault="003753B9" w:rsidP="003753B9">
      <w:pPr>
        <w:tabs>
          <w:tab w:val="left" w:pos="-1432"/>
          <w:tab w:val="left" w:pos="-1021"/>
          <w:tab w:val="left" w:pos="850"/>
          <w:tab w:val="left" w:pos="10800"/>
          <w:tab w:val="left" w:pos="11339"/>
          <w:tab w:val="left" w:pos="11905"/>
          <w:tab w:val="left" w:pos="12240"/>
        </w:tabs>
        <w:suppressAutoHyphens/>
        <w:spacing w:line="360" w:lineRule="atLeast"/>
        <w:ind w:left="1440" w:hanging="1440"/>
        <w:rPr>
          <w:spacing w:val="-3"/>
        </w:rPr>
      </w:pPr>
      <w:r>
        <w:rPr>
          <w:spacing w:val="-3"/>
        </w:rPr>
        <w:t xml:space="preserve">Fig. 9.12 Predicted results for a CA-FE simulation using realistic parameters for the CA model for the growth kinetics of the structure and nucleation of equiaxed grains which are free to move in the liquid. </w:t>
      </w:r>
      <w:r w:rsidR="00400F91">
        <w:rPr>
          <w:spacing w:val="-3"/>
        </w:rPr>
        <w:t>(</w:t>
      </w:r>
      <w:r>
        <w:rPr>
          <w:spacing w:val="-3"/>
        </w:rPr>
        <w:t>a</w:t>
      </w:r>
      <w:r w:rsidR="00400F91">
        <w:rPr>
          <w:spacing w:val="-3"/>
        </w:rPr>
        <w:t>)</w:t>
      </w:r>
      <w:r>
        <w:rPr>
          <w:spacing w:val="-3"/>
        </w:rPr>
        <w:t xml:space="preserve"> temperature in </w:t>
      </w:r>
      <w:r w:rsidRPr="00CA2DCE">
        <w:rPr>
          <w:spacing w:val="-3"/>
          <w:vertAlign w:val="superscript"/>
        </w:rPr>
        <w:t>0</w:t>
      </w:r>
      <w:r>
        <w:rPr>
          <w:spacing w:val="-3"/>
        </w:rPr>
        <w:t xml:space="preserve">C; </w:t>
      </w:r>
      <w:r w:rsidR="00400F91">
        <w:rPr>
          <w:spacing w:val="-3"/>
        </w:rPr>
        <w:t>(</w:t>
      </w:r>
      <w:r>
        <w:rPr>
          <w:spacing w:val="-3"/>
        </w:rPr>
        <w:t>b</w:t>
      </w:r>
      <w:r w:rsidR="00400F91">
        <w:rPr>
          <w:spacing w:val="-3"/>
        </w:rPr>
        <w:t>)</w:t>
      </w:r>
      <w:r>
        <w:rPr>
          <w:spacing w:val="-3"/>
        </w:rPr>
        <w:t xml:space="preserve"> solid fraction; </w:t>
      </w:r>
      <w:r w:rsidR="00400F91">
        <w:rPr>
          <w:spacing w:val="-3"/>
        </w:rPr>
        <w:t>(</w:t>
      </w:r>
      <w:r>
        <w:rPr>
          <w:spacing w:val="-3"/>
        </w:rPr>
        <w:t>c</w:t>
      </w:r>
      <w:r w:rsidR="00400F91">
        <w:rPr>
          <w:spacing w:val="-3"/>
        </w:rPr>
        <w:t>)</w:t>
      </w:r>
      <w:r>
        <w:rPr>
          <w:spacing w:val="-3"/>
        </w:rPr>
        <w:t xml:space="preserve"> relative average Sn composition after 100 seconds of beginning of solidification. The thick line labeled “GF” corresponds to the position of the growth front determined from the CA model; </w:t>
      </w:r>
      <w:r w:rsidR="00400F91">
        <w:rPr>
          <w:spacing w:val="-3"/>
        </w:rPr>
        <w:t>(</w:t>
      </w:r>
      <w:r>
        <w:rPr>
          <w:spacing w:val="-3"/>
        </w:rPr>
        <w:t>d</w:t>
      </w:r>
      <w:r w:rsidR="00400F91">
        <w:rPr>
          <w:spacing w:val="-3"/>
        </w:rPr>
        <w:t>)</w:t>
      </w:r>
      <w:r>
        <w:rPr>
          <w:spacing w:val="-3"/>
        </w:rPr>
        <w:t xml:space="preserve"> relative composition map when the ingot is fully solidified; </w:t>
      </w:r>
      <w:r w:rsidR="00400F91">
        <w:rPr>
          <w:spacing w:val="-3"/>
        </w:rPr>
        <w:t>(</w:t>
      </w:r>
      <w:r>
        <w:rPr>
          <w:spacing w:val="-3"/>
        </w:rPr>
        <w:t>S</w:t>
      </w:r>
      <w:r w:rsidR="00400F91">
        <w:rPr>
          <w:spacing w:val="-3"/>
        </w:rPr>
        <w:t>)</w:t>
      </w:r>
      <w:r>
        <w:rPr>
          <w:spacing w:val="-3"/>
        </w:rPr>
        <w:t xml:space="preserve"> final simulated grain structure (Guillemot et al [2006]).</w:t>
      </w:r>
    </w:p>
    <w:p w14:paraId="1A9359AA" w14:textId="77777777" w:rsidR="006133A9" w:rsidRDefault="006133A9" w:rsidP="000261B0">
      <w:pPr>
        <w:tabs>
          <w:tab w:val="left" w:pos="-1432"/>
          <w:tab w:val="left" w:pos="-1021"/>
          <w:tab w:val="left" w:pos="850"/>
          <w:tab w:val="left" w:pos="10800"/>
          <w:tab w:val="left" w:pos="11339"/>
          <w:tab w:val="left" w:pos="11905"/>
          <w:tab w:val="left" w:pos="12240"/>
        </w:tabs>
        <w:suppressAutoHyphens/>
        <w:spacing w:line="360" w:lineRule="atLeast"/>
        <w:ind w:left="1440" w:hanging="1440"/>
        <w:jc w:val="center"/>
        <w:rPr>
          <w:spacing w:val="-3"/>
        </w:rPr>
      </w:pPr>
    </w:p>
    <w:p w14:paraId="21E39BF0" w14:textId="77777777" w:rsidR="003753B9" w:rsidRDefault="003753B9" w:rsidP="003753B9">
      <w:pPr>
        <w:tabs>
          <w:tab w:val="left" w:pos="-1432"/>
          <w:tab w:val="left" w:pos="-1021"/>
          <w:tab w:val="left" w:pos="850"/>
          <w:tab w:val="left" w:pos="10800"/>
          <w:tab w:val="left" w:pos="11339"/>
          <w:tab w:val="left" w:pos="11905"/>
          <w:tab w:val="left" w:pos="12240"/>
        </w:tabs>
        <w:suppressAutoHyphens/>
        <w:spacing w:line="360" w:lineRule="atLeast"/>
        <w:ind w:left="1440" w:hanging="1440"/>
        <w:rPr>
          <w:spacing w:val="-3"/>
        </w:rPr>
      </w:pPr>
      <w:r>
        <w:rPr>
          <w:spacing w:val="-3"/>
        </w:rPr>
        <w:t>Fig. 9.13. Final microstructure and macrosegregation pattern in a square casting of Al-4.7</w:t>
      </w:r>
      <w:r w:rsidR="00BD6531">
        <w:rPr>
          <w:spacing w:val="-3"/>
        </w:rPr>
        <w:t xml:space="preserve"> wt</w:t>
      </w:r>
      <w:r>
        <w:rPr>
          <w:spacing w:val="-3"/>
        </w:rPr>
        <w:t>%</w:t>
      </w:r>
      <w:r w:rsidR="00BD6531">
        <w:rPr>
          <w:spacing w:val="-3"/>
        </w:rPr>
        <w:t xml:space="preserve"> </w:t>
      </w:r>
      <w:r>
        <w:rPr>
          <w:spacing w:val="-3"/>
        </w:rPr>
        <w:t>Cu alloy. All quantities are shown using gray scale, with dark color for highest value and light color for the lowest value of solute (Wu and Ludwig [2009]).</w:t>
      </w:r>
    </w:p>
    <w:p w14:paraId="33E1FD1C" w14:textId="77777777" w:rsidR="003753B9" w:rsidRDefault="003753B9" w:rsidP="003753B9">
      <w:pPr>
        <w:tabs>
          <w:tab w:val="left" w:pos="-1432"/>
          <w:tab w:val="left" w:pos="-1021"/>
          <w:tab w:val="left" w:pos="850"/>
          <w:tab w:val="left" w:pos="10800"/>
          <w:tab w:val="left" w:pos="11339"/>
          <w:tab w:val="left" w:pos="11905"/>
          <w:tab w:val="left" w:pos="12240"/>
        </w:tabs>
        <w:suppressAutoHyphens/>
        <w:spacing w:line="360" w:lineRule="atLeast"/>
        <w:rPr>
          <w:spacing w:val="-3"/>
        </w:rPr>
      </w:pPr>
    </w:p>
    <w:p w14:paraId="7FB7FA7A" w14:textId="77777777" w:rsidR="003753B9" w:rsidRDefault="003753B9" w:rsidP="003753B9">
      <w:pPr>
        <w:tabs>
          <w:tab w:val="left" w:pos="-1432"/>
          <w:tab w:val="left" w:pos="-1021"/>
          <w:tab w:val="left" w:pos="850"/>
          <w:tab w:val="left" w:pos="10800"/>
          <w:tab w:val="left" w:pos="11339"/>
          <w:tab w:val="left" w:pos="11905"/>
          <w:tab w:val="left" w:pos="12240"/>
        </w:tabs>
        <w:suppressAutoHyphens/>
        <w:spacing w:line="360" w:lineRule="atLeast"/>
        <w:ind w:left="1440" w:hanging="1440"/>
        <w:rPr>
          <w:spacing w:val="-3"/>
        </w:rPr>
      </w:pPr>
      <w:r>
        <w:rPr>
          <w:spacing w:val="-3"/>
        </w:rPr>
        <w:t xml:space="preserve">Fig. 9.14. Comparison between predicted and experimentally obtained shrinkage porosities for: </w:t>
      </w:r>
      <w:r w:rsidR="00400F91">
        <w:rPr>
          <w:spacing w:val="-3"/>
        </w:rPr>
        <w:t>(</w:t>
      </w:r>
      <w:r>
        <w:rPr>
          <w:spacing w:val="-3"/>
        </w:rPr>
        <w:t>a</w:t>
      </w:r>
      <w:r w:rsidR="00400F91">
        <w:rPr>
          <w:spacing w:val="-3"/>
        </w:rPr>
        <w:t>)</w:t>
      </w:r>
      <w:r>
        <w:rPr>
          <w:spacing w:val="-3"/>
        </w:rPr>
        <w:t xml:space="preserve"> high pressure die casting of aluminum alloys; </w:t>
      </w:r>
      <w:r w:rsidR="00400F91">
        <w:rPr>
          <w:spacing w:val="-3"/>
        </w:rPr>
        <w:t>(</w:t>
      </w:r>
      <w:r>
        <w:rPr>
          <w:spacing w:val="-3"/>
        </w:rPr>
        <w:t>b</w:t>
      </w:r>
      <w:r w:rsidR="00400F91">
        <w:rPr>
          <w:spacing w:val="-3"/>
        </w:rPr>
        <w:t>)</w:t>
      </w:r>
      <w:r>
        <w:rPr>
          <w:spacing w:val="-3"/>
        </w:rPr>
        <w:t xml:space="preserve"> casting for a steel locking jaw (Courtesy: ESI Group, </w:t>
      </w:r>
      <w:smartTag w:uri="urn:schemas-microsoft-com:office:smarttags" w:element="place">
        <w:smartTag w:uri="urn:schemas-microsoft-com:office:smarttags" w:element="City">
          <w:r>
            <w:rPr>
              <w:spacing w:val="-3"/>
            </w:rPr>
            <w:t>Columbia</w:t>
          </w:r>
        </w:smartTag>
        <w:r>
          <w:rPr>
            <w:spacing w:val="-3"/>
          </w:rPr>
          <w:t xml:space="preserve">, </w:t>
        </w:r>
        <w:smartTag w:uri="urn:schemas-microsoft-com:office:smarttags" w:element="State">
          <w:r>
            <w:rPr>
              <w:spacing w:val="-3"/>
            </w:rPr>
            <w:t>MD</w:t>
          </w:r>
        </w:smartTag>
      </w:smartTag>
      <w:r>
        <w:rPr>
          <w:spacing w:val="-3"/>
        </w:rPr>
        <w:t xml:space="preserve">). </w:t>
      </w:r>
    </w:p>
    <w:p w14:paraId="50111C52" w14:textId="77777777" w:rsidR="003753B9" w:rsidRDefault="003753B9" w:rsidP="003753B9">
      <w:pPr>
        <w:tabs>
          <w:tab w:val="left" w:pos="-1432"/>
          <w:tab w:val="left" w:pos="-1021"/>
          <w:tab w:val="left" w:pos="850"/>
          <w:tab w:val="left" w:pos="10800"/>
          <w:tab w:val="left" w:pos="11339"/>
          <w:tab w:val="left" w:pos="11905"/>
          <w:tab w:val="left" w:pos="12240"/>
        </w:tabs>
        <w:suppressAutoHyphens/>
        <w:spacing w:line="360" w:lineRule="atLeast"/>
        <w:rPr>
          <w:spacing w:val="-3"/>
        </w:rPr>
      </w:pPr>
    </w:p>
    <w:p w14:paraId="3B785553" w14:textId="77777777" w:rsidR="003753B9" w:rsidRDefault="003753B9" w:rsidP="003753B9">
      <w:pPr>
        <w:tabs>
          <w:tab w:val="left" w:pos="-1432"/>
          <w:tab w:val="left" w:pos="-1021"/>
          <w:tab w:val="left" w:pos="850"/>
          <w:tab w:val="left" w:pos="10800"/>
          <w:tab w:val="left" w:pos="11339"/>
          <w:tab w:val="left" w:pos="11905"/>
          <w:tab w:val="left" w:pos="12240"/>
        </w:tabs>
        <w:suppressAutoHyphens/>
        <w:spacing w:line="360" w:lineRule="atLeast"/>
        <w:ind w:left="1440" w:hanging="1440"/>
        <w:rPr>
          <w:spacing w:val="-3"/>
        </w:rPr>
      </w:pPr>
      <w:r>
        <w:rPr>
          <w:spacing w:val="-3"/>
        </w:rPr>
        <w:t>Fig. 9.15. Application of multiscale model to predict maximum pore length (L</w:t>
      </w:r>
      <w:r w:rsidRPr="002021BF">
        <w:rPr>
          <w:spacing w:val="-3"/>
          <w:vertAlign w:val="subscript"/>
        </w:rPr>
        <w:t>max</w:t>
      </w:r>
      <w:r>
        <w:rPr>
          <w:spacing w:val="-3"/>
        </w:rPr>
        <w:t>) in an engine block casting made of W319 alloy. a) C</w:t>
      </w:r>
      <w:r w:rsidRPr="002021BF">
        <w:rPr>
          <w:spacing w:val="-3"/>
          <w:vertAlign w:val="subscript"/>
        </w:rPr>
        <w:t>H</w:t>
      </w:r>
      <w:r>
        <w:rPr>
          <w:spacing w:val="-3"/>
        </w:rPr>
        <w:t>=0.1 mL/100g; b) C</w:t>
      </w:r>
      <w:r w:rsidRPr="002021BF">
        <w:rPr>
          <w:spacing w:val="-3"/>
          <w:vertAlign w:val="subscript"/>
        </w:rPr>
        <w:t>H</w:t>
      </w:r>
      <w:r>
        <w:rPr>
          <w:spacing w:val="-3"/>
        </w:rPr>
        <w:t>=0.2 mL/100g. (Lee et. al [2004]).</w:t>
      </w:r>
    </w:p>
    <w:p w14:paraId="126E1B56" w14:textId="77777777" w:rsidR="003753B9" w:rsidRDefault="003753B9" w:rsidP="003753B9">
      <w:pPr>
        <w:tabs>
          <w:tab w:val="left" w:pos="-1432"/>
          <w:tab w:val="left" w:pos="-1021"/>
          <w:tab w:val="left" w:pos="850"/>
          <w:tab w:val="left" w:pos="10800"/>
          <w:tab w:val="left" w:pos="11339"/>
          <w:tab w:val="left" w:pos="11905"/>
          <w:tab w:val="left" w:pos="12240"/>
        </w:tabs>
        <w:suppressAutoHyphens/>
        <w:spacing w:line="360" w:lineRule="atLeast"/>
        <w:rPr>
          <w:spacing w:val="-3"/>
        </w:rPr>
      </w:pPr>
    </w:p>
    <w:p w14:paraId="251B5EFA" w14:textId="77777777" w:rsidR="003753B9" w:rsidRDefault="003753B9" w:rsidP="003753B9">
      <w:pPr>
        <w:tabs>
          <w:tab w:val="left" w:pos="-720"/>
          <w:tab w:val="left" w:pos="0"/>
          <w:tab w:val="left" w:pos="720"/>
        </w:tabs>
        <w:suppressAutoHyphens/>
        <w:spacing w:line="240" w:lineRule="atLeast"/>
        <w:ind w:left="1440" w:hanging="1440"/>
        <w:rPr>
          <w:spacing w:val="-3"/>
        </w:rPr>
      </w:pPr>
      <w:r>
        <w:rPr>
          <w:spacing w:val="-3"/>
        </w:rPr>
        <w:t>Figure 9.16</w:t>
      </w:r>
      <w:r>
        <w:rPr>
          <w:spacing w:val="-3"/>
        </w:rPr>
        <w:tab/>
        <w:t>Sequence of x-ray microradiographs showing the formation of gas porosity in a directionally solidified Al-30 wt% Cu alloy, and its subsequent entrapment by the eutectic front (Mathiesen and Arnberg [2007]).</w:t>
      </w:r>
    </w:p>
    <w:p w14:paraId="26176128" w14:textId="77777777" w:rsidR="003753B9" w:rsidRDefault="003753B9" w:rsidP="000261B0">
      <w:pPr>
        <w:tabs>
          <w:tab w:val="left" w:pos="-1432"/>
          <w:tab w:val="left" w:pos="-1021"/>
          <w:tab w:val="left" w:pos="850"/>
          <w:tab w:val="left" w:pos="10800"/>
          <w:tab w:val="left" w:pos="11339"/>
          <w:tab w:val="left" w:pos="11905"/>
          <w:tab w:val="left" w:pos="12240"/>
        </w:tabs>
        <w:suppressAutoHyphens/>
        <w:spacing w:line="360" w:lineRule="atLeast"/>
        <w:jc w:val="center"/>
        <w:rPr>
          <w:spacing w:val="-3"/>
        </w:rPr>
      </w:pPr>
    </w:p>
    <w:p w14:paraId="69F7082E" w14:textId="77777777" w:rsidR="003753B9" w:rsidRDefault="003753B9" w:rsidP="003753B9">
      <w:pPr>
        <w:tabs>
          <w:tab w:val="left" w:pos="-1432"/>
          <w:tab w:val="left" w:pos="-1021"/>
          <w:tab w:val="left" w:pos="850"/>
          <w:tab w:val="left" w:pos="10800"/>
          <w:tab w:val="left" w:pos="11339"/>
          <w:tab w:val="left" w:pos="11905"/>
          <w:tab w:val="left" w:pos="12240"/>
        </w:tabs>
        <w:suppressAutoHyphens/>
        <w:spacing w:line="360" w:lineRule="atLeast"/>
        <w:rPr>
          <w:spacing w:val="-3"/>
        </w:rPr>
      </w:pPr>
      <w:r>
        <w:rPr>
          <w:spacing w:val="-3"/>
        </w:rPr>
        <w:t>Figure  9.17  Schematic drawing of measures to reduce inclusion defects. Esaka [1999].</w:t>
      </w:r>
    </w:p>
    <w:p w14:paraId="4501C5F2" w14:textId="77777777" w:rsidR="003753B9" w:rsidRDefault="003753B9" w:rsidP="003753B9">
      <w:pPr>
        <w:tabs>
          <w:tab w:val="left" w:pos="-1432"/>
          <w:tab w:val="left" w:pos="-1021"/>
          <w:tab w:val="left" w:pos="850"/>
          <w:tab w:val="left" w:pos="10800"/>
          <w:tab w:val="left" w:pos="11339"/>
          <w:tab w:val="left" w:pos="11905"/>
          <w:tab w:val="left" w:pos="12240"/>
        </w:tabs>
        <w:suppressAutoHyphens/>
        <w:spacing w:line="360" w:lineRule="atLeast"/>
        <w:rPr>
          <w:spacing w:val="-3"/>
        </w:rPr>
      </w:pPr>
    </w:p>
    <w:p w14:paraId="7013AAB4" w14:textId="77777777" w:rsidR="003753B9" w:rsidRDefault="003753B9" w:rsidP="003753B9">
      <w:pPr>
        <w:tabs>
          <w:tab w:val="left" w:pos="-1432"/>
          <w:tab w:val="left" w:pos="-1021"/>
          <w:tab w:val="left" w:pos="850"/>
          <w:tab w:val="left" w:pos="10800"/>
          <w:tab w:val="left" w:pos="11339"/>
          <w:tab w:val="left" w:pos="11905"/>
          <w:tab w:val="left" w:pos="12240"/>
        </w:tabs>
        <w:suppressAutoHyphens/>
        <w:spacing w:line="360" w:lineRule="atLeast"/>
        <w:ind w:left="1440" w:hanging="1440"/>
        <w:rPr>
          <w:spacing w:val="-3"/>
        </w:rPr>
      </w:pPr>
      <w:r>
        <w:rPr>
          <w:spacing w:val="-3"/>
        </w:rPr>
        <w:t>Fig. 9.18. a) Final step in the design of deoxidation in the continuous caster: prediction of indigenous inclusions (based on melt chemistry and thermodynamic equilibrium) after solidification in the caster; b) EDX analysis of indigenous oxide inclusions of MnO-Al</w:t>
      </w:r>
      <w:r w:rsidRPr="000C4C81">
        <w:rPr>
          <w:spacing w:val="-3"/>
          <w:vertAlign w:val="subscript"/>
        </w:rPr>
        <w:t>2</w:t>
      </w:r>
      <w:r>
        <w:rPr>
          <w:spacing w:val="-3"/>
        </w:rPr>
        <w:t>O</w:t>
      </w:r>
      <w:r w:rsidRPr="000C4C81">
        <w:rPr>
          <w:spacing w:val="-3"/>
          <w:vertAlign w:val="subscript"/>
        </w:rPr>
        <w:t>3</w:t>
      </w:r>
      <w:r>
        <w:rPr>
          <w:spacing w:val="-3"/>
        </w:rPr>
        <w:t>-SiO</w:t>
      </w:r>
      <w:r w:rsidRPr="000C4C81">
        <w:rPr>
          <w:spacing w:val="-3"/>
          <w:vertAlign w:val="subscript"/>
        </w:rPr>
        <w:t>2</w:t>
      </w:r>
      <w:r>
        <w:rPr>
          <w:spacing w:val="-3"/>
        </w:rPr>
        <w:t xml:space="preserve"> in inclusion engineered 11SMn37 steel as-rolled. (Zhang et al [2004]).</w:t>
      </w:r>
    </w:p>
    <w:p w14:paraId="3D88BAC5" w14:textId="77777777" w:rsidR="00F26DEE" w:rsidRDefault="00F26DEE" w:rsidP="003753B9">
      <w:pPr>
        <w:tabs>
          <w:tab w:val="left" w:pos="-1432"/>
          <w:tab w:val="left" w:pos="-1021"/>
          <w:tab w:val="left" w:pos="850"/>
          <w:tab w:val="left" w:pos="10800"/>
          <w:tab w:val="left" w:pos="11339"/>
          <w:tab w:val="left" w:pos="11905"/>
          <w:tab w:val="left" w:pos="12240"/>
        </w:tabs>
        <w:suppressAutoHyphens/>
        <w:spacing w:line="360" w:lineRule="atLeast"/>
        <w:ind w:left="1440" w:hanging="1440"/>
        <w:rPr>
          <w:spacing w:val="-3"/>
        </w:rPr>
      </w:pPr>
    </w:p>
    <w:p w14:paraId="4171E950" w14:textId="77777777" w:rsidR="003753B9" w:rsidRDefault="003753B9" w:rsidP="003753B9">
      <w:pPr>
        <w:tabs>
          <w:tab w:val="left" w:pos="-720"/>
          <w:tab w:val="left" w:pos="0"/>
          <w:tab w:val="left" w:pos="720"/>
        </w:tabs>
        <w:suppressAutoHyphens/>
        <w:spacing w:line="240" w:lineRule="atLeast"/>
        <w:ind w:left="1440" w:hanging="1440"/>
        <w:rPr>
          <w:spacing w:val="-3"/>
        </w:rPr>
      </w:pPr>
      <w:r>
        <w:rPr>
          <w:spacing w:val="-3"/>
        </w:rPr>
        <w:lastRenderedPageBreak/>
        <w:t xml:space="preserve">Figure 9.19 </w:t>
      </w:r>
      <w:r>
        <w:rPr>
          <w:spacing w:val="-3"/>
        </w:rPr>
        <w:tab/>
        <w:t>Pushing of small aggregates of Al</w:t>
      </w:r>
      <w:r w:rsidRPr="004A6764">
        <w:rPr>
          <w:spacing w:val="-3"/>
          <w:vertAlign w:val="subscript"/>
        </w:rPr>
        <w:t>2</w:t>
      </w:r>
      <w:r>
        <w:rPr>
          <w:spacing w:val="-3"/>
        </w:rPr>
        <w:t>O</w:t>
      </w:r>
      <w:r w:rsidRPr="004A6764">
        <w:rPr>
          <w:spacing w:val="-3"/>
          <w:vertAlign w:val="subscript"/>
        </w:rPr>
        <w:t>3</w:t>
      </w:r>
      <w:r>
        <w:rPr>
          <w:spacing w:val="-3"/>
        </w:rPr>
        <w:t xml:space="preserve"> inclusions by the advancing solid-liquid interface in a low carbon Al-killed steel. Note that inclusions A and C are pushed leaving grooves behind them, while inclusion B is engulfed. Shibata et al [1998]. </w:t>
      </w:r>
    </w:p>
    <w:p w14:paraId="4A10826C" w14:textId="77777777" w:rsidR="003753B9" w:rsidRDefault="003753B9" w:rsidP="003F225D">
      <w:pPr>
        <w:tabs>
          <w:tab w:val="left" w:pos="-720"/>
          <w:tab w:val="left" w:pos="0"/>
          <w:tab w:val="left" w:pos="720"/>
        </w:tabs>
        <w:suppressAutoHyphens/>
        <w:spacing w:line="240" w:lineRule="atLeast"/>
        <w:rPr>
          <w:spacing w:val="-3"/>
        </w:rPr>
      </w:pPr>
    </w:p>
    <w:p w14:paraId="76683356" w14:textId="77777777" w:rsidR="00EF631D" w:rsidRDefault="003753B9" w:rsidP="00F26DEE">
      <w:pPr>
        <w:tabs>
          <w:tab w:val="left" w:pos="-720"/>
          <w:tab w:val="left" w:pos="0"/>
          <w:tab w:val="left" w:pos="714"/>
        </w:tabs>
        <w:suppressAutoHyphens/>
        <w:spacing w:line="240" w:lineRule="atLeast"/>
        <w:ind w:left="1440" w:hanging="1440"/>
        <w:rPr>
          <w:spacing w:val="-3"/>
        </w:rPr>
      </w:pPr>
      <w:r>
        <w:rPr>
          <w:spacing w:val="-3"/>
        </w:rPr>
        <w:t>Figure  9.20</w:t>
      </w:r>
      <w:r>
        <w:rPr>
          <w:spacing w:val="-3"/>
        </w:rPr>
        <w:tab/>
        <w:t>Critical condition for the engulfment of Al</w:t>
      </w:r>
      <w:r w:rsidRPr="0024166F">
        <w:rPr>
          <w:spacing w:val="-3"/>
          <w:vertAlign w:val="subscript"/>
        </w:rPr>
        <w:t>2</w:t>
      </w:r>
      <w:r>
        <w:rPr>
          <w:spacing w:val="-3"/>
        </w:rPr>
        <w:t>O</w:t>
      </w:r>
      <w:r w:rsidRPr="0024166F">
        <w:rPr>
          <w:spacing w:val="-3"/>
          <w:vertAlign w:val="subscript"/>
        </w:rPr>
        <w:t>3</w:t>
      </w:r>
      <w:r>
        <w:rPr>
          <w:spacing w:val="-3"/>
        </w:rPr>
        <w:t xml:space="preserve"> inclusions during solidification of low carbon Al-killed steel at 1800 K. Shibata et al [1998].</w:t>
      </w:r>
    </w:p>
    <w:p w14:paraId="16865CBC" w14:textId="77777777" w:rsidR="003753B9" w:rsidRDefault="003753B9" w:rsidP="000261B0">
      <w:pPr>
        <w:tabs>
          <w:tab w:val="left" w:pos="-720"/>
          <w:tab w:val="left" w:pos="0"/>
          <w:tab w:val="left" w:pos="714"/>
        </w:tabs>
        <w:suppressAutoHyphens/>
        <w:spacing w:line="240" w:lineRule="atLeast"/>
        <w:ind w:left="1440" w:hanging="1440"/>
        <w:jc w:val="center"/>
        <w:rPr>
          <w:spacing w:val="-3"/>
        </w:rPr>
      </w:pPr>
    </w:p>
    <w:p w14:paraId="3BA060C1" w14:textId="613CF978" w:rsidR="003753B9" w:rsidRPr="007C62FD" w:rsidRDefault="003753B9" w:rsidP="003753B9">
      <w:pPr>
        <w:tabs>
          <w:tab w:val="left" w:pos="-720"/>
          <w:tab w:val="left" w:pos="0"/>
          <w:tab w:val="left" w:pos="714"/>
        </w:tabs>
        <w:suppressAutoHyphens/>
        <w:spacing w:line="240" w:lineRule="atLeast"/>
        <w:ind w:left="1440" w:hanging="1440"/>
        <w:rPr>
          <w:spacing w:val="-3"/>
        </w:rPr>
      </w:pPr>
      <w:r w:rsidRPr="007C62FD">
        <w:rPr>
          <w:spacing w:val="-3"/>
        </w:rPr>
        <w:t xml:space="preserve">Figure  10.1 </w:t>
      </w:r>
      <w:r w:rsidRPr="007C62FD">
        <w:rPr>
          <w:spacing w:val="-3"/>
        </w:rPr>
        <w:tab/>
      </w:r>
      <w:r w:rsidR="00DE3599" w:rsidRPr="007C62FD">
        <w:rPr>
          <w:spacing w:val="-3"/>
        </w:rPr>
        <w:t>Adoption of additive manufacturing (AM) by industry segments as of 2018 (Campbell et al. 2017).</w:t>
      </w:r>
    </w:p>
    <w:p w14:paraId="12AC9865" w14:textId="77777777" w:rsidR="003753B9" w:rsidRPr="007C62FD" w:rsidRDefault="003753B9" w:rsidP="000261B0">
      <w:pPr>
        <w:tabs>
          <w:tab w:val="left" w:pos="-720"/>
          <w:tab w:val="left" w:pos="0"/>
          <w:tab w:val="left" w:pos="714"/>
        </w:tabs>
        <w:suppressAutoHyphens/>
        <w:spacing w:line="240" w:lineRule="atLeast"/>
        <w:ind w:left="1440" w:hanging="1440"/>
        <w:jc w:val="center"/>
        <w:rPr>
          <w:spacing w:val="-3"/>
        </w:rPr>
      </w:pPr>
    </w:p>
    <w:p w14:paraId="78B987A9" w14:textId="37166AD8" w:rsidR="00DE3599" w:rsidRPr="007C62FD" w:rsidRDefault="003753B9" w:rsidP="003753B9">
      <w:pPr>
        <w:tabs>
          <w:tab w:val="left" w:pos="-720"/>
          <w:tab w:val="left" w:pos="0"/>
          <w:tab w:val="left" w:pos="714"/>
        </w:tabs>
        <w:suppressAutoHyphens/>
        <w:spacing w:line="240" w:lineRule="atLeast"/>
        <w:ind w:left="1440" w:hanging="1440"/>
        <w:rPr>
          <w:spacing w:val="-3"/>
        </w:rPr>
      </w:pPr>
      <w:r w:rsidRPr="007C62FD">
        <w:rPr>
          <w:spacing w:val="-3"/>
        </w:rPr>
        <w:t>Figure  10.2</w:t>
      </w:r>
      <w:r w:rsidRPr="007C62FD">
        <w:rPr>
          <w:spacing w:val="-3"/>
        </w:rPr>
        <w:tab/>
      </w:r>
      <w:r w:rsidR="00DE3599" w:rsidRPr="007C62FD">
        <w:rPr>
          <w:spacing w:val="-3"/>
        </w:rPr>
        <w:t xml:space="preserve">The distribution of metal AM as of 2020 (“Metal 3D Printers in 2023: A Comprehensive Guide,” n.d.). </w:t>
      </w:r>
    </w:p>
    <w:p w14:paraId="132B1F3F" w14:textId="77777777" w:rsidR="003753B9" w:rsidRPr="007C62FD" w:rsidRDefault="003753B9" w:rsidP="00DE3599">
      <w:pPr>
        <w:tabs>
          <w:tab w:val="left" w:pos="-720"/>
          <w:tab w:val="left" w:pos="0"/>
          <w:tab w:val="left" w:pos="714"/>
        </w:tabs>
        <w:suppressAutoHyphens/>
        <w:spacing w:line="240" w:lineRule="atLeast"/>
        <w:ind w:left="1440" w:hanging="1440"/>
        <w:rPr>
          <w:spacing w:val="-3"/>
        </w:rPr>
      </w:pPr>
    </w:p>
    <w:p w14:paraId="5A974B6D" w14:textId="7303BC43" w:rsidR="00DE3599" w:rsidRPr="007C62FD" w:rsidRDefault="003753B9" w:rsidP="003753B9">
      <w:pPr>
        <w:tabs>
          <w:tab w:val="left" w:pos="-720"/>
          <w:tab w:val="left" w:pos="0"/>
          <w:tab w:val="left" w:pos="714"/>
        </w:tabs>
        <w:suppressAutoHyphens/>
        <w:spacing w:line="240" w:lineRule="atLeast"/>
        <w:ind w:left="1440" w:hanging="1440"/>
        <w:rPr>
          <w:spacing w:val="-3"/>
        </w:rPr>
      </w:pPr>
      <w:r w:rsidRPr="007C62FD">
        <w:rPr>
          <w:spacing w:val="-3"/>
        </w:rPr>
        <w:t>Figure  10.3</w:t>
      </w:r>
      <w:r w:rsidRPr="007C62FD">
        <w:rPr>
          <w:spacing w:val="-3"/>
        </w:rPr>
        <w:tab/>
      </w:r>
      <w:r w:rsidR="00DE3599" w:rsidRPr="007C62FD">
        <w:rPr>
          <w:spacing w:val="-3"/>
        </w:rPr>
        <w:t>A typical flowchart of the AM process.</w:t>
      </w:r>
    </w:p>
    <w:p w14:paraId="3ED4C81E" w14:textId="77777777" w:rsidR="003753B9" w:rsidRPr="007C62FD" w:rsidRDefault="003753B9" w:rsidP="00DE3599">
      <w:pPr>
        <w:tabs>
          <w:tab w:val="left" w:pos="-720"/>
          <w:tab w:val="left" w:pos="0"/>
          <w:tab w:val="left" w:pos="714"/>
        </w:tabs>
        <w:suppressAutoHyphens/>
        <w:spacing w:line="240" w:lineRule="atLeast"/>
        <w:ind w:left="1440" w:hanging="1440"/>
        <w:rPr>
          <w:spacing w:val="-3"/>
        </w:rPr>
      </w:pPr>
    </w:p>
    <w:p w14:paraId="040DF235" w14:textId="41147B76" w:rsidR="003753B9" w:rsidRPr="007C62FD" w:rsidRDefault="003753B9" w:rsidP="003753B9">
      <w:pPr>
        <w:tabs>
          <w:tab w:val="left" w:pos="-720"/>
          <w:tab w:val="left" w:pos="0"/>
          <w:tab w:val="left" w:pos="720"/>
        </w:tabs>
        <w:suppressAutoHyphens/>
        <w:spacing w:line="240" w:lineRule="atLeast"/>
        <w:ind w:left="1440" w:hanging="1440"/>
        <w:rPr>
          <w:spacing w:val="-3"/>
        </w:rPr>
      </w:pPr>
      <w:r w:rsidRPr="007C62FD">
        <w:rPr>
          <w:spacing w:val="-3"/>
        </w:rPr>
        <w:t xml:space="preserve">Figure  10.4 </w:t>
      </w:r>
      <w:r w:rsidRPr="007C62FD">
        <w:rPr>
          <w:spacing w:val="-3"/>
        </w:rPr>
        <w:tab/>
      </w:r>
      <w:r w:rsidR="00DE3599" w:rsidRPr="007C62FD">
        <w:rPr>
          <w:spacing w:val="-3"/>
        </w:rPr>
        <w:t>Five major AM techniques based on form of feedstock and process of fabrication: (a) PBF; (b) DED; (c) Wire-arc AM; (d) ultrasonic AM; (e) friction based AM (Bandyopadhyay, Zhang, and Bose 2020)</w:t>
      </w:r>
      <w:r w:rsidRPr="007C62FD">
        <w:rPr>
          <w:spacing w:val="-3"/>
        </w:rPr>
        <w:t>.</w:t>
      </w:r>
    </w:p>
    <w:p w14:paraId="26117D6C" w14:textId="77777777" w:rsidR="003753B9" w:rsidRPr="007C62FD" w:rsidRDefault="003753B9" w:rsidP="000261B0">
      <w:pPr>
        <w:tabs>
          <w:tab w:val="left" w:pos="-720"/>
          <w:tab w:val="left" w:pos="0"/>
          <w:tab w:val="left" w:pos="720"/>
        </w:tabs>
        <w:suppressAutoHyphens/>
        <w:spacing w:line="240" w:lineRule="atLeast"/>
        <w:ind w:left="1440" w:hanging="1440"/>
        <w:jc w:val="center"/>
        <w:rPr>
          <w:spacing w:val="-3"/>
        </w:rPr>
      </w:pPr>
    </w:p>
    <w:p w14:paraId="08056B7C" w14:textId="6A4E0572" w:rsidR="003753B9" w:rsidRPr="007C62FD" w:rsidRDefault="003753B9" w:rsidP="003753B9">
      <w:pPr>
        <w:tabs>
          <w:tab w:val="left" w:pos="-720"/>
          <w:tab w:val="left" w:pos="0"/>
          <w:tab w:val="left" w:pos="714"/>
        </w:tabs>
        <w:suppressAutoHyphens/>
        <w:spacing w:line="240" w:lineRule="atLeast"/>
        <w:ind w:left="1440" w:hanging="1440"/>
        <w:rPr>
          <w:spacing w:val="-3"/>
        </w:rPr>
      </w:pPr>
      <w:r w:rsidRPr="007C62FD">
        <w:rPr>
          <w:spacing w:val="-3"/>
        </w:rPr>
        <w:t>Figure  10.5</w:t>
      </w:r>
      <w:r w:rsidRPr="007C62FD">
        <w:rPr>
          <w:spacing w:val="-3"/>
        </w:rPr>
        <w:tab/>
      </w:r>
      <w:r w:rsidR="00DE3599" w:rsidRPr="007C62FD">
        <w:rPr>
          <w:spacing w:val="-3"/>
        </w:rPr>
        <w:t>A schematic illustration of an AM powder bed system (Frazier 2014)</w:t>
      </w:r>
    </w:p>
    <w:p w14:paraId="52F91FF4" w14:textId="77777777" w:rsidR="003753B9" w:rsidRPr="007C62FD" w:rsidRDefault="003753B9" w:rsidP="000261B0">
      <w:pPr>
        <w:tabs>
          <w:tab w:val="left" w:pos="-720"/>
          <w:tab w:val="left" w:pos="0"/>
          <w:tab w:val="left" w:pos="714"/>
        </w:tabs>
        <w:suppressAutoHyphens/>
        <w:spacing w:line="240" w:lineRule="atLeast"/>
        <w:ind w:left="1440" w:hanging="1440"/>
        <w:jc w:val="center"/>
        <w:rPr>
          <w:spacing w:val="-3"/>
        </w:rPr>
      </w:pPr>
    </w:p>
    <w:p w14:paraId="3A4BBE6A" w14:textId="71B23658" w:rsidR="003753B9" w:rsidRPr="007C62FD" w:rsidRDefault="003753B9" w:rsidP="003753B9">
      <w:pPr>
        <w:tabs>
          <w:tab w:val="left" w:pos="-720"/>
          <w:tab w:val="left" w:pos="0"/>
          <w:tab w:val="left" w:pos="714"/>
        </w:tabs>
        <w:suppressAutoHyphens/>
        <w:spacing w:line="240" w:lineRule="atLeast"/>
        <w:ind w:left="1440" w:hanging="1440"/>
        <w:rPr>
          <w:spacing w:val="-3"/>
        </w:rPr>
      </w:pPr>
      <w:r w:rsidRPr="007C62FD">
        <w:rPr>
          <w:spacing w:val="-3"/>
        </w:rPr>
        <w:t xml:space="preserve">Figure 10.6 </w:t>
      </w:r>
      <w:r w:rsidR="00DE3599" w:rsidRPr="007C62FD">
        <w:rPr>
          <w:spacing w:val="-3"/>
        </w:rPr>
        <w:tab/>
        <w:t>A schematic illustration of an AM powder feed system (Frazier 2014)</w:t>
      </w:r>
      <w:r w:rsidRPr="007C62FD">
        <w:rPr>
          <w:spacing w:val="-3"/>
        </w:rPr>
        <w:t>.</w:t>
      </w:r>
    </w:p>
    <w:p w14:paraId="06D4BC22" w14:textId="77777777" w:rsidR="003753B9" w:rsidRPr="007C62FD" w:rsidRDefault="003753B9" w:rsidP="000261B0">
      <w:pPr>
        <w:tabs>
          <w:tab w:val="left" w:pos="-720"/>
          <w:tab w:val="left" w:pos="0"/>
          <w:tab w:val="left" w:pos="714"/>
        </w:tabs>
        <w:suppressAutoHyphens/>
        <w:spacing w:line="240" w:lineRule="atLeast"/>
        <w:ind w:left="1440" w:hanging="1440"/>
        <w:jc w:val="center"/>
        <w:rPr>
          <w:spacing w:val="-3"/>
        </w:rPr>
      </w:pPr>
    </w:p>
    <w:p w14:paraId="2A420CBD" w14:textId="58E2914E" w:rsidR="003753B9" w:rsidRPr="007C62FD" w:rsidRDefault="003753B9" w:rsidP="003753B9">
      <w:pPr>
        <w:tabs>
          <w:tab w:val="left" w:pos="-720"/>
          <w:tab w:val="left" w:pos="0"/>
          <w:tab w:val="left" w:pos="714"/>
        </w:tabs>
        <w:suppressAutoHyphens/>
        <w:spacing w:line="240" w:lineRule="atLeast"/>
        <w:ind w:left="1440" w:hanging="1440"/>
        <w:rPr>
          <w:spacing w:val="-3"/>
        </w:rPr>
      </w:pPr>
      <w:r w:rsidRPr="007C62FD">
        <w:rPr>
          <w:spacing w:val="-3"/>
        </w:rPr>
        <w:t>Figure  10.7</w:t>
      </w:r>
      <w:r w:rsidRPr="007C62FD">
        <w:rPr>
          <w:spacing w:val="-3"/>
        </w:rPr>
        <w:tab/>
      </w:r>
      <w:r w:rsidR="00DE3599" w:rsidRPr="007C62FD">
        <w:rPr>
          <w:spacing w:val="-3"/>
        </w:rPr>
        <w:t>An illustration of a typical AM wire feed system (Frazier 2014)</w:t>
      </w:r>
      <w:r w:rsidRPr="007C62FD">
        <w:rPr>
          <w:spacing w:val="-3"/>
        </w:rPr>
        <w:t>.</w:t>
      </w:r>
    </w:p>
    <w:p w14:paraId="42EF84D4" w14:textId="77777777" w:rsidR="003753B9" w:rsidRPr="007C62FD" w:rsidRDefault="003753B9" w:rsidP="000261B0">
      <w:pPr>
        <w:tabs>
          <w:tab w:val="left" w:pos="-1172"/>
          <w:tab w:val="left" w:pos="-720"/>
          <w:tab w:val="left" w:pos="0"/>
          <w:tab w:val="left" w:pos="714"/>
          <w:tab w:val="left" w:pos="2160"/>
        </w:tabs>
        <w:suppressAutoHyphens/>
        <w:spacing w:line="240" w:lineRule="atLeast"/>
        <w:ind w:left="1440" w:hanging="1440"/>
        <w:jc w:val="center"/>
        <w:rPr>
          <w:spacing w:val="-3"/>
        </w:rPr>
      </w:pPr>
    </w:p>
    <w:p w14:paraId="79C78E81" w14:textId="72BAC3FF" w:rsidR="003753B9" w:rsidRPr="007C62FD" w:rsidRDefault="003753B9" w:rsidP="003753B9">
      <w:pPr>
        <w:tabs>
          <w:tab w:val="left" w:pos="-1172"/>
          <w:tab w:val="left" w:pos="-720"/>
          <w:tab w:val="left" w:pos="0"/>
          <w:tab w:val="left" w:pos="714"/>
          <w:tab w:val="left" w:pos="2160"/>
        </w:tabs>
        <w:suppressAutoHyphens/>
        <w:spacing w:line="240" w:lineRule="atLeast"/>
        <w:ind w:left="1440" w:hanging="1440"/>
        <w:rPr>
          <w:spacing w:val="-3"/>
        </w:rPr>
      </w:pPr>
      <w:r w:rsidRPr="007C62FD">
        <w:rPr>
          <w:spacing w:val="-3"/>
        </w:rPr>
        <w:t xml:space="preserve">Figure  10.8      </w:t>
      </w:r>
      <w:r w:rsidR="00DE3599" w:rsidRPr="007C62FD">
        <w:rPr>
          <w:spacing w:val="-3"/>
        </w:rPr>
        <w:t>Multiscale modeling approaches for a typical LPBF metal AM (Turner et al. 2022)</w:t>
      </w:r>
      <w:r w:rsidRPr="007C62FD">
        <w:rPr>
          <w:spacing w:val="-3"/>
        </w:rPr>
        <w:t>.</w:t>
      </w:r>
    </w:p>
    <w:p w14:paraId="77B2F4BA" w14:textId="77777777" w:rsidR="003753B9" w:rsidRPr="007C62FD" w:rsidRDefault="003753B9" w:rsidP="000261B0">
      <w:pPr>
        <w:tabs>
          <w:tab w:val="left" w:pos="-1172"/>
          <w:tab w:val="left" w:pos="-720"/>
          <w:tab w:val="left" w:pos="0"/>
          <w:tab w:val="left" w:pos="714"/>
          <w:tab w:val="left" w:pos="2160"/>
        </w:tabs>
        <w:suppressAutoHyphens/>
        <w:spacing w:line="240" w:lineRule="atLeast"/>
        <w:ind w:left="1440" w:hanging="1440"/>
        <w:jc w:val="center"/>
        <w:rPr>
          <w:spacing w:val="-3"/>
        </w:rPr>
      </w:pPr>
    </w:p>
    <w:p w14:paraId="27638C2B" w14:textId="5FD1D642" w:rsidR="003753B9" w:rsidRPr="007C62FD" w:rsidRDefault="003753B9" w:rsidP="003753B9">
      <w:pPr>
        <w:tabs>
          <w:tab w:val="left" w:pos="-1172"/>
          <w:tab w:val="left" w:pos="-720"/>
          <w:tab w:val="left" w:pos="0"/>
          <w:tab w:val="left" w:pos="714"/>
          <w:tab w:val="left" w:pos="2160"/>
        </w:tabs>
        <w:suppressAutoHyphens/>
        <w:spacing w:line="240" w:lineRule="atLeast"/>
        <w:ind w:left="1440" w:hanging="1440"/>
        <w:rPr>
          <w:spacing w:val="-3"/>
        </w:rPr>
      </w:pPr>
      <w:r w:rsidRPr="007C62FD">
        <w:rPr>
          <w:spacing w:val="-3"/>
        </w:rPr>
        <w:t xml:space="preserve">Figure  10.9      </w:t>
      </w:r>
      <w:r w:rsidR="00DE3599" w:rsidRPr="007C62FD">
        <w:rPr>
          <w:spacing w:val="-3"/>
        </w:rPr>
        <w:t>Melting phenomenon in the LPBF process (Kyogoku and Ikeshoji 2020)</w:t>
      </w:r>
      <w:r w:rsidRPr="007C62FD">
        <w:rPr>
          <w:spacing w:val="-3"/>
        </w:rPr>
        <w:t>.</w:t>
      </w:r>
    </w:p>
    <w:p w14:paraId="31050631" w14:textId="77777777" w:rsidR="003753B9" w:rsidRPr="007C62FD" w:rsidRDefault="003753B9" w:rsidP="000261B0">
      <w:pPr>
        <w:tabs>
          <w:tab w:val="left" w:pos="-1172"/>
          <w:tab w:val="left" w:pos="-720"/>
          <w:tab w:val="left" w:pos="0"/>
          <w:tab w:val="left" w:pos="714"/>
          <w:tab w:val="left" w:pos="2160"/>
        </w:tabs>
        <w:suppressAutoHyphens/>
        <w:spacing w:line="240" w:lineRule="atLeast"/>
        <w:ind w:left="1440" w:hanging="1440"/>
        <w:jc w:val="center"/>
        <w:rPr>
          <w:spacing w:val="-3"/>
        </w:rPr>
      </w:pPr>
    </w:p>
    <w:p w14:paraId="28CB64F6" w14:textId="1A763E42" w:rsidR="003753B9" w:rsidRPr="007C62FD" w:rsidRDefault="003753B9" w:rsidP="003753B9">
      <w:pPr>
        <w:tabs>
          <w:tab w:val="left" w:pos="-1172"/>
          <w:tab w:val="left" w:pos="-720"/>
          <w:tab w:val="left" w:pos="0"/>
          <w:tab w:val="left" w:pos="714"/>
          <w:tab w:val="left" w:pos="2160"/>
        </w:tabs>
        <w:suppressAutoHyphens/>
        <w:spacing w:line="240" w:lineRule="atLeast"/>
        <w:ind w:left="1440" w:hanging="1440"/>
        <w:rPr>
          <w:spacing w:val="-3"/>
        </w:rPr>
      </w:pPr>
      <w:r w:rsidRPr="007C62FD">
        <w:rPr>
          <w:spacing w:val="-3"/>
        </w:rPr>
        <w:t xml:space="preserve">Figure  10.10    </w:t>
      </w:r>
      <w:r w:rsidR="00DE3599" w:rsidRPr="007C62FD">
        <w:rPr>
          <w:spacing w:val="-3"/>
        </w:rPr>
        <w:t>A schematic representation of the evaporated metal flux on the displacement of the powder particles in the bed and the flow pattern of argon gas. Two figures are shown based on the values of Knudsen number, Kn (Matthews et al. 2016)</w:t>
      </w:r>
      <w:r w:rsidRPr="007C62FD">
        <w:rPr>
          <w:spacing w:val="-3"/>
        </w:rPr>
        <w:t>.</w:t>
      </w:r>
    </w:p>
    <w:p w14:paraId="7A805A94" w14:textId="77777777" w:rsidR="00DE3599" w:rsidRPr="007C62FD" w:rsidRDefault="00DE3599" w:rsidP="003753B9">
      <w:pPr>
        <w:tabs>
          <w:tab w:val="left" w:pos="-1172"/>
          <w:tab w:val="left" w:pos="-720"/>
          <w:tab w:val="left" w:pos="0"/>
          <w:tab w:val="left" w:pos="714"/>
          <w:tab w:val="left" w:pos="2160"/>
        </w:tabs>
        <w:suppressAutoHyphens/>
        <w:spacing w:line="240" w:lineRule="atLeast"/>
        <w:ind w:left="1440" w:hanging="1440"/>
        <w:rPr>
          <w:spacing w:val="-3"/>
        </w:rPr>
      </w:pPr>
    </w:p>
    <w:p w14:paraId="7C0A75C7" w14:textId="0BA01906" w:rsidR="00DE3599" w:rsidRPr="007C62FD" w:rsidRDefault="00DE3599" w:rsidP="00DE3599">
      <w:pPr>
        <w:tabs>
          <w:tab w:val="left" w:pos="-1172"/>
          <w:tab w:val="left" w:pos="-720"/>
          <w:tab w:val="left" w:pos="0"/>
          <w:tab w:val="left" w:pos="714"/>
          <w:tab w:val="left" w:pos="2160"/>
        </w:tabs>
        <w:suppressAutoHyphens/>
        <w:spacing w:line="240" w:lineRule="atLeast"/>
        <w:ind w:left="1440" w:hanging="1440"/>
        <w:rPr>
          <w:spacing w:val="-3"/>
        </w:rPr>
      </w:pPr>
      <w:r w:rsidRPr="007C62FD">
        <w:rPr>
          <w:spacing w:val="-3"/>
        </w:rPr>
        <w:t>Figure  10.1</w:t>
      </w:r>
      <w:r w:rsidR="00506D9E">
        <w:rPr>
          <w:spacing w:val="-3"/>
        </w:rPr>
        <w:t>1</w:t>
      </w:r>
      <w:r w:rsidRPr="007C62FD">
        <w:rPr>
          <w:spacing w:val="-3"/>
        </w:rPr>
        <w:t xml:space="preserve">    </w:t>
      </w:r>
      <w:r w:rsidR="00506D9E" w:rsidRPr="00506D9E">
        <w:rPr>
          <w:spacing w:val="-3"/>
        </w:rPr>
        <w:t>. Computed temperature fields from a simulation of a typical LPBF process at different times into the simulation : a) A schematic of LPBF physical model6 x 10-4 s, b) , b) 3 x 10-3 s, c) 5.4 x 10-3 s, d) 6 x 10-3 s a 3-D model developed for simulating LPBF process. c) thermal conductivity and specific heat capacity of TiC, and d) thermal conductivity and specific heat capacity of AlSi10Mg (Gu 2022).</w:t>
      </w:r>
      <w:r w:rsidR="00506D9E" w:rsidRPr="00506D9E" w:rsidDel="00506D9E">
        <w:rPr>
          <w:spacing w:val="-3"/>
        </w:rPr>
        <w:t xml:space="preserve"> </w:t>
      </w:r>
      <w:r w:rsidRPr="007C62FD">
        <w:rPr>
          <w:spacing w:val="-3"/>
        </w:rPr>
        <w:t>(Gu 2022).</w:t>
      </w:r>
    </w:p>
    <w:p w14:paraId="1DECFF12" w14:textId="77777777" w:rsidR="003753B9" w:rsidRPr="007C62FD" w:rsidRDefault="003753B9" w:rsidP="000261B0">
      <w:pPr>
        <w:tabs>
          <w:tab w:val="left" w:pos="-1172"/>
          <w:tab w:val="left" w:pos="-720"/>
          <w:tab w:val="left" w:pos="0"/>
          <w:tab w:val="left" w:pos="714"/>
          <w:tab w:val="left" w:pos="2160"/>
        </w:tabs>
        <w:suppressAutoHyphens/>
        <w:spacing w:line="240" w:lineRule="atLeast"/>
        <w:ind w:left="1440" w:hanging="1440"/>
        <w:jc w:val="center"/>
        <w:rPr>
          <w:spacing w:val="-3"/>
        </w:rPr>
      </w:pPr>
    </w:p>
    <w:p w14:paraId="3EF41ACA" w14:textId="4A62FEBA" w:rsidR="003753B9" w:rsidRPr="007C62FD" w:rsidRDefault="003753B9" w:rsidP="003753B9">
      <w:pPr>
        <w:tabs>
          <w:tab w:val="left" w:pos="-1172"/>
          <w:tab w:val="left" w:pos="-720"/>
          <w:tab w:val="left" w:pos="0"/>
          <w:tab w:val="left" w:pos="714"/>
          <w:tab w:val="left" w:pos="1440"/>
        </w:tabs>
        <w:suppressAutoHyphens/>
        <w:spacing w:line="240" w:lineRule="atLeast"/>
        <w:ind w:left="1440" w:hanging="1440"/>
        <w:rPr>
          <w:spacing w:val="-3"/>
        </w:rPr>
      </w:pPr>
      <w:r w:rsidRPr="007C62FD">
        <w:rPr>
          <w:spacing w:val="-3"/>
        </w:rPr>
        <w:t xml:space="preserve">Figure  10.12 </w:t>
      </w:r>
      <w:r w:rsidRPr="007C62FD">
        <w:rPr>
          <w:spacing w:val="-3"/>
        </w:rPr>
        <w:tab/>
      </w:r>
      <w:r w:rsidR="00DE3599" w:rsidRPr="007C62FD">
        <w:rPr>
          <w:spacing w:val="-3"/>
        </w:rPr>
        <w:t xml:space="preserve">.a) Morphology of columnar </w:t>
      </w:r>
      <w:r w:rsidR="00DE3599" w:rsidRPr="007C62FD">
        <w:rPr>
          <w:spacing w:val="-3"/>
        </w:rPr>
        <w:t xml:space="preserve">-dendrites with secondary arms from PF simulation of LPBF of Ti-6Al-4V alloy in the early, transient state, b) columnar </w:t>
      </w:r>
      <w:r w:rsidR="00DE3599" w:rsidRPr="007C62FD">
        <w:rPr>
          <w:spacing w:val="-3"/>
        </w:rPr>
        <w:t xml:space="preserve">-dendrites showing three growth stages, c) columnar </w:t>
      </w:r>
      <w:r w:rsidR="00DE3599" w:rsidRPr="007C62FD">
        <w:rPr>
          <w:spacing w:val="-3"/>
        </w:rPr>
        <w:lastRenderedPageBreak/>
        <w:t>morphology in 3-D from PF simulations, d) a plot residual normal stress on a transverse cut plane, e) variation of residual normal stress as a function of depth, f) a 2-D slice of the temperature distribution after a laser traversed 80% of the total length of the build of the LPBF process, g) phase fractions  as a function of the total strain level, h) Hall-Petch type relationship between stress and primary dendrite spacing, and i) a plan view of the distortion in the part (Ghosh et al. 2018)</w:t>
      </w:r>
      <w:r w:rsidRPr="007C62FD">
        <w:rPr>
          <w:spacing w:val="-3"/>
        </w:rPr>
        <w:t xml:space="preserve">. </w:t>
      </w:r>
    </w:p>
    <w:p w14:paraId="35B47E57" w14:textId="77777777" w:rsidR="003753B9" w:rsidRPr="007C62FD" w:rsidRDefault="003753B9" w:rsidP="000261B0">
      <w:pPr>
        <w:tabs>
          <w:tab w:val="left" w:pos="-1172"/>
          <w:tab w:val="left" w:pos="-720"/>
          <w:tab w:val="left" w:pos="0"/>
          <w:tab w:val="left" w:pos="714"/>
          <w:tab w:val="left" w:pos="1440"/>
        </w:tabs>
        <w:suppressAutoHyphens/>
        <w:spacing w:line="240" w:lineRule="atLeast"/>
        <w:ind w:left="1440" w:hanging="1440"/>
        <w:jc w:val="center"/>
        <w:rPr>
          <w:spacing w:val="-3"/>
        </w:rPr>
      </w:pPr>
    </w:p>
    <w:p w14:paraId="685FA9F8" w14:textId="44881DD9" w:rsidR="003753B9" w:rsidRPr="007C62FD" w:rsidRDefault="003753B9" w:rsidP="003753B9">
      <w:pPr>
        <w:tabs>
          <w:tab w:val="left" w:pos="-1172"/>
          <w:tab w:val="left" w:pos="-720"/>
          <w:tab w:val="left" w:pos="0"/>
          <w:tab w:val="left" w:pos="714"/>
          <w:tab w:val="left" w:pos="1440"/>
        </w:tabs>
        <w:suppressAutoHyphens/>
        <w:spacing w:line="240" w:lineRule="atLeast"/>
        <w:ind w:left="1440" w:hanging="1440"/>
        <w:rPr>
          <w:spacing w:val="-3"/>
        </w:rPr>
      </w:pPr>
      <w:r w:rsidRPr="007C62FD">
        <w:rPr>
          <w:spacing w:val="-3"/>
        </w:rPr>
        <w:t xml:space="preserve">Figure  10.13    </w:t>
      </w:r>
      <w:r w:rsidR="007C62FD" w:rsidRPr="007C62FD">
        <w:rPr>
          <w:spacing w:val="-3"/>
        </w:rPr>
        <w:t>Macroscopic heat transfer and mesoscale cellular automata coupling. a) A schematic illustration showing competition among columnar grains with nucleation of equiaxed grains ahead of the front and with the macroscopic finite element mesh overlaid, b) a discretized, regular cellular automata grid with the columnar and equiaxed grains overlaid, c) three interpolation factors (</w:t>
      </w:r>
      <w:r w:rsidR="007C62FD" w:rsidRPr="007C62FD">
        <w:rPr>
          <w:spacing w:val="-3"/>
        </w:rPr>
        <w:t> ) linking finite element nodes to a particular cellular automata cell (Gandin and Rappaz 1994)</w:t>
      </w:r>
      <w:r w:rsidRPr="007C62FD">
        <w:rPr>
          <w:spacing w:val="-3"/>
        </w:rPr>
        <w:t>.</w:t>
      </w:r>
    </w:p>
    <w:p w14:paraId="39086B2E" w14:textId="77777777" w:rsidR="003753B9" w:rsidRPr="007C62FD" w:rsidRDefault="003753B9" w:rsidP="000261B0">
      <w:pPr>
        <w:tabs>
          <w:tab w:val="left" w:pos="-1172"/>
          <w:tab w:val="left" w:pos="-720"/>
          <w:tab w:val="left" w:pos="0"/>
          <w:tab w:val="left" w:pos="714"/>
          <w:tab w:val="left" w:pos="1440"/>
        </w:tabs>
        <w:suppressAutoHyphens/>
        <w:spacing w:line="240" w:lineRule="atLeast"/>
        <w:ind w:left="1440" w:hanging="1440"/>
        <w:jc w:val="center"/>
        <w:rPr>
          <w:spacing w:val="-3"/>
        </w:rPr>
      </w:pPr>
    </w:p>
    <w:p w14:paraId="1304A69F" w14:textId="761684AB" w:rsidR="003753B9" w:rsidRPr="007C62FD" w:rsidRDefault="003753B9" w:rsidP="003753B9">
      <w:pPr>
        <w:tabs>
          <w:tab w:val="left" w:pos="-1172"/>
          <w:tab w:val="left" w:pos="-720"/>
          <w:tab w:val="left" w:pos="0"/>
          <w:tab w:val="left" w:pos="714"/>
          <w:tab w:val="left" w:pos="1440"/>
        </w:tabs>
        <w:suppressAutoHyphens/>
        <w:spacing w:line="240" w:lineRule="atLeast"/>
        <w:ind w:left="1440" w:hanging="1440"/>
        <w:rPr>
          <w:spacing w:val="-3"/>
        </w:rPr>
      </w:pPr>
      <w:r w:rsidRPr="007C62FD">
        <w:rPr>
          <w:spacing w:val="-3"/>
        </w:rPr>
        <w:t>Figure  10.</w:t>
      </w:r>
      <w:r w:rsidR="007C62FD" w:rsidRPr="007C62FD">
        <w:t xml:space="preserve"> </w:t>
      </w:r>
      <w:r w:rsidR="007C62FD" w:rsidRPr="007C62FD">
        <w:rPr>
          <w:spacing w:val="-3"/>
        </w:rPr>
        <w:t>An example of modeling dendritic growth and microsegregation by a combined FE-CA technique. Solidification microstructure when laser moving speed is (a) 2 mm s−1, (b) 10 mm s−1 and (c) 20 mm s−1. Cooling rate (K s−1) is also shown. Color bar denotes solute concentration of C (wt.%). Note dendritic to cellular transition for the highest cooling rate (c) (Yin and Felicelli 2010)</w:t>
      </w:r>
      <w:r w:rsidRPr="007C62FD">
        <w:rPr>
          <w:spacing w:val="-3"/>
        </w:rPr>
        <w:t>.</w:t>
      </w:r>
    </w:p>
    <w:p w14:paraId="3478CC3F" w14:textId="77777777" w:rsidR="003753B9" w:rsidRPr="007C62FD" w:rsidRDefault="003753B9" w:rsidP="000261B0">
      <w:pPr>
        <w:tabs>
          <w:tab w:val="left" w:pos="-1172"/>
          <w:tab w:val="left" w:pos="-720"/>
          <w:tab w:val="left" w:pos="0"/>
          <w:tab w:val="left" w:pos="714"/>
          <w:tab w:val="left" w:pos="1440"/>
        </w:tabs>
        <w:suppressAutoHyphens/>
        <w:spacing w:line="240" w:lineRule="atLeast"/>
        <w:ind w:left="1440" w:hanging="1440"/>
        <w:jc w:val="center"/>
        <w:rPr>
          <w:spacing w:val="-3"/>
        </w:rPr>
      </w:pPr>
    </w:p>
    <w:p w14:paraId="1940665B" w14:textId="7E45A5C1" w:rsidR="003753B9" w:rsidRPr="007C62FD" w:rsidRDefault="003753B9" w:rsidP="003753B9">
      <w:pPr>
        <w:tabs>
          <w:tab w:val="left" w:pos="-1172"/>
          <w:tab w:val="left" w:pos="-720"/>
          <w:tab w:val="left" w:pos="0"/>
          <w:tab w:val="left" w:pos="714"/>
          <w:tab w:val="left" w:pos="1440"/>
        </w:tabs>
        <w:suppressAutoHyphens/>
        <w:spacing w:line="240" w:lineRule="atLeast"/>
        <w:ind w:left="1440" w:hanging="1440"/>
        <w:rPr>
          <w:spacing w:val="-3"/>
        </w:rPr>
      </w:pPr>
      <w:r w:rsidRPr="007C62FD">
        <w:rPr>
          <w:spacing w:val="-3"/>
        </w:rPr>
        <w:t xml:space="preserve">Figure  10.15    </w:t>
      </w:r>
      <w:r w:rsidR="007C62FD" w:rsidRPr="007C62FD">
        <w:rPr>
          <w:spacing w:val="-3"/>
        </w:rPr>
        <w:t>Microstructure showing fine, rapidly solidified microstructure in selective laser melting of 50wt.% Fe, 20wt.% Ni, 15wt.% Cu and 15wt.% Fe3P powders at a power level that allows for full melting and partial evaporation (Kruth et al. 2004)</w:t>
      </w:r>
      <w:r w:rsidRPr="007C62FD">
        <w:rPr>
          <w:spacing w:val="-3"/>
        </w:rPr>
        <w:t>.</w:t>
      </w:r>
    </w:p>
    <w:p w14:paraId="56A35FE3" w14:textId="77777777" w:rsidR="003753B9" w:rsidRPr="007C62FD" w:rsidRDefault="003753B9" w:rsidP="003753B9">
      <w:pPr>
        <w:tabs>
          <w:tab w:val="left" w:pos="-1172"/>
          <w:tab w:val="left" w:pos="-720"/>
          <w:tab w:val="left" w:pos="0"/>
          <w:tab w:val="left" w:pos="714"/>
          <w:tab w:val="left" w:pos="1440"/>
        </w:tabs>
        <w:suppressAutoHyphens/>
        <w:spacing w:line="240" w:lineRule="atLeast"/>
        <w:ind w:left="1440" w:hanging="1440"/>
        <w:rPr>
          <w:spacing w:val="-3"/>
        </w:rPr>
      </w:pPr>
    </w:p>
    <w:p w14:paraId="54A27575" w14:textId="495CCEAC" w:rsidR="003753B9" w:rsidRPr="007C62FD" w:rsidRDefault="003753B9" w:rsidP="003753B9">
      <w:pPr>
        <w:tabs>
          <w:tab w:val="left" w:pos="-1172"/>
          <w:tab w:val="left" w:pos="-720"/>
          <w:tab w:val="left" w:pos="0"/>
          <w:tab w:val="left" w:pos="714"/>
          <w:tab w:val="left" w:pos="1440"/>
        </w:tabs>
        <w:suppressAutoHyphens/>
        <w:spacing w:line="240" w:lineRule="atLeast"/>
        <w:ind w:left="1440" w:hanging="1440"/>
        <w:rPr>
          <w:spacing w:val="-3"/>
        </w:rPr>
      </w:pPr>
      <w:r w:rsidRPr="007C62FD">
        <w:rPr>
          <w:spacing w:val="-3"/>
        </w:rPr>
        <w:t xml:space="preserve">Figure  10.16   </w:t>
      </w:r>
      <w:r w:rsidR="007C62FD" w:rsidRPr="007C62FD">
        <w:rPr>
          <w:spacing w:val="-3"/>
        </w:rPr>
        <w:t>Materials property space for room temperature yield strength vs elongation of additively manufactured alloys (Lewandowski and Seifi 2016)</w:t>
      </w:r>
      <w:r w:rsidRPr="007C62FD">
        <w:rPr>
          <w:spacing w:val="-3"/>
        </w:rPr>
        <w:t>,</w:t>
      </w:r>
    </w:p>
    <w:p w14:paraId="7780FC37" w14:textId="77777777" w:rsidR="003753B9" w:rsidRPr="007C62FD" w:rsidRDefault="003753B9" w:rsidP="003753B9">
      <w:pPr>
        <w:tabs>
          <w:tab w:val="left" w:pos="-1172"/>
          <w:tab w:val="left" w:pos="-720"/>
          <w:tab w:val="left" w:pos="0"/>
          <w:tab w:val="left" w:pos="714"/>
          <w:tab w:val="left" w:pos="1440"/>
        </w:tabs>
        <w:suppressAutoHyphens/>
        <w:spacing w:line="240" w:lineRule="atLeast"/>
        <w:ind w:left="1440" w:hanging="1440"/>
        <w:rPr>
          <w:spacing w:val="-3"/>
        </w:rPr>
      </w:pPr>
    </w:p>
    <w:p w14:paraId="2A58CDB5" w14:textId="581F9ACE" w:rsidR="003753B9" w:rsidRPr="007C62FD" w:rsidRDefault="003753B9" w:rsidP="003753B9">
      <w:pPr>
        <w:tabs>
          <w:tab w:val="left" w:pos="-1172"/>
          <w:tab w:val="left" w:pos="-720"/>
          <w:tab w:val="left" w:pos="0"/>
          <w:tab w:val="left" w:pos="714"/>
          <w:tab w:val="left" w:pos="1440"/>
        </w:tabs>
        <w:suppressAutoHyphens/>
        <w:spacing w:line="240" w:lineRule="atLeast"/>
        <w:ind w:left="1440" w:hanging="1440"/>
        <w:rPr>
          <w:spacing w:val="-3"/>
        </w:rPr>
      </w:pPr>
      <w:r w:rsidRPr="007C62FD">
        <w:rPr>
          <w:spacing w:val="-3"/>
        </w:rPr>
        <w:t xml:space="preserve">Figure  10.17   </w:t>
      </w:r>
      <w:r w:rsidR="007C62FD" w:rsidRPr="007C62FD">
        <w:rPr>
          <w:spacing w:val="-3"/>
        </w:rPr>
        <w:t>(a) Elongation, (b) yield strength, and (c) tensile strengths of both conventionally produced and LPBF processed Cu-0.5Cr alloy parts (Vahedi Nemani et al. 2024) (Zhang et al. 2019b; 2019a)</w:t>
      </w:r>
      <w:r w:rsidRPr="007C62FD">
        <w:rPr>
          <w:spacing w:val="-3"/>
        </w:rPr>
        <w:t>.</w:t>
      </w:r>
    </w:p>
    <w:p w14:paraId="2BD858D2" w14:textId="77777777" w:rsidR="003753B9" w:rsidRPr="007C62FD" w:rsidRDefault="003753B9" w:rsidP="000261B0">
      <w:pPr>
        <w:tabs>
          <w:tab w:val="left" w:pos="-1172"/>
          <w:tab w:val="left" w:pos="-720"/>
          <w:tab w:val="left" w:pos="0"/>
          <w:tab w:val="left" w:pos="714"/>
          <w:tab w:val="left" w:pos="1440"/>
        </w:tabs>
        <w:suppressAutoHyphens/>
        <w:spacing w:line="240" w:lineRule="atLeast"/>
        <w:ind w:left="1440" w:hanging="1440"/>
        <w:jc w:val="center"/>
        <w:rPr>
          <w:spacing w:val="-3"/>
        </w:rPr>
      </w:pPr>
    </w:p>
    <w:p w14:paraId="25D42F61" w14:textId="4DE3508E" w:rsidR="003753B9" w:rsidRPr="007C62FD" w:rsidRDefault="003753B9" w:rsidP="003753B9">
      <w:pPr>
        <w:tabs>
          <w:tab w:val="left" w:pos="-1172"/>
          <w:tab w:val="left" w:pos="-720"/>
          <w:tab w:val="left" w:pos="0"/>
          <w:tab w:val="left" w:pos="714"/>
          <w:tab w:val="left" w:pos="1440"/>
        </w:tabs>
        <w:suppressAutoHyphens/>
        <w:spacing w:line="240" w:lineRule="atLeast"/>
        <w:ind w:left="1440" w:hanging="1440"/>
        <w:rPr>
          <w:spacing w:val="-3"/>
        </w:rPr>
      </w:pPr>
      <w:r w:rsidRPr="007C62FD">
        <w:rPr>
          <w:spacing w:val="-3"/>
        </w:rPr>
        <w:t xml:space="preserve">Figure  10.18   </w:t>
      </w:r>
      <w:r w:rsidR="007C62FD" w:rsidRPr="007C62FD">
        <w:rPr>
          <w:spacing w:val="-3"/>
        </w:rPr>
        <w:t>Stress strain curve comparison in a Cu-10Sn alloy (Scudino et al. 2015)</w:t>
      </w:r>
      <w:r w:rsidRPr="007C62FD">
        <w:rPr>
          <w:spacing w:val="-3"/>
        </w:rPr>
        <w:t>.</w:t>
      </w:r>
    </w:p>
    <w:p w14:paraId="582A73D4" w14:textId="77777777" w:rsidR="003753B9" w:rsidRPr="007C62FD" w:rsidRDefault="003753B9" w:rsidP="003753B9">
      <w:pPr>
        <w:tabs>
          <w:tab w:val="left" w:pos="-1172"/>
          <w:tab w:val="left" w:pos="-720"/>
          <w:tab w:val="left" w:pos="0"/>
          <w:tab w:val="left" w:pos="714"/>
          <w:tab w:val="left" w:pos="1440"/>
        </w:tabs>
        <w:suppressAutoHyphens/>
        <w:spacing w:line="240" w:lineRule="atLeast"/>
        <w:ind w:left="1440" w:hanging="1440"/>
        <w:rPr>
          <w:spacing w:val="-3"/>
        </w:rPr>
      </w:pPr>
    </w:p>
    <w:p w14:paraId="6FAA72D1" w14:textId="04FC201D" w:rsidR="003753B9" w:rsidRPr="007C62FD" w:rsidRDefault="003753B9" w:rsidP="003753B9">
      <w:pPr>
        <w:tabs>
          <w:tab w:val="left" w:pos="-1172"/>
          <w:tab w:val="left" w:pos="-720"/>
          <w:tab w:val="left" w:pos="0"/>
          <w:tab w:val="left" w:pos="714"/>
          <w:tab w:val="left" w:pos="1440"/>
        </w:tabs>
        <w:suppressAutoHyphens/>
        <w:spacing w:line="240" w:lineRule="atLeast"/>
        <w:ind w:left="1440" w:hanging="1440"/>
        <w:rPr>
          <w:spacing w:val="-3"/>
        </w:rPr>
      </w:pPr>
      <w:r w:rsidRPr="007C62FD">
        <w:rPr>
          <w:spacing w:val="-3"/>
        </w:rPr>
        <w:t xml:space="preserve">Figure  10.19    </w:t>
      </w:r>
      <w:r w:rsidR="007C62FD" w:rsidRPr="007C62FD">
        <w:rPr>
          <w:spacing w:val="-3"/>
        </w:rPr>
        <w:t>Mechanical properties of various tin-bronzes produced by conventional and various AM methods (Vahedi Nemani et al. 2024)</w:t>
      </w:r>
      <w:r w:rsidRPr="007C62FD">
        <w:rPr>
          <w:spacing w:val="-3"/>
        </w:rPr>
        <w:t>.</w:t>
      </w:r>
    </w:p>
    <w:p w14:paraId="79039DDB" w14:textId="77777777" w:rsidR="003753B9" w:rsidRPr="007C62FD" w:rsidRDefault="003753B9" w:rsidP="003753B9">
      <w:pPr>
        <w:tabs>
          <w:tab w:val="left" w:pos="-1172"/>
          <w:tab w:val="left" w:pos="-720"/>
          <w:tab w:val="left" w:pos="0"/>
          <w:tab w:val="left" w:pos="714"/>
          <w:tab w:val="left" w:pos="1440"/>
        </w:tabs>
        <w:suppressAutoHyphens/>
        <w:spacing w:line="240" w:lineRule="atLeast"/>
        <w:ind w:left="1440" w:hanging="1440"/>
        <w:rPr>
          <w:spacing w:val="-3"/>
        </w:rPr>
      </w:pPr>
    </w:p>
    <w:p w14:paraId="4BB96B99" w14:textId="50B90DD3" w:rsidR="007C62FD" w:rsidRPr="007C62FD" w:rsidRDefault="003753B9" w:rsidP="003753B9">
      <w:pPr>
        <w:tabs>
          <w:tab w:val="left" w:pos="-1172"/>
          <w:tab w:val="left" w:pos="-720"/>
          <w:tab w:val="left" w:pos="0"/>
          <w:tab w:val="left" w:pos="714"/>
          <w:tab w:val="left" w:pos="1440"/>
        </w:tabs>
        <w:suppressAutoHyphens/>
        <w:spacing w:line="240" w:lineRule="atLeast"/>
        <w:ind w:left="1440" w:hanging="1440"/>
        <w:rPr>
          <w:spacing w:val="-3"/>
        </w:rPr>
      </w:pPr>
      <w:r w:rsidRPr="007C62FD">
        <w:rPr>
          <w:spacing w:val="-3"/>
        </w:rPr>
        <w:t xml:space="preserve">Figure  10.20   </w:t>
      </w:r>
      <w:r w:rsidR="007C62FD" w:rsidRPr="007C62FD">
        <w:rPr>
          <w:spacing w:val="-3"/>
        </w:rPr>
        <w:t>Mechanical properties for NAB alloys from various NAB alloys (Vahedi Nemani et al. 2024)</w:t>
      </w:r>
      <w:r w:rsidRPr="007C62FD">
        <w:rPr>
          <w:spacing w:val="-3"/>
        </w:rPr>
        <w:t>.</w:t>
      </w:r>
    </w:p>
    <w:p w14:paraId="1B7B6F0B" w14:textId="77777777" w:rsidR="007C62FD" w:rsidRPr="007C62FD" w:rsidRDefault="007C62FD" w:rsidP="003753B9">
      <w:pPr>
        <w:tabs>
          <w:tab w:val="left" w:pos="-1172"/>
          <w:tab w:val="left" w:pos="-720"/>
          <w:tab w:val="left" w:pos="0"/>
          <w:tab w:val="left" w:pos="714"/>
          <w:tab w:val="left" w:pos="1440"/>
        </w:tabs>
        <w:suppressAutoHyphens/>
        <w:spacing w:line="240" w:lineRule="atLeast"/>
        <w:ind w:left="1440" w:hanging="1440"/>
        <w:rPr>
          <w:spacing w:val="-3"/>
        </w:rPr>
      </w:pPr>
    </w:p>
    <w:p w14:paraId="22540A00" w14:textId="62AF73A6" w:rsidR="007C62FD" w:rsidRPr="007C62FD" w:rsidRDefault="003753B9" w:rsidP="007C62FD">
      <w:pPr>
        <w:tabs>
          <w:tab w:val="left" w:pos="-1172"/>
          <w:tab w:val="left" w:pos="-720"/>
          <w:tab w:val="left" w:pos="0"/>
          <w:tab w:val="left" w:pos="714"/>
          <w:tab w:val="left" w:pos="1440"/>
        </w:tabs>
        <w:suppressAutoHyphens/>
        <w:spacing w:line="240" w:lineRule="atLeast"/>
        <w:ind w:left="1440" w:hanging="1440"/>
        <w:rPr>
          <w:spacing w:val="-3"/>
        </w:rPr>
      </w:pPr>
      <w:r w:rsidRPr="007C62FD">
        <w:rPr>
          <w:spacing w:val="-3"/>
        </w:rPr>
        <w:t xml:space="preserve"> </w:t>
      </w:r>
      <w:r w:rsidR="007C62FD" w:rsidRPr="007C62FD">
        <w:rPr>
          <w:spacing w:val="-3"/>
        </w:rPr>
        <w:t>Figure  10.21   Stress-strain curves of various Ni-aluminum bronzes in as-built and heat treated conditions (Barr et al. 2022),</w:t>
      </w:r>
    </w:p>
    <w:p w14:paraId="0D105FD2" w14:textId="77777777" w:rsidR="007C62FD" w:rsidRPr="007C62FD" w:rsidRDefault="007C62FD" w:rsidP="007C62FD">
      <w:pPr>
        <w:tabs>
          <w:tab w:val="left" w:pos="-1172"/>
          <w:tab w:val="left" w:pos="-720"/>
          <w:tab w:val="left" w:pos="0"/>
          <w:tab w:val="left" w:pos="714"/>
          <w:tab w:val="left" w:pos="1440"/>
        </w:tabs>
        <w:suppressAutoHyphens/>
        <w:spacing w:line="240" w:lineRule="atLeast"/>
        <w:ind w:left="1440" w:hanging="1440"/>
        <w:rPr>
          <w:spacing w:val="-3"/>
        </w:rPr>
      </w:pPr>
    </w:p>
    <w:p w14:paraId="4838A925" w14:textId="3700A1D7" w:rsidR="007C62FD" w:rsidRPr="007C62FD" w:rsidRDefault="007C62FD" w:rsidP="007C62FD">
      <w:pPr>
        <w:tabs>
          <w:tab w:val="left" w:pos="-1172"/>
          <w:tab w:val="left" w:pos="-720"/>
          <w:tab w:val="left" w:pos="0"/>
          <w:tab w:val="left" w:pos="714"/>
          <w:tab w:val="left" w:pos="1440"/>
        </w:tabs>
        <w:suppressAutoHyphens/>
        <w:spacing w:line="240" w:lineRule="atLeast"/>
        <w:ind w:left="1440" w:hanging="1440"/>
        <w:rPr>
          <w:spacing w:val="-3"/>
        </w:rPr>
      </w:pPr>
      <w:r w:rsidRPr="007C62FD">
        <w:rPr>
          <w:spacing w:val="-3"/>
        </w:rPr>
        <w:lastRenderedPageBreak/>
        <w:t>Figure  10.22  A Pie chart showing the Ni-based superalloys in laser powder bed fusion research from 290 studies. Inconel 718 and Inconel 625 are the most studied alloys due to their wide use in aerospace applications (Sanchez et al. 2021).</w:t>
      </w:r>
    </w:p>
    <w:p w14:paraId="40BDD093" w14:textId="77777777" w:rsidR="007C62FD" w:rsidRPr="007C62FD" w:rsidRDefault="007C62FD" w:rsidP="007C62FD">
      <w:pPr>
        <w:tabs>
          <w:tab w:val="left" w:pos="-1172"/>
          <w:tab w:val="left" w:pos="-720"/>
          <w:tab w:val="left" w:pos="0"/>
          <w:tab w:val="left" w:pos="714"/>
          <w:tab w:val="left" w:pos="1440"/>
        </w:tabs>
        <w:suppressAutoHyphens/>
        <w:spacing w:line="240" w:lineRule="atLeast"/>
        <w:ind w:left="1440" w:hanging="1440"/>
        <w:jc w:val="center"/>
        <w:rPr>
          <w:spacing w:val="-3"/>
        </w:rPr>
      </w:pPr>
    </w:p>
    <w:p w14:paraId="4CF772F7" w14:textId="6D6E2CF4" w:rsidR="007C62FD" w:rsidRPr="007C62FD" w:rsidRDefault="007C62FD" w:rsidP="007C62FD">
      <w:pPr>
        <w:tabs>
          <w:tab w:val="left" w:pos="-1172"/>
          <w:tab w:val="left" w:pos="-720"/>
          <w:tab w:val="left" w:pos="0"/>
          <w:tab w:val="left" w:pos="714"/>
          <w:tab w:val="left" w:pos="1440"/>
        </w:tabs>
        <w:suppressAutoHyphens/>
        <w:spacing w:line="240" w:lineRule="atLeast"/>
        <w:ind w:left="1440" w:hanging="1440"/>
        <w:rPr>
          <w:spacing w:val="-3"/>
        </w:rPr>
      </w:pPr>
      <w:r w:rsidRPr="007C62FD">
        <w:rPr>
          <w:spacing w:val="-3"/>
        </w:rPr>
        <w:t>Figure  10.23   A comparison of fatigue life curves for LPBF processed and forged IN 718 alloy specimens: (a) strain vs. number of cycles, (b) stress vs. number of cycles. It is known that defects in LPBF processed parts result in inferior fatigue performance and deteriorate the fatigue crack growth behavior in comparison to parts produced by traditional methods (Pei, Zeng, and Yuan 2020).</w:t>
      </w:r>
    </w:p>
    <w:p w14:paraId="4C024638" w14:textId="77777777" w:rsidR="007C62FD" w:rsidRPr="007C62FD" w:rsidRDefault="007C62FD" w:rsidP="007C62FD">
      <w:pPr>
        <w:tabs>
          <w:tab w:val="left" w:pos="-1172"/>
          <w:tab w:val="left" w:pos="-720"/>
          <w:tab w:val="left" w:pos="0"/>
          <w:tab w:val="left" w:pos="714"/>
          <w:tab w:val="left" w:pos="1440"/>
        </w:tabs>
        <w:suppressAutoHyphens/>
        <w:spacing w:line="240" w:lineRule="atLeast"/>
        <w:ind w:left="1440" w:hanging="1440"/>
        <w:rPr>
          <w:spacing w:val="-3"/>
        </w:rPr>
      </w:pPr>
    </w:p>
    <w:p w14:paraId="0E4CC00B" w14:textId="509717F8" w:rsidR="007C62FD" w:rsidRPr="007C62FD" w:rsidRDefault="007C62FD" w:rsidP="007C62FD">
      <w:pPr>
        <w:tabs>
          <w:tab w:val="left" w:pos="-1172"/>
          <w:tab w:val="left" w:pos="-720"/>
          <w:tab w:val="left" w:pos="0"/>
          <w:tab w:val="left" w:pos="714"/>
          <w:tab w:val="left" w:pos="1440"/>
        </w:tabs>
        <w:suppressAutoHyphens/>
        <w:spacing w:line="240" w:lineRule="atLeast"/>
        <w:ind w:left="1440" w:hanging="1440"/>
        <w:rPr>
          <w:spacing w:val="-3"/>
        </w:rPr>
      </w:pPr>
      <w:r w:rsidRPr="007C62FD">
        <w:rPr>
          <w:spacing w:val="-3"/>
        </w:rPr>
        <w:t>Figure  10.</w:t>
      </w:r>
      <w:r>
        <w:rPr>
          <w:spacing w:val="-3"/>
        </w:rPr>
        <w:t xml:space="preserve">24  </w:t>
      </w:r>
      <w:r w:rsidRPr="007C62FD">
        <w:t xml:space="preserve"> </w:t>
      </w:r>
      <w:r w:rsidRPr="007C62FD">
        <w:rPr>
          <w:spacing w:val="-3"/>
        </w:rPr>
        <w:t>Mechanical properties for tensile AlSi10Mg specimens built with laser power of 240 W, scan speed of 500 mm/s and (b) Mechanical properties for tensile specimens built with laser power of 960 W, scan speed &gt;1000 mm/s (Buchbinder et al. 2015).</w:t>
      </w:r>
    </w:p>
    <w:p w14:paraId="3170167A" w14:textId="77777777" w:rsidR="007C62FD" w:rsidRPr="007C62FD" w:rsidRDefault="007C62FD" w:rsidP="007C62FD">
      <w:pPr>
        <w:tabs>
          <w:tab w:val="left" w:pos="-1172"/>
          <w:tab w:val="left" w:pos="-720"/>
          <w:tab w:val="left" w:pos="0"/>
          <w:tab w:val="left" w:pos="714"/>
          <w:tab w:val="left" w:pos="1440"/>
        </w:tabs>
        <w:suppressAutoHyphens/>
        <w:spacing w:line="240" w:lineRule="atLeast"/>
        <w:ind w:left="1440" w:hanging="1440"/>
        <w:rPr>
          <w:spacing w:val="-3"/>
        </w:rPr>
      </w:pPr>
    </w:p>
    <w:p w14:paraId="341B0DCE" w14:textId="1B0D7DD6" w:rsidR="007C62FD" w:rsidRPr="007C62FD" w:rsidRDefault="007C62FD" w:rsidP="007C62FD">
      <w:pPr>
        <w:tabs>
          <w:tab w:val="left" w:pos="-1172"/>
          <w:tab w:val="left" w:pos="-720"/>
          <w:tab w:val="left" w:pos="0"/>
          <w:tab w:val="left" w:pos="714"/>
          <w:tab w:val="left" w:pos="1440"/>
        </w:tabs>
        <w:suppressAutoHyphens/>
        <w:spacing w:line="240" w:lineRule="atLeast"/>
        <w:ind w:left="1440" w:hanging="1440"/>
        <w:rPr>
          <w:spacing w:val="-3"/>
        </w:rPr>
      </w:pPr>
      <w:r w:rsidRPr="007C62FD">
        <w:rPr>
          <w:spacing w:val="-3"/>
        </w:rPr>
        <w:t>Figure  10.25   Engineering stress/strain curves for wrought 316L compared with as built 316L fabricated on an EOS280 using factory default settings. The tensile sample was built directly and tested without any machining or surface treatments. The gauge length was 20 mm, and width and thickness 5 mm each (Gorsse et al. 2017).</w:t>
      </w:r>
    </w:p>
    <w:p w14:paraId="1ACBC3FC" w14:textId="0CED5641" w:rsidR="003753B9" w:rsidRDefault="003753B9" w:rsidP="003753B9">
      <w:pPr>
        <w:tabs>
          <w:tab w:val="left" w:pos="-1172"/>
          <w:tab w:val="left" w:pos="-720"/>
          <w:tab w:val="left" w:pos="0"/>
          <w:tab w:val="left" w:pos="714"/>
          <w:tab w:val="left" w:pos="1440"/>
        </w:tabs>
        <w:suppressAutoHyphens/>
        <w:spacing w:line="240" w:lineRule="atLeast"/>
        <w:ind w:left="1440" w:hanging="1440"/>
        <w:rPr>
          <w:spacing w:val="-3"/>
        </w:rPr>
      </w:pPr>
    </w:p>
    <w:p w14:paraId="2E5D1A7D" w14:textId="77777777" w:rsidR="00DE3599" w:rsidRDefault="00DE3599" w:rsidP="003753B9">
      <w:pPr>
        <w:tabs>
          <w:tab w:val="left" w:pos="-1172"/>
          <w:tab w:val="left" w:pos="-720"/>
          <w:tab w:val="left" w:pos="0"/>
          <w:tab w:val="left" w:pos="714"/>
          <w:tab w:val="left" w:pos="1440"/>
        </w:tabs>
        <w:suppressAutoHyphens/>
        <w:spacing w:line="240" w:lineRule="atLeast"/>
        <w:ind w:left="1440" w:hanging="1440"/>
        <w:rPr>
          <w:spacing w:val="-3"/>
        </w:rPr>
      </w:pPr>
    </w:p>
    <w:p w14:paraId="45DC4924" w14:textId="77777777" w:rsidR="00DE3599" w:rsidRDefault="00DE3599" w:rsidP="003753B9">
      <w:pPr>
        <w:tabs>
          <w:tab w:val="left" w:pos="-1172"/>
          <w:tab w:val="left" w:pos="-720"/>
          <w:tab w:val="left" w:pos="0"/>
          <w:tab w:val="left" w:pos="714"/>
          <w:tab w:val="left" w:pos="1440"/>
        </w:tabs>
        <w:suppressAutoHyphens/>
        <w:spacing w:line="240" w:lineRule="atLeast"/>
        <w:ind w:left="1440" w:hanging="1440"/>
        <w:rPr>
          <w:spacing w:val="-3"/>
        </w:rPr>
      </w:pPr>
    </w:p>
    <w:p w14:paraId="7CD0E851" w14:textId="77777777" w:rsidR="00DE3599" w:rsidRPr="008359E2" w:rsidRDefault="00DE3599" w:rsidP="003753B9">
      <w:pPr>
        <w:tabs>
          <w:tab w:val="left" w:pos="-1172"/>
          <w:tab w:val="left" w:pos="-720"/>
          <w:tab w:val="left" w:pos="0"/>
          <w:tab w:val="left" w:pos="714"/>
          <w:tab w:val="left" w:pos="1440"/>
        </w:tabs>
        <w:suppressAutoHyphens/>
        <w:spacing w:line="240" w:lineRule="atLeast"/>
        <w:ind w:left="1440" w:hanging="1440"/>
        <w:rPr>
          <w:spacing w:val="-3"/>
        </w:rPr>
      </w:pPr>
    </w:p>
    <w:p w14:paraId="162A63E8" w14:textId="77777777" w:rsidR="003753B9" w:rsidRPr="008359E2" w:rsidRDefault="003753B9" w:rsidP="003753B9">
      <w:pPr>
        <w:tabs>
          <w:tab w:val="left" w:pos="-720"/>
          <w:tab w:val="left" w:pos="0"/>
          <w:tab w:val="left" w:pos="720"/>
        </w:tabs>
        <w:suppressAutoHyphens/>
        <w:spacing w:line="240" w:lineRule="atLeast"/>
        <w:ind w:left="1440" w:hanging="1440"/>
        <w:rPr>
          <w:spacing w:val="-3"/>
        </w:rPr>
      </w:pPr>
    </w:p>
    <w:p w14:paraId="73476816" w14:textId="77777777" w:rsidR="00015B17" w:rsidRPr="0080201A" w:rsidRDefault="00015B17" w:rsidP="00015B17">
      <w:pPr>
        <w:spacing w:line="360" w:lineRule="auto"/>
        <w:ind w:firstLine="720"/>
      </w:pPr>
    </w:p>
    <w:p w14:paraId="157105A9" w14:textId="77777777" w:rsidR="008F1180" w:rsidRPr="00BE44AC" w:rsidRDefault="008F1180" w:rsidP="008F1180">
      <w:pPr>
        <w:suppressAutoHyphens/>
        <w:spacing w:line="360" w:lineRule="atLeast"/>
        <w:jc w:val="both"/>
        <w:rPr>
          <w:bCs/>
          <w:spacing w:val="-3"/>
        </w:rPr>
      </w:pPr>
    </w:p>
    <w:sectPr w:rsidR="008F1180" w:rsidRPr="00BE44AC" w:rsidSect="003C5019">
      <w:footerReference w:type="even" r:id="rId1517"/>
      <w:footerReference w:type="default" r:id="rId1518"/>
      <w:pgSz w:w="12240" w:h="15840"/>
      <w:pgMar w:top="1440" w:right="1800" w:bottom="1440" w:left="18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EE7D99" w14:textId="77777777" w:rsidR="00F23908" w:rsidRDefault="00F23908">
      <w:r>
        <w:separator/>
      </w:r>
    </w:p>
  </w:endnote>
  <w:endnote w:type="continuationSeparator" w:id="0">
    <w:p w14:paraId="502DC19B" w14:textId="77777777" w:rsidR="00F23908" w:rsidRDefault="00F239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ootlight MT Light">
    <w:panose1 w:val="0204060206030A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dvP41153C">
    <w:altName w:val="Cambria"/>
    <w:panose1 w:val="00000000000000000000"/>
    <w:charset w:val="00"/>
    <w:family w:val="roman"/>
    <w:notTrueType/>
    <w:pitch w:val="default"/>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Microsoft Yi Baiti">
    <w:panose1 w:val="03000500000000000000"/>
    <w:charset w:val="00"/>
    <w:family w:val="script"/>
    <w:pitch w:val="variable"/>
    <w:sig w:usb0="80000003" w:usb1="00010402" w:usb2="00080002"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Roman">
    <w:altName w:val="Times New Roman"/>
    <w:panose1 w:val="00000000000000000000"/>
    <w:charset w:val="00"/>
    <w:family w:val="roman"/>
    <w:notTrueType/>
    <w:pitch w:val="default"/>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dvOTc999d02f">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ACAA60" w14:textId="77777777" w:rsidR="00915333" w:rsidRPr="00826A79" w:rsidRDefault="00915333" w:rsidP="00F7556C">
    <w:pPr>
      <w:pStyle w:val="Footer"/>
      <w:framePr w:wrap="around" w:vAnchor="text" w:hAnchor="margin" w:xAlign="center" w:y="1"/>
      <w:rPr>
        <w:rStyle w:val="PageNumber"/>
        <w:rFonts w:ascii="Times New Roman" w:hAnsi="Times New Roman"/>
      </w:rPr>
    </w:pPr>
    <w:r>
      <w:rPr>
        <w:rStyle w:val="PageNumber"/>
      </w:rPr>
      <w:fldChar w:fldCharType="begin"/>
    </w:r>
    <w:r>
      <w:rPr>
        <w:rStyle w:val="PageNumber"/>
      </w:rPr>
      <w:instrText xml:space="preserve">PAGE  </w:instrText>
    </w:r>
    <w:r>
      <w:rPr>
        <w:rStyle w:val="PageNumber"/>
      </w:rPr>
      <w:fldChar w:fldCharType="end"/>
    </w:r>
  </w:p>
  <w:p w14:paraId="22110935" w14:textId="77777777" w:rsidR="00915333" w:rsidRPr="00826A79" w:rsidRDefault="00915333">
    <w:pPr>
      <w:pStyle w:val="Footer"/>
      <w:rPr>
        <w:rFonts w:ascii="Times New Roman" w:hAnsi="Times New Roman"/>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448E41" w14:textId="77777777" w:rsidR="00915333" w:rsidRPr="00826A79" w:rsidRDefault="00915333" w:rsidP="00F7556C">
    <w:pPr>
      <w:pStyle w:val="Footer"/>
      <w:framePr w:wrap="around" w:vAnchor="text" w:hAnchor="margin" w:xAlign="center" w:y="1"/>
      <w:rPr>
        <w:rStyle w:val="PageNumber"/>
        <w:rFonts w:ascii="Times New Roman" w:hAnsi="Times New Roman"/>
      </w:rPr>
    </w:pPr>
    <w:r w:rsidRPr="00826A79">
      <w:rPr>
        <w:rStyle w:val="PageNumber"/>
        <w:rFonts w:ascii="Times New Roman" w:hAnsi="Times New Roman"/>
      </w:rPr>
      <w:fldChar w:fldCharType="begin"/>
    </w:r>
    <w:r w:rsidRPr="00826A79">
      <w:rPr>
        <w:rStyle w:val="PageNumber"/>
        <w:rFonts w:ascii="Times New Roman" w:hAnsi="Times New Roman"/>
      </w:rPr>
      <w:instrText xml:space="preserve">PAGE  </w:instrText>
    </w:r>
    <w:r w:rsidRPr="00826A79">
      <w:rPr>
        <w:rStyle w:val="PageNumber"/>
        <w:rFonts w:ascii="Times New Roman" w:hAnsi="Times New Roman"/>
      </w:rPr>
      <w:fldChar w:fldCharType="separate"/>
    </w:r>
    <w:r w:rsidR="00F121E4" w:rsidRPr="00826A79">
      <w:rPr>
        <w:rStyle w:val="PageNumber"/>
        <w:rFonts w:ascii="Times New Roman" w:hAnsi="Times New Roman"/>
        <w:noProof/>
      </w:rPr>
      <w:t>238</w:t>
    </w:r>
    <w:r w:rsidRPr="00826A79">
      <w:rPr>
        <w:rStyle w:val="PageNumber"/>
        <w:rFonts w:ascii="Times New Roman" w:hAnsi="Times New Roman"/>
      </w:rPr>
      <w:fldChar w:fldCharType="end"/>
    </w:r>
  </w:p>
  <w:p w14:paraId="1A120991" w14:textId="77777777" w:rsidR="00915333" w:rsidRPr="00826A79" w:rsidRDefault="00915333">
    <w:pPr>
      <w:pStyle w:val="Footer"/>
      <w:rPr>
        <w:rFonts w:ascii="Times New Roman" w:hAnsi="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AD67E9" w14:textId="77777777" w:rsidR="00F23908" w:rsidRDefault="00F23908">
      <w:r>
        <w:separator/>
      </w:r>
    </w:p>
  </w:footnote>
  <w:footnote w:type="continuationSeparator" w:id="0">
    <w:p w14:paraId="5C9529D4" w14:textId="77777777" w:rsidR="00F23908" w:rsidRDefault="00F23908">
      <w:r>
        <w:continuationSeparator/>
      </w:r>
    </w:p>
  </w:footnote>
  <w:footnote w:id="1">
    <w:p w14:paraId="778538E2" w14:textId="6B8E8EB1" w:rsidR="00915333" w:rsidRPr="00E86195" w:rsidRDefault="00915333" w:rsidP="00015B17">
      <w:pPr>
        <w:pStyle w:val="FootnoteText"/>
        <w:rPr>
          <w:rFonts w:ascii="Times New Roman" w:hAnsi="Times New Roman"/>
          <w:sz w:val="24"/>
          <w:szCs w:val="24"/>
        </w:rPr>
      </w:pPr>
      <w:r w:rsidRPr="00826A79">
        <w:rPr>
          <w:rStyle w:val="FootnoteReference"/>
          <w:rFonts w:ascii="Times New Roman" w:hAnsi="Times New Roman"/>
        </w:rPr>
        <w:footnoteRef/>
      </w:r>
      <w:r w:rsidRPr="00826A79">
        <w:rPr>
          <w:rFonts w:ascii="Times New Roman" w:hAnsi="Times New Roman"/>
        </w:rPr>
        <w:t xml:space="preserve">  </w:t>
      </w:r>
      <w:r w:rsidR="003E1370" w:rsidRPr="003E1370">
        <w:rPr>
          <w:rFonts w:ascii="Times New Roman" w:hAnsi="Times New Roman"/>
          <w:sz w:val="24"/>
          <w:szCs w:val="24"/>
        </w:rPr>
        <w:t>Certain commercial equipment, instruments, or materials (or suppliers, or software, ...) are identified in this paper to foster understanding. Such identification does not imply recommendation or endorsement by the National Institute of Standards and Technology, nor does it imply that the materials or equipment identified are necessarily the best available for the purpose.</w:t>
      </w:r>
    </w:p>
  </w:footnote>
  <w:footnote w:id="2">
    <w:p w14:paraId="4CE41E2D" w14:textId="77777777" w:rsidR="00915333" w:rsidRPr="00463337" w:rsidRDefault="00915333" w:rsidP="00015B17">
      <w:pPr>
        <w:pStyle w:val="FootnoteText"/>
        <w:rPr>
          <w:rFonts w:ascii="Times New Roman" w:hAnsi="Times New Roman"/>
        </w:rPr>
      </w:pPr>
      <w:r w:rsidRPr="00463337">
        <w:rPr>
          <w:rStyle w:val="FootnoteReference"/>
          <w:rFonts w:ascii="Times New Roman" w:hAnsi="Times New Roman"/>
        </w:rPr>
        <w:footnoteRef/>
      </w:r>
      <w:r w:rsidRPr="00463337">
        <w:rPr>
          <w:rFonts w:ascii="Times New Roman" w:hAnsi="Times New Roman"/>
        </w:rPr>
        <w:t xml:space="preserve"> There is no universally accepted terminology for these</w:t>
      </w:r>
      <w:r>
        <w:rPr>
          <w:rFonts w:ascii="Times New Roman" w:hAnsi="Times New Roman"/>
        </w:rPr>
        <w:t xml:space="preserve"> equilibria</w:t>
      </w:r>
      <w:r w:rsidRPr="00463337">
        <w:rPr>
          <w:rFonts w:ascii="Times New Roman" w:hAnsi="Times New Roman"/>
        </w:rPr>
        <w:t xml:space="preserve">. </w:t>
      </w:r>
    </w:p>
  </w:footnote>
  <w:footnote w:id="3">
    <w:p w14:paraId="666689B9" w14:textId="77777777" w:rsidR="00915333" w:rsidRPr="00960186" w:rsidRDefault="00915333" w:rsidP="00015B17">
      <w:pPr>
        <w:pStyle w:val="FootnoteText"/>
        <w:rPr>
          <w:rFonts w:ascii="Times New Roman" w:hAnsi="Times New Roman"/>
        </w:rPr>
      </w:pPr>
      <w:r w:rsidRPr="00960186">
        <w:rPr>
          <w:rStyle w:val="FootnoteReference"/>
          <w:rFonts w:ascii="Times New Roman" w:hAnsi="Times New Roman"/>
        </w:rPr>
        <w:footnoteRef/>
      </w:r>
      <w:r w:rsidRPr="00960186">
        <w:rPr>
          <w:rFonts w:ascii="Times New Roman" w:hAnsi="Times New Roman"/>
        </w:rPr>
        <w:t xml:space="preserve"> Trade names are used for completeness only and do not constitute an endorsement of the NIST.</w:t>
      </w:r>
    </w:p>
  </w:footnote>
  <w:footnote w:id="4">
    <w:p w14:paraId="493CD9BE" w14:textId="56AD0F75" w:rsidR="00A73748" w:rsidRPr="001B068D" w:rsidRDefault="00A73748" w:rsidP="004B5B13">
      <w:pPr>
        <w:pStyle w:val="FootnoteText"/>
        <w:rPr>
          <w:sz w:val="16"/>
          <w:szCs w:val="16"/>
          <w:vertAlign w:val="subscript"/>
        </w:rPr>
      </w:pPr>
      <w:r>
        <w:rPr>
          <w:rStyle w:val="FootnoteReference"/>
        </w:rPr>
        <w:footnoteRef/>
      </w:r>
      <w:r>
        <w:t xml:space="preserve"> </w:t>
      </w:r>
      <w:r w:rsidR="004B5B13">
        <w:t>Certain commercial equipment, instruments, software, or materials are identified to adequately describe a procedure or concept. Such identification is not intended to imply recommendation, endorsement, or implication by NIST that the equipment, instruments, software, or materials identified are necessarily the best available for the purpose.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64"/>
    <w:multiLevelType w:val="multilevel"/>
    <w:tmpl w:val="00000064"/>
    <w:name w:val="WP List 0"/>
    <w:lvl w:ilvl="0">
      <w:start w:val="1"/>
      <w:numFmt w:val="upperRoman"/>
      <w:suff w:val="nothing"/>
      <w:lvlText w:val="%1."/>
      <w:lvlJc w:val="left"/>
    </w:lvl>
    <w:lvl w:ilvl="1">
      <w:start w:val="1"/>
      <w:numFmt w:val="upperLetter"/>
      <w:suff w:val="nothing"/>
      <w:lvlText w:val="%2."/>
      <w:lvlJc w:val="left"/>
    </w:lvl>
    <w:lvl w:ilvl="2">
      <w:start w:val="1"/>
      <w:numFmt w:val="decimal"/>
      <w:suff w:val="nothing"/>
      <w:lvlText w:val="%3."/>
      <w:lvlJc w:val="left"/>
    </w:lvl>
    <w:lvl w:ilvl="3">
      <w:start w:val="1"/>
      <w:numFmt w:val="lowerLetter"/>
      <w:suff w:val="nothing"/>
      <w:lvlText w:val="%4."/>
      <w:lvlJc w:val="left"/>
    </w:lvl>
    <w:lvl w:ilvl="4">
      <w:start w:val="1"/>
      <w:numFmt w:val="decimal"/>
      <w:suff w:val="nothing"/>
      <w:lvlText w:val="(%5)"/>
      <w:lvlJc w:val="left"/>
    </w:lvl>
    <w:lvl w:ilvl="5">
      <w:start w:val="1"/>
      <w:numFmt w:val="lowerLetter"/>
      <w:suff w:val="nothing"/>
      <w:lvlText w:val="(%6)"/>
      <w:lvlJc w:val="left"/>
    </w:lvl>
    <w:lvl w:ilvl="6">
      <w:start w:val="1"/>
      <w:numFmt w:val="lowerRoman"/>
      <w:suff w:val="nothing"/>
      <w:lvlText w:val="%7)"/>
      <w:lvlJc w:val="left"/>
    </w:lvl>
    <w:lvl w:ilvl="7">
      <w:start w:val="1"/>
      <w:numFmt w:val="lowerLetter"/>
      <w:suff w:val="nothing"/>
      <w:lvlText w:val="%8)"/>
      <w:lvlJc w:val="left"/>
    </w:lvl>
    <w:lvl w:ilvl="8">
      <w:numFmt w:val="none"/>
      <w:lvlText w:val=""/>
      <w:lvlJc w:val="left"/>
    </w:lvl>
  </w:abstractNum>
  <w:abstractNum w:abstractNumId="1" w15:restartNumberingAfterBreak="0">
    <w:nsid w:val="000000C8"/>
    <w:multiLevelType w:val="multilevel"/>
    <w:tmpl w:val="000000C8"/>
    <w:name w:val="WP List 1"/>
    <w:lvl w:ilvl="0">
      <w:start w:val="1"/>
      <w:numFmt w:val="upperRoman"/>
      <w:suff w:val="nothing"/>
      <w:lvlText w:val="%1."/>
      <w:lvlJc w:val="left"/>
    </w:lvl>
    <w:lvl w:ilvl="1">
      <w:start w:val="1"/>
      <w:numFmt w:val="decimal"/>
      <w:suff w:val="nothing"/>
      <w:lvlText w:val="%2."/>
      <w:lvlJc w:val="left"/>
    </w:lvl>
    <w:lvl w:ilvl="2">
      <w:start w:val="1"/>
      <w:numFmt w:val="upperLetter"/>
      <w:suff w:val="nothing"/>
      <w:lvlText w:val="%3."/>
      <w:lvlJc w:val="left"/>
    </w:lvl>
    <w:lvl w:ilvl="3">
      <w:start w:val="1"/>
      <w:numFmt w:val="lowerLetter"/>
      <w:suff w:val="nothing"/>
      <w:lvlText w:val="%4."/>
      <w:lvlJc w:val="left"/>
    </w:lvl>
    <w:lvl w:ilvl="4">
      <w:start w:val="1"/>
      <w:numFmt w:val="decimal"/>
      <w:suff w:val="nothing"/>
      <w:lvlText w:val="(%5)"/>
      <w:lvlJc w:val="left"/>
    </w:lvl>
    <w:lvl w:ilvl="5">
      <w:start w:val="1"/>
      <w:numFmt w:val="lowerLetter"/>
      <w:suff w:val="nothing"/>
      <w:lvlText w:val="(%6)"/>
      <w:lvlJc w:val="left"/>
    </w:lvl>
    <w:lvl w:ilvl="6">
      <w:start w:val="1"/>
      <w:numFmt w:val="lowerRoman"/>
      <w:suff w:val="nothing"/>
      <w:lvlText w:val="%7)"/>
      <w:lvlJc w:val="left"/>
    </w:lvl>
    <w:lvl w:ilvl="7">
      <w:start w:val="1"/>
      <w:numFmt w:val="lowerLetter"/>
      <w:suff w:val="nothing"/>
      <w:lvlText w:val="%8)"/>
      <w:lvlJc w:val="left"/>
    </w:lvl>
    <w:lvl w:ilvl="8">
      <w:numFmt w:val="none"/>
      <w:lvlText w:val=""/>
      <w:lvlJc w:val="left"/>
    </w:lvl>
  </w:abstractNum>
  <w:abstractNum w:abstractNumId="2" w15:restartNumberingAfterBreak="0">
    <w:nsid w:val="0000012C"/>
    <w:multiLevelType w:val="multilevel"/>
    <w:tmpl w:val="0000012C"/>
    <w:name w:val="WP List 2"/>
    <w:lvl w:ilvl="0">
      <w:start w:val="1"/>
      <w:numFmt w:val="decimal"/>
      <w:suff w:val="nothing"/>
      <w:lvlText w:val="%1"/>
      <w:lvlJc w:val="left"/>
    </w:lvl>
    <w:lvl w:ilvl="1">
      <w:start w:val="1"/>
      <w:numFmt w:val="decimal"/>
      <w:suff w:val="nothing"/>
      <w:lvlText w:val="%1.%2"/>
      <w:lvlJc w:val="left"/>
    </w:lvl>
    <w:lvl w:ilvl="2">
      <w:start w:val="1"/>
      <w:numFmt w:val="decimal"/>
      <w:suff w:val="nothing"/>
      <w:lvlText w:val="%1.%2.%3"/>
      <w:lvlJc w:val="left"/>
    </w:lvl>
    <w:lvl w:ilvl="3">
      <w:start w:val="1"/>
      <w:numFmt w:val="decimal"/>
      <w:suff w:val="nothing"/>
      <w:lvlText w:val="%1.%2.%3.%4"/>
      <w:lvlJc w:val="left"/>
    </w:lvl>
    <w:lvl w:ilvl="4">
      <w:start w:val="1"/>
      <w:numFmt w:val="decimal"/>
      <w:suff w:val="nothing"/>
      <w:lvlText w:val="%1.%2.%3.%4.%5"/>
      <w:lvlJc w:val="left"/>
    </w:lvl>
    <w:lvl w:ilvl="5">
      <w:start w:val="1"/>
      <w:numFmt w:val="decimal"/>
      <w:suff w:val="nothing"/>
      <w:lvlText w:val="%1.%2.%3.%4.%5.%6"/>
      <w:lvlJc w:val="left"/>
    </w:lvl>
    <w:lvl w:ilvl="6">
      <w:start w:val="1"/>
      <w:numFmt w:val="decimal"/>
      <w:suff w:val="nothing"/>
      <w:lvlText w:val="%1.%2.%3.%4.%5.%6.%7"/>
      <w:lvlJc w:val="left"/>
    </w:lvl>
    <w:lvl w:ilvl="7">
      <w:start w:val="1"/>
      <w:numFmt w:val="decimal"/>
      <w:suff w:val="nothing"/>
      <w:lvlText w:val="%1.%2.%3.%4.%5.%6.%7.%8"/>
      <w:lvlJc w:val="left"/>
    </w:lvl>
    <w:lvl w:ilvl="8">
      <w:numFmt w:val="none"/>
      <w:lvlText w:val=""/>
      <w:lvlJc w:val="left"/>
    </w:lvl>
  </w:abstractNum>
  <w:abstractNum w:abstractNumId="3" w15:restartNumberingAfterBreak="0">
    <w:nsid w:val="066448D6"/>
    <w:multiLevelType w:val="hybridMultilevel"/>
    <w:tmpl w:val="781C5CE4"/>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15:restartNumberingAfterBreak="0">
    <w:nsid w:val="09C4644A"/>
    <w:multiLevelType w:val="hybridMultilevel"/>
    <w:tmpl w:val="EB547D82"/>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5865C5A"/>
    <w:multiLevelType w:val="hybridMultilevel"/>
    <w:tmpl w:val="6DC0C87E"/>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7F93A6A"/>
    <w:multiLevelType w:val="hybridMultilevel"/>
    <w:tmpl w:val="7B48D7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81A2308"/>
    <w:multiLevelType w:val="hybridMultilevel"/>
    <w:tmpl w:val="17F20910"/>
    <w:lvl w:ilvl="0" w:tplc="3FA2BB4E">
      <w:start w:val="16"/>
      <w:numFmt w:val="bullet"/>
      <w:lvlText w:val="-"/>
      <w:lvlJc w:val="left"/>
      <w:pPr>
        <w:ind w:left="1530" w:hanging="360"/>
      </w:pPr>
      <w:rPr>
        <w:rFonts w:ascii="Calibri" w:eastAsia="Calibri" w:hAnsi="Calibri" w:hint="default"/>
      </w:rPr>
    </w:lvl>
    <w:lvl w:ilvl="1" w:tplc="04090003">
      <w:start w:val="1"/>
      <w:numFmt w:val="bullet"/>
      <w:lvlText w:val="o"/>
      <w:lvlJc w:val="left"/>
      <w:pPr>
        <w:ind w:left="2250" w:hanging="360"/>
      </w:pPr>
      <w:rPr>
        <w:rFonts w:ascii="Courier New" w:hAnsi="Courier New" w:cs="Courier New" w:hint="default"/>
      </w:rPr>
    </w:lvl>
    <w:lvl w:ilvl="2" w:tplc="04090005">
      <w:start w:val="1"/>
      <w:numFmt w:val="bullet"/>
      <w:lvlText w:val=""/>
      <w:lvlJc w:val="left"/>
      <w:pPr>
        <w:ind w:left="2970" w:hanging="360"/>
      </w:pPr>
      <w:rPr>
        <w:rFonts w:ascii="Wingdings" w:hAnsi="Wingdings" w:hint="default"/>
      </w:rPr>
    </w:lvl>
    <w:lvl w:ilvl="3" w:tplc="04090001">
      <w:start w:val="1"/>
      <w:numFmt w:val="bullet"/>
      <w:lvlText w:val=""/>
      <w:lvlJc w:val="left"/>
      <w:pPr>
        <w:ind w:left="3690" w:hanging="360"/>
      </w:pPr>
      <w:rPr>
        <w:rFonts w:ascii="Symbol" w:hAnsi="Symbol" w:hint="default"/>
      </w:rPr>
    </w:lvl>
    <w:lvl w:ilvl="4" w:tplc="04090003">
      <w:start w:val="1"/>
      <w:numFmt w:val="bullet"/>
      <w:lvlText w:val="o"/>
      <w:lvlJc w:val="left"/>
      <w:pPr>
        <w:ind w:left="4410" w:hanging="360"/>
      </w:pPr>
      <w:rPr>
        <w:rFonts w:ascii="Courier New" w:hAnsi="Courier New" w:cs="Courier New" w:hint="default"/>
      </w:rPr>
    </w:lvl>
    <w:lvl w:ilvl="5" w:tplc="04090005">
      <w:start w:val="1"/>
      <w:numFmt w:val="bullet"/>
      <w:lvlText w:val=""/>
      <w:lvlJc w:val="left"/>
      <w:pPr>
        <w:ind w:left="5130" w:hanging="360"/>
      </w:pPr>
      <w:rPr>
        <w:rFonts w:ascii="Wingdings" w:hAnsi="Wingdings" w:hint="default"/>
      </w:rPr>
    </w:lvl>
    <w:lvl w:ilvl="6" w:tplc="04090001">
      <w:start w:val="1"/>
      <w:numFmt w:val="bullet"/>
      <w:lvlText w:val=""/>
      <w:lvlJc w:val="left"/>
      <w:pPr>
        <w:ind w:left="5850" w:hanging="360"/>
      </w:pPr>
      <w:rPr>
        <w:rFonts w:ascii="Symbol" w:hAnsi="Symbol" w:hint="default"/>
      </w:rPr>
    </w:lvl>
    <w:lvl w:ilvl="7" w:tplc="04090003">
      <w:start w:val="1"/>
      <w:numFmt w:val="bullet"/>
      <w:lvlText w:val="o"/>
      <w:lvlJc w:val="left"/>
      <w:pPr>
        <w:ind w:left="6570" w:hanging="360"/>
      </w:pPr>
      <w:rPr>
        <w:rFonts w:ascii="Courier New" w:hAnsi="Courier New" w:cs="Courier New" w:hint="default"/>
      </w:rPr>
    </w:lvl>
    <w:lvl w:ilvl="8" w:tplc="04090005">
      <w:start w:val="1"/>
      <w:numFmt w:val="bullet"/>
      <w:lvlText w:val=""/>
      <w:lvlJc w:val="left"/>
      <w:pPr>
        <w:ind w:left="7290" w:hanging="360"/>
      </w:pPr>
      <w:rPr>
        <w:rFonts w:ascii="Wingdings" w:hAnsi="Wingdings" w:hint="default"/>
      </w:rPr>
    </w:lvl>
  </w:abstractNum>
  <w:abstractNum w:abstractNumId="8" w15:restartNumberingAfterBreak="0">
    <w:nsid w:val="2BFB6966"/>
    <w:multiLevelType w:val="hybridMultilevel"/>
    <w:tmpl w:val="71E000E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2C724EA4"/>
    <w:multiLevelType w:val="singleLevel"/>
    <w:tmpl w:val="3C005132"/>
    <w:lvl w:ilvl="0">
      <w:start w:val="1"/>
      <w:numFmt w:val="decimal"/>
      <w:lvlText w:val="%1."/>
      <w:lvlJc w:val="left"/>
      <w:pPr>
        <w:tabs>
          <w:tab w:val="num" w:pos="360"/>
        </w:tabs>
        <w:ind w:left="360" w:hanging="360"/>
      </w:pPr>
      <w:rPr>
        <w:b w:val="0"/>
      </w:rPr>
    </w:lvl>
  </w:abstractNum>
  <w:abstractNum w:abstractNumId="10" w15:restartNumberingAfterBreak="0">
    <w:nsid w:val="3C720FCC"/>
    <w:multiLevelType w:val="hybridMultilevel"/>
    <w:tmpl w:val="19A2CFF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65E4926"/>
    <w:multiLevelType w:val="hybridMultilevel"/>
    <w:tmpl w:val="FB3A83E6"/>
    <w:lvl w:ilvl="0" w:tplc="0409000F">
      <w:start w:val="1"/>
      <w:numFmt w:val="decimal"/>
      <w:lvlText w:val="%1."/>
      <w:lvlJc w:val="left"/>
      <w:pPr>
        <w:tabs>
          <w:tab w:val="num" w:pos="810"/>
        </w:tabs>
        <w:ind w:left="810" w:hanging="360"/>
      </w:pPr>
    </w:lvl>
    <w:lvl w:ilvl="1" w:tplc="04090019" w:tentative="1">
      <w:start w:val="1"/>
      <w:numFmt w:val="lowerLetter"/>
      <w:lvlText w:val="%2."/>
      <w:lvlJc w:val="left"/>
      <w:pPr>
        <w:tabs>
          <w:tab w:val="num" w:pos="1530"/>
        </w:tabs>
        <w:ind w:left="1530" w:hanging="360"/>
      </w:pPr>
    </w:lvl>
    <w:lvl w:ilvl="2" w:tplc="0409001B" w:tentative="1">
      <w:start w:val="1"/>
      <w:numFmt w:val="lowerRoman"/>
      <w:lvlText w:val="%3."/>
      <w:lvlJc w:val="right"/>
      <w:pPr>
        <w:tabs>
          <w:tab w:val="num" w:pos="2250"/>
        </w:tabs>
        <w:ind w:left="2250" w:hanging="180"/>
      </w:pPr>
    </w:lvl>
    <w:lvl w:ilvl="3" w:tplc="0409000F" w:tentative="1">
      <w:start w:val="1"/>
      <w:numFmt w:val="decimal"/>
      <w:lvlText w:val="%4."/>
      <w:lvlJc w:val="left"/>
      <w:pPr>
        <w:tabs>
          <w:tab w:val="num" w:pos="2970"/>
        </w:tabs>
        <w:ind w:left="2970" w:hanging="360"/>
      </w:pPr>
    </w:lvl>
    <w:lvl w:ilvl="4" w:tplc="04090019" w:tentative="1">
      <w:start w:val="1"/>
      <w:numFmt w:val="lowerLetter"/>
      <w:lvlText w:val="%5."/>
      <w:lvlJc w:val="left"/>
      <w:pPr>
        <w:tabs>
          <w:tab w:val="num" w:pos="3690"/>
        </w:tabs>
        <w:ind w:left="3690" w:hanging="360"/>
      </w:pPr>
    </w:lvl>
    <w:lvl w:ilvl="5" w:tplc="0409001B" w:tentative="1">
      <w:start w:val="1"/>
      <w:numFmt w:val="lowerRoman"/>
      <w:lvlText w:val="%6."/>
      <w:lvlJc w:val="right"/>
      <w:pPr>
        <w:tabs>
          <w:tab w:val="num" w:pos="4410"/>
        </w:tabs>
        <w:ind w:left="4410" w:hanging="180"/>
      </w:pPr>
    </w:lvl>
    <w:lvl w:ilvl="6" w:tplc="0409000F" w:tentative="1">
      <w:start w:val="1"/>
      <w:numFmt w:val="decimal"/>
      <w:lvlText w:val="%7."/>
      <w:lvlJc w:val="left"/>
      <w:pPr>
        <w:tabs>
          <w:tab w:val="num" w:pos="5130"/>
        </w:tabs>
        <w:ind w:left="5130" w:hanging="360"/>
      </w:pPr>
    </w:lvl>
    <w:lvl w:ilvl="7" w:tplc="04090019" w:tentative="1">
      <w:start w:val="1"/>
      <w:numFmt w:val="lowerLetter"/>
      <w:lvlText w:val="%8."/>
      <w:lvlJc w:val="left"/>
      <w:pPr>
        <w:tabs>
          <w:tab w:val="num" w:pos="5850"/>
        </w:tabs>
        <w:ind w:left="5850" w:hanging="360"/>
      </w:pPr>
    </w:lvl>
    <w:lvl w:ilvl="8" w:tplc="0409001B" w:tentative="1">
      <w:start w:val="1"/>
      <w:numFmt w:val="lowerRoman"/>
      <w:lvlText w:val="%9."/>
      <w:lvlJc w:val="right"/>
      <w:pPr>
        <w:tabs>
          <w:tab w:val="num" w:pos="6570"/>
        </w:tabs>
        <w:ind w:left="6570" w:hanging="180"/>
      </w:pPr>
    </w:lvl>
  </w:abstractNum>
  <w:abstractNum w:abstractNumId="12" w15:restartNumberingAfterBreak="0">
    <w:nsid w:val="4CF4704B"/>
    <w:multiLevelType w:val="hybridMultilevel"/>
    <w:tmpl w:val="028882BA"/>
    <w:lvl w:ilvl="0" w:tplc="0409000F">
      <w:start w:val="1"/>
      <w:numFmt w:val="decimal"/>
      <w:lvlText w:val="%1."/>
      <w:lvlJc w:val="left"/>
      <w:pPr>
        <w:tabs>
          <w:tab w:val="num" w:pos="810"/>
        </w:tabs>
        <w:ind w:left="810" w:hanging="360"/>
      </w:pPr>
      <w:rPr>
        <w:rFonts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15:restartNumberingAfterBreak="0">
    <w:nsid w:val="5A424E7B"/>
    <w:multiLevelType w:val="hybridMultilevel"/>
    <w:tmpl w:val="053E5E2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5F6697A"/>
    <w:multiLevelType w:val="hybridMultilevel"/>
    <w:tmpl w:val="88826B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B0D7D05"/>
    <w:multiLevelType w:val="singleLevel"/>
    <w:tmpl w:val="0409000F"/>
    <w:lvl w:ilvl="0">
      <w:start w:val="1"/>
      <w:numFmt w:val="decimal"/>
      <w:lvlText w:val="%1."/>
      <w:lvlJc w:val="left"/>
      <w:pPr>
        <w:tabs>
          <w:tab w:val="num" w:pos="360"/>
        </w:tabs>
        <w:ind w:left="360" w:hanging="360"/>
      </w:pPr>
    </w:lvl>
  </w:abstractNum>
  <w:num w:numId="1" w16cid:durableId="991178742">
    <w:abstractNumId w:val="13"/>
  </w:num>
  <w:num w:numId="2" w16cid:durableId="458569042">
    <w:abstractNumId w:val="5"/>
  </w:num>
  <w:num w:numId="3" w16cid:durableId="1043755076">
    <w:abstractNumId w:val="0"/>
  </w:num>
  <w:num w:numId="4" w16cid:durableId="1056004945">
    <w:abstractNumId w:val="1"/>
  </w:num>
  <w:num w:numId="5" w16cid:durableId="1992588598">
    <w:abstractNumId w:val="2"/>
  </w:num>
  <w:num w:numId="6" w16cid:durableId="1625429711">
    <w:abstractNumId w:val="15"/>
  </w:num>
  <w:num w:numId="7" w16cid:durableId="622155248">
    <w:abstractNumId w:val="4"/>
  </w:num>
  <w:num w:numId="8" w16cid:durableId="809591478">
    <w:abstractNumId w:val="9"/>
    <w:lvlOverride w:ilvl="0">
      <w:startOverride w:val="1"/>
    </w:lvlOverride>
  </w:num>
  <w:num w:numId="9" w16cid:durableId="896479338">
    <w:abstractNumId w:val="3"/>
  </w:num>
  <w:num w:numId="10" w16cid:durableId="521012721">
    <w:abstractNumId w:val="12"/>
  </w:num>
  <w:num w:numId="11" w16cid:durableId="473259723">
    <w:abstractNumId w:val="10"/>
  </w:num>
  <w:num w:numId="12" w16cid:durableId="1614171853">
    <w:abstractNumId w:val="6"/>
  </w:num>
  <w:num w:numId="13" w16cid:durableId="1650359896">
    <w:abstractNumId w:val="7"/>
  </w:num>
  <w:num w:numId="14" w16cid:durableId="125266809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9709051">
    <w:abstractNumId w:val="7"/>
  </w:num>
  <w:num w:numId="16" w16cid:durableId="397559144">
    <w:abstractNumId w:val="8"/>
  </w:num>
  <w:num w:numId="17" w16cid:durableId="1734158847">
    <w:abstractNumId w:val="11"/>
  </w:num>
  <w:num w:numId="18" w16cid:durableId="168447290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activeWritingStyle w:appName="MSWord" w:lang="es-ES_tradnl" w:vendorID="64" w:dllVersion="6" w:nlCheck="1" w:checkStyle="1"/>
  <w:activeWritingStyle w:appName="MSWord" w:lang="en-US" w:vendorID="64" w:dllVersion="6" w:nlCheck="1" w:checkStyle="1"/>
  <w:activeWritingStyle w:appName="MSWord" w:lang="fr-FR" w:vendorID="64" w:dllVersion="6" w:nlCheck="1" w:checkStyle="1"/>
  <w:activeWritingStyle w:appName="MSWord" w:lang="en-US" w:vendorID="64" w:dllVersion="0" w:nlCheck="1" w:checkStyle="0"/>
  <w:activeWritingStyle w:appName="MSWord" w:lang="es-ES_tradnl" w:vendorID="64" w:dllVersion="0" w:nlCheck="1" w:checkStyle="0"/>
  <w:activeWritingStyle w:appName="MSWord" w:lang="fr-FR"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1D28"/>
    <w:rsid w:val="0000042E"/>
    <w:rsid w:val="00000E89"/>
    <w:rsid w:val="00001480"/>
    <w:rsid w:val="00001732"/>
    <w:rsid w:val="00001CFE"/>
    <w:rsid w:val="000033CF"/>
    <w:rsid w:val="00004113"/>
    <w:rsid w:val="00004127"/>
    <w:rsid w:val="000046C5"/>
    <w:rsid w:val="000049A0"/>
    <w:rsid w:val="00004F2F"/>
    <w:rsid w:val="0000678A"/>
    <w:rsid w:val="0001009D"/>
    <w:rsid w:val="000104C7"/>
    <w:rsid w:val="000111CF"/>
    <w:rsid w:val="0001143D"/>
    <w:rsid w:val="000154A4"/>
    <w:rsid w:val="00015A7F"/>
    <w:rsid w:val="00015B17"/>
    <w:rsid w:val="0001657D"/>
    <w:rsid w:val="00017100"/>
    <w:rsid w:val="000174D2"/>
    <w:rsid w:val="000179FF"/>
    <w:rsid w:val="0002076D"/>
    <w:rsid w:val="000211C6"/>
    <w:rsid w:val="00021733"/>
    <w:rsid w:val="00021967"/>
    <w:rsid w:val="00022C36"/>
    <w:rsid w:val="00025F10"/>
    <w:rsid w:val="000261B0"/>
    <w:rsid w:val="0002652E"/>
    <w:rsid w:val="00027038"/>
    <w:rsid w:val="0002732C"/>
    <w:rsid w:val="000273FE"/>
    <w:rsid w:val="00027D14"/>
    <w:rsid w:val="00027F0A"/>
    <w:rsid w:val="000301BF"/>
    <w:rsid w:val="000306A4"/>
    <w:rsid w:val="0003175F"/>
    <w:rsid w:val="00032740"/>
    <w:rsid w:val="00032F9F"/>
    <w:rsid w:val="00033925"/>
    <w:rsid w:val="00033C02"/>
    <w:rsid w:val="00036B9A"/>
    <w:rsid w:val="00036C56"/>
    <w:rsid w:val="000400B7"/>
    <w:rsid w:val="000404B1"/>
    <w:rsid w:val="00042D58"/>
    <w:rsid w:val="000434CE"/>
    <w:rsid w:val="00044BEF"/>
    <w:rsid w:val="000454A8"/>
    <w:rsid w:val="00045CB5"/>
    <w:rsid w:val="00045E4C"/>
    <w:rsid w:val="00047280"/>
    <w:rsid w:val="00047334"/>
    <w:rsid w:val="00047C2E"/>
    <w:rsid w:val="00047F23"/>
    <w:rsid w:val="00051169"/>
    <w:rsid w:val="00053582"/>
    <w:rsid w:val="00054314"/>
    <w:rsid w:val="00054CCA"/>
    <w:rsid w:val="00055431"/>
    <w:rsid w:val="00056615"/>
    <w:rsid w:val="000569E8"/>
    <w:rsid w:val="000573AA"/>
    <w:rsid w:val="00057DFC"/>
    <w:rsid w:val="00061339"/>
    <w:rsid w:val="00061668"/>
    <w:rsid w:val="00061F4B"/>
    <w:rsid w:val="00062844"/>
    <w:rsid w:val="00063E8D"/>
    <w:rsid w:val="00064911"/>
    <w:rsid w:val="0006536C"/>
    <w:rsid w:val="00065B6E"/>
    <w:rsid w:val="00066174"/>
    <w:rsid w:val="00067B5C"/>
    <w:rsid w:val="00067E7B"/>
    <w:rsid w:val="0007033E"/>
    <w:rsid w:val="00070DE0"/>
    <w:rsid w:val="000712E7"/>
    <w:rsid w:val="00071940"/>
    <w:rsid w:val="00072187"/>
    <w:rsid w:val="000726FF"/>
    <w:rsid w:val="00073258"/>
    <w:rsid w:val="00073C05"/>
    <w:rsid w:val="00074506"/>
    <w:rsid w:val="00074AF8"/>
    <w:rsid w:val="0007534C"/>
    <w:rsid w:val="00075900"/>
    <w:rsid w:val="00075EFC"/>
    <w:rsid w:val="00076403"/>
    <w:rsid w:val="00076AA1"/>
    <w:rsid w:val="00076EEC"/>
    <w:rsid w:val="00077D0C"/>
    <w:rsid w:val="00080278"/>
    <w:rsid w:val="000803C2"/>
    <w:rsid w:val="00080A67"/>
    <w:rsid w:val="00080C3F"/>
    <w:rsid w:val="00080EC6"/>
    <w:rsid w:val="00083675"/>
    <w:rsid w:val="000848A4"/>
    <w:rsid w:val="00084F96"/>
    <w:rsid w:val="00084FD7"/>
    <w:rsid w:val="000867B7"/>
    <w:rsid w:val="00086E7F"/>
    <w:rsid w:val="00086EF3"/>
    <w:rsid w:val="000879E9"/>
    <w:rsid w:val="00090140"/>
    <w:rsid w:val="000901B1"/>
    <w:rsid w:val="0009150C"/>
    <w:rsid w:val="00091DCC"/>
    <w:rsid w:val="0009393C"/>
    <w:rsid w:val="00094468"/>
    <w:rsid w:val="00097217"/>
    <w:rsid w:val="00097D2E"/>
    <w:rsid w:val="000A3596"/>
    <w:rsid w:val="000A5A78"/>
    <w:rsid w:val="000A5C90"/>
    <w:rsid w:val="000A7194"/>
    <w:rsid w:val="000A72C8"/>
    <w:rsid w:val="000B0A1A"/>
    <w:rsid w:val="000B1D33"/>
    <w:rsid w:val="000B2C7A"/>
    <w:rsid w:val="000B355E"/>
    <w:rsid w:val="000B3620"/>
    <w:rsid w:val="000B4A47"/>
    <w:rsid w:val="000B4D69"/>
    <w:rsid w:val="000B522E"/>
    <w:rsid w:val="000B6815"/>
    <w:rsid w:val="000C07AE"/>
    <w:rsid w:val="000C0F97"/>
    <w:rsid w:val="000C4B4F"/>
    <w:rsid w:val="000C5254"/>
    <w:rsid w:val="000C6974"/>
    <w:rsid w:val="000C71AB"/>
    <w:rsid w:val="000D088E"/>
    <w:rsid w:val="000D0E3F"/>
    <w:rsid w:val="000D100B"/>
    <w:rsid w:val="000D15E4"/>
    <w:rsid w:val="000D341B"/>
    <w:rsid w:val="000D4122"/>
    <w:rsid w:val="000D63E0"/>
    <w:rsid w:val="000D7721"/>
    <w:rsid w:val="000D772B"/>
    <w:rsid w:val="000E0165"/>
    <w:rsid w:val="000E021B"/>
    <w:rsid w:val="000E1909"/>
    <w:rsid w:val="000E4040"/>
    <w:rsid w:val="000E40B1"/>
    <w:rsid w:val="000E4270"/>
    <w:rsid w:val="000E4468"/>
    <w:rsid w:val="000E4CF5"/>
    <w:rsid w:val="000E5985"/>
    <w:rsid w:val="000E6B9C"/>
    <w:rsid w:val="000E6D73"/>
    <w:rsid w:val="000E7286"/>
    <w:rsid w:val="000E7369"/>
    <w:rsid w:val="000E76F8"/>
    <w:rsid w:val="000F0096"/>
    <w:rsid w:val="000F057A"/>
    <w:rsid w:val="000F1519"/>
    <w:rsid w:val="000F2D88"/>
    <w:rsid w:val="000F3495"/>
    <w:rsid w:val="000F3813"/>
    <w:rsid w:val="000F60BC"/>
    <w:rsid w:val="000F61B5"/>
    <w:rsid w:val="000F6546"/>
    <w:rsid w:val="000F6E3D"/>
    <w:rsid w:val="000F7221"/>
    <w:rsid w:val="00100BCD"/>
    <w:rsid w:val="001014F4"/>
    <w:rsid w:val="0010331A"/>
    <w:rsid w:val="00103951"/>
    <w:rsid w:val="00103CA2"/>
    <w:rsid w:val="001046B0"/>
    <w:rsid w:val="0010500D"/>
    <w:rsid w:val="001070E7"/>
    <w:rsid w:val="001075FE"/>
    <w:rsid w:val="00107C8D"/>
    <w:rsid w:val="00107D59"/>
    <w:rsid w:val="00107FB2"/>
    <w:rsid w:val="00110CCA"/>
    <w:rsid w:val="001129B8"/>
    <w:rsid w:val="00113141"/>
    <w:rsid w:val="00113B75"/>
    <w:rsid w:val="00114F3A"/>
    <w:rsid w:val="00115DD1"/>
    <w:rsid w:val="00116014"/>
    <w:rsid w:val="001165B5"/>
    <w:rsid w:val="001171FB"/>
    <w:rsid w:val="001205B6"/>
    <w:rsid w:val="00120CB4"/>
    <w:rsid w:val="001219C0"/>
    <w:rsid w:val="00122B9B"/>
    <w:rsid w:val="00122D61"/>
    <w:rsid w:val="001237AA"/>
    <w:rsid w:val="00130F31"/>
    <w:rsid w:val="00132AD2"/>
    <w:rsid w:val="00132AE3"/>
    <w:rsid w:val="00132B8E"/>
    <w:rsid w:val="00132FD5"/>
    <w:rsid w:val="001333DE"/>
    <w:rsid w:val="001335FA"/>
    <w:rsid w:val="001368A1"/>
    <w:rsid w:val="001408F1"/>
    <w:rsid w:val="00140CC1"/>
    <w:rsid w:val="00140E9E"/>
    <w:rsid w:val="00141B31"/>
    <w:rsid w:val="0014342F"/>
    <w:rsid w:val="00144BC3"/>
    <w:rsid w:val="00144CC3"/>
    <w:rsid w:val="00145A0F"/>
    <w:rsid w:val="0014691E"/>
    <w:rsid w:val="00146BC0"/>
    <w:rsid w:val="001506D5"/>
    <w:rsid w:val="00150B37"/>
    <w:rsid w:val="00151E63"/>
    <w:rsid w:val="00151FC8"/>
    <w:rsid w:val="0015284B"/>
    <w:rsid w:val="00152EF7"/>
    <w:rsid w:val="0015317A"/>
    <w:rsid w:val="00153544"/>
    <w:rsid w:val="00154C86"/>
    <w:rsid w:val="0016015C"/>
    <w:rsid w:val="00160176"/>
    <w:rsid w:val="00160552"/>
    <w:rsid w:val="001605A2"/>
    <w:rsid w:val="00160708"/>
    <w:rsid w:val="00161071"/>
    <w:rsid w:val="0016108E"/>
    <w:rsid w:val="001617D0"/>
    <w:rsid w:val="00161E9A"/>
    <w:rsid w:val="001638BB"/>
    <w:rsid w:val="00163A91"/>
    <w:rsid w:val="00163FC9"/>
    <w:rsid w:val="00164766"/>
    <w:rsid w:val="00165A70"/>
    <w:rsid w:val="00166C90"/>
    <w:rsid w:val="001674F2"/>
    <w:rsid w:val="00170B8F"/>
    <w:rsid w:val="001710FD"/>
    <w:rsid w:val="001719E5"/>
    <w:rsid w:val="00172C8D"/>
    <w:rsid w:val="00172EF5"/>
    <w:rsid w:val="00172FC8"/>
    <w:rsid w:val="00174A5C"/>
    <w:rsid w:val="001750A0"/>
    <w:rsid w:val="00175701"/>
    <w:rsid w:val="00177879"/>
    <w:rsid w:val="001802C4"/>
    <w:rsid w:val="001804B3"/>
    <w:rsid w:val="001809D8"/>
    <w:rsid w:val="0018324A"/>
    <w:rsid w:val="00183703"/>
    <w:rsid w:val="001846C9"/>
    <w:rsid w:val="00184D9B"/>
    <w:rsid w:val="001868D4"/>
    <w:rsid w:val="001870F3"/>
    <w:rsid w:val="00187563"/>
    <w:rsid w:val="00187D28"/>
    <w:rsid w:val="00190450"/>
    <w:rsid w:val="0019089B"/>
    <w:rsid w:val="00190A3A"/>
    <w:rsid w:val="001914B4"/>
    <w:rsid w:val="00191C07"/>
    <w:rsid w:val="00192D91"/>
    <w:rsid w:val="00194854"/>
    <w:rsid w:val="00194AF6"/>
    <w:rsid w:val="001957D4"/>
    <w:rsid w:val="00196E17"/>
    <w:rsid w:val="0019711B"/>
    <w:rsid w:val="00197C91"/>
    <w:rsid w:val="001A0912"/>
    <w:rsid w:val="001A0AED"/>
    <w:rsid w:val="001A4E3C"/>
    <w:rsid w:val="001A5914"/>
    <w:rsid w:val="001A5A7F"/>
    <w:rsid w:val="001A665E"/>
    <w:rsid w:val="001A75D5"/>
    <w:rsid w:val="001A794E"/>
    <w:rsid w:val="001A7B88"/>
    <w:rsid w:val="001A7ECE"/>
    <w:rsid w:val="001A7FF8"/>
    <w:rsid w:val="001B03EA"/>
    <w:rsid w:val="001B068D"/>
    <w:rsid w:val="001B1BD6"/>
    <w:rsid w:val="001B44F9"/>
    <w:rsid w:val="001B7E33"/>
    <w:rsid w:val="001B7EE8"/>
    <w:rsid w:val="001C022F"/>
    <w:rsid w:val="001C0487"/>
    <w:rsid w:val="001C04D2"/>
    <w:rsid w:val="001C1247"/>
    <w:rsid w:val="001C3D23"/>
    <w:rsid w:val="001C4B45"/>
    <w:rsid w:val="001C4EA7"/>
    <w:rsid w:val="001C5543"/>
    <w:rsid w:val="001C560B"/>
    <w:rsid w:val="001C591E"/>
    <w:rsid w:val="001C5CA6"/>
    <w:rsid w:val="001C6364"/>
    <w:rsid w:val="001C6579"/>
    <w:rsid w:val="001C72C9"/>
    <w:rsid w:val="001C767D"/>
    <w:rsid w:val="001C7C73"/>
    <w:rsid w:val="001D0AB5"/>
    <w:rsid w:val="001D1192"/>
    <w:rsid w:val="001D1FA2"/>
    <w:rsid w:val="001D25E1"/>
    <w:rsid w:val="001D2A15"/>
    <w:rsid w:val="001D35B0"/>
    <w:rsid w:val="001D460B"/>
    <w:rsid w:val="001D7AE5"/>
    <w:rsid w:val="001E2723"/>
    <w:rsid w:val="001E2CE8"/>
    <w:rsid w:val="001E389F"/>
    <w:rsid w:val="001E3B3E"/>
    <w:rsid w:val="001E445C"/>
    <w:rsid w:val="001E4CA1"/>
    <w:rsid w:val="001E4E3A"/>
    <w:rsid w:val="001E5630"/>
    <w:rsid w:val="001E6383"/>
    <w:rsid w:val="001E68D0"/>
    <w:rsid w:val="001F0C95"/>
    <w:rsid w:val="001F0E53"/>
    <w:rsid w:val="001F12AA"/>
    <w:rsid w:val="001F1D81"/>
    <w:rsid w:val="001F3530"/>
    <w:rsid w:val="001F3DF0"/>
    <w:rsid w:val="001F4A45"/>
    <w:rsid w:val="001F5C58"/>
    <w:rsid w:val="001F6044"/>
    <w:rsid w:val="001F610A"/>
    <w:rsid w:val="001F68B4"/>
    <w:rsid w:val="00200049"/>
    <w:rsid w:val="002001E0"/>
    <w:rsid w:val="00200416"/>
    <w:rsid w:val="002006B3"/>
    <w:rsid w:val="00202F30"/>
    <w:rsid w:val="002038E9"/>
    <w:rsid w:val="00203D09"/>
    <w:rsid w:val="00203D14"/>
    <w:rsid w:val="00204754"/>
    <w:rsid w:val="002072BA"/>
    <w:rsid w:val="00207BC7"/>
    <w:rsid w:val="002101B6"/>
    <w:rsid w:val="00210334"/>
    <w:rsid w:val="00210476"/>
    <w:rsid w:val="00210B5D"/>
    <w:rsid w:val="00210D2A"/>
    <w:rsid w:val="00211E48"/>
    <w:rsid w:val="00212EDA"/>
    <w:rsid w:val="00212F7F"/>
    <w:rsid w:val="00213199"/>
    <w:rsid w:val="002154E3"/>
    <w:rsid w:val="002164F8"/>
    <w:rsid w:val="002173E9"/>
    <w:rsid w:val="002220BB"/>
    <w:rsid w:val="002228AC"/>
    <w:rsid w:val="00223340"/>
    <w:rsid w:val="00223F76"/>
    <w:rsid w:val="00224E09"/>
    <w:rsid w:val="002269B1"/>
    <w:rsid w:val="00226B4B"/>
    <w:rsid w:val="00231264"/>
    <w:rsid w:val="00231533"/>
    <w:rsid w:val="002315CE"/>
    <w:rsid w:val="002318D2"/>
    <w:rsid w:val="00232180"/>
    <w:rsid w:val="0023330C"/>
    <w:rsid w:val="002333DB"/>
    <w:rsid w:val="00233402"/>
    <w:rsid w:val="0023380E"/>
    <w:rsid w:val="0023584D"/>
    <w:rsid w:val="00235E94"/>
    <w:rsid w:val="00236C4D"/>
    <w:rsid w:val="00237F79"/>
    <w:rsid w:val="00240FD8"/>
    <w:rsid w:val="00241494"/>
    <w:rsid w:val="00241DA3"/>
    <w:rsid w:val="00241E77"/>
    <w:rsid w:val="00242A00"/>
    <w:rsid w:val="00242BF1"/>
    <w:rsid w:val="00242D33"/>
    <w:rsid w:val="00242EE8"/>
    <w:rsid w:val="00243560"/>
    <w:rsid w:val="00243D49"/>
    <w:rsid w:val="0024413A"/>
    <w:rsid w:val="0024473B"/>
    <w:rsid w:val="00244AED"/>
    <w:rsid w:val="002450E3"/>
    <w:rsid w:val="00245A3F"/>
    <w:rsid w:val="002462DE"/>
    <w:rsid w:val="00246A8C"/>
    <w:rsid w:val="00247398"/>
    <w:rsid w:val="002473F4"/>
    <w:rsid w:val="0024740A"/>
    <w:rsid w:val="002535ED"/>
    <w:rsid w:val="0025380D"/>
    <w:rsid w:val="00255C59"/>
    <w:rsid w:val="00255EB2"/>
    <w:rsid w:val="00256FE3"/>
    <w:rsid w:val="00260136"/>
    <w:rsid w:val="00260BC7"/>
    <w:rsid w:val="002614F7"/>
    <w:rsid w:val="002615CE"/>
    <w:rsid w:val="00261BD7"/>
    <w:rsid w:val="0026376C"/>
    <w:rsid w:val="00264A08"/>
    <w:rsid w:val="00265C8D"/>
    <w:rsid w:val="00266F9D"/>
    <w:rsid w:val="00266FEF"/>
    <w:rsid w:val="00267266"/>
    <w:rsid w:val="00267A43"/>
    <w:rsid w:val="00267FBA"/>
    <w:rsid w:val="0027066B"/>
    <w:rsid w:val="00271D60"/>
    <w:rsid w:val="002725E8"/>
    <w:rsid w:val="00273634"/>
    <w:rsid w:val="00273BC0"/>
    <w:rsid w:val="00274F91"/>
    <w:rsid w:val="00274F95"/>
    <w:rsid w:val="002760FD"/>
    <w:rsid w:val="00276DBA"/>
    <w:rsid w:val="00277AA1"/>
    <w:rsid w:val="00277B3D"/>
    <w:rsid w:val="00277C1E"/>
    <w:rsid w:val="00277F79"/>
    <w:rsid w:val="00280024"/>
    <w:rsid w:val="00280FA2"/>
    <w:rsid w:val="002825B0"/>
    <w:rsid w:val="0028270A"/>
    <w:rsid w:val="00282C1A"/>
    <w:rsid w:val="00284128"/>
    <w:rsid w:val="00284869"/>
    <w:rsid w:val="00284931"/>
    <w:rsid w:val="00284C84"/>
    <w:rsid w:val="0028524A"/>
    <w:rsid w:val="002861B0"/>
    <w:rsid w:val="00286A4E"/>
    <w:rsid w:val="002877A4"/>
    <w:rsid w:val="0028789F"/>
    <w:rsid w:val="00287A1E"/>
    <w:rsid w:val="00287F81"/>
    <w:rsid w:val="00290E3D"/>
    <w:rsid w:val="00291149"/>
    <w:rsid w:val="00291262"/>
    <w:rsid w:val="00291854"/>
    <w:rsid w:val="0029220C"/>
    <w:rsid w:val="00292489"/>
    <w:rsid w:val="00292765"/>
    <w:rsid w:val="002938F1"/>
    <w:rsid w:val="002940CA"/>
    <w:rsid w:val="002976A9"/>
    <w:rsid w:val="002A0255"/>
    <w:rsid w:val="002A0423"/>
    <w:rsid w:val="002A0861"/>
    <w:rsid w:val="002A08B5"/>
    <w:rsid w:val="002A14AE"/>
    <w:rsid w:val="002A1C2A"/>
    <w:rsid w:val="002A1C2F"/>
    <w:rsid w:val="002A2704"/>
    <w:rsid w:val="002A2B12"/>
    <w:rsid w:val="002A2E0B"/>
    <w:rsid w:val="002A2F80"/>
    <w:rsid w:val="002A32D0"/>
    <w:rsid w:val="002A4384"/>
    <w:rsid w:val="002A4D44"/>
    <w:rsid w:val="002A5E8C"/>
    <w:rsid w:val="002A67AD"/>
    <w:rsid w:val="002A6D26"/>
    <w:rsid w:val="002A6FF5"/>
    <w:rsid w:val="002A7C14"/>
    <w:rsid w:val="002B07B5"/>
    <w:rsid w:val="002B0ABF"/>
    <w:rsid w:val="002B0B3D"/>
    <w:rsid w:val="002B17AC"/>
    <w:rsid w:val="002B1AB6"/>
    <w:rsid w:val="002B232E"/>
    <w:rsid w:val="002B3C04"/>
    <w:rsid w:val="002B4916"/>
    <w:rsid w:val="002B5F15"/>
    <w:rsid w:val="002C11BC"/>
    <w:rsid w:val="002C25E4"/>
    <w:rsid w:val="002C3195"/>
    <w:rsid w:val="002C3F05"/>
    <w:rsid w:val="002C41DB"/>
    <w:rsid w:val="002C42C0"/>
    <w:rsid w:val="002C47E5"/>
    <w:rsid w:val="002C48DF"/>
    <w:rsid w:val="002C49CE"/>
    <w:rsid w:val="002C4CA9"/>
    <w:rsid w:val="002C5F13"/>
    <w:rsid w:val="002D05E8"/>
    <w:rsid w:val="002D10D5"/>
    <w:rsid w:val="002D1B71"/>
    <w:rsid w:val="002D1BA5"/>
    <w:rsid w:val="002D2CCA"/>
    <w:rsid w:val="002D3EBE"/>
    <w:rsid w:val="002D44B6"/>
    <w:rsid w:val="002D4B41"/>
    <w:rsid w:val="002D4EA2"/>
    <w:rsid w:val="002D5326"/>
    <w:rsid w:val="002D6BB5"/>
    <w:rsid w:val="002D7A7C"/>
    <w:rsid w:val="002E0867"/>
    <w:rsid w:val="002E28C7"/>
    <w:rsid w:val="002E32F1"/>
    <w:rsid w:val="002E3625"/>
    <w:rsid w:val="002E46E4"/>
    <w:rsid w:val="002E4EE1"/>
    <w:rsid w:val="002E57BB"/>
    <w:rsid w:val="002E5F49"/>
    <w:rsid w:val="002E5FF4"/>
    <w:rsid w:val="002E5FF9"/>
    <w:rsid w:val="002E6976"/>
    <w:rsid w:val="002E6C46"/>
    <w:rsid w:val="002E6CF3"/>
    <w:rsid w:val="002E6CF6"/>
    <w:rsid w:val="002E76A0"/>
    <w:rsid w:val="002F0567"/>
    <w:rsid w:val="002F3A33"/>
    <w:rsid w:val="002F3D62"/>
    <w:rsid w:val="002F3E50"/>
    <w:rsid w:val="002F4E7D"/>
    <w:rsid w:val="002F5904"/>
    <w:rsid w:val="002F5E0E"/>
    <w:rsid w:val="002F67D7"/>
    <w:rsid w:val="002F6806"/>
    <w:rsid w:val="003007B8"/>
    <w:rsid w:val="003010BB"/>
    <w:rsid w:val="00301432"/>
    <w:rsid w:val="003018C0"/>
    <w:rsid w:val="00303212"/>
    <w:rsid w:val="0030416F"/>
    <w:rsid w:val="003043A0"/>
    <w:rsid w:val="00304737"/>
    <w:rsid w:val="003047FD"/>
    <w:rsid w:val="00305599"/>
    <w:rsid w:val="00307FF8"/>
    <w:rsid w:val="0031114A"/>
    <w:rsid w:val="00311243"/>
    <w:rsid w:val="00313A29"/>
    <w:rsid w:val="00313E15"/>
    <w:rsid w:val="00315CA5"/>
    <w:rsid w:val="00315D4C"/>
    <w:rsid w:val="00316C84"/>
    <w:rsid w:val="00317893"/>
    <w:rsid w:val="00317CA5"/>
    <w:rsid w:val="0032016C"/>
    <w:rsid w:val="003201E0"/>
    <w:rsid w:val="00320688"/>
    <w:rsid w:val="00320CF9"/>
    <w:rsid w:val="00320FAA"/>
    <w:rsid w:val="003228EB"/>
    <w:rsid w:val="00322BC7"/>
    <w:rsid w:val="00323722"/>
    <w:rsid w:val="003238B5"/>
    <w:rsid w:val="003276F6"/>
    <w:rsid w:val="00327819"/>
    <w:rsid w:val="00327B65"/>
    <w:rsid w:val="00332B98"/>
    <w:rsid w:val="00332C7B"/>
    <w:rsid w:val="00334D61"/>
    <w:rsid w:val="00335538"/>
    <w:rsid w:val="003368F5"/>
    <w:rsid w:val="00337594"/>
    <w:rsid w:val="003402B4"/>
    <w:rsid w:val="00340714"/>
    <w:rsid w:val="0034220D"/>
    <w:rsid w:val="00343394"/>
    <w:rsid w:val="00343DAB"/>
    <w:rsid w:val="00344774"/>
    <w:rsid w:val="00344E1B"/>
    <w:rsid w:val="00346DCF"/>
    <w:rsid w:val="00347D88"/>
    <w:rsid w:val="00347E3C"/>
    <w:rsid w:val="00350433"/>
    <w:rsid w:val="00350516"/>
    <w:rsid w:val="00350AB7"/>
    <w:rsid w:val="00350D7E"/>
    <w:rsid w:val="00352B17"/>
    <w:rsid w:val="0035721F"/>
    <w:rsid w:val="00357DF6"/>
    <w:rsid w:val="0036039B"/>
    <w:rsid w:val="00360D5D"/>
    <w:rsid w:val="0036185B"/>
    <w:rsid w:val="00362584"/>
    <w:rsid w:val="00363294"/>
    <w:rsid w:val="003643E5"/>
    <w:rsid w:val="0036480D"/>
    <w:rsid w:val="00364C63"/>
    <w:rsid w:val="003658DA"/>
    <w:rsid w:val="00366776"/>
    <w:rsid w:val="0036757E"/>
    <w:rsid w:val="003708D4"/>
    <w:rsid w:val="0037138F"/>
    <w:rsid w:val="003720B1"/>
    <w:rsid w:val="003727B6"/>
    <w:rsid w:val="00372DA9"/>
    <w:rsid w:val="00373FB6"/>
    <w:rsid w:val="003753B9"/>
    <w:rsid w:val="00377475"/>
    <w:rsid w:val="003775A3"/>
    <w:rsid w:val="003775DD"/>
    <w:rsid w:val="0038040F"/>
    <w:rsid w:val="0038077F"/>
    <w:rsid w:val="00381F7F"/>
    <w:rsid w:val="0038212A"/>
    <w:rsid w:val="00382A17"/>
    <w:rsid w:val="00382F85"/>
    <w:rsid w:val="003840C6"/>
    <w:rsid w:val="00384E64"/>
    <w:rsid w:val="0038629B"/>
    <w:rsid w:val="003902DE"/>
    <w:rsid w:val="00391184"/>
    <w:rsid w:val="00392704"/>
    <w:rsid w:val="003928EF"/>
    <w:rsid w:val="00392F81"/>
    <w:rsid w:val="00392FF6"/>
    <w:rsid w:val="003934B4"/>
    <w:rsid w:val="00394A31"/>
    <w:rsid w:val="00395F6E"/>
    <w:rsid w:val="00397539"/>
    <w:rsid w:val="003A0513"/>
    <w:rsid w:val="003A080B"/>
    <w:rsid w:val="003A0BF7"/>
    <w:rsid w:val="003A1131"/>
    <w:rsid w:val="003A1D47"/>
    <w:rsid w:val="003A2E3B"/>
    <w:rsid w:val="003A4BEA"/>
    <w:rsid w:val="003A5F77"/>
    <w:rsid w:val="003A6236"/>
    <w:rsid w:val="003A6CDC"/>
    <w:rsid w:val="003A6EEA"/>
    <w:rsid w:val="003A7CDD"/>
    <w:rsid w:val="003B0F3C"/>
    <w:rsid w:val="003B1B72"/>
    <w:rsid w:val="003B1D28"/>
    <w:rsid w:val="003B351E"/>
    <w:rsid w:val="003B3A4C"/>
    <w:rsid w:val="003B3BBE"/>
    <w:rsid w:val="003B4E5C"/>
    <w:rsid w:val="003B54BB"/>
    <w:rsid w:val="003B5E8D"/>
    <w:rsid w:val="003B642E"/>
    <w:rsid w:val="003B6576"/>
    <w:rsid w:val="003B735E"/>
    <w:rsid w:val="003B748E"/>
    <w:rsid w:val="003C0993"/>
    <w:rsid w:val="003C0BD4"/>
    <w:rsid w:val="003C0CC1"/>
    <w:rsid w:val="003C3911"/>
    <w:rsid w:val="003C3972"/>
    <w:rsid w:val="003C3F91"/>
    <w:rsid w:val="003C449D"/>
    <w:rsid w:val="003C45F3"/>
    <w:rsid w:val="003C4616"/>
    <w:rsid w:val="003C4B2D"/>
    <w:rsid w:val="003C5019"/>
    <w:rsid w:val="003C548D"/>
    <w:rsid w:val="003C55FB"/>
    <w:rsid w:val="003C5680"/>
    <w:rsid w:val="003C671B"/>
    <w:rsid w:val="003C6C54"/>
    <w:rsid w:val="003C7250"/>
    <w:rsid w:val="003D1C3D"/>
    <w:rsid w:val="003D3AC0"/>
    <w:rsid w:val="003D474B"/>
    <w:rsid w:val="003D5B67"/>
    <w:rsid w:val="003D5CBA"/>
    <w:rsid w:val="003D6154"/>
    <w:rsid w:val="003D76F8"/>
    <w:rsid w:val="003D79A5"/>
    <w:rsid w:val="003D7A1E"/>
    <w:rsid w:val="003E06C1"/>
    <w:rsid w:val="003E0F31"/>
    <w:rsid w:val="003E1370"/>
    <w:rsid w:val="003E2E37"/>
    <w:rsid w:val="003E4435"/>
    <w:rsid w:val="003E4446"/>
    <w:rsid w:val="003E4AAE"/>
    <w:rsid w:val="003E4CB3"/>
    <w:rsid w:val="003E5B13"/>
    <w:rsid w:val="003E673A"/>
    <w:rsid w:val="003E723D"/>
    <w:rsid w:val="003E7AE5"/>
    <w:rsid w:val="003F04AD"/>
    <w:rsid w:val="003F13EA"/>
    <w:rsid w:val="003F153B"/>
    <w:rsid w:val="003F225D"/>
    <w:rsid w:val="003F23D6"/>
    <w:rsid w:val="003F253B"/>
    <w:rsid w:val="003F2790"/>
    <w:rsid w:val="003F2DE2"/>
    <w:rsid w:val="003F345B"/>
    <w:rsid w:val="003F349F"/>
    <w:rsid w:val="003F3E15"/>
    <w:rsid w:val="003F44E1"/>
    <w:rsid w:val="003F5A0C"/>
    <w:rsid w:val="003F5F02"/>
    <w:rsid w:val="003F5FFC"/>
    <w:rsid w:val="003F6A58"/>
    <w:rsid w:val="003F7C0A"/>
    <w:rsid w:val="003F7C43"/>
    <w:rsid w:val="004005B5"/>
    <w:rsid w:val="00400C2F"/>
    <w:rsid w:val="00400F91"/>
    <w:rsid w:val="00401402"/>
    <w:rsid w:val="00401A0F"/>
    <w:rsid w:val="00401ACD"/>
    <w:rsid w:val="00402BB6"/>
    <w:rsid w:val="00403074"/>
    <w:rsid w:val="00403809"/>
    <w:rsid w:val="00404BF9"/>
    <w:rsid w:val="00404C24"/>
    <w:rsid w:val="0040680B"/>
    <w:rsid w:val="004078A6"/>
    <w:rsid w:val="00407ADB"/>
    <w:rsid w:val="00412504"/>
    <w:rsid w:val="0041295E"/>
    <w:rsid w:val="00412D78"/>
    <w:rsid w:val="00413E30"/>
    <w:rsid w:val="0041576B"/>
    <w:rsid w:val="00415CB4"/>
    <w:rsid w:val="00415F10"/>
    <w:rsid w:val="00417019"/>
    <w:rsid w:val="004171B1"/>
    <w:rsid w:val="004179AD"/>
    <w:rsid w:val="004201E7"/>
    <w:rsid w:val="0042040F"/>
    <w:rsid w:val="00420447"/>
    <w:rsid w:val="004206E4"/>
    <w:rsid w:val="004207DE"/>
    <w:rsid w:val="0042091A"/>
    <w:rsid w:val="00421794"/>
    <w:rsid w:val="0042305F"/>
    <w:rsid w:val="004239F3"/>
    <w:rsid w:val="00423FA7"/>
    <w:rsid w:val="00424BC6"/>
    <w:rsid w:val="004258BD"/>
    <w:rsid w:val="00425D86"/>
    <w:rsid w:val="004263AD"/>
    <w:rsid w:val="00426C06"/>
    <w:rsid w:val="00427188"/>
    <w:rsid w:val="00430F0A"/>
    <w:rsid w:val="00431089"/>
    <w:rsid w:val="00433732"/>
    <w:rsid w:val="00433AB4"/>
    <w:rsid w:val="00433B03"/>
    <w:rsid w:val="00433CE1"/>
    <w:rsid w:val="00434C0D"/>
    <w:rsid w:val="00434CD5"/>
    <w:rsid w:val="0043510A"/>
    <w:rsid w:val="00435595"/>
    <w:rsid w:val="00435C54"/>
    <w:rsid w:val="00435D55"/>
    <w:rsid w:val="00436F83"/>
    <w:rsid w:val="00437E64"/>
    <w:rsid w:val="00441327"/>
    <w:rsid w:val="00441BD9"/>
    <w:rsid w:val="00442966"/>
    <w:rsid w:val="004430D3"/>
    <w:rsid w:val="00443AFE"/>
    <w:rsid w:val="0044623C"/>
    <w:rsid w:val="004464C8"/>
    <w:rsid w:val="00446857"/>
    <w:rsid w:val="00446C20"/>
    <w:rsid w:val="00447272"/>
    <w:rsid w:val="00447999"/>
    <w:rsid w:val="0045022F"/>
    <w:rsid w:val="0045038A"/>
    <w:rsid w:val="004503D7"/>
    <w:rsid w:val="00450405"/>
    <w:rsid w:val="00451690"/>
    <w:rsid w:val="00452FE9"/>
    <w:rsid w:val="00454A4C"/>
    <w:rsid w:val="00455BF3"/>
    <w:rsid w:val="004562EA"/>
    <w:rsid w:val="0045642E"/>
    <w:rsid w:val="0045677A"/>
    <w:rsid w:val="004578C2"/>
    <w:rsid w:val="0046017F"/>
    <w:rsid w:val="00461632"/>
    <w:rsid w:val="0046168A"/>
    <w:rsid w:val="0046231F"/>
    <w:rsid w:val="00464039"/>
    <w:rsid w:val="00464B3C"/>
    <w:rsid w:val="004653B3"/>
    <w:rsid w:val="00465762"/>
    <w:rsid w:val="00465C53"/>
    <w:rsid w:val="00466428"/>
    <w:rsid w:val="0046686E"/>
    <w:rsid w:val="00470401"/>
    <w:rsid w:val="004712C0"/>
    <w:rsid w:val="004719A4"/>
    <w:rsid w:val="00471F7C"/>
    <w:rsid w:val="0047312E"/>
    <w:rsid w:val="00473A98"/>
    <w:rsid w:val="00473E9C"/>
    <w:rsid w:val="00474402"/>
    <w:rsid w:val="00475982"/>
    <w:rsid w:val="004767E3"/>
    <w:rsid w:val="00480DC3"/>
    <w:rsid w:val="00481135"/>
    <w:rsid w:val="00481471"/>
    <w:rsid w:val="004818DB"/>
    <w:rsid w:val="00481FD4"/>
    <w:rsid w:val="00484D9C"/>
    <w:rsid w:val="004860AE"/>
    <w:rsid w:val="00487410"/>
    <w:rsid w:val="00490253"/>
    <w:rsid w:val="00490500"/>
    <w:rsid w:val="004914E0"/>
    <w:rsid w:val="00492BA6"/>
    <w:rsid w:val="00494280"/>
    <w:rsid w:val="00494F3C"/>
    <w:rsid w:val="0049546D"/>
    <w:rsid w:val="00495F60"/>
    <w:rsid w:val="0049689B"/>
    <w:rsid w:val="00497BA6"/>
    <w:rsid w:val="004A01AE"/>
    <w:rsid w:val="004A0782"/>
    <w:rsid w:val="004A0C28"/>
    <w:rsid w:val="004A0CFC"/>
    <w:rsid w:val="004A1333"/>
    <w:rsid w:val="004A1B65"/>
    <w:rsid w:val="004A30DA"/>
    <w:rsid w:val="004A394A"/>
    <w:rsid w:val="004A45A7"/>
    <w:rsid w:val="004A4CD7"/>
    <w:rsid w:val="004A4EEF"/>
    <w:rsid w:val="004A53EF"/>
    <w:rsid w:val="004A6597"/>
    <w:rsid w:val="004A6E17"/>
    <w:rsid w:val="004B1830"/>
    <w:rsid w:val="004B2E5E"/>
    <w:rsid w:val="004B2F0A"/>
    <w:rsid w:val="004B3940"/>
    <w:rsid w:val="004B43A5"/>
    <w:rsid w:val="004B47EE"/>
    <w:rsid w:val="004B4BC9"/>
    <w:rsid w:val="004B5B13"/>
    <w:rsid w:val="004B5C43"/>
    <w:rsid w:val="004B6CD3"/>
    <w:rsid w:val="004B7502"/>
    <w:rsid w:val="004B7AE9"/>
    <w:rsid w:val="004B7FDA"/>
    <w:rsid w:val="004C01B6"/>
    <w:rsid w:val="004C05D2"/>
    <w:rsid w:val="004C2813"/>
    <w:rsid w:val="004C2AED"/>
    <w:rsid w:val="004C4362"/>
    <w:rsid w:val="004C4DA4"/>
    <w:rsid w:val="004C60D2"/>
    <w:rsid w:val="004C7240"/>
    <w:rsid w:val="004C752F"/>
    <w:rsid w:val="004D00E7"/>
    <w:rsid w:val="004D0592"/>
    <w:rsid w:val="004D09F3"/>
    <w:rsid w:val="004D0C15"/>
    <w:rsid w:val="004D1496"/>
    <w:rsid w:val="004D281A"/>
    <w:rsid w:val="004D281E"/>
    <w:rsid w:val="004D28D8"/>
    <w:rsid w:val="004D3FF7"/>
    <w:rsid w:val="004D480B"/>
    <w:rsid w:val="004D55FF"/>
    <w:rsid w:val="004D5BD2"/>
    <w:rsid w:val="004D5CF2"/>
    <w:rsid w:val="004D6453"/>
    <w:rsid w:val="004E0625"/>
    <w:rsid w:val="004E0ACD"/>
    <w:rsid w:val="004E14F0"/>
    <w:rsid w:val="004E243B"/>
    <w:rsid w:val="004E245B"/>
    <w:rsid w:val="004E2959"/>
    <w:rsid w:val="004E3F29"/>
    <w:rsid w:val="004E446F"/>
    <w:rsid w:val="004E48B1"/>
    <w:rsid w:val="004E67AB"/>
    <w:rsid w:val="004E76E4"/>
    <w:rsid w:val="004F009A"/>
    <w:rsid w:val="004F3C8D"/>
    <w:rsid w:val="004F3D01"/>
    <w:rsid w:val="004F4660"/>
    <w:rsid w:val="004F50A8"/>
    <w:rsid w:val="004F52C2"/>
    <w:rsid w:val="004F65F0"/>
    <w:rsid w:val="004F7C77"/>
    <w:rsid w:val="0050041A"/>
    <w:rsid w:val="00500683"/>
    <w:rsid w:val="00503695"/>
    <w:rsid w:val="005044DB"/>
    <w:rsid w:val="005048BD"/>
    <w:rsid w:val="00506D9E"/>
    <w:rsid w:val="00506E01"/>
    <w:rsid w:val="005072F8"/>
    <w:rsid w:val="0051051C"/>
    <w:rsid w:val="00511252"/>
    <w:rsid w:val="00511B61"/>
    <w:rsid w:val="0051215E"/>
    <w:rsid w:val="0051249A"/>
    <w:rsid w:val="00512AE7"/>
    <w:rsid w:val="00512BB5"/>
    <w:rsid w:val="00512F67"/>
    <w:rsid w:val="005135CE"/>
    <w:rsid w:val="005145C0"/>
    <w:rsid w:val="005149C2"/>
    <w:rsid w:val="0051677B"/>
    <w:rsid w:val="00516863"/>
    <w:rsid w:val="005169FA"/>
    <w:rsid w:val="00516DC6"/>
    <w:rsid w:val="0051706E"/>
    <w:rsid w:val="0052215A"/>
    <w:rsid w:val="00522769"/>
    <w:rsid w:val="00523696"/>
    <w:rsid w:val="00523837"/>
    <w:rsid w:val="00523D74"/>
    <w:rsid w:val="00524FE1"/>
    <w:rsid w:val="00525A28"/>
    <w:rsid w:val="00525B34"/>
    <w:rsid w:val="00526001"/>
    <w:rsid w:val="00526386"/>
    <w:rsid w:val="00527F4D"/>
    <w:rsid w:val="00527F81"/>
    <w:rsid w:val="00530CAE"/>
    <w:rsid w:val="00530F74"/>
    <w:rsid w:val="0053196F"/>
    <w:rsid w:val="00531A99"/>
    <w:rsid w:val="00531F64"/>
    <w:rsid w:val="00532961"/>
    <w:rsid w:val="00532BB1"/>
    <w:rsid w:val="00533645"/>
    <w:rsid w:val="005341BD"/>
    <w:rsid w:val="0053512F"/>
    <w:rsid w:val="00536506"/>
    <w:rsid w:val="005368E0"/>
    <w:rsid w:val="00536B72"/>
    <w:rsid w:val="00537104"/>
    <w:rsid w:val="0054035B"/>
    <w:rsid w:val="00540A81"/>
    <w:rsid w:val="00540C93"/>
    <w:rsid w:val="00541120"/>
    <w:rsid w:val="0054163E"/>
    <w:rsid w:val="00541BD4"/>
    <w:rsid w:val="005428F2"/>
    <w:rsid w:val="005440F2"/>
    <w:rsid w:val="00544448"/>
    <w:rsid w:val="00545EE7"/>
    <w:rsid w:val="00546D8C"/>
    <w:rsid w:val="00547062"/>
    <w:rsid w:val="00547A95"/>
    <w:rsid w:val="00552C69"/>
    <w:rsid w:val="0055318D"/>
    <w:rsid w:val="00554C08"/>
    <w:rsid w:val="00554E5A"/>
    <w:rsid w:val="005573A3"/>
    <w:rsid w:val="00557B82"/>
    <w:rsid w:val="00557F5A"/>
    <w:rsid w:val="00560191"/>
    <w:rsid w:val="00561667"/>
    <w:rsid w:val="00561683"/>
    <w:rsid w:val="00561E39"/>
    <w:rsid w:val="00562484"/>
    <w:rsid w:val="00562B62"/>
    <w:rsid w:val="00563DFD"/>
    <w:rsid w:val="00565480"/>
    <w:rsid w:val="00565B79"/>
    <w:rsid w:val="00567E77"/>
    <w:rsid w:val="0057080F"/>
    <w:rsid w:val="00571617"/>
    <w:rsid w:val="005724C2"/>
    <w:rsid w:val="005728A4"/>
    <w:rsid w:val="00573198"/>
    <w:rsid w:val="00575825"/>
    <w:rsid w:val="00575923"/>
    <w:rsid w:val="00575F0D"/>
    <w:rsid w:val="00576466"/>
    <w:rsid w:val="00576551"/>
    <w:rsid w:val="005776D7"/>
    <w:rsid w:val="00577779"/>
    <w:rsid w:val="00580D29"/>
    <w:rsid w:val="00580DD6"/>
    <w:rsid w:val="00580E94"/>
    <w:rsid w:val="00584101"/>
    <w:rsid w:val="005841EF"/>
    <w:rsid w:val="005843A7"/>
    <w:rsid w:val="00586007"/>
    <w:rsid w:val="00587311"/>
    <w:rsid w:val="005875FD"/>
    <w:rsid w:val="00587D58"/>
    <w:rsid w:val="0059051C"/>
    <w:rsid w:val="00590A86"/>
    <w:rsid w:val="00590EBE"/>
    <w:rsid w:val="0059109D"/>
    <w:rsid w:val="005910AD"/>
    <w:rsid w:val="005923F8"/>
    <w:rsid w:val="005953C9"/>
    <w:rsid w:val="00596120"/>
    <w:rsid w:val="005979F0"/>
    <w:rsid w:val="00597E49"/>
    <w:rsid w:val="005A1081"/>
    <w:rsid w:val="005A29A3"/>
    <w:rsid w:val="005A36F0"/>
    <w:rsid w:val="005A597C"/>
    <w:rsid w:val="005B1A96"/>
    <w:rsid w:val="005B1B25"/>
    <w:rsid w:val="005B2E1B"/>
    <w:rsid w:val="005B339D"/>
    <w:rsid w:val="005B364E"/>
    <w:rsid w:val="005B40B6"/>
    <w:rsid w:val="005B429E"/>
    <w:rsid w:val="005B5AE0"/>
    <w:rsid w:val="005B5D1F"/>
    <w:rsid w:val="005B7024"/>
    <w:rsid w:val="005B7478"/>
    <w:rsid w:val="005C0746"/>
    <w:rsid w:val="005C4847"/>
    <w:rsid w:val="005C5E33"/>
    <w:rsid w:val="005C70F5"/>
    <w:rsid w:val="005D10B7"/>
    <w:rsid w:val="005D1927"/>
    <w:rsid w:val="005D1FDA"/>
    <w:rsid w:val="005D20B4"/>
    <w:rsid w:val="005D278B"/>
    <w:rsid w:val="005D3840"/>
    <w:rsid w:val="005E0432"/>
    <w:rsid w:val="005E26A2"/>
    <w:rsid w:val="005E28D2"/>
    <w:rsid w:val="005E3233"/>
    <w:rsid w:val="005E5A34"/>
    <w:rsid w:val="005E621F"/>
    <w:rsid w:val="005E6931"/>
    <w:rsid w:val="005E6B3D"/>
    <w:rsid w:val="005E6CCB"/>
    <w:rsid w:val="005E74FE"/>
    <w:rsid w:val="005E759B"/>
    <w:rsid w:val="005F0E27"/>
    <w:rsid w:val="005F15D7"/>
    <w:rsid w:val="005F20C5"/>
    <w:rsid w:val="005F2A26"/>
    <w:rsid w:val="005F2D38"/>
    <w:rsid w:val="005F30C0"/>
    <w:rsid w:val="005F3195"/>
    <w:rsid w:val="005F3646"/>
    <w:rsid w:val="005F3839"/>
    <w:rsid w:val="005F4A06"/>
    <w:rsid w:val="005F5215"/>
    <w:rsid w:val="005F5F26"/>
    <w:rsid w:val="005F6459"/>
    <w:rsid w:val="005F6E07"/>
    <w:rsid w:val="005F76C4"/>
    <w:rsid w:val="0060117A"/>
    <w:rsid w:val="006018BA"/>
    <w:rsid w:val="0060387F"/>
    <w:rsid w:val="00603F24"/>
    <w:rsid w:val="00604367"/>
    <w:rsid w:val="006044CE"/>
    <w:rsid w:val="00604D63"/>
    <w:rsid w:val="00604D69"/>
    <w:rsid w:val="0060540D"/>
    <w:rsid w:val="00612530"/>
    <w:rsid w:val="00612612"/>
    <w:rsid w:val="006133A9"/>
    <w:rsid w:val="00613D11"/>
    <w:rsid w:val="00614311"/>
    <w:rsid w:val="00614571"/>
    <w:rsid w:val="00617E70"/>
    <w:rsid w:val="00622605"/>
    <w:rsid w:val="00622BD9"/>
    <w:rsid w:val="0062335E"/>
    <w:rsid w:val="0062418E"/>
    <w:rsid w:val="0062434B"/>
    <w:rsid w:val="00624AD2"/>
    <w:rsid w:val="00625D35"/>
    <w:rsid w:val="006260C3"/>
    <w:rsid w:val="0062650F"/>
    <w:rsid w:val="006275C2"/>
    <w:rsid w:val="00630A3C"/>
    <w:rsid w:val="006324B4"/>
    <w:rsid w:val="0063267B"/>
    <w:rsid w:val="00633C79"/>
    <w:rsid w:val="006344EC"/>
    <w:rsid w:val="006344EF"/>
    <w:rsid w:val="00634DB5"/>
    <w:rsid w:val="0063580B"/>
    <w:rsid w:val="006363EC"/>
    <w:rsid w:val="00636DF6"/>
    <w:rsid w:val="0063792B"/>
    <w:rsid w:val="006414A3"/>
    <w:rsid w:val="00642E01"/>
    <w:rsid w:val="00642F5B"/>
    <w:rsid w:val="00642FD9"/>
    <w:rsid w:val="0064346C"/>
    <w:rsid w:val="0064355E"/>
    <w:rsid w:val="00644426"/>
    <w:rsid w:val="00646438"/>
    <w:rsid w:val="00647046"/>
    <w:rsid w:val="00650483"/>
    <w:rsid w:val="00652EAD"/>
    <w:rsid w:val="006544E0"/>
    <w:rsid w:val="00654640"/>
    <w:rsid w:val="00654D86"/>
    <w:rsid w:val="006557EC"/>
    <w:rsid w:val="00655AC8"/>
    <w:rsid w:val="00656696"/>
    <w:rsid w:val="0066084F"/>
    <w:rsid w:val="00660BEA"/>
    <w:rsid w:val="006610A6"/>
    <w:rsid w:val="00661FBE"/>
    <w:rsid w:val="00663739"/>
    <w:rsid w:val="0066431C"/>
    <w:rsid w:val="006647EF"/>
    <w:rsid w:val="00664818"/>
    <w:rsid w:val="006649B4"/>
    <w:rsid w:val="00664A29"/>
    <w:rsid w:val="00664DB2"/>
    <w:rsid w:val="006650FD"/>
    <w:rsid w:val="00667315"/>
    <w:rsid w:val="006701E0"/>
    <w:rsid w:val="00672B94"/>
    <w:rsid w:val="006753F1"/>
    <w:rsid w:val="00677BCD"/>
    <w:rsid w:val="0068055B"/>
    <w:rsid w:val="0068153C"/>
    <w:rsid w:val="00681AC7"/>
    <w:rsid w:val="00682360"/>
    <w:rsid w:val="006832CA"/>
    <w:rsid w:val="00683C28"/>
    <w:rsid w:val="00683C49"/>
    <w:rsid w:val="00684AAF"/>
    <w:rsid w:val="00684DC4"/>
    <w:rsid w:val="0068530F"/>
    <w:rsid w:val="00685764"/>
    <w:rsid w:val="00685C53"/>
    <w:rsid w:val="006867A7"/>
    <w:rsid w:val="00686808"/>
    <w:rsid w:val="0068680D"/>
    <w:rsid w:val="00687630"/>
    <w:rsid w:val="00687EBF"/>
    <w:rsid w:val="00690D15"/>
    <w:rsid w:val="0069123A"/>
    <w:rsid w:val="0069187F"/>
    <w:rsid w:val="00693642"/>
    <w:rsid w:val="006977CB"/>
    <w:rsid w:val="006A082C"/>
    <w:rsid w:val="006A36F4"/>
    <w:rsid w:val="006A3EC3"/>
    <w:rsid w:val="006A4654"/>
    <w:rsid w:val="006A5ED7"/>
    <w:rsid w:val="006A68AE"/>
    <w:rsid w:val="006A718D"/>
    <w:rsid w:val="006A7D56"/>
    <w:rsid w:val="006B00DF"/>
    <w:rsid w:val="006B3D82"/>
    <w:rsid w:val="006B5F54"/>
    <w:rsid w:val="006B619C"/>
    <w:rsid w:val="006B70BA"/>
    <w:rsid w:val="006C0CD5"/>
    <w:rsid w:val="006C0DD8"/>
    <w:rsid w:val="006C1146"/>
    <w:rsid w:val="006C1A6B"/>
    <w:rsid w:val="006C1DA6"/>
    <w:rsid w:val="006C1F30"/>
    <w:rsid w:val="006C1FE1"/>
    <w:rsid w:val="006C3578"/>
    <w:rsid w:val="006C41D0"/>
    <w:rsid w:val="006C453D"/>
    <w:rsid w:val="006C791B"/>
    <w:rsid w:val="006D0095"/>
    <w:rsid w:val="006D05F2"/>
    <w:rsid w:val="006D06A4"/>
    <w:rsid w:val="006D0FE6"/>
    <w:rsid w:val="006D1057"/>
    <w:rsid w:val="006D245A"/>
    <w:rsid w:val="006D31DD"/>
    <w:rsid w:val="006D3C56"/>
    <w:rsid w:val="006D4B9C"/>
    <w:rsid w:val="006D4C2D"/>
    <w:rsid w:val="006D4EC6"/>
    <w:rsid w:val="006D7BDF"/>
    <w:rsid w:val="006E0959"/>
    <w:rsid w:val="006E2202"/>
    <w:rsid w:val="006E44C2"/>
    <w:rsid w:val="006E55FF"/>
    <w:rsid w:val="006E5A46"/>
    <w:rsid w:val="006E6686"/>
    <w:rsid w:val="006E6FC2"/>
    <w:rsid w:val="006F077C"/>
    <w:rsid w:val="006F1A3F"/>
    <w:rsid w:val="006F1C3E"/>
    <w:rsid w:val="006F233E"/>
    <w:rsid w:val="006F32B7"/>
    <w:rsid w:val="006F3C01"/>
    <w:rsid w:val="006F4343"/>
    <w:rsid w:val="006F4CC3"/>
    <w:rsid w:val="006F5330"/>
    <w:rsid w:val="006F58D6"/>
    <w:rsid w:val="006F61D1"/>
    <w:rsid w:val="006F6B2E"/>
    <w:rsid w:val="006F7EEA"/>
    <w:rsid w:val="00700238"/>
    <w:rsid w:val="00700F18"/>
    <w:rsid w:val="00702380"/>
    <w:rsid w:val="00702D76"/>
    <w:rsid w:val="00703453"/>
    <w:rsid w:val="0070447B"/>
    <w:rsid w:val="00705B64"/>
    <w:rsid w:val="00706021"/>
    <w:rsid w:val="00706150"/>
    <w:rsid w:val="007066B8"/>
    <w:rsid w:val="00710D2D"/>
    <w:rsid w:val="007110F2"/>
    <w:rsid w:val="00711A4E"/>
    <w:rsid w:val="00711A6F"/>
    <w:rsid w:val="00713888"/>
    <w:rsid w:val="00713E0B"/>
    <w:rsid w:val="007141E1"/>
    <w:rsid w:val="0071423C"/>
    <w:rsid w:val="00714915"/>
    <w:rsid w:val="00715FED"/>
    <w:rsid w:val="0071691A"/>
    <w:rsid w:val="007171FD"/>
    <w:rsid w:val="00720320"/>
    <w:rsid w:val="00720B45"/>
    <w:rsid w:val="00721849"/>
    <w:rsid w:val="0072233E"/>
    <w:rsid w:val="00723317"/>
    <w:rsid w:val="00724343"/>
    <w:rsid w:val="00724C05"/>
    <w:rsid w:val="007261ED"/>
    <w:rsid w:val="00727C3E"/>
    <w:rsid w:val="00727E8A"/>
    <w:rsid w:val="00730A72"/>
    <w:rsid w:val="00733E2D"/>
    <w:rsid w:val="00735D19"/>
    <w:rsid w:val="007363EF"/>
    <w:rsid w:val="00736544"/>
    <w:rsid w:val="00736892"/>
    <w:rsid w:val="00736C1B"/>
    <w:rsid w:val="00736D5D"/>
    <w:rsid w:val="007408CD"/>
    <w:rsid w:val="00741F48"/>
    <w:rsid w:val="0074223B"/>
    <w:rsid w:val="00742CE6"/>
    <w:rsid w:val="00743DF8"/>
    <w:rsid w:val="0074413E"/>
    <w:rsid w:val="00744D11"/>
    <w:rsid w:val="00745C36"/>
    <w:rsid w:val="00745C71"/>
    <w:rsid w:val="00745E30"/>
    <w:rsid w:val="00746241"/>
    <w:rsid w:val="00746582"/>
    <w:rsid w:val="00746765"/>
    <w:rsid w:val="007467AB"/>
    <w:rsid w:val="00746DA2"/>
    <w:rsid w:val="00746E32"/>
    <w:rsid w:val="007472F3"/>
    <w:rsid w:val="00747CED"/>
    <w:rsid w:val="0075087C"/>
    <w:rsid w:val="007512B2"/>
    <w:rsid w:val="0075169A"/>
    <w:rsid w:val="00751ED5"/>
    <w:rsid w:val="007524CE"/>
    <w:rsid w:val="00752BBE"/>
    <w:rsid w:val="00753566"/>
    <w:rsid w:val="00753EE6"/>
    <w:rsid w:val="007566AD"/>
    <w:rsid w:val="007575C0"/>
    <w:rsid w:val="00761884"/>
    <w:rsid w:val="00761ACB"/>
    <w:rsid w:val="00762AC3"/>
    <w:rsid w:val="00763800"/>
    <w:rsid w:val="00765C6C"/>
    <w:rsid w:val="00766383"/>
    <w:rsid w:val="007663F0"/>
    <w:rsid w:val="00766621"/>
    <w:rsid w:val="00767790"/>
    <w:rsid w:val="007714B2"/>
    <w:rsid w:val="00771A6D"/>
    <w:rsid w:val="0077250C"/>
    <w:rsid w:val="00772E18"/>
    <w:rsid w:val="007732DA"/>
    <w:rsid w:val="0077439F"/>
    <w:rsid w:val="00775AA8"/>
    <w:rsid w:val="00776AF5"/>
    <w:rsid w:val="00776DEF"/>
    <w:rsid w:val="00777133"/>
    <w:rsid w:val="00777C44"/>
    <w:rsid w:val="00780105"/>
    <w:rsid w:val="00781348"/>
    <w:rsid w:val="00782246"/>
    <w:rsid w:val="007832B7"/>
    <w:rsid w:val="0078373C"/>
    <w:rsid w:val="00783949"/>
    <w:rsid w:val="0078615A"/>
    <w:rsid w:val="007861F2"/>
    <w:rsid w:val="007875C4"/>
    <w:rsid w:val="00787A04"/>
    <w:rsid w:val="00787ADF"/>
    <w:rsid w:val="00787EDB"/>
    <w:rsid w:val="007907C3"/>
    <w:rsid w:val="007916E9"/>
    <w:rsid w:val="007919C7"/>
    <w:rsid w:val="00791AC8"/>
    <w:rsid w:val="00792168"/>
    <w:rsid w:val="0079292D"/>
    <w:rsid w:val="00793BC0"/>
    <w:rsid w:val="007955F3"/>
    <w:rsid w:val="00796942"/>
    <w:rsid w:val="007978CB"/>
    <w:rsid w:val="00797EC0"/>
    <w:rsid w:val="007A1695"/>
    <w:rsid w:val="007A1D68"/>
    <w:rsid w:val="007A2764"/>
    <w:rsid w:val="007A2962"/>
    <w:rsid w:val="007A3A83"/>
    <w:rsid w:val="007A45A7"/>
    <w:rsid w:val="007A489E"/>
    <w:rsid w:val="007A52DA"/>
    <w:rsid w:val="007A62EA"/>
    <w:rsid w:val="007A68CD"/>
    <w:rsid w:val="007A7203"/>
    <w:rsid w:val="007A75F6"/>
    <w:rsid w:val="007B01E9"/>
    <w:rsid w:val="007B044E"/>
    <w:rsid w:val="007B0C60"/>
    <w:rsid w:val="007B0FDD"/>
    <w:rsid w:val="007B2EE9"/>
    <w:rsid w:val="007B3CFC"/>
    <w:rsid w:val="007B43E6"/>
    <w:rsid w:val="007B48CE"/>
    <w:rsid w:val="007B4D11"/>
    <w:rsid w:val="007B4FAC"/>
    <w:rsid w:val="007B568A"/>
    <w:rsid w:val="007B6A76"/>
    <w:rsid w:val="007B7AF2"/>
    <w:rsid w:val="007C005E"/>
    <w:rsid w:val="007C02F1"/>
    <w:rsid w:val="007C156F"/>
    <w:rsid w:val="007C249F"/>
    <w:rsid w:val="007C3F35"/>
    <w:rsid w:val="007C405C"/>
    <w:rsid w:val="007C4718"/>
    <w:rsid w:val="007C4B88"/>
    <w:rsid w:val="007C54C9"/>
    <w:rsid w:val="007C57DA"/>
    <w:rsid w:val="007C5C9A"/>
    <w:rsid w:val="007C5F61"/>
    <w:rsid w:val="007C62FD"/>
    <w:rsid w:val="007C69CA"/>
    <w:rsid w:val="007C6B48"/>
    <w:rsid w:val="007C6D6B"/>
    <w:rsid w:val="007C78C5"/>
    <w:rsid w:val="007D0224"/>
    <w:rsid w:val="007D209E"/>
    <w:rsid w:val="007D22B4"/>
    <w:rsid w:val="007D26B6"/>
    <w:rsid w:val="007D2A63"/>
    <w:rsid w:val="007D2CA2"/>
    <w:rsid w:val="007D2E96"/>
    <w:rsid w:val="007D3AA5"/>
    <w:rsid w:val="007D43AE"/>
    <w:rsid w:val="007D4668"/>
    <w:rsid w:val="007D51DC"/>
    <w:rsid w:val="007D5BD3"/>
    <w:rsid w:val="007D6150"/>
    <w:rsid w:val="007D7506"/>
    <w:rsid w:val="007E02AB"/>
    <w:rsid w:val="007E04B7"/>
    <w:rsid w:val="007E0B4A"/>
    <w:rsid w:val="007E0DE2"/>
    <w:rsid w:val="007E1332"/>
    <w:rsid w:val="007E27A6"/>
    <w:rsid w:val="007E27D1"/>
    <w:rsid w:val="007E2947"/>
    <w:rsid w:val="007E31DF"/>
    <w:rsid w:val="007E3D1B"/>
    <w:rsid w:val="007E4AC5"/>
    <w:rsid w:val="007E4C27"/>
    <w:rsid w:val="007E641F"/>
    <w:rsid w:val="007E75A3"/>
    <w:rsid w:val="007F1427"/>
    <w:rsid w:val="007F16D3"/>
    <w:rsid w:val="007F18A8"/>
    <w:rsid w:val="007F1E16"/>
    <w:rsid w:val="007F370F"/>
    <w:rsid w:val="007F74E1"/>
    <w:rsid w:val="0080023B"/>
    <w:rsid w:val="00800D36"/>
    <w:rsid w:val="00801B1C"/>
    <w:rsid w:val="00802A95"/>
    <w:rsid w:val="00803626"/>
    <w:rsid w:val="0080380A"/>
    <w:rsid w:val="00804A51"/>
    <w:rsid w:val="00804F38"/>
    <w:rsid w:val="0080503A"/>
    <w:rsid w:val="0080543C"/>
    <w:rsid w:val="008054AD"/>
    <w:rsid w:val="008058AF"/>
    <w:rsid w:val="00805C6B"/>
    <w:rsid w:val="00806F95"/>
    <w:rsid w:val="00807327"/>
    <w:rsid w:val="00810292"/>
    <w:rsid w:val="00810DFF"/>
    <w:rsid w:val="008139C5"/>
    <w:rsid w:val="008141A8"/>
    <w:rsid w:val="008142A4"/>
    <w:rsid w:val="008173AA"/>
    <w:rsid w:val="00817A6F"/>
    <w:rsid w:val="008204C8"/>
    <w:rsid w:val="00820776"/>
    <w:rsid w:val="00821102"/>
    <w:rsid w:val="0082231B"/>
    <w:rsid w:val="00822955"/>
    <w:rsid w:val="00823A10"/>
    <w:rsid w:val="00824219"/>
    <w:rsid w:val="008251A6"/>
    <w:rsid w:val="008254F6"/>
    <w:rsid w:val="00825BA1"/>
    <w:rsid w:val="00826503"/>
    <w:rsid w:val="0082670A"/>
    <w:rsid w:val="00826A79"/>
    <w:rsid w:val="00827AD9"/>
    <w:rsid w:val="00827C84"/>
    <w:rsid w:val="00830214"/>
    <w:rsid w:val="00830B66"/>
    <w:rsid w:val="00831E6A"/>
    <w:rsid w:val="00832828"/>
    <w:rsid w:val="0083314A"/>
    <w:rsid w:val="008337D2"/>
    <w:rsid w:val="008337E7"/>
    <w:rsid w:val="00834C22"/>
    <w:rsid w:val="0083557F"/>
    <w:rsid w:val="00837CB6"/>
    <w:rsid w:val="00840164"/>
    <w:rsid w:val="008403BE"/>
    <w:rsid w:val="0084079A"/>
    <w:rsid w:val="00841F7A"/>
    <w:rsid w:val="0084233F"/>
    <w:rsid w:val="00842D9D"/>
    <w:rsid w:val="00843302"/>
    <w:rsid w:val="008446A4"/>
    <w:rsid w:val="008455CD"/>
    <w:rsid w:val="00845ACF"/>
    <w:rsid w:val="00847F70"/>
    <w:rsid w:val="0085162B"/>
    <w:rsid w:val="00851721"/>
    <w:rsid w:val="00852EEA"/>
    <w:rsid w:val="00853F06"/>
    <w:rsid w:val="00854CB5"/>
    <w:rsid w:val="00856C94"/>
    <w:rsid w:val="0085710B"/>
    <w:rsid w:val="00857DF4"/>
    <w:rsid w:val="00860A37"/>
    <w:rsid w:val="00860B8C"/>
    <w:rsid w:val="00861B85"/>
    <w:rsid w:val="008638F4"/>
    <w:rsid w:val="00863E8D"/>
    <w:rsid w:val="0086412D"/>
    <w:rsid w:val="00864386"/>
    <w:rsid w:val="00866F83"/>
    <w:rsid w:val="008670D8"/>
    <w:rsid w:val="0086775A"/>
    <w:rsid w:val="00867C71"/>
    <w:rsid w:val="00867D70"/>
    <w:rsid w:val="00872F7B"/>
    <w:rsid w:val="00873616"/>
    <w:rsid w:val="00874A24"/>
    <w:rsid w:val="00874D08"/>
    <w:rsid w:val="00874E9F"/>
    <w:rsid w:val="00875A56"/>
    <w:rsid w:val="00877604"/>
    <w:rsid w:val="00877A85"/>
    <w:rsid w:val="00877C51"/>
    <w:rsid w:val="008833ED"/>
    <w:rsid w:val="0088348E"/>
    <w:rsid w:val="0088384F"/>
    <w:rsid w:val="00883A53"/>
    <w:rsid w:val="00883E65"/>
    <w:rsid w:val="00884F1D"/>
    <w:rsid w:val="008854BB"/>
    <w:rsid w:val="008855DB"/>
    <w:rsid w:val="00885A69"/>
    <w:rsid w:val="00886989"/>
    <w:rsid w:val="008869AB"/>
    <w:rsid w:val="0088720B"/>
    <w:rsid w:val="00895C98"/>
    <w:rsid w:val="008971ED"/>
    <w:rsid w:val="008A017C"/>
    <w:rsid w:val="008A0CD0"/>
    <w:rsid w:val="008A0D5D"/>
    <w:rsid w:val="008A11FA"/>
    <w:rsid w:val="008A12EF"/>
    <w:rsid w:val="008A29DE"/>
    <w:rsid w:val="008A3472"/>
    <w:rsid w:val="008A379F"/>
    <w:rsid w:val="008A3EF9"/>
    <w:rsid w:val="008A4107"/>
    <w:rsid w:val="008A44EF"/>
    <w:rsid w:val="008A48BB"/>
    <w:rsid w:val="008A5693"/>
    <w:rsid w:val="008A57BF"/>
    <w:rsid w:val="008A5AD6"/>
    <w:rsid w:val="008A6E59"/>
    <w:rsid w:val="008A79AE"/>
    <w:rsid w:val="008A7C09"/>
    <w:rsid w:val="008A7D98"/>
    <w:rsid w:val="008A7EFD"/>
    <w:rsid w:val="008B21C9"/>
    <w:rsid w:val="008B26A9"/>
    <w:rsid w:val="008B2DB6"/>
    <w:rsid w:val="008B4A3D"/>
    <w:rsid w:val="008B7470"/>
    <w:rsid w:val="008B7BCD"/>
    <w:rsid w:val="008B7CFD"/>
    <w:rsid w:val="008C0306"/>
    <w:rsid w:val="008C12BA"/>
    <w:rsid w:val="008C1D0D"/>
    <w:rsid w:val="008C21C7"/>
    <w:rsid w:val="008C2369"/>
    <w:rsid w:val="008C2954"/>
    <w:rsid w:val="008C2D79"/>
    <w:rsid w:val="008C4627"/>
    <w:rsid w:val="008C5785"/>
    <w:rsid w:val="008C5B33"/>
    <w:rsid w:val="008C67E0"/>
    <w:rsid w:val="008C6E1F"/>
    <w:rsid w:val="008C74B0"/>
    <w:rsid w:val="008C7941"/>
    <w:rsid w:val="008D0E9D"/>
    <w:rsid w:val="008D0EF3"/>
    <w:rsid w:val="008D18CB"/>
    <w:rsid w:val="008D21EE"/>
    <w:rsid w:val="008D358D"/>
    <w:rsid w:val="008D35FA"/>
    <w:rsid w:val="008D40CF"/>
    <w:rsid w:val="008D4BD4"/>
    <w:rsid w:val="008D7136"/>
    <w:rsid w:val="008E007B"/>
    <w:rsid w:val="008E02E4"/>
    <w:rsid w:val="008E1C24"/>
    <w:rsid w:val="008E22C5"/>
    <w:rsid w:val="008E2AC3"/>
    <w:rsid w:val="008E3390"/>
    <w:rsid w:val="008E3541"/>
    <w:rsid w:val="008E39DC"/>
    <w:rsid w:val="008E46A7"/>
    <w:rsid w:val="008E5E1E"/>
    <w:rsid w:val="008E739E"/>
    <w:rsid w:val="008E789E"/>
    <w:rsid w:val="008F1180"/>
    <w:rsid w:val="008F16BC"/>
    <w:rsid w:val="008F1ACE"/>
    <w:rsid w:val="008F22DC"/>
    <w:rsid w:val="008F246D"/>
    <w:rsid w:val="008F2A29"/>
    <w:rsid w:val="008F2F8C"/>
    <w:rsid w:val="008F37C3"/>
    <w:rsid w:val="008F3F88"/>
    <w:rsid w:val="008F44CB"/>
    <w:rsid w:val="008F46B1"/>
    <w:rsid w:val="008F6075"/>
    <w:rsid w:val="008F770C"/>
    <w:rsid w:val="008F7832"/>
    <w:rsid w:val="00900729"/>
    <w:rsid w:val="00900939"/>
    <w:rsid w:val="00900D46"/>
    <w:rsid w:val="00900F12"/>
    <w:rsid w:val="0090108E"/>
    <w:rsid w:val="00901964"/>
    <w:rsid w:val="00902CE7"/>
    <w:rsid w:val="009032CB"/>
    <w:rsid w:val="00903E44"/>
    <w:rsid w:val="0090405A"/>
    <w:rsid w:val="00904D04"/>
    <w:rsid w:val="00904D63"/>
    <w:rsid w:val="00905525"/>
    <w:rsid w:val="009058C0"/>
    <w:rsid w:val="00905ACC"/>
    <w:rsid w:val="009067EC"/>
    <w:rsid w:val="00907650"/>
    <w:rsid w:val="00907922"/>
    <w:rsid w:val="009115F0"/>
    <w:rsid w:val="00911647"/>
    <w:rsid w:val="00911DF1"/>
    <w:rsid w:val="00911EC5"/>
    <w:rsid w:val="00911F77"/>
    <w:rsid w:val="009138D8"/>
    <w:rsid w:val="00914E99"/>
    <w:rsid w:val="00915333"/>
    <w:rsid w:val="00915EE2"/>
    <w:rsid w:val="00916419"/>
    <w:rsid w:val="00916A68"/>
    <w:rsid w:val="0091707B"/>
    <w:rsid w:val="009172D0"/>
    <w:rsid w:val="00917A4B"/>
    <w:rsid w:val="009209AA"/>
    <w:rsid w:val="009209B9"/>
    <w:rsid w:val="00920A9B"/>
    <w:rsid w:val="0092238E"/>
    <w:rsid w:val="00924DE2"/>
    <w:rsid w:val="0092565E"/>
    <w:rsid w:val="00925F93"/>
    <w:rsid w:val="00927CFE"/>
    <w:rsid w:val="00930461"/>
    <w:rsid w:val="0093073D"/>
    <w:rsid w:val="00930775"/>
    <w:rsid w:val="00930A1E"/>
    <w:rsid w:val="00930C5B"/>
    <w:rsid w:val="00930D64"/>
    <w:rsid w:val="009313A3"/>
    <w:rsid w:val="00931B9F"/>
    <w:rsid w:val="00932A8F"/>
    <w:rsid w:val="00933EC5"/>
    <w:rsid w:val="0093406F"/>
    <w:rsid w:val="00934299"/>
    <w:rsid w:val="009347AC"/>
    <w:rsid w:val="00934A6D"/>
    <w:rsid w:val="00934C20"/>
    <w:rsid w:val="00934E66"/>
    <w:rsid w:val="00935917"/>
    <w:rsid w:val="00937995"/>
    <w:rsid w:val="009402FF"/>
    <w:rsid w:val="00940EB4"/>
    <w:rsid w:val="00941335"/>
    <w:rsid w:val="00941EF3"/>
    <w:rsid w:val="00942686"/>
    <w:rsid w:val="00942ACE"/>
    <w:rsid w:val="00942DB8"/>
    <w:rsid w:val="00943BBE"/>
    <w:rsid w:val="00944249"/>
    <w:rsid w:val="00944304"/>
    <w:rsid w:val="0094438F"/>
    <w:rsid w:val="0094443E"/>
    <w:rsid w:val="0094448E"/>
    <w:rsid w:val="00944F0C"/>
    <w:rsid w:val="00945D53"/>
    <w:rsid w:val="00946897"/>
    <w:rsid w:val="00946A8D"/>
    <w:rsid w:val="00947DF4"/>
    <w:rsid w:val="00947E6F"/>
    <w:rsid w:val="0095082E"/>
    <w:rsid w:val="009510F0"/>
    <w:rsid w:val="00951647"/>
    <w:rsid w:val="009516D6"/>
    <w:rsid w:val="00952D9D"/>
    <w:rsid w:val="00953A9E"/>
    <w:rsid w:val="00953E90"/>
    <w:rsid w:val="009551AF"/>
    <w:rsid w:val="00957A60"/>
    <w:rsid w:val="00960E8E"/>
    <w:rsid w:val="0096198F"/>
    <w:rsid w:val="00961BAC"/>
    <w:rsid w:val="009620CA"/>
    <w:rsid w:val="009620D2"/>
    <w:rsid w:val="0096282B"/>
    <w:rsid w:val="00963229"/>
    <w:rsid w:val="00963630"/>
    <w:rsid w:val="00964BC6"/>
    <w:rsid w:val="009655A6"/>
    <w:rsid w:val="00965B6D"/>
    <w:rsid w:val="009664D9"/>
    <w:rsid w:val="009670CE"/>
    <w:rsid w:val="009673BC"/>
    <w:rsid w:val="009704B0"/>
    <w:rsid w:val="009718B4"/>
    <w:rsid w:val="00972353"/>
    <w:rsid w:val="0097394D"/>
    <w:rsid w:val="00973ED0"/>
    <w:rsid w:val="009745E2"/>
    <w:rsid w:val="00974E6B"/>
    <w:rsid w:val="00974EB9"/>
    <w:rsid w:val="00975977"/>
    <w:rsid w:val="00975A6B"/>
    <w:rsid w:val="0097639F"/>
    <w:rsid w:val="00976535"/>
    <w:rsid w:val="00976D55"/>
    <w:rsid w:val="00977A0D"/>
    <w:rsid w:val="00980228"/>
    <w:rsid w:val="00980541"/>
    <w:rsid w:val="00980853"/>
    <w:rsid w:val="009813DE"/>
    <w:rsid w:val="00981A54"/>
    <w:rsid w:val="00981C26"/>
    <w:rsid w:val="00982547"/>
    <w:rsid w:val="00983CF6"/>
    <w:rsid w:val="009855AD"/>
    <w:rsid w:val="0099083B"/>
    <w:rsid w:val="00990BA6"/>
    <w:rsid w:val="00991B74"/>
    <w:rsid w:val="00994D47"/>
    <w:rsid w:val="00994DFC"/>
    <w:rsid w:val="0099645F"/>
    <w:rsid w:val="009973D5"/>
    <w:rsid w:val="009975F8"/>
    <w:rsid w:val="00997666"/>
    <w:rsid w:val="009A0222"/>
    <w:rsid w:val="009A0EFA"/>
    <w:rsid w:val="009A12E0"/>
    <w:rsid w:val="009A2229"/>
    <w:rsid w:val="009A2340"/>
    <w:rsid w:val="009A26CF"/>
    <w:rsid w:val="009A2DE6"/>
    <w:rsid w:val="009A35BD"/>
    <w:rsid w:val="009A3F36"/>
    <w:rsid w:val="009A3FC8"/>
    <w:rsid w:val="009A59E8"/>
    <w:rsid w:val="009A7577"/>
    <w:rsid w:val="009A7758"/>
    <w:rsid w:val="009B0FBC"/>
    <w:rsid w:val="009B1952"/>
    <w:rsid w:val="009B2A80"/>
    <w:rsid w:val="009B67F3"/>
    <w:rsid w:val="009B711F"/>
    <w:rsid w:val="009B7C1A"/>
    <w:rsid w:val="009C02D8"/>
    <w:rsid w:val="009C0FA2"/>
    <w:rsid w:val="009C136E"/>
    <w:rsid w:val="009C15EF"/>
    <w:rsid w:val="009C18EF"/>
    <w:rsid w:val="009C19BB"/>
    <w:rsid w:val="009C1D17"/>
    <w:rsid w:val="009C2E92"/>
    <w:rsid w:val="009C30D5"/>
    <w:rsid w:val="009C3D8D"/>
    <w:rsid w:val="009C3F94"/>
    <w:rsid w:val="009C4664"/>
    <w:rsid w:val="009C60D1"/>
    <w:rsid w:val="009C7885"/>
    <w:rsid w:val="009D0609"/>
    <w:rsid w:val="009D182A"/>
    <w:rsid w:val="009D3AD0"/>
    <w:rsid w:val="009D4065"/>
    <w:rsid w:val="009D4554"/>
    <w:rsid w:val="009D4ADF"/>
    <w:rsid w:val="009D62A0"/>
    <w:rsid w:val="009D6B43"/>
    <w:rsid w:val="009D6C5E"/>
    <w:rsid w:val="009D7443"/>
    <w:rsid w:val="009E037A"/>
    <w:rsid w:val="009E03D2"/>
    <w:rsid w:val="009E0F6B"/>
    <w:rsid w:val="009E2561"/>
    <w:rsid w:val="009E2E97"/>
    <w:rsid w:val="009E5794"/>
    <w:rsid w:val="009E63A8"/>
    <w:rsid w:val="009E7034"/>
    <w:rsid w:val="009F0739"/>
    <w:rsid w:val="009F0830"/>
    <w:rsid w:val="009F0B54"/>
    <w:rsid w:val="009F1411"/>
    <w:rsid w:val="009F1E63"/>
    <w:rsid w:val="009F327C"/>
    <w:rsid w:val="009F3915"/>
    <w:rsid w:val="009F5082"/>
    <w:rsid w:val="009F563E"/>
    <w:rsid w:val="009F5A68"/>
    <w:rsid w:val="009F69A2"/>
    <w:rsid w:val="009F6BFC"/>
    <w:rsid w:val="009F6C12"/>
    <w:rsid w:val="009F6E42"/>
    <w:rsid w:val="00A0001E"/>
    <w:rsid w:val="00A00304"/>
    <w:rsid w:val="00A00CE0"/>
    <w:rsid w:val="00A00F81"/>
    <w:rsid w:val="00A01998"/>
    <w:rsid w:val="00A02EC6"/>
    <w:rsid w:val="00A03C47"/>
    <w:rsid w:val="00A04084"/>
    <w:rsid w:val="00A040D1"/>
    <w:rsid w:val="00A042D8"/>
    <w:rsid w:val="00A04CFB"/>
    <w:rsid w:val="00A07390"/>
    <w:rsid w:val="00A076DB"/>
    <w:rsid w:val="00A10E04"/>
    <w:rsid w:val="00A11457"/>
    <w:rsid w:val="00A135B2"/>
    <w:rsid w:val="00A13DC5"/>
    <w:rsid w:val="00A1556D"/>
    <w:rsid w:val="00A156C8"/>
    <w:rsid w:val="00A16573"/>
    <w:rsid w:val="00A1733A"/>
    <w:rsid w:val="00A205BF"/>
    <w:rsid w:val="00A209AA"/>
    <w:rsid w:val="00A20CB8"/>
    <w:rsid w:val="00A21CE2"/>
    <w:rsid w:val="00A24103"/>
    <w:rsid w:val="00A2492F"/>
    <w:rsid w:val="00A24D17"/>
    <w:rsid w:val="00A24E53"/>
    <w:rsid w:val="00A2570C"/>
    <w:rsid w:val="00A25D32"/>
    <w:rsid w:val="00A2649D"/>
    <w:rsid w:val="00A27F61"/>
    <w:rsid w:val="00A314F8"/>
    <w:rsid w:val="00A31CE1"/>
    <w:rsid w:val="00A33EFE"/>
    <w:rsid w:val="00A3450C"/>
    <w:rsid w:val="00A34B3E"/>
    <w:rsid w:val="00A35836"/>
    <w:rsid w:val="00A35891"/>
    <w:rsid w:val="00A3590F"/>
    <w:rsid w:val="00A35D36"/>
    <w:rsid w:val="00A36CD1"/>
    <w:rsid w:val="00A37E79"/>
    <w:rsid w:val="00A37FBA"/>
    <w:rsid w:val="00A40211"/>
    <w:rsid w:val="00A40AD0"/>
    <w:rsid w:val="00A410AE"/>
    <w:rsid w:val="00A42910"/>
    <w:rsid w:val="00A42D54"/>
    <w:rsid w:val="00A43397"/>
    <w:rsid w:val="00A4340B"/>
    <w:rsid w:val="00A445B7"/>
    <w:rsid w:val="00A471DD"/>
    <w:rsid w:val="00A471E6"/>
    <w:rsid w:val="00A47B53"/>
    <w:rsid w:val="00A47BA6"/>
    <w:rsid w:val="00A50DDF"/>
    <w:rsid w:val="00A53CF1"/>
    <w:rsid w:val="00A53F4E"/>
    <w:rsid w:val="00A54636"/>
    <w:rsid w:val="00A554F3"/>
    <w:rsid w:val="00A55823"/>
    <w:rsid w:val="00A6011A"/>
    <w:rsid w:val="00A6293C"/>
    <w:rsid w:val="00A66E08"/>
    <w:rsid w:val="00A67E3E"/>
    <w:rsid w:val="00A702A7"/>
    <w:rsid w:val="00A72507"/>
    <w:rsid w:val="00A7267E"/>
    <w:rsid w:val="00A72E35"/>
    <w:rsid w:val="00A73748"/>
    <w:rsid w:val="00A7495D"/>
    <w:rsid w:val="00A761A8"/>
    <w:rsid w:val="00A76AD5"/>
    <w:rsid w:val="00A777EE"/>
    <w:rsid w:val="00A777F2"/>
    <w:rsid w:val="00A801EB"/>
    <w:rsid w:val="00A802CD"/>
    <w:rsid w:val="00A816AC"/>
    <w:rsid w:val="00A817F6"/>
    <w:rsid w:val="00A8201A"/>
    <w:rsid w:val="00A82C0A"/>
    <w:rsid w:val="00A831BA"/>
    <w:rsid w:val="00A83FD8"/>
    <w:rsid w:val="00A8430C"/>
    <w:rsid w:val="00A84687"/>
    <w:rsid w:val="00A8577F"/>
    <w:rsid w:val="00A857C0"/>
    <w:rsid w:val="00A85C96"/>
    <w:rsid w:val="00A85D2F"/>
    <w:rsid w:val="00A877AE"/>
    <w:rsid w:val="00A90364"/>
    <w:rsid w:val="00A90C00"/>
    <w:rsid w:val="00A9207B"/>
    <w:rsid w:val="00A920DC"/>
    <w:rsid w:val="00A92EBF"/>
    <w:rsid w:val="00A92F90"/>
    <w:rsid w:val="00A930A8"/>
    <w:rsid w:val="00A9613F"/>
    <w:rsid w:val="00A9617E"/>
    <w:rsid w:val="00A9627D"/>
    <w:rsid w:val="00A962B3"/>
    <w:rsid w:val="00A96E3E"/>
    <w:rsid w:val="00AA0122"/>
    <w:rsid w:val="00AA017A"/>
    <w:rsid w:val="00AA01FF"/>
    <w:rsid w:val="00AA0EB4"/>
    <w:rsid w:val="00AA19B4"/>
    <w:rsid w:val="00AA3B5A"/>
    <w:rsid w:val="00AA3F81"/>
    <w:rsid w:val="00AA4791"/>
    <w:rsid w:val="00AA4F04"/>
    <w:rsid w:val="00AA5C96"/>
    <w:rsid w:val="00AB1BE7"/>
    <w:rsid w:val="00AB359C"/>
    <w:rsid w:val="00AB3E9F"/>
    <w:rsid w:val="00AB5CBD"/>
    <w:rsid w:val="00AB5E90"/>
    <w:rsid w:val="00AB6825"/>
    <w:rsid w:val="00AB7352"/>
    <w:rsid w:val="00AB7DA3"/>
    <w:rsid w:val="00AC0332"/>
    <w:rsid w:val="00AC1E51"/>
    <w:rsid w:val="00AC30C3"/>
    <w:rsid w:val="00AC3100"/>
    <w:rsid w:val="00AC384A"/>
    <w:rsid w:val="00AC41EC"/>
    <w:rsid w:val="00AC45B2"/>
    <w:rsid w:val="00AC4C05"/>
    <w:rsid w:val="00AC6039"/>
    <w:rsid w:val="00AC6222"/>
    <w:rsid w:val="00AC6E1A"/>
    <w:rsid w:val="00AD13D0"/>
    <w:rsid w:val="00AD147B"/>
    <w:rsid w:val="00AD2B1C"/>
    <w:rsid w:val="00AD3F15"/>
    <w:rsid w:val="00AD50A7"/>
    <w:rsid w:val="00AD5B0F"/>
    <w:rsid w:val="00AE0B6E"/>
    <w:rsid w:val="00AE0C42"/>
    <w:rsid w:val="00AE0FE3"/>
    <w:rsid w:val="00AE3282"/>
    <w:rsid w:val="00AE38C4"/>
    <w:rsid w:val="00AE4595"/>
    <w:rsid w:val="00AE4808"/>
    <w:rsid w:val="00AE4F5D"/>
    <w:rsid w:val="00AE523A"/>
    <w:rsid w:val="00AE53FC"/>
    <w:rsid w:val="00AE7A3C"/>
    <w:rsid w:val="00AE7DBC"/>
    <w:rsid w:val="00AE7E2D"/>
    <w:rsid w:val="00AF00EE"/>
    <w:rsid w:val="00AF1930"/>
    <w:rsid w:val="00AF1FEF"/>
    <w:rsid w:val="00AF2D66"/>
    <w:rsid w:val="00AF33C5"/>
    <w:rsid w:val="00AF52F9"/>
    <w:rsid w:val="00B0026B"/>
    <w:rsid w:val="00B0079A"/>
    <w:rsid w:val="00B00D4B"/>
    <w:rsid w:val="00B03078"/>
    <w:rsid w:val="00B0332E"/>
    <w:rsid w:val="00B043EA"/>
    <w:rsid w:val="00B05CAD"/>
    <w:rsid w:val="00B06455"/>
    <w:rsid w:val="00B06866"/>
    <w:rsid w:val="00B07DF4"/>
    <w:rsid w:val="00B10D64"/>
    <w:rsid w:val="00B134D8"/>
    <w:rsid w:val="00B13549"/>
    <w:rsid w:val="00B140C8"/>
    <w:rsid w:val="00B1515A"/>
    <w:rsid w:val="00B159CF"/>
    <w:rsid w:val="00B15F5A"/>
    <w:rsid w:val="00B1674D"/>
    <w:rsid w:val="00B16E06"/>
    <w:rsid w:val="00B20A6E"/>
    <w:rsid w:val="00B211DB"/>
    <w:rsid w:val="00B249B7"/>
    <w:rsid w:val="00B25CAD"/>
    <w:rsid w:val="00B277AA"/>
    <w:rsid w:val="00B306CB"/>
    <w:rsid w:val="00B308A3"/>
    <w:rsid w:val="00B30D28"/>
    <w:rsid w:val="00B34A51"/>
    <w:rsid w:val="00B35D14"/>
    <w:rsid w:val="00B36471"/>
    <w:rsid w:val="00B367BC"/>
    <w:rsid w:val="00B36CC8"/>
    <w:rsid w:val="00B36D3D"/>
    <w:rsid w:val="00B377CD"/>
    <w:rsid w:val="00B37A79"/>
    <w:rsid w:val="00B41042"/>
    <w:rsid w:val="00B41B17"/>
    <w:rsid w:val="00B42670"/>
    <w:rsid w:val="00B42EEF"/>
    <w:rsid w:val="00B44AC9"/>
    <w:rsid w:val="00B44CC3"/>
    <w:rsid w:val="00B45652"/>
    <w:rsid w:val="00B45C87"/>
    <w:rsid w:val="00B45F01"/>
    <w:rsid w:val="00B46848"/>
    <w:rsid w:val="00B47620"/>
    <w:rsid w:val="00B476D1"/>
    <w:rsid w:val="00B50887"/>
    <w:rsid w:val="00B50DB2"/>
    <w:rsid w:val="00B52033"/>
    <w:rsid w:val="00B538DF"/>
    <w:rsid w:val="00B54740"/>
    <w:rsid w:val="00B55E91"/>
    <w:rsid w:val="00B5664A"/>
    <w:rsid w:val="00B60595"/>
    <w:rsid w:val="00B6087E"/>
    <w:rsid w:val="00B61516"/>
    <w:rsid w:val="00B6175F"/>
    <w:rsid w:val="00B61EFA"/>
    <w:rsid w:val="00B6250D"/>
    <w:rsid w:val="00B62C12"/>
    <w:rsid w:val="00B63D34"/>
    <w:rsid w:val="00B64640"/>
    <w:rsid w:val="00B650E1"/>
    <w:rsid w:val="00B66D20"/>
    <w:rsid w:val="00B6737F"/>
    <w:rsid w:val="00B70423"/>
    <w:rsid w:val="00B70B60"/>
    <w:rsid w:val="00B70F5C"/>
    <w:rsid w:val="00B72145"/>
    <w:rsid w:val="00B73517"/>
    <w:rsid w:val="00B73CF0"/>
    <w:rsid w:val="00B74054"/>
    <w:rsid w:val="00B74105"/>
    <w:rsid w:val="00B7437F"/>
    <w:rsid w:val="00B74D9A"/>
    <w:rsid w:val="00B76269"/>
    <w:rsid w:val="00B76BA1"/>
    <w:rsid w:val="00B77959"/>
    <w:rsid w:val="00B81052"/>
    <w:rsid w:val="00B8264C"/>
    <w:rsid w:val="00B8318A"/>
    <w:rsid w:val="00B8360B"/>
    <w:rsid w:val="00B836A0"/>
    <w:rsid w:val="00B839D8"/>
    <w:rsid w:val="00B84675"/>
    <w:rsid w:val="00B87901"/>
    <w:rsid w:val="00B933A9"/>
    <w:rsid w:val="00B93464"/>
    <w:rsid w:val="00B943E1"/>
    <w:rsid w:val="00B94927"/>
    <w:rsid w:val="00B95118"/>
    <w:rsid w:val="00B95315"/>
    <w:rsid w:val="00B954F4"/>
    <w:rsid w:val="00B96CA2"/>
    <w:rsid w:val="00B97C9A"/>
    <w:rsid w:val="00BA06FA"/>
    <w:rsid w:val="00BA2DB1"/>
    <w:rsid w:val="00BA43BA"/>
    <w:rsid w:val="00BA4B5C"/>
    <w:rsid w:val="00BA5227"/>
    <w:rsid w:val="00BA5FDD"/>
    <w:rsid w:val="00BA7B72"/>
    <w:rsid w:val="00BB04F4"/>
    <w:rsid w:val="00BB060E"/>
    <w:rsid w:val="00BB2820"/>
    <w:rsid w:val="00BB3877"/>
    <w:rsid w:val="00BB497E"/>
    <w:rsid w:val="00BB778E"/>
    <w:rsid w:val="00BB7924"/>
    <w:rsid w:val="00BB7ED9"/>
    <w:rsid w:val="00BC0657"/>
    <w:rsid w:val="00BC16D9"/>
    <w:rsid w:val="00BC4956"/>
    <w:rsid w:val="00BC4D8A"/>
    <w:rsid w:val="00BC69E5"/>
    <w:rsid w:val="00BC6A81"/>
    <w:rsid w:val="00BC6D9B"/>
    <w:rsid w:val="00BC72E2"/>
    <w:rsid w:val="00BD008D"/>
    <w:rsid w:val="00BD04AC"/>
    <w:rsid w:val="00BD06C2"/>
    <w:rsid w:val="00BD06F5"/>
    <w:rsid w:val="00BD0CFD"/>
    <w:rsid w:val="00BD27DF"/>
    <w:rsid w:val="00BD3063"/>
    <w:rsid w:val="00BD3C4D"/>
    <w:rsid w:val="00BD47DF"/>
    <w:rsid w:val="00BD495B"/>
    <w:rsid w:val="00BD6531"/>
    <w:rsid w:val="00BE06F1"/>
    <w:rsid w:val="00BE0743"/>
    <w:rsid w:val="00BE1D78"/>
    <w:rsid w:val="00BE1E38"/>
    <w:rsid w:val="00BE28AB"/>
    <w:rsid w:val="00BE29DE"/>
    <w:rsid w:val="00BE2AA2"/>
    <w:rsid w:val="00BE2E3B"/>
    <w:rsid w:val="00BE349F"/>
    <w:rsid w:val="00BE44AC"/>
    <w:rsid w:val="00BE4C74"/>
    <w:rsid w:val="00BE528C"/>
    <w:rsid w:val="00BF20A0"/>
    <w:rsid w:val="00BF3814"/>
    <w:rsid w:val="00BF3D21"/>
    <w:rsid w:val="00BF4033"/>
    <w:rsid w:val="00BF432B"/>
    <w:rsid w:val="00BF447E"/>
    <w:rsid w:val="00BF44D3"/>
    <w:rsid w:val="00BF6320"/>
    <w:rsid w:val="00BF75FF"/>
    <w:rsid w:val="00BF7AA7"/>
    <w:rsid w:val="00BF7C05"/>
    <w:rsid w:val="00BF7F7F"/>
    <w:rsid w:val="00C0076E"/>
    <w:rsid w:val="00C00BB7"/>
    <w:rsid w:val="00C013FD"/>
    <w:rsid w:val="00C0202C"/>
    <w:rsid w:val="00C02CE7"/>
    <w:rsid w:val="00C02F74"/>
    <w:rsid w:val="00C036D8"/>
    <w:rsid w:val="00C0375C"/>
    <w:rsid w:val="00C037EF"/>
    <w:rsid w:val="00C038E6"/>
    <w:rsid w:val="00C03B0B"/>
    <w:rsid w:val="00C042DD"/>
    <w:rsid w:val="00C04368"/>
    <w:rsid w:val="00C050C3"/>
    <w:rsid w:val="00C0569B"/>
    <w:rsid w:val="00C07182"/>
    <w:rsid w:val="00C1010C"/>
    <w:rsid w:val="00C10A04"/>
    <w:rsid w:val="00C12430"/>
    <w:rsid w:val="00C13858"/>
    <w:rsid w:val="00C14B4E"/>
    <w:rsid w:val="00C15F82"/>
    <w:rsid w:val="00C16F26"/>
    <w:rsid w:val="00C21E9E"/>
    <w:rsid w:val="00C223C5"/>
    <w:rsid w:val="00C22820"/>
    <w:rsid w:val="00C23A6B"/>
    <w:rsid w:val="00C24143"/>
    <w:rsid w:val="00C2470E"/>
    <w:rsid w:val="00C24A0D"/>
    <w:rsid w:val="00C25D6B"/>
    <w:rsid w:val="00C25FB9"/>
    <w:rsid w:val="00C264B0"/>
    <w:rsid w:val="00C27463"/>
    <w:rsid w:val="00C27E6D"/>
    <w:rsid w:val="00C30260"/>
    <w:rsid w:val="00C30E33"/>
    <w:rsid w:val="00C31A81"/>
    <w:rsid w:val="00C31BD5"/>
    <w:rsid w:val="00C32164"/>
    <w:rsid w:val="00C32707"/>
    <w:rsid w:val="00C32C98"/>
    <w:rsid w:val="00C33796"/>
    <w:rsid w:val="00C33E64"/>
    <w:rsid w:val="00C353BD"/>
    <w:rsid w:val="00C35619"/>
    <w:rsid w:val="00C356EF"/>
    <w:rsid w:val="00C359E1"/>
    <w:rsid w:val="00C36474"/>
    <w:rsid w:val="00C367D1"/>
    <w:rsid w:val="00C36CAA"/>
    <w:rsid w:val="00C40D7F"/>
    <w:rsid w:val="00C4206B"/>
    <w:rsid w:val="00C42261"/>
    <w:rsid w:val="00C42567"/>
    <w:rsid w:val="00C43A65"/>
    <w:rsid w:val="00C43D70"/>
    <w:rsid w:val="00C43DD7"/>
    <w:rsid w:val="00C45104"/>
    <w:rsid w:val="00C4540B"/>
    <w:rsid w:val="00C455CB"/>
    <w:rsid w:val="00C46334"/>
    <w:rsid w:val="00C47A82"/>
    <w:rsid w:val="00C50E98"/>
    <w:rsid w:val="00C516B2"/>
    <w:rsid w:val="00C52412"/>
    <w:rsid w:val="00C52435"/>
    <w:rsid w:val="00C532F1"/>
    <w:rsid w:val="00C5474B"/>
    <w:rsid w:val="00C54C1E"/>
    <w:rsid w:val="00C56458"/>
    <w:rsid w:val="00C62833"/>
    <w:rsid w:val="00C62F6F"/>
    <w:rsid w:val="00C6394D"/>
    <w:rsid w:val="00C64129"/>
    <w:rsid w:val="00C6638D"/>
    <w:rsid w:val="00C668EA"/>
    <w:rsid w:val="00C672AB"/>
    <w:rsid w:val="00C6753E"/>
    <w:rsid w:val="00C67730"/>
    <w:rsid w:val="00C7098A"/>
    <w:rsid w:val="00C715C3"/>
    <w:rsid w:val="00C725DA"/>
    <w:rsid w:val="00C7323A"/>
    <w:rsid w:val="00C73DCA"/>
    <w:rsid w:val="00C7470D"/>
    <w:rsid w:val="00C756B8"/>
    <w:rsid w:val="00C759D7"/>
    <w:rsid w:val="00C75F2F"/>
    <w:rsid w:val="00C76178"/>
    <w:rsid w:val="00C76CE5"/>
    <w:rsid w:val="00C76DB6"/>
    <w:rsid w:val="00C77710"/>
    <w:rsid w:val="00C77A79"/>
    <w:rsid w:val="00C80CCE"/>
    <w:rsid w:val="00C810E2"/>
    <w:rsid w:val="00C82682"/>
    <w:rsid w:val="00C838F7"/>
    <w:rsid w:val="00C83C65"/>
    <w:rsid w:val="00C84401"/>
    <w:rsid w:val="00C8519A"/>
    <w:rsid w:val="00C85DC3"/>
    <w:rsid w:val="00C868AF"/>
    <w:rsid w:val="00C86FB5"/>
    <w:rsid w:val="00C90C8E"/>
    <w:rsid w:val="00C90E11"/>
    <w:rsid w:val="00C914AD"/>
    <w:rsid w:val="00C92D73"/>
    <w:rsid w:val="00C95867"/>
    <w:rsid w:val="00C96542"/>
    <w:rsid w:val="00C96BFD"/>
    <w:rsid w:val="00C971E0"/>
    <w:rsid w:val="00C974B2"/>
    <w:rsid w:val="00C976DD"/>
    <w:rsid w:val="00C97DB6"/>
    <w:rsid w:val="00CA071A"/>
    <w:rsid w:val="00CA0CB1"/>
    <w:rsid w:val="00CA2840"/>
    <w:rsid w:val="00CA2860"/>
    <w:rsid w:val="00CA31E1"/>
    <w:rsid w:val="00CA39DE"/>
    <w:rsid w:val="00CA3E30"/>
    <w:rsid w:val="00CA427E"/>
    <w:rsid w:val="00CA4D9C"/>
    <w:rsid w:val="00CA5A13"/>
    <w:rsid w:val="00CA5BCE"/>
    <w:rsid w:val="00CA6252"/>
    <w:rsid w:val="00CA62BE"/>
    <w:rsid w:val="00CA6728"/>
    <w:rsid w:val="00CB08A6"/>
    <w:rsid w:val="00CB120E"/>
    <w:rsid w:val="00CB142C"/>
    <w:rsid w:val="00CB1E05"/>
    <w:rsid w:val="00CB262A"/>
    <w:rsid w:val="00CB2D04"/>
    <w:rsid w:val="00CB3C34"/>
    <w:rsid w:val="00CB41F5"/>
    <w:rsid w:val="00CB4939"/>
    <w:rsid w:val="00CB4D4F"/>
    <w:rsid w:val="00CB6035"/>
    <w:rsid w:val="00CB6378"/>
    <w:rsid w:val="00CB6C42"/>
    <w:rsid w:val="00CC0793"/>
    <w:rsid w:val="00CC1329"/>
    <w:rsid w:val="00CC1EED"/>
    <w:rsid w:val="00CC453A"/>
    <w:rsid w:val="00CC464A"/>
    <w:rsid w:val="00CC4F13"/>
    <w:rsid w:val="00CC707E"/>
    <w:rsid w:val="00CC7216"/>
    <w:rsid w:val="00CC7B9D"/>
    <w:rsid w:val="00CD2D5D"/>
    <w:rsid w:val="00CD340F"/>
    <w:rsid w:val="00CD386C"/>
    <w:rsid w:val="00CD3D7D"/>
    <w:rsid w:val="00CD458E"/>
    <w:rsid w:val="00CD5022"/>
    <w:rsid w:val="00CD51A2"/>
    <w:rsid w:val="00CD5B86"/>
    <w:rsid w:val="00CD5CFA"/>
    <w:rsid w:val="00CD6688"/>
    <w:rsid w:val="00CD69A7"/>
    <w:rsid w:val="00CD6E8C"/>
    <w:rsid w:val="00CD6EA6"/>
    <w:rsid w:val="00CD7156"/>
    <w:rsid w:val="00CE0590"/>
    <w:rsid w:val="00CE1D86"/>
    <w:rsid w:val="00CE1F56"/>
    <w:rsid w:val="00CE2D4E"/>
    <w:rsid w:val="00CE3364"/>
    <w:rsid w:val="00CE35AD"/>
    <w:rsid w:val="00CE5DE0"/>
    <w:rsid w:val="00CE6014"/>
    <w:rsid w:val="00CE6731"/>
    <w:rsid w:val="00CE73CB"/>
    <w:rsid w:val="00CE7E2C"/>
    <w:rsid w:val="00CF0771"/>
    <w:rsid w:val="00CF0F02"/>
    <w:rsid w:val="00CF1D87"/>
    <w:rsid w:val="00CF1F18"/>
    <w:rsid w:val="00CF25C2"/>
    <w:rsid w:val="00CF2EB8"/>
    <w:rsid w:val="00CF30C2"/>
    <w:rsid w:val="00CF4358"/>
    <w:rsid w:val="00CF4FDD"/>
    <w:rsid w:val="00CF6F89"/>
    <w:rsid w:val="00CF7100"/>
    <w:rsid w:val="00CF7DA1"/>
    <w:rsid w:val="00D00EB2"/>
    <w:rsid w:val="00D01B5D"/>
    <w:rsid w:val="00D02E8A"/>
    <w:rsid w:val="00D037A7"/>
    <w:rsid w:val="00D05589"/>
    <w:rsid w:val="00D05E39"/>
    <w:rsid w:val="00D05FB1"/>
    <w:rsid w:val="00D06BA1"/>
    <w:rsid w:val="00D1069F"/>
    <w:rsid w:val="00D12468"/>
    <w:rsid w:val="00D12DFE"/>
    <w:rsid w:val="00D1348F"/>
    <w:rsid w:val="00D13501"/>
    <w:rsid w:val="00D13877"/>
    <w:rsid w:val="00D13F80"/>
    <w:rsid w:val="00D14030"/>
    <w:rsid w:val="00D140A7"/>
    <w:rsid w:val="00D14A49"/>
    <w:rsid w:val="00D170B3"/>
    <w:rsid w:val="00D17C07"/>
    <w:rsid w:val="00D222EB"/>
    <w:rsid w:val="00D22488"/>
    <w:rsid w:val="00D2374F"/>
    <w:rsid w:val="00D2418C"/>
    <w:rsid w:val="00D241B0"/>
    <w:rsid w:val="00D24FA5"/>
    <w:rsid w:val="00D250D5"/>
    <w:rsid w:val="00D25AF8"/>
    <w:rsid w:val="00D26156"/>
    <w:rsid w:val="00D26258"/>
    <w:rsid w:val="00D27602"/>
    <w:rsid w:val="00D30A9C"/>
    <w:rsid w:val="00D3117F"/>
    <w:rsid w:val="00D317EA"/>
    <w:rsid w:val="00D31FB4"/>
    <w:rsid w:val="00D32B0D"/>
    <w:rsid w:val="00D32F4F"/>
    <w:rsid w:val="00D369A2"/>
    <w:rsid w:val="00D3781A"/>
    <w:rsid w:val="00D4159A"/>
    <w:rsid w:val="00D42572"/>
    <w:rsid w:val="00D42F5B"/>
    <w:rsid w:val="00D4344C"/>
    <w:rsid w:val="00D43478"/>
    <w:rsid w:val="00D45726"/>
    <w:rsid w:val="00D45AA2"/>
    <w:rsid w:val="00D46059"/>
    <w:rsid w:val="00D4751A"/>
    <w:rsid w:val="00D509B3"/>
    <w:rsid w:val="00D5179D"/>
    <w:rsid w:val="00D54F4A"/>
    <w:rsid w:val="00D55653"/>
    <w:rsid w:val="00D57F1E"/>
    <w:rsid w:val="00D6146B"/>
    <w:rsid w:val="00D61760"/>
    <w:rsid w:val="00D62631"/>
    <w:rsid w:val="00D62CF5"/>
    <w:rsid w:val="00D64AB4"/>
    <w:rsid w:val="00D64E05"/>
    <w:rsid w:val="00D6659D"/>
    <w:rsid w:val="00D6678C"/>
    <w:rsid w:val="00D66BEE"/>
    <w:rsid w:val="00D67396"/>
    <w:rsid w:val="00D70417"/>
    <w:rsid w:val="00D7149D"/>
    <w:rsid w:val="00D71F5C"/>
    <w:rsid w:val="00D7246F"/>
    <w:rsid w:val="00D7276A"/>
    <w:rsid w:val="00D72C0B"/>
    <w:rsid w:val="00D72D96"/>
    <w:rsid w:val="00D73207"/>
    <w:rsid w:val="00D738B9"/>
    <w:rsid w:val="00D73BD0"/>
    <w:rsid w:val="00D7428C"/>
    <w:rsid w:val="00D74313"/>
    <w:rsid w:val="00D744FC"/>
    <w:rsid w:val="00D74B45"/>
    <w:rsid w:val="00D74CF2"/>
    <w:rsid w:val="00D75E57"/>
    <w:rsid w:val="00D76BB4"/>
    <w:rsid w:val="00D76D6C"/>
    <w:rsid w:val="00D8067F"/>
    <w:rsid w:val="00D80B26"/>
    <w:rsid w:val="00D82ADD"/>
    <w:rsid w:val="00D8315F"/>
    <w:rsid w:val="00D8316C"/>
    <w:rsid w:val="00D83B91"/>
    <w:rsid w:val="00D8469A"/>
    <w:rsid w:val="00D869FC"/>
    <w:rsid w:val="00D87C10"/>
    <w:rsid w:val="00D91E09"/>
    <w:rsid w:val="00D92973"/>
    <w:rsid w:val="00D92E0D"/>
    <w:rsid w:val="00D93055"/>
    <w:rsid w:val="00D937C4"/>
    <w:rsid w:val="00D93F31"/>
    <w:rsid w:val="00D960E3"/>
    <w:rsid w:val="00D979F7"/>
    <w:rsid w:val="00DA094D"/>
    <w:rsid w:val="00DA0978"/>
    <w:rsid w:val="00DA1679"/>
    <w:rsid w:val="00DA17DF"/>
    <w:rsid w:val="00DA390A"/>
    <w:rsid w:val="00DA3BEA"/>
    <w:rsid w:val="00DA47A6"/>
    <w:rsid w:val="00DA55A3"/>
    <w:rsid w:val="00DA5B77"/>
    <w:rsid w:val="00DA607E"/>
    <w:rsid w:val="00DA62CB"/>
    <w:rsid w:val="00DA667B"/>
    <w:rsid w:val="00DA733D"/>
    <w:rsid w:val="00DB0627"/>
    <w:rsid w:val="00DB1262"/>
    <w:rsid w:val="00DB18A0"/>
    <w:rsid w:val="00DB24E1"/>
    <w:rsid w:val="00DB4B21"/>
    <w:rsid w:val="00DB4E0E"/>
    <w:rsid w:val="00DB59DB"/>
    <w:rsid w:val="00DB62F4"/>
    <w:rsid w:val="00DC00B9"/>
    <w:rsid w:val="00DC0884"/>
    <w:rsid w:val="00DC1C75"/>
    <w:rsid w:val="00DC2DD5"/>
    <w:rsid w:val="00DC4157"/>
    <w:rsid w:val="00DC4F25"/>
    <w:rsid w:val="00DC5BF0"/>
    <w:rsid w:val="00DC74E5"/>
    <w:rsid w:val="00DC7AF6"/>
    <w:rsid w:val="00DC7ED8"/>
    <w:rsid w:val="00DD1B8A"/>
    <w:rsid w:val="00DD2BE8"/>
    <w:rsid w:val="00DD2F2A"/>
    <w:rsid w:val="00DD471A"/>
    <w:rsid w:val="00DD4C7A"/>
    <w:rsid w:val="00DD4D8F"/>
    <w:rsid w:val="00DD5865"/>
    <w:rsid w:val="00DD6F30"/>
    <w:rsid w:val="00DD6F6B"/>
    <w:rsid w:val="00DD7018"/>
    <w:rsid w:val="00DD77DD"/>
    <w:rsid w:val="00DE03C1"/>
    <w:rsid w:val="00DE08C5"/>
    <w:rsid w:val="00DE0922"/>
    <w:rsid w:val="00DE0AB7"/>
    <w:rsid w:val="00DE0CB7"/>
    <w:rsid w:val="00DE2278"/>
    <w:rsid w:val="00DE23A5"/>
    <w:rsid w:val="00DE2538"/>
    <w:rsid w:val="00DE29F5"/>
    <w:rsid w:val="00DE2A2E"/>
    <w:rsid w:val="00DE2B52"/>
    <w:rsid w:val="00DE2EB8"/>
    <w:rsid w:val="00DE30AB"/>
    <w:rsid w:val="00DE3599"/>
    <w:rsid w:val="00DE47BB"/>
    <w:rsid w:val="00DE5396"/>
    <w:rsid w:val="00DE55E8"/>
    <w:rsid w:val="00DE64C8"/>
    <w:rsid w:val="00DE6A6C"/>
    <w:rsid w:val="00DF08B3"/>
    <w:rsid w:val="00DF0B02"/>
    <w:rsid w:val="00DF0B6B"/>
    <w:rsid w:val="00DF0CB6"/>
    <w:rsid w:val="00DF0D39"/>
    <w:rsid w:val="00DF1E46"/>
    <w:rsid w:val="00DF2223"/>
    <w:rsid w:val="00DF2C7E"/>
    <w:rsid w:val="00DF2D1D"/>
    <w:rsid w:val="00DF2DF0"/>
    <w:rsid w:val="00DF4ACF"/>
    <w:rsid w:val="00DF4B2C"/>
    <w:rsid w:val="00DF5315"/>
    <w:rsid w:val="00DF7B4A"/>
    <w:rsid w:val="00E00104"/>
    <w:rsid w:val="00E007E2"/>
    <w:rsid w:val="00E00D1F"/>
    <w:rsid w:val="00E010FC"/>
    <w:rsid w:val="00E029F4"/>
    <w:rsid w:val="00E030C2"/>
    <w:rsid w:val="00E035FA"/>
    <w:rsid w:val="00E0369F"/>
    <w:rsid w:val="00E03B3A"/>
    <w:rsid w:val="00E05035"/>
    <w:rsid w:val="00E0546D"/>
    <w:rsid w:val="00E06922"/>
    <w:rsid w:val="00E07971"/>
    <w:rsid w:val="00E07B87"/>
    <w:rsid w:val="00E07CAC"/>
    <w:rsid w:val="00E11064"/>
    <w:rsid w:val="00E13E85"/>
    <w:rsid w:val="00E13EBD"/>
    <w:rsid w:val="00E13FAB"/>
    <w:rsid w:val="00E15579"/>
    <w:rsid w:val="00E15615"/>
    <w:rsid w:val="00E178FC"/>
    <w:rsid w:val="00E2022E"/>
    <w:rsid w:val="00E207F6"/>
    <w:rsid w:val="00E20841"/>
    <w:rsid w:val="00E21365"/>
    <w:rsid w:val="00E21C20"/>
    <w:rsid w:val="00E2211B"/>
    <w:rsid w:val="00E2291C"/>
    <w:rsid w:val="00E23778"/>
    <w:rsid w:val="00E2394F"/>
    <w:rsid w:val="00E255D8"/>
    <w:rsid w:val="00E26411"/>
    <w:rsid w:val="00E26784"/>
    <w:rsid w:val="00E26C5F"/>
    <w:rsid w:val="00E26DC3"/>
    <w:rsid w:val="00E270E7"/>
    <w:rsid w:val="00E308E0"/>
    <w:rsid w:val="00E317F4"/>
    <w:rsid w:val="00E32B7F"/>
    <w:rsid w:val="00E32C0B"/>
    <w:rsid w:val="00E32C48"/>
    <w:rsid w:val="00E340F9"/>
    <w:rsid w:val="00E34D86"/>
    <w:rsid w:val="00E375F0"/>
    <w:rsid w:val="00E37E55"/>
    <w:rsid w:val="00E40A49"/>
    <w:rsid w:val="00E41751"/>
    <w:rsid w:val="00E42202"/>
    <w:rsid w:val="00E4243D"/>
    <w:rsid w:val="00E440A1"/>
    <w:rsid w:val="00E4432C"/>
    <w:rsid w:val="00E44FC4"/>
    <w:rsid w:val="00E453B3"/>
    <w:rsid w:val="00E45775"/>
    <w:rsid w:val="00E45A2F"/>
    <w:rsid w:val="00E46298"/>
    <w:rsid w:val="00E4691E"/>
    <w:rsid w:val="00E47625"/>
    <w:rsid w:val="00E50334"/>
    <w:rsid w:val="00E50C62"/>
    <w:rsid w:val="00E511FC"/>
    <w:rsid w:val="00E519F5"/>
    <w:rsid w:val="00E52B3A"/>
    <w:rsid w:val="00E52E52"/>
    <w:rsid w:val="00E54C53"/>
    <w:rsid w:val="00E56364"/>
    <w:rsid w:val="00E575FA"/>
    <w:rsid w:val="00E61D0E"/>
    <w:rsid w:val="00E61F14"/>
    <w:rsid w:val="00E62815"/>
    <w:rsid w:val="00E629DB"/>
    <w:rsid w:val="00E62EBF"/>
    <w:rsid w:val="00E63422"/>
    <w:rsid w:val="00E64393"/>
    <w:rsid w:val="00E644BB"/>
    <w:rsid w:val="00E65385"/>
    <w:rsid w:val="00E658AC"/>
    <w:rsid w:val="00E65F4E"/>
    <w:rsid w:val="00E66666"/>
    <w:rsid w:val="00E678A7"/>
    <w:rsid w:val="00E710EA"/>
    <w:rsid w:val="00E7228A"/>
    <w:rsid w:val="00E73102"/>
    <w:rsid w:val="00E73C79"/>
    <w:rsid w:val="00E7611E"/>
    <w:rsid w:val="00E763BA"/>
    <w:rsid w:val="00E77353"/>
    <w:rsid w:val="00E80EA8"/>
    <w:rsid w:val="00E80FFB"/>
    <w:rsid w:val="00E8118A"/>
    <w:rsid w:val="00E8183F"/>
    <w:rsid w:val="00E8220F"/>
    <w:rsid w:val="00E82FA5"/>
    <w:rsid w:val="00E83120"/>
    <w:rsid w:val="00E83132"/>
    <w:rsid w:val="00E83532"/>
    <w:rsid w:val="00E83CF1"/>
    <w:rsid w:val="00E84174"/>
    <w:rsid w:val="00E85974"/>
    <w:rsid w:val="00E86739"/>
    <w:rsid w:val="00E869E4"/>
    <w:rsid w:val="00E86C3F"/>
    <w:rsid w:val="00E9032B"/>
    <w:rsid w:val="00E90957"/>
    <w:rsid w:val="00E90E03"/>
    <w:rsid w:val="00E91C83"/>
    <w:rsid w:val="00E91E21"/>
    <w:rsid w:val="00E91F62"/>
    <w:rsid w:val="00E922D9"/>
    <w:rsid w:val="00E94312"/>
    <w:rsid w:val="00E95BA6"/>
    <w:rsid w:val="00E95CA6"/>
    <w:rsid w:val="00E966F1"/>
    <w:rsid w:val="00E978DC"/>
    <w:rsid w:val="00EA14DF"/>
    <w:rsid w:val="00EA1A74"/>
    <w:rsid w:val="00EA216C"/>
    <w:rsid w:val="00EA2C5B"/>
    <w:rsid w:val="00EA30A8"/>
    <w:rsid w:val="00EA3E4F"/>
    <w:rsid w:val="00EA4626"/>
    <w:rsid w:val="00EA4D9E"/>
    <w:rsid w:val="00EA505B"/>
    <w:rsid w:val="00EA538A"/>
    <w:rsid w:val="00EA613E"/>
    <w:rsid w:val="00EA7474"/>
    <w:rsid w:val="00EB0971"/>
    <w:rsid w:val="00EB28D3"/>
    <w:rsid w:val="00EB2FCB"/>
    <w:rsid w:val="00EB4B8C"/>
    <w:rsid w:val="00EB5923"/>
    <w:rsid w:val="00EB6F35"/>
    <w:rsid w:val="00EB7700"/>
    <w:rsid w:val="00EB7D11"/>
    <w:rsid w:val="00EC1C24"/>
    <w:rsid w:val="00EC219B"/>
    <w:rsid w:val="00EC3437"/>
    <w:rsid w:val="00EC464E"/>
    <w:rsid w:val="00EC666A"/>
    <w:rsid w:val="00EC7470"/>
    <w:rsid w:val="00EC7493"/>
    <w:rsid w:val="00EC7F46"/>
    <w:rsid w:val="00ED18EF"/>
    <w:rsid w:val="00ED1E2A"/>
    <w:rsid w:val="00ED335C"/>
    <w:rsid w:val="00ED616B"/>
    <w:rsid w:val="00ED777F"/>
    <w:rsid w:val="00EE08C7"/>
    <w:rsid w:val="00EE2159"/>
    <w:rsid w:val="00EE2D0C"/>
    <w:rsid w:val="00EE2DF3"/>
    <w:rsid w:val="00EE3402"/>
    <w:rsid w:val="00EE3410"/>
    <w:rsid w:val="00EE48C2"/>
    <w:rsid w:val="00EE49C8"/>
    <w:rsid w:val="00EE59FD"/>
    <w:rsid w:val="00EE5D0D"/>
    <w:rsid w:val="00EF2019"/>
    <w:rsid w:val="00EF2B6C"/>
    <w:rsid w:val="00EF37E9"/>
    <w:rsid w:val="00EF5C45"/>
    <w:rsid w:val="00EF5C63"/>
    <w:rsid w:val="00EF631D"/>
    <w:rsid w:val="00EF66BB"/>
    <w:rsid w:val="00EF7141"/>
    <w:rsid w:val="00EF751D"/>
    <w:rsid w:val="00F00528"/>
    <w:rsid w:val="00F00F1E"/>
    <w:rsid w:val="00F02BEB"/>
    <w:rsid w:val="00F04BA6"/>
    <w:rsid w:val="00F04CE5"/>
    <w:rsid w:val="00F05ABB"/>
    <w:rsid w:val="00F06701"/>
    <w:rsid w:val="00F06C42"/>
    <w:rsid w:val="00F0769D"/>
    <w:rsid w:val="00F07F5C"/>
    <w:rsid w:val="00F1058F"/>
    <w:rsid w:val="00F1099A"/>
    <w:rsid w:val="00F11A7D"/>
    <w:rsid w:val="00F121E4"/>
    <w:rsid w:val="00F122EF"/>
    <w:rsid w:val="00F126A4"/>
    <w:rsid w:val="00F14A03"/>
    <w:rsid w:val="00F1539F"/>
    <w:rsid w:val="00F157A3"/>
    <w:rsid w:val="00F16275"/>
    <w:rsid w:val="00F16A9B"/>
    <w:rsid w:val="00F16FC0"/>
    <w:rsid w:val="00F172FF"/>
    <w:rsid w:val="00F21D46"/>
    <w:rsid w:val="00F2318C"/>
    <w:rsid w:val="00F231C8"/>
    <w:rsid w:val="00F23478"/>
    <w:rsid w:val="00F2355B"/>
    <w:rsid w:val="00F23908"/>
    <w:rsid w:val="00F23F7C"/>
    <w:rsid w:val="00F26130"/>
    <w:rsid w:val="00F26CA6"/>
    <w:rsid w:val="00F26DEE"/>
    <w:rsid w:val="00F27117"/>
    <w:rsid w:val="00F276D2"/>
    <w:rsid w:val="00F27F97"/>
    <w:rsid w:val="00F31387"/>
    <w:rsid w:val="00F31AAC"/>
    <w:rsid w:val="00F34696"/>
    <w:rsid w:val="00F34D99"/>
    <w:rsid w:val="00F36AAD"/>
    <w:rsid w:val="00F37088"/>
    <w:rsid w:val="00F371A3"/>
    <w:rsid w:val="00F4068B"/>
    <w:rsid w:val="00F40F3B"/>
    <w:rsid w:val="00F43204"/>
    <w:rsid w:val="00F4711F"/>
    <w:rsid w:val="00F472BF"/>
    <w:rsid w:val="00F50EE1"/>
    <w:rsid w:val="00F51B0B"/>
    <w:rsid w:val="00F53858"/>
    <w:rsid w:val="00F53EC2"/>
    <w:rsid w:val="00F5429B"/>
    <w:rsid w:val="00F553BF"/>
    <w:rsid w:val="00F55E37"/>
    <w:rsid w:val="00F56891"/>
    <w:rsid w:val="00F56F30"/>
    <w:rsid w:val="00F60862"/>
    <w:rsid w:val="00F617B4"/>
    <w:rsid w:val="00F61957"/>
    <w:rsid w:val="00F62A2A"/>
    <w:rsid w:val="00F62B54"/>
    <w:rsid w:val="00F6381C"/>
    <w:rsid w:val="00F63B61"/>
    <w:rsid w:val="00F6468A"/>
    <w:rsid w:val="00F65F56"/>
    <w:rsid w:val="00F66660"/>
    <w:rsid w:val="00F668CA"/>
    <w:rsid w:val="00F67CAE"/>
    <w:rsid w:val="00F700A6"/>
    <w:rsid w:val="00F700EC"/>
    <w:rsid w:val="00F701D6"/>
    <w:rsid w:val="00F710C2"/>
    <w:rsid w:val="00F71D3F"/>
    <w:rsid w:val="00F726FE"/>
    <w:rsid w:val="00F73F2B"/>
    <w:rsid w:val="00F74145"/>
    <w:rsid w:val="00F74256"/>
    <w:rsid w:val="00F7556C"/>
    <w:rsid w:val="00F774E6"/>
    <w:rsid w:val="00F777C3"/>
    <w:rsid w:val="00F808A2"/>
    <w:rsid w:val="00F80BB2"/>
    <w:rsid w:val="00F811F4"/>
    <w:rsid w:val="00F818C2"/>
    <w:rsid w:val="00F82133"/>
    <w:rsid w:val="00F82D35"/>
    <w:rsid w:val="00F8323D"/>
    <w:rsid w:val="00F8400B"/>
    <w:rsid w:val="00F84393"/>
    <w:rsid w:val="00F852AB"/>
    <w:rsid w:val="00F8600C"/>
    <w:rsid w:val="00F87078"/>
    <w:rsid w:val="00F8772D"/>
    <w:rsid w:val="00F87959"/>
    <w:rsid w:val="00F87A3C"/>
    <w:rsid w:val="00F911E0"/>
    <w:rsid w:val="00F9122D"/>
    <w:rsid w:val="00F937D1"/>
    <w:rsid w:val="00F94259"/>
    <w:rsid w:val="00F94836"/>
    <w:rsid w:val="00F9593A"/>
    <w:rsid w:val="00F965CF"/>
    <w:rsid w:val="00F96FEB"/>
    <w:rsid w:val="00F97874"/>
    <w:rsid w:val="00F9794E"/>
    <w:rsid w:val="00FA007C"/>
    <w:rsid w:val="00FA0848"/>
    <w:rsid w:val="00FA0863"/>
    <w:rsid w:val="00FA2661"/>
    <w:rsid w:val="00FA43D4"/>
    <w:rsid w:val="00FA48FB"/>
    <w:rsid w:val="00FA5221"/>
    <w:rsid w:val="00FA6553"/>
    <w:rsid w:val="00FB00FE"/>
    <w:rsid w:val="00FB155C"/>
    <w:rsid w:val="00FB1586"/>
    <w:rsid w:val="00FB2594"/>
    <w:rsid w:val="00FB356D"/>
    <w:rsid w:val="00FB469B"/>
    <w:rsid w:val="00FB4BE8"/>
    <w:rsid w:val="00FB5971"/>
    <w:rsid w:val="00FB6990"/>
    <w:rsid w:val="00FB768C"/>
    <w:rsid w:val="00FB7D08"/>
    <w:rsid w:val="00FC0A41"/>
    <w:rsid w:val="00FC2464"/>
    <w:rsid w:val="00FC2A31"/>
    <w:rsid w:val="00FC2B77"/>
    <w:rsid w:val="00FC2EE2"/>
    <w:rsid w:val="00FC30A1"/>
    <w:rsid w:val="00FC468C"/>
    <w:rsid w:val="00FC4741"/>
    <w:rsid w:val="00FC62D1"/>
    <w:rsid w:val="00FD0324"/>
    <w:rsid w:val="00FD1DFD"/>
    <w:rsid w:val="00FD213E"/>
    <w:rsid w:val="00FD2F1E"/>
    <w:rsid w:val="00FD3E5F"/>
    <w:rsid w:val="00FD40D5"/>
    <w:rsid w:val="00FD4288"/>
    <w:rsid w:val="00FD56E5"/>
    <w:rsid w:val="00FD7301"/>
    <w:rsid w:val="00FD7F6D"/>
    <w:rsid w:val="00FE01EF"/>
    <w:rsid w:val="00FE0295"/>
    <w:rsid w:val="00FE03AC"/>
    <w:rsid w:val="00FE05DC"/>
    <w:rsid w:val="00FE20C4"/>
    <w:rsid w:val="00FE225C"/>
    <w:rsid w:val="00FE26A3"/>
    <w:rsid w:val="00FE2F69"/>
    <w:rsid w:val="00FE5A6F"/>
    <w:rsid w:val="00FE6120"/>
    <w:rsid w:val="00FE68C2"/>
    <w:rsid w:val="00FE7EAC"/>
    <w:rsid w:val="00FF047E"/>
    <w:rsid w:val="00FF15F7"/>
    <w:rsid w:val="00FF176E"/>
    <w:rsid w:val="00FF227B"/>
    <w:rsid w:val="00FF356A"/>
    <w:rsid w:val="00FF3B12"/>
    <w:rsid w:val="00FF47AD"/>
    <w:rsid w:val="00FF4AAF"/>
    <w:rsid w:val="00FF4EE5"/>
    <w:rsid w:val="00FF5056"/>
    <w:rsid w:val="00FF5162"/>
    <w:rsid w:val="00FF6E25"/>
    <w:rsid w:val="00FF73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14:docId w14:val="518832B6"/>
  <w15:chartTrackingRefBased/>
  <w15:docId w15:val="{E30383A2-D274-491E-A76E-E88D516A7E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uiPriority="10"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aliases w:val="l1"/>
    <w:basedOn w:val="Normal"/>
    <w:next w:val="Normal"/>
    <w:link w:val="Heading1Char"/>
    <w:uiPriority w:val="9"/>
    <w:qFormat/>
    <w:rsid w:val="00015B17"/>
    <w:pPr>
      <w:widowControl w:val="0"/>
      <w:tabs>
        <w:tab w:val="left" w:pos="-720"/>
      </w:tabs>
      <w:suppressAutoHyphens/>
      <w:autoSpaceDE w:val="0"/>
      <w:autoSpaceDN w:val="0"/>
      <w:adjustRightInd w:val="0"/>
      <w:spacing w:line="240" w:lineRule="atLeast"/>
      <w:jc w:val="center"/>
      <w:outlineLvl w:val="0"/>
    </w:pPr>
    <w:rPr>
      <w:rFonts w:ascii="Footlight MT Light" w:hAnsi="Footlight MT Light" w:cs="Footlight MT Light"/>
      <w:b/>
      <w:bCs/>
      <w:smallCaps/>
    </w:rPr>
  </w:style>
  <w:style w:type="paragraph" w:styleId="Heading2">
    <w:name w:val="heading 2"/>
    <w:aliases w:val="l2"/>
    <w:basedOn w:val="Normal"/>
    <w:next w:val="Normal"/>
    <w:link w:val="Heading2Char"/>
    <w:uiPriority w:val="9"/>
    <w:qFormat/>
    <w:rsid w:val="00015B17"/>
    <w:pPr>
      <w:widowControl w:val="0"/>
      <w:tabs>
        <w:tab w:val="left" w:pos="-720"/>
      </w:tabs>
      <w:suppressAutoHyphens/>
      <w:autoSpaceDE w:val="0"/>
      <w:autoSpaceDN w:val="0"/>
      <w:adjustRightInd w:val="0"/>
      <w:spacing w:line="480" w:lineRule="atLeast"/>
      <w:outlineLvl w:val="1"/>
    </w:pPr>
    <w:rPr>
      <w:rFonts w:ascii="Footlight MT Light" w:hAnsi="Footlight MT Light" w:cs="Footlight MT Light"/>
      <w:b/>
      <w:bCs/>
    </w:rPr>
  </w:style>
  <w:style w:type="paragraph" w:styleId="Heading3">
    <w:name w:val="heading 3"/>
    <w:basedOn w:val="Normal"/>
    <w:next w:val="Normal"/>
    <w:link w:val="Heading3Char"/>
    <w:uiPriority w:val="9"/>
    <w:qFormat/>
    <w:rsid w:val="00015B17"/>
    <w:pPr>
      <w:widowControl w:val="0"/>
      <w:tabs>
        <w:tab w:val="left" w:pos="0"/>
        <w:tab w:val="left" w:pos="360"/>
        <w:tab w:val="left" w:pos="450"/>
      </w:tabs>
      <w:suppressAutoHyphens/>
      <w:autoSpaceDE w:val="0"/>
      <w:autoSpaceDN w:val="0"/>
      <w:adjustRightInd w:val="0"/>
      <w:spacing w:line="240" w:lineRule="atLeast"/>
      <w:ind w:left="360" w:hanging="360"/>
      <w:outlineLvl w:val="2"/>
    </w:pPr>
    <w:rPr>
      <w:rFonts w:ascii="Footlight MT Light" w:hAnsi="Footlight MT Light" w:cs="Footlight MT Light"/>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rsid w:val="00E010FC"/>
    <w:rPr>
      <w:rFonts w:ascii="Tahoma" w:hAnsi="Tahoma" w:cs="Tahoma"/>
      <w:sz w:val="16"/>
      <w:szCs w:val="16"/>
    </w:rPr>
  </w:style>
  <w:style w:type="paragraph" w:customStyle="1" w:styleId="subtitulo">
    <w:name w:val="subtitulo"/>
    <w:rsid w:val="00DE03C1"/>
    <w:pPr>
      <w:widowControl w:val="0"/>
      <w:tabs>
        <w:tab w:val="left" w:pos="-1440"/>
        <w:tab w:val="left" w:pos="-720"/>
        <w:tab w:val="left" w:pos="0"/>
        <w:tab w:val="left" w:pos="720"/>
        <w:tab w:val="left" w:pos="1440"/>
        <w:tab w:val="left" w:pos="2160"/>
        <w:tab w:val="left" w:pos="2834"/>
        <w:tab w:val="left" w:pos="2880"/>
      </w:tabs>
      <w:suppressAutoHyphens/>
      <w:autoSpaceDE w:val="0"/>
      <w:autoSpaceDN w:val="0"/>
      <w:adjustRightInd w:val="0"/>
      <w:spacing w:line="240" w:lineRule="atLeast"/>
    </w:pPr>
    <w:rPr>
      <w:b/>
      <w:bCs/>
      <w:sz w:val="28"/>
      <w:szCs w:val="28"/>
    </w:rPr>
  </w:style>
  <w:style w:type="character" w:styleId="PlaceholderText">
    <w:name w:val="Placeholder Text"/>
    <w:uiPriority w:val="99"/>
    <w:semiHidden/>
    <w:rsid w:val="00015B17"/>
    <w:rPr>
      <w:rFonts w:cs="Times New Roman"/>
      <w:color w:val="808080"/>
    </w:rPr>
  </w:style>
  <w:style w:type="character" w:customStyle="1" w:styleId="BalloonTextChar">
    <w:name w:val="Balloon Text Char"/>
    <w:link w:val="BalloonText"/>
    <w:semiHidden/>
    <w:locked/>
    <w:rsid w:val="00015B17"/>
    <w:rPr>
      <w:rFonts w:ascii="Tahoma" w:hAnsi="Tahoma" w:cs="Tahoma"/>
      <w:sz w:val="16"/>
      <w:szCs w:val="16"/>
      <w:lang w:val="en-US" w:eastAsia="en-US" w:bidi="ar-SA"/>
    </w:rPr>
  </w:style>
  <w:style w:type="paragraph" w:styleId="ListParagraph">
    <w:name w:val="List Paragraph"/>
    <w:basedOn w:val="Normal"/>
    <w:uiPriority w:val="34"/>
    <w:qFormat/>
    <w:rsid w:val="00015B17"/>
    <w:pPr>
      <w:spacing w:after="200" w:line="276" w:lineRule="auto"/>
      <w:ind w:left="720"/>
      <w:contextualSpacing/>
    </w:pPr>
    <w:rPr>
      <w:rFonts w:ascii="Calibri" w:hAnsi="Calibri"/>
      <w:sz w:val="22"/>
      <w:szCs w:val="22"/>
    </w:rPr>
  </w:style>
  <w:style w:type="paragraph" w:styleId="Revision">
    <w:name w:val="Revision"/>
    <w:hidden/>
    <w:semiHidden/>
    <w:rsid w:val="00015B17"/>
    <w:rPr>
      <w:rFonts w:ascii="Calibri" w:hAnsi="Calibri"/>
      <w:sz w:val="22"/>
      <w:szCs w:val="22"/>
    </w:rPr>
  </w:style>
  <w:style w:type="paragraph" w:styleId="Footer">
    <w:name w:val="footer"/>
    <w:basedOn w:val="Normal"/>
    <w:rsid w:val="00015B17"/>
    <w:pPr>
      <w:tabs>
        <w:tab w:val="center" w:pos="4320"/>
        <w:tab w:val="right" w:pos="8640"/>
      </w:tabs>
      <w:spacing w:after="200" w:line="276" w:lineRule="auto"/>
    </w:pPr>
    <w:rPr>
      <w:rFonts w:ascii="Calibri" w:hAnsi="Calibri"/>
      <w:sz w:val="22"/>
      <w:szCs w:val="22"/>
    </w:rPr>
  </w:style>
  <w:style w:type="character" w:styleId="PageNumber">
    <w:name w:val="page number"/>
    <w:basedOn w:val="DefaultParagraphFont"/>
    <w:rsid w:val="00015B17"/>
  </w:style>
  <w:style w:type="paragraph" w:styleId="FootnoteText">
    <w:name w:val="footnote text"/>
    <w:basedOn w:val="Normal"/>
    <w:link w:val="FootnoteTextChar"/>
    <w:semiHidden/>
    <w:rsid w:val="00015B17"/>
    <w:pPr>
      <w:spacing w:after="200" w:line="276" w:lineRule="auto"/>
    </w:pPr>
    <w:rPr>
      <w:rFonts w:ascii="Calibri" w:hAnsi="Calibri"/>
      <w:sz w:val="20"/>
      <w:szCs w:val="20"/>
    </w:rPr>
  </w:style>
  <w:style w:type="character" w:styleId="FootnoteReference">
    <w:name w:val="footnote reference"/>
    <w:semiHidden/>
    <w:rsid w:val="00015B17"/>
    <w:rPr>
      <w:vertAlign w:val="superscript"/>
    </w:rPr>
  </w:style>
  <w:style w:type="paragraph" w:styleId="DocumentMap">
    <w:name w:val="Document Map"/>
    <w:basedOn w:val="Normal"/>
    <w:semiHidden/>
    <w:rsid w:val="00015B17"/>
    <w:pPr>
      <w:shd w:val="clear" w:color="auto" w:fill="000080"/>
      <w:spacing w:after="200" w:line="276" w:lineRule="auto"/>
    </w:pPr>
    <w:rPr>
      <w:rFonts w:ascii="Tahoma" w:hAnsi="Tahoma" w:cs="Tahoma"/>
      <w:sz w:val="20"/>
      <w:szCs w:val="20"/>
    </w:rPr>
  </w:style>
  <w:style w:type="character" w:styleId="CommentReference">
    <w:name w:val="annotation reference"/>
    <w:semiHidden/>
    <w:rsid w:val="00015B17"/>
    <w:rPr>
      <w:sz w:val="16"/>
      <w:szCs w:val="16"/>
    </w:rPr>
  </w:style>
  <w:style w:type="paragraph" w:styleId="CommentText">
    <w:name w:val="annotation text"/>
    <w:basedOn w:val="Normal"/>
    <w:link w:val="CommentTextChar"/>
    <w:semiHidden/>
    <w:rsid w:val="00015B17"/>
    <w:pPr>
      <w:spacing w:after="200" w:line="276" w:lineRule="auto"/>
    </w:pPr>
    <w:rPr>
      <w:rFonts w:ascii="Calibri" w:hAnsi="Calibri"/>
      <w:sz w:val="20"/>
      <w:szCs w:val="20"/>
    </w:rPr>
  </w:style>
  <w:style w:type="paragraph" w:styleId="CommentSubject">
    <w:name w:val="annotation subject"/>
    <w:basedOn w:val="CommentText"/>
    <w:next w:val="CommentText"/>
    <w:semiHidden/>
    <w:rsid w:val="00015B17"/>
    <w:rPr>
      <w:b/>
      <w:bCs/>
    </w:rPr>
  </w:style>
  <w:style w:type="paragraph" w:styleId="EndnoteText">
    <w:name w:val="endnote text"/>
    <w:basedOn w:val="Normal"/>
    <w:link w:val="EndnoteTextChar"/>
    <w:rsid w:val="00015B17"/>
    <w:pPr>
      <w:widowControl w:val="0"/>
      <w:autoSpaceDE w:val="0"/>
      <w:autoSpaceDN w:val="0"/>
      <w:adjustRightInd w:val="0"/>
    </w:pPr>
    <w:rPr>
      <w:rFonts w:ascii="Courier New" w:hAnsi="Courier New"/>
    </w:rPr>
  </w:style>
  <w:style w:type="character" w:styleId="EndnoteReference">
    <w:name w:val="endnote reference"/>
    <w:rsid w:val="00015B17"/>
    <w:rPr>
      <w:vertAlign w:val="superscript"/>
    </w:rPr>
  </w:style>
  <w:style w:type="character" w:customStyle="1" w:styleId="singlesp">
    <w:name w:val="single sp"/>
    <w:aliases w:val="ss"/>
    <w:rsid w:val="00015B17"/>
    <w:rPr>
      <w:rFonts w:ascii="Footlight MT Light" w:hAnsi="Footlight MT Light" w:cs="Footlight MT Light"/>
      <w:sz w:val="24"/>
      <w:szCs w:val="24"/>
      <w:lang w:val="en-US"/>
    </w:rPr>
  </w:style>
  <w:style w:type="paragraph" w:customStyle="1" w:styleId="Title1">
    <w:name w:val="Title1"/>
    <w:aliases w:val="ti"/>
    <w:rsid w:val="00015B17"/>
    <w:pPr>
      <w:widowControl w:val="0"/>
      <w:tabs>
        <w:tab w:val="left" w:pos="450"/>
      </w:tabs>
      <w:suppressAutoHyphens/>
      <w:autoSpaceDE w:val="0"/>
      <w:autoSpaceDN w:val="0"/>
      <w:adjustRightInd w:val="0"/>
      <w:spacing w:line="240" w:lineRule="atLeast"/>
      <w:jc w:val="center"/>
    </w:pPr>
    <w:rPr>
      <w:rFonts w:ascii="Footlight MT Light" w:hAnsi="Footlight MT Light" w:cs="Footlight MT Light"/>
      <w:b/>
      <w:bCs/>
      <w:sz w:val="24"/>
      <w:szCs w:val="24"/>
    </w:rPr>
  </w:style>
  <w:style w:type="paragraph" w:customStyle="1" w:styleId="ab">
    <w:name w:val="ab"/>
    <w:aliases w:val="abstract"/>
    <w:rsid w:val="00015B17"/>
    <w:pPr>
      <w:widowControl w:val="0"/>
      <w:tabs>
        <w:tab w:val="left" w:pos="0"/>
        <w:tab w:val="left" w:pos="450"/>
      </w:tabs>
      <w:suppressAutoHyphens/>
      <w:autoSpaceDE w:val="0"/>
      <w:autoSpaceDN w:val="0"/>
      <w:adjustRightInd w:val="0"/>
      <w:spacing w:line="480" w:lineRule="atLeast"/>
      <w:ind w:left="450" w:hanging="450"/>
    </w:pPr>
    <w:rPr>
      <w:rFonts w:ascii="Footlight MT Light" w:hAnsi="Footlight MT Light" w:cs="Footlight MT Light"/>
      <w:sz w:val="24"/>
      <w:szCs w:val="24"/>
    </w:rPr>
  </w:style>
  <w:style w:type="paragraph" w:customStyle="1" w:styleId="eq">
    <w:name w:val="eq"/>
    <w:aliases w:val="equation"/>
    <w:rsid w:val="00015B17"/>
    <w:pPr>
      <w:widowControl w:val="0"/>
      <w:tabs>
        <w:tab w:val="left" w:pos="0"/>
        <w:tab w:val="left" w:pos="450"/>
        <w:tab w:val="left" w:pos="720"/>
        <w:tab w:val="right" w:pos="9360"/>
      </w:tabs>
      <w:suppressAutoHyphens/>
      <w:autoSpaceDE w:val="0"/>
      <w:autoSpaceDN w:val="0"/>
      <w:adjustRightInd w:val="0"/>
      <w:spacing w:line="240" w:lineRule="atLeast"/>
      <w:ind w:left="450" w:hanging="450"/>
    </w:pPr>
    <w:rPr>
      <w:rFonts w:ascii="Footlight MT Light" w:hAnsi="Footlight MT Light" w:cs="Footlight MT Light"/>
      <w:sz w:val="24"/>
      <w:szCs w:val="24"/>
    </w:rPr>
  </w:style>
  <w:style w:type="character" w:customStyle="1" w:styleId="DocInit">
    <w:name w:val="Doc Init"/>
    <w:basedOn w:val="DefaultParagraphFont"/>
    <w:rsid w:val="00015B17"/>
  </w:style>
  <w:style w:type="paragraph" w:customStyle="1" w:styleId="Document1">
    <w:name w:val="Document 1"/>
    <w:rsid w:val="00015B17"/>
    <w:pPr>
      <w:keepNext/>
      <w:keepLines/>
      <w:widowControl w:val="0"/>
      <w:tabs>
        <w:tab w:val="left" w:pos="-720"/>
      </w:tabs>
      <w:suppressAutoHyphens/>
      <w:autoSpaceDE w:val="0"/>
      <w:autoSpaceDN w:val="0"/>
      <w:adjustRightInd w:val="0"/>
      <w:spacing w:line="240" w:lineRule="atLeast"/>
    </w:pPr>
    <w:rPr>
      <w:rFonts w:ascii="Courier New" w:hAnsi="Courier New" w:cs="Courier New"/>
    </w:rPr>
  </w:style>
  <w:style w:type="character" w:customStyle="1" w:styleId="Document2">
    <w:name w:val="Document 2"/>
    <w:rsid w:val="00015B17"/>
    <w:rPr>
      <w:rFonts w:ascii="Courier New" w:hAnsi="Courier New" w:cs="Courier New"/>
      <w:sz w:val="20"/>
      <w:szCs w:val="20"/>
      <w:lang w:val="en-US"/>
    </w:rPr>
  </w:style>
  <w:style w:type="character" w:customStyle="1" w:styleId="Document3">
    <w:name w:val="Document 3"/>
    <w:rsid w:val="00015B17"/>
    <w:rPr>
      <w:rFonts w:ascii="Courier New" w:hAnsi="Courier New" w:cs="Courier New"/>
      <w:sz w:val="20"/>
      <w:szCs w:val="20"/>
      <w:lang w:val="en-US"/>
    </w:rPr>
  </w:style>
  <w:style w:type="character" w:customStyle="1" w:styleId="Document4">
    <w:name w:val="Document 4"/>
    <w:rsid w:val="00015B17"/>
    <w:rPr>
      <w:b/>
      <w:bCs/>
      <w:i/>
      <w:iCs/>
      <w:sz w:val="20"/>
      <w:szCs w:val="20"/>
    </w:rPr>
  </w:style>
  <w:style w:type="character" w:customStyle="1" w:styleId="Document5">
    <w:name w:val="Document 5"/>
    <w:basedOn w:val="DefaultParagraphFont"/>
    <w:rsid w:val="00015B17"/>
  </w:style>
  <w:style w:type="character" w:customStyle="1" w:styleId="Document6">
    <w:name w:val="Document 6"/>
    <w:basedOn w:val="DefaultParagraphFont"/>
    <w:rsid w:val="00015B17"/>
  </w:style>
  <w:style w:type="character" w:customStyle="1" w:styleId="Document7">
    <w:name w:val="Document 7"/>
    <w:basedOn w:val="DefaultParagraphFont"/>
    <w:rsid w:val="00015B17"/>
  </w:style>
  <w:style w:type="character" w:customStyle="1" w:styleId="Document8">
    <w:name w:val="Document 8"/>
    <w:basedOn w:val="DefaultParagraphFont"/>
    <w:rsid w:val="00015B17"/>
  </w:style>
  <w:style w:type="character" w:customStyle="1" w:styleId="TechInit">
    <w:name w:val="Tech Init"/>
    <w:rsid w:val="00015B17"/>
    <w:rPr>
      <w:rFonts w:ascii="Courier New" w:hAnsi="Courier New" w:cs="Courier New"/>
      <w:sz w:val="20"/>
      <w:szCs w:val="20"/>
      <w:lang w:val="en-US"/>
    </w:rPr>
  </w:style>
  <w:style w:type="character" w:customStyle="1" w:styleId="Technical1">
    <w:name w:val="Technical 1"/>
    <w:rsid w:val="00015B17"/>
    <w:rPr>
      <w:rFonts w:ascii="Courier New" w:hAnsi="Courier New" w:cs="Courier New"/>
      <w:sz w:val="20"/>
      <w:szCs w:val="20"/>
      <w:lang w:val="en-US"/>
    </w:rPr>
  </w:style>
  <w:style w:type="character" w:customStyle="1" w:styleId="Technical2">
    <w:name w:val="Technical 2"/>
    <w:rsid w:val="00015B17"/>
    <w:rPr>
      <w:rFonts w:ascii="Courier New" w:hAnsi="Courier New" w:cs="Courier New"/>
      <w:sz w:val="20"/>
      <w:szCs w:val="20"/>
      <w:lang w:val="en-US"/>
    </w:rPr>
  </w:style>
  <w:style w:type="character" w:customStyle="1" w:styleId="Technical3">
    <w:name w:val="Technical 3"/>
    <w:rsid w:val="00015B17"/>
    <w:rPr>
      <w:rFonts w:ascii="Courier New" w:hAnsi="Courier New" w:cs="Courier New"/>
      <w:sz w:val="20"/>
      <w:szCs w:val="20"/>
      <w:lang w:val="en-US"/>
    </w:rPr>
  </w:style>
  <w:style w:type="character" w:customStyle="1" w:styleId="Technical4">
    <w:name w:val="Technical 4"/>
    <w:basedOn w:val="DefaultParagraphFont"/>
    <w:rsid w:val="00015B17"/>
  </w:style>
  <w:style w:type="character" w:customStyle="1" w:styleId="Technical5">
    <w:name w:val="Technical 5"/>
    <w:basedOn w:val="DefaultParagraphFont"/>
    <w:rsid w:val="00015B17"/>
  </w:style>
  <w:style w:type="character" w:customStyle="1" w:styleId="Technical6">
    <w:name w:val="Technical 6"/>
    <w:basedOn w:val="DefaultParagraphFont"/>
    <w:rsid w:val="00015B17"/>
  </w:style>
  <w:style w:type="character" w:customStyle="1" w:styleId="Technical7">
    <w:name w:val="Technical 7"/>
    <w:basedOn w:val="DefaultParagraphFont"/>
    <w:rsid w:val="00015B17"/>
  </w:style>
  <w:style w:type="character" w:customStyle="1" w:styleId="Technical8">
    <w:name w:val="Technical 8"/>
    <w:basedOn w:val="DefaultParagraphFont"/>
    <w:rsid w:val="00015B17"/>
  </w:style>
  <w:style w:type="character" w:customStyle="1" w:styleId="RightPar1">
    <w:name w:val="Right Par[1]"/>
    <w:basedOn w:val="DefaultParagraphFont"/>
    <w:rsid w:val="00015B17"/>
  </w:style>
  <w:style w:type="character" w:customStyle="1" w:styleId="RightPar2">
    <w:name w:val="Right Par[2]"/>
    <w:basedOn w:val="DefaultParagraphFont"/>
    <w:rsid w:val="00015B17"/>
  </w:style>
  <w:style w:type="character" w:customStyle="1" w:styleId="RightPar3">
    <w:name w:val="Right Par[3]"/>
    <w:basedOn w:val="DefaultParagraphFont"/>
    <w:rsid w:val="00015B17"/>
  </w:style>
  <w:style w:type="character" w:customStyle="1" w:styleId="RightPar4">
    <w:name w:val="Right Par[4]"/>
    <w:basedOn w:val="DefaultParagraphFont"/>
    <w:rsid w:val="00015B17"/>
  </w:style>
  <w:style w:type="character" w:customStyle="1" w:styleId="RightPar5">
    <w:name w:val="Right Par[5]"/>
    <w:basedOn w:val="DefaultParagraphFont"/>
    <w:rsid w:val="00015B17"/>
  </w:style>
  <w:style w:type="character" w:customStyle="1" w:styleId="RightPar6">
    <w:name w:val="Right Par[6]"/>
    <w:basedOn w:val="DefaultParagraphFont"/>
    <w:rsid w:val="00015B17"/>
  </w:style>
  <w:style w:type="character" w:customStyle="1" w:styleId="RightPar7">
    <w:name w:val="Right Par[7]"/>
    <w:basedOn w:val="DefaultParagraphFont"/>
    <w:rsid w:val="00015B17"/>
  </w:style>
  <w:style w:type="character" w:customStyle="1" w:styleId="RightPar8">
    <w:name w:val="Right Par[8]"/>
    <w:basedOn w:val="DefaultParagraphFont"/>
    <w:rsid w:val="00015B17"/>
  </w:style>
  <w:style w:type="character" w:customStyle="1" w:styleId="Bibliogrphy">
    <w:name w:val="Bibliogrphy"/>
    <w:basedOn w:val="DefaultParagraphFont"/>
    <w:rsid w:val="00015B17"/>
  </w:style>
  <w:style w:type="paragraph" w:styleId="TOC1">
    <w:name w:val="toc 1"/>
    <w:basedOn w:val="Normal"/>
    <w:next w:val="Normal"/>
    <w:rsid w:val="00015B17"/>
    <w:pPr>
      <w:widowControl w:val="0"/>
      <w:tabs>
        <w:tab w:val="right" w:leader="dot" w:pos="9360"/>
      </w:tabs>
      <w:suppressAutoHyphens/>
      <w:autoSpaceDE w:val="0"/>
      <w:autoSpaceDN w:val="0"/>
      <w:adjustRightInd w:val="0"/>
      <w:spacing w:before="480" w:line="240" w:lineRule="atLeast"/>
      <w:ind w:left="720" w:right="720" w:hanging="720"/>
    </w:pPr>
    <w:rPr>
      <w:rFonts w:ascii="Courier New" w:hAnsi="Courier New" w:cs="Courier New"/>
      <w:sz w:val="20"/>
      <w:szCs w:val="20"/>
    </w:rPr>
  </w:style>
  <w:style w:type="paragraph" w:styleId="TOC2">
    <w:name w:val="toc 2"/>
    <w:basedOn w:val="Normal"/>
    <w:next w:val="Normal"/>
    <w:rsid w:val="00015B17"/>
    <w:pPr>
      <w:widowControl w:val="0"/>
      <w:tabs>
        <w:tab w:val="right" w:leader="dot" w:pos="9360"/>
      </w:tabs>
      <w:suppressAutoHyphens/>
      <w:autoSpaceDE w:val="0"/>
      <w:autoSpaceDN w:val="0"/>
      <w:adjustRightInd w:val="0"/>
      <w:spacing w:line="240" w:lineRule="atLeast"/>
      <w:ind w:left="720" w:right="720"/>
    </w:pPr>
    <w:rPr>
      <w:rFonts w:ascii="Courier New" w:hAnsi="Courier New" w:cs="Courier New"/>
      <w:sz w:val="20"/>
      <w:szCs w:val="20"/>
    </w:rPr>
  </w:style>
  <w:style w:type="paragraph" w:styleId="TOC3">
    <w:name w:val="toc 3"/>
    <w:basedOn w:val="Normal"/>
    <w:next w:val="Normal"/>
    <w:rsid w:val="00015B17"/>
    <w:pPr>
      <w:widowControl w:val="0"/>
      <w:tabs>
        <w:tab w:val="right" w:leader="dot" w:pos="9360"/>
      </w:tabs>
      <w:suppressAutoHyphens/>
      <w:autoSpaceDE w:val="0"/>
      <w:autoSpaceDN w:val="0"/>
      <w:adjustRightInd w:val="0"/>
      <w:spacing w:line="240" w:lineRule="atLeast"/>
      <w:ind w:left="720" w:right="720"/>
    </w:pPr>
    <w:rPr>
      <w:rFonts w:ascii="Courier New" w:hAnsi="Courier New" w:cs="Courier New"/>
      <w:sz w:val="20"/>
      <w:szCs w:val="20"/>
    </w:rPr>
  </w:style>
  <w:style w:type="paragraph" w:styleId="TOC4">
    <w:name w:val="toc 4"/>
    <w:basedOn w:val="Normal"/>
    <w:next w:val="Normal"/>
    <w:rsid w:val="00015B17"/>
    <w:pPr>
      <w:widowControl w:val="0"/>
      <w:tabs>
        <w:tab w:val="right" w:leader="dot" w:pos="9360"/>
      </w:tabs>
      <w:suppressAutoHyphens/>
      <w:autoSpaceDE w:val="0"/>
      <w:autoSpaceDN w:val="0"/>
      <w:adjustRightInd w:val="0"/>
      <w:spacing w:line="240" w:lineRule="atLeast"/>
      <w:ind w:left="720" w:right="720"/>
    </w:pPr>
    <w:rPr>
      <w:rFonts w:ascii="Courier New" w:hAnsi="Courier New" w:cs="Courier New"/>
      <w:sz w:val="20"/>
      <w:szCs w:val="20"/>
    </w:rPr>
  </w:style>
  <w:style w:type="paragraph" w:styleId="TOC5">
    <w:name w:val="toc 5"/>
    <w:basedOn w:val="Normal"/>
    <w:next w:val="Normal"/>
    <w:rsid w:val="00015B17"/>
    <w:pPr>
      <w:widowControl w:val="0"/>
      <w:tabs>
        <w:tab w:val="right" w:leader="dot" w:pos="9360"/>
      </w:tabs>
      <w:suppressAutoHyphens/>
      <w:autoSpaceDE w:val="0"/>
      <w:autoSpaceDN w:val="0"/>
      <w:adjustRightInd w:val="0"/>
      <w:spacing w:line="240" w:lineRule="atLeast"/>
      <w:ind w:left="720" w:right="720"/>
    </w:pPr>
    <w:rPr>
      <w:rFonts w:ascii="Courier New" w:hAnsi="Courier New" w:cs="Courier New"/>
      <w:sz w:val="20"/>
      <w:szCs w:val="20"/>
    </w:rPr>
  </w:style>
  <w:style w:type="paragraph" w:styleId="TOC6">
    <w:name w:val="toc 6"/>
    <w:basedOn w:val="Normal"/>
    <w:next w:val="Normal"/>
    <w:rsid w:val="00015B17"/>
    <w:pPr>
      <w:widowControl w:val="0"/>
      <w:tabs>
        <w:tab w:val="right" w:pos="9360"/>
      </w:tabs>
      <w:suppressAutoHyphens/>
      <w:autoSpaceDE w:val="0"/>
      <w:autoSpaceDN w:val="0"/>
      <w:adjustRightInd w:val="0"/>
      <w:spacing w:line="240" w:lineRule="atLeast"/>
      <w:ind w:left="720" w:hanging="720"/>
    </w:pPr>
    <w:rPr>
      <w:rFonts w:ascii="Courier New" w:hAnsi="Courier New" w:cs="Courier New"/>
      <w:sz w:val="20"/>
      <w:szCs w:val="20"/>
    </w:rPr>
  </w:style>
  <w:style w:type="paragraph" w:styleId="TOC7">
    <w:name w:val="toc 7"/>
    <w:basedOn w:val="Normal"/>
    <w:next w:val="Normal"/>
    <w:rsid w:val="00015B17"/>
    <w:pPr>
      <w:widowControl w:val="0"/>
      <w:suppressAutoHyphens/>
      <w:autoSpaceDE w:val="0"/>
      <w:autoSpaceDN w:val="0"/>
      <w:adjustRightInd w:val="0"/>
      <w:spacing w:line="240" w:lineRule="atLeast"/>
      <w:ind w:left="720" w:hanging="720"/>
    </w:pPr>
    <w:rPr>
      <w:rFonts w:ascii="Courier New" w:hAnsi="Courier New" w:cs="Courier New"/>
      <w:sz w:val="20"/>
      <w:szCs w:val="20"/>
    </w:rPr>
  </w:style>
  <w:style w:type="paragraph" w:styleId="TOC8">
    <w:name w:val="toc 8"/>
    <w:basedOn w:val="Normal"/>
    <w:next w:val="Normal"/>
    <w:rsid w:val="00015B17"/>
    <w:pPr>
      <w:widowControl w:val="0"/>
      <w:tabs>
        <w:tab w:val="right" w:pos="9360"/>
      </w:tabs>
      <w:suppressAutoHyphens/>
      <w:autoSpaceDE w:val="0"/>
      <w:autoSpaceDN w:val="0"/>
      <w:adjustRightInd w:val="0"/>
      <w:spacing w:line="240" w:lineRule="atLeast"/>
      <w:ind w:left="720" w:hanging="720"/>
    </w:pPr>
    <w:rPr>
      <w:rFonts w:ascii="Courier New" w:hAnsi="Courier New" w:cs="Courier New"/>
      <w:sz w:val="20"/>
      <w:szCs w:val="20"/>
    </w:rPr>
  </w:style>
  <w:style w:type="paragraph" w:styleId="TOC9">
    <w:name w:val="toc 9"/>
    <w:basedOn w:val="Normal"/>
    <w:next w:val="Normal"/>
    <w:rsid w:val="00015B17"/>
    <w:pPr>
      <w:widowControl w:val="0"/>
      <w:tabs>
        <w:tab w:val="right" w:leader="dot" w:pos="9360"/>
      </w:tabs>
      <w:suppressAutoHyphens/>
      <w:autoSpaceDE w:val="0"/>
      <w:autoSpaceDN w:val="0"/>
      <w:adjustRightInd w:val="0"/>
      <w:spacing w:line="240" w:lineRule="atLeast"/>
      <w:ind w:left="720" w:hanging="720"/>
    </w:pPr>
    <w:rPr>
      <w:rFonts w:ascii="Courier New" w:hAnsi="Courier New" w:cs="Courier New"/>
      <w:sz w:val="20"/>
      <w:szCs w:val="20"/>
    </w:rPr>
  </w:style>
  <w:style w:type="paragraph" w:styleId="Index1">
    <w:name w:val="index 1"/>
    <w:basedOn w:val="Normal"/>
    <w:next w:val="Normal"/>
    <w:rsid w:val="00015B17"/>
    <w:pPr>
      <w:widowControl w:val="0"/>
      <w:tabs>
        <w:tab w:val="right" w:leader="dot" w:pos="9360"/>
      </w:tabs>
      <w:suppressAutoHyphens/>
      <w:autoSpaceDE w:val="0"/>
      <w:autoSpaceDN w:val="0"/>
      <w:adjustRightInd w:val="0"/>
      <w:spacing w:line="240" w:lineRule="atLeast"/>
      <w:ind w:left="720" w:hanging="720"/>
    </w:pPr>
    <w:rPr>
      <w:rFonts w:ascii="Courier New" w:hAnsi="Courier New" w:cs="Courier New"/>
      <w:sz w:val="20"/>
      <w:szCs w:val="20"/>
    </w:rPr>
  </w:style>
  <w:style w:type="paragraph" w:styleId="Index2">
    <w:name w:val="index 2"/>
    <w:basedOn w:val="Normal"/>
    <w:next w:val="Normal"/>
    <w:rsid w:val="00015B17"/>
    <w:pPr>
      <w:widowControl w:val="0"/>
      <w:tabs>
        <w:tab w:val="right" w:leader="dot" w:pos="9360"/>
      </w:tabs>
      <w:suppressAutoHyphens/>
      <w:autoSpaceDE w:val="0"/>
      <w:autoSpaceDN w:val="0"/>
      <w:adjustRightInd w:val="0"/>
      <w:spacing w:line="240" w:lineRule="atLeast"/>
      <w:ind w:left="720"/>
    </w:pPr>
    <w:rPr>
      <w:rFonts w:ascii="Courier New" w:hAnsi="Courier New" w:cs="Courier New"/>
      <w:sz w:val="20"/>
      <w:szCs w:val="20"/>
    </w:rPr>
  </w:style>
  <w:style w:type="paragraph" w:styleId="TOAHeading">
    <w:name w:val="toa heading"/>
    <w:basedOn w:val="Normal"/>
    <w:next w:val="Normal"/>
    <w:rsid w:val="00015B17"/>
    <w:pPr>
      <w:widowControl w:val="0"/>
      <w:tabs>
        <w:tab w:val="right" w:pos="9360"/>
      </w:tabs>
      <w:suppressAutoHyphens/>
      <w:autoSpaceDE w:val="0"/>
      <w:autoSpaceDN w:val="0"/>
      <w:adjustRightInd w:val="0"/>
      <w:spacing w:line="240" w:lineRule="atLeast"/>
    </w:pPr>
    <w:rPr>
      <w:rFonts w:ascii="Courier New" w:hAnsi="Courier New" w:cs="Courier New"/>
      <w:sz w:val="20"/>
      <w:szCs w:val="20"/>
    </w:rPr>
  </w:style>
  <w:style w:type="paragraph" w:styleId="Caption">
    <w:name w:val="caption"/>
    <w:basedOn w:val="Normal"/>
    <w:next w:val="Normal"/>
    <w:qFormat/>
    <w:rsid w:val="00015B17"/>
    <w:pPr>
      <w:widowControl w:val="0"/>
      <w:autoSpaceDE w:val="0"/>
      <w:autoSpaceDN w:val="0"/>
      <w:adjustRightInd w:val="0"/>
    </w:pPr>
    <w:rPr>
      <w:rFonts w:ascii="Courier New" w:hAnsi="Courier New"/>
    </w:rPr>
  </w:style>
  <w:style w:type="character" w:customStyle="1" w:styleId="EquationCaption">
    <w:name w:val="_Equation Caption"/>
    <w:rsid w:val="00015B17"/>
  </w:style>
  <w:style w:type="paragraph" w:styleId="Header">
    <w:name w:val="header"/>
    <w:basedOn w:val="Normal"/>
    <w:rsid w:val="00015B17"/>
    <w:pPr>
      <w:widowControl w:val="0"/>
      <w:tabs>
        <w:tab w:val="center" w:pos="4320"/>
        <w:tab w:val="right" w:pos="8640"/>
      </w:tabs>
      <w:autoSpaceDE w:val="0"/>
      <w:autoSpaceDN w:val="0"/>
      <w:adjustRightInd w:val="0"/>
    </w:pPr>
    <w:rPr>
      <w:rFonts w:ascii="Courier New" w:hAnsi="Courier New" w:cs="Courier New"/>
      <w:sz w:val="20"/>
      <w:szCs w:val="20"/>
    </w:rPr>
  </w:style>
  <w:style w:type="character" w:customStyle="1" w:styleId="CommentTextChar">
    <w:name w:val="Comment Text Char"/>
    <w:link w:val="CommentText"/>
    <w:rsid w:val="00015B17"/>
    <w:rPr>
      <w:rFonts w:ascii="Calibri" w:hAnsi="Calibri"/>
      <w:lang w:val="en-US" w:eastAsia="en-US" w:bidi="ar-SA"/>
    </w:rPr>
  </w:style>
  <w:style w:type="character" w:customStyle="1" w:styleId="CharChar2">
    <w:name w:val="Char Char2"/>
    <w:rsid w:val="00015B17"/>
    <w:rPr>
      <w:rFonts w:ascii="Courier New" w:hAnsi="Courier New" w:cs="Courier New"/>
    </w:rPr>
  </w:style>
  <w:style w:type="paragraph" w:styleId="PlainText">
    <w:name w:val="Plain Text"/>
    <w:basedOn w:val="Normal"/>
    <w:rsid w:val="00015B17"/>
    <w:pPr>
      <w:widowControl w:val="0"/>
      <w:autoSpaceDE w:val="0"/>
      <w:autoSpaceDN w:val="0"/>
      <w:adjustRightInd w:val="0"/>
    </w:pPr>
    <w:rPr>
      <w:rFonts w:ascii="Courier New" w:hAnsi="Courier New" w:cs="Courier New"/>
      <w:sz w:val="20"/>
      <w:szCs w:val="20"/>
    </w:rPr>
  </w:style>
  <w:style w:type="table" w:styleId="TableGrid">
    <w:name w:val="Table Grid"/>
    <w:basedOn w:val="TableNormal"/>
    <w:rsid w:val="00015B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dnoteTextChar">
    <w:name w:val="Endnote Text Char"/>
    <w:link w:val="EndnoteText"/>
    <w:semiHidden/>
    <w:locked/>
    <w:rsid w:val="00015B17"/>
    <w:rPr>
      <w:rFonts w:ascii="Courier New" w:hAnsi="Courier New"/>
      <w:sz w:val="24"/>
      <w:szCs w:val="24"/>
      <w:lang w:val="en-US" w:eastAsia="en-US" w:bidi="ar-SA"/>
    </w:rPr>
  </w:style>
  <w:style w:type="character" w:customStyle="1" w:styleId="FootnoteTextChar">
    <w:name w:val="Footnote Text Char"/>
    <w:link w:val="FootnoteText"/>
    <w:semiHidden/>
    <w:locked/>
    <w:rsid w:val="00015B17"/>
    <w:rPr>
      <w:rFonts w:ascii="Calibri" w:hAnsi="Calibri"/>
      <w:lang w:val="en-US" w:eastAsia="en-US" w:bidi="ar-SA"/>
    </w:rPr>
  </w:style>
  <w:style w:type="character" w:customStyle="1" w:styleId="Inicdoc">
    <w:name w:val="Inic. doc."/>
    <w:rsid w:val="00015B17"/>
    <w:rPr>
      <w:rFonts w:cs="Times New Roman"/>
    </w:rPr>
  </w:style>
  <w:style w:type="character" w:customStyle="1" w:styleId="Inicestt">
    <w:name w:val="Inic. est. t"/>
    <w:rsid w:val="00015B17"/>
    <w:rPr>
      <w:rFonts w:ascii="Courier New" w:hAnsi="Courier New" w:cs="Courier New"/>
      <w:sz w:val="20"/>
      <w:szCs w:val="20"/>
      <w:lang w:val="en-US" w:eastAsia="x-none"/>
    </w:rPr>
  </w:style>
  <w:style w:type="character" w:customStyle="1" w:styleId="Documento4">
    <w:name w:val="Documento[4]"/>
    <w:rsid w:val="00015B17"/>
    <w:rPr>
      <w:rFonts w:cs="Times New Roman"/>
      <w:b/>
      <w:bCs/>
      <w:i/>
      <w:iCs/>
      <w:sz w:val="20"/>
      <w:szCs w:val="20"/>
    </w:rPr>
  </w:style>
  <w:style w:type="character" w:customStyle="1" w:styleId="Documento5">
    <w:name w:val="Documento[5]"/>
    <w:rsid w:val="00015B17"/>
    <w:rPr>
      <w:rFonts w:cs="Times New Roman"/>
    </w:rPr>
  </w:style>
  <w:style w:type="character" w:customStyle="1" w:styleId="Documento2">
    <w:name w:val="Documento[2]"/>
    <w:rsid w:val="00015B17"/>
    <w:rPr>
      <w:rFonts w:ascii="Courier New" w:hAnsi="Courier New" w:cs="Courier New"/>
      <w:sz w:val="20"/>
      <w:szCs w:val="20"/>
      <w:lang w:val="en-US" w:eastAsia="x-none"/>
    </w:rPr>
  </w:style>
  <w:style w:type="character" w:customStyle="1" w:styleId="Documento6">
    <w:name w:val="Documento[6]"/>
    <w:rsid w:val="00015B17"/>
    <w:rPr>
      <w:rFonts w:cs="Times New Roman"/>
    </w:rPr>
  </w:style>
  <w:style w:type="character" w:customStyle="1" w:styleId="Documento7">
    <w:name w:val="Documento[7]"/>
    <w:rsid w:val="00015B17"/>
    <w:rPr>
      <w:rFonts w:cs="Times New Roman"/>
    </w:rPr>
  </w:style>
  <w:style w:type="character" w:customStyle="1" w:styleId="Documento8">
    <w:name w:val="Documento[8]"/>
    <w:rsid w:val="00015B17"/>
    <w:rPr>
      <w:rFonts w:cs="Times New Roman"/>
    </w:rPr>
  </w:style>
  <w:style w:type="character" w:customStyle="1" w:styleId="Documento3">
    <w:name w:val="Documento[3]"/>
    <w:rsid w:val="00015B17"/>
    <w:rPr>
      <w:rFonts w:ascii="Courier New" w:hAnsi="Courier New" w:cs="Courier New"/>
      <w:sz w:val="20"/>
      <w:szCs w:val="20"/>
      <w:lang w:val="en-US" w:eastAsia="x-none"/>
    </w:rPr>
  </w:style>
  <w:style w:type="character" w:customStyle="1" w:styleId="Prder1">
    <w:name w:val="Pár. der.[1]"/>
    <w:rsid w:val="00015B17"/>
    <w:rPr>
      <w:rFonts w:cs="Times New Roman"/>
    </w:rPr>
  </w:style>
  <w:style w:type="character" w:customStyle="1" w:styleId="Prder2">
    <w:name w:val="Pár. der.[2]"/>
    <w:rsid w:val="00015B17"/>
    <w:rPr>
      <w:rFonts w:cs="Times New Roman"/>
    </w:rPr>
  </w:style>
  <w:style w:type="character" w:customStyle="1" w:styleId="Prder3">
    <w:name w:val="Pár. der.[3]"/>
    <w:rsid w:val="00015B17"/>
    <w:rPr>
      <w:rFonts w:cs="Times New Roman"/>
    </w:rPr>
  </w:style>
  <w:style w:type="character" w:customStyle="1" w:styleId="Prder4">
    <w:name w:val="Pár. der.[4]"/>
    <w:rsid w:val="00015B17"/>
    <w:rPr>
      <w:rFonts w:cs="Times New Roman"/>
    </w:rPr>
  </w:style>
  <w:style w:type="paragraph" w:customStyle="1" w:styleId="Documento1">
    <w:name w:val="Documento[1]"/>
    <w:rsid w:val="00015B17"/>
    <w:pPr>
      <w:keepNext/>
      <w:keepLines/>
      <w:widowControl w:val="0"/>
      <w:tabs>
        <w:tab w:val="left" w:pos="-720"/>
      </w:tabs>
      <w:suppressAutoHyphens/>
      <w:autoSpaceDE w:val="0"/>
      <w:autoSpaceDN w:val="0"/>
      <w:adjustRightInd w:val="0"/>
      <w:spacing w:line="240" w:lineRule="atLeast"/>
    </w:pPr>
    <w:rPr>
      <w:rFonts w:ascii="Courier New" w:hAnsi="Courier New" w:cs="Courier New"/>
    </w:rPr>
  </w:style>
  <w:style w:type="character" w:customStyle="1" w:styleId="Prder5">
    <w:name w:val="Pár. der.[5]"/>
    <w:rsid w:val="00015B17"/>
    <w:rPr>
      <w:rFonts w:cs="Times New Roman"/>
    </w:rPr>
  </w:style>
  <w:style w:type="character" w:customStyle="1" w:styleId="Prder6">
    <w:name w:val="Pár. der.[6]"/>
    <w:rsid w:val="00015B17"/>
    <w:rPr>
      <w:rFonts w:cs="Times New Roman"/>
    </w:rPr>
  </w:style>
  <w:style w:type="character" w:customStyle="1" w:styleId="Prder7">
    <w:name w:val="Pár. der.[7]"/>
    <w:rsid w:val="00015B17"/>
    <w:rPr>
      <w:rFonts w:cs="Times New Roman"/>
    </w:rPr>
  </w:style>
  <w:style w:type="character" w:customStyle="1" w:styleId="Prder8">
    <w:name w:val="Pár. der.[8]"/>
    <w:rsid w:val="00015B17"/>
    <w:rPr>
      <w:rFonts w:cs="Times New Roman"/>
    </w:rPr>
  </w:style>
  <w:style w:type="character" w:customStyle="1" w:styleId="Tcnico2">
    <w:name w:val="Técnico[2]"/>
    <w:rsid w:val="00015B17"/>
    <w:rPr>
      <w:rFonts w:ascii="Courier New" w:hAnsi="Courier New" w:cs="Courier New"/>
      <w:sz w:val="20"/>
      <w:szCs w:val="20"/>
      <w:lang w:val="en-US" w:eastAsia="x-none"/>
    </w:rPr>
  </w:style>
  <w:style w:type="character" w:customStyle="1" w:styleId="Tcnico3">
    <w:name w:val="Técnico[3]"/>
    <w:rsid w:val="00015B17"/>
    <w:rPr>
      <w:rFonts w:ascii="Courier New" w:hAnsi="Courier New" w:cs="Courier New"/>
      <w:sz w:val="20"/>
      <w:szCs w:val="20"/>
      <w:lang w:val="en-US" w:eastAsia="x-none"/>
    </w:rPr>
  </w:style>
  <w:style w:type="character" w:customStyle="1" w:styleId="Tcnico4">
    <w:name w:val="Técnico[4]"/>
    <w:rsid w:val="00015B17"/>
    <w:rPr>
      <w:rFonts w:cs="Times New Roman"/>
    </w:rPr>
  </w:style>
  <w:style w:type="character" w:customStyle="1" w:styleId="Tcnico1">
    <w:name w:val="Técnico[1]"/>
    <w:rsid w:val="00015B17"/>
    <w:rPr>
      <w:rFonts w:ascii="Courier New" w:hAnsi="Courier New" w:cs="Courier New"/>
      <w:sz w:val="20"/>
      <w:szCs w:val="20"/>
      <w:lang w:val="en-US" w:eastAsia="x-none"/>
    </w:rPr>
  </w:style>
  <w:style w:type="character" w:customStyle="1" w:styleId="Tcnico5">
    <w:name w:val="Técnico[5]"/>
    <w:rsid w:val="00015B17"/>
    <w:rPr>
      <w:rFonts w:cs="Times New Roman"/>
    </w:rPr>
  </w:style>
  <w:style w:type="character" w:customStyle="1" w:styleId="Tcnico6">
    <w:name w:val="Técnico[6]"/>
    <w:rsid w:val="00015B17"/>
    <w:rPr>
      <w:rFonts w:cs="Times New Roman"/>
    </w:rPr>
  </w:style>
  <w:style w:type="character" w:customStyle="1" w:styleId="Tcnico7">
    <w:name w:val="Técnico[7]"/>
    <w:rsid w:val="00015B17"/>
    <w:rPr>
      <w:rFonts w:cs="Times New Roman"/>
    </w:rPr>
  </w:style>
  <w:style w:type="character" w:customStyle="1" w:styleId="Tcnico8">
    <w:name w:val="Técnico[8]"/>
    <w:rsid w:val="00015B17"/>
    <w:rPr>
      <w:rFonts w:cs="Times New Roman"/>
    </w:rPr>
  </w:style>
  <w:style w:type="character" w:customStyle="1" w:styleId="Bibliogr">
    <w:name w:val="Bibliogr."/>
    <w:rsid w:val="00015B17"/>
    <w:rPr>
      <w:rFonts w:cs="Times New Roman"/>
    </w:rPr>
  </w:style>
  <w:style w:type="character" w:styleId="Hyperlink">
    <w:name w:val="Hyperlink"/>
    <w:rsid w:val="00015B17"/>
    <w:rPr>
      <w:strike w:val="0"/>
      <w:dstrike w:val="0"/>
      <w:color w:val="3550CA"/>
      <w:u w:val="none"/>
      <w:effect w:val="none"/>
    </w:rPr>
  </w:style>
  <w:style w:type="character" w:customStyle="1" w:styleId="label2">
    <w:name w:val="label2"/>
    <w:basedOn w:val="DefaultParagraphFont"/>
    <w:rsid w:val="00015B17"/>
  </w:style>
  <w:style w:type="character" w:customStyle="1" w:styleId="hithilite3">
    <w:name w:val="hithilite3"/>
    <w:rsid w:val="00015B17"/>
    <w:rPr>
      <w:shd w:val="clear" w:color="auto" w:fill="FFFF66"/>
    </w:rPr>
  </w:style>
  <w:style w:type="character" w:customStyle="1" w:styleId="databold1">
    <w:name w:val="data_bold1"/>
    <w:rsid w:val="00015B17"/>
    <w:rPr>
      <w:b/>
      <w:bCs/>
    </w:rPr>
  </w:style>
  <w:style w:type="character" w:customStyle="1" w:styleId="viewabstract1text">
    <w:name w:val="viewabstract1_text"/>
    <w:basedOn w:val="DefaultParagraphFont"/>
    <w:rsid w:val="00015B17"/>
  </w:style>
  <w:style w:type="character" w:customStyle="1" w:styleId="hideabstract1text">
    <w:name w:val="hideabstract1_text"/>
    <w:basedOn w:val="DefaultParagraphFont"/>
    <w:rsid w:val="00015B17"/>
  </w:style>
  <w:style w:type="character" w:customStyle="1" w:styleId="viewabstract2text">
    <w:name w:val="viewabstract2_text"/>
    <w:basedOn w:val="DefaultParagraphFont"/>
    <w:rsid w:val="00015B17"/>
  </w:style>
  <w:style w:type="character" w:customStyle="1" w:styleId="hideabstract2text">
    <w:name w:val="hideabstract2_text"/>
    <w:basedOn w:val="DefaultParagraphFont"/>
    <w:rsid w:val="00015B17"/>
  </w:style>
  <w:style w:type="paragraph" w:customStyle="1" w:styleId="msolistparagraph0">
    <w:name w:val="msolistparagraph"/>
    <w:basedOn w:val="Normal"/>
    <w:rsid w:val="00015B17"/>
    <w:pPr>
      <w:ind w:left="720"/>
    </w:pPr>
  </w:style>
  <w:style w:type="character" w:styleId="FollowedHyperlink">
    <w:name w:val="FollowedHyperlink"/>
    <w:rsid w:val="00647046"/>
    <w:rPr>
      <w:color w:val="800080"/>
      <w:u w:val="single"/>
    </w:rPr>
  </w:style>
  <w:style w:type="paragraph" w:styleId="Bibliography">
    <w:name w:val="Bibliography"/>
    <w:basedOn w:val="Normal"/>
    <w:next w:val="Normal"/>
    <w:uiPriority w:val="37"/>
    <w:unhideWhenUsed/>
    <w:rsid w:val="006D3C56"/>
    <w:pPr>
      <w:ind w:left="720" w:hanging="720"/>
    </w:pPr>
    <w:rPr>
      <w:rFonts w:asciiTheme="minorHAnsi" w:eastAsiaTheme="minorHAnsi" w:hAnsiTheme="minorHAnsi" w:cstheme="minorBidi"/>
      <w:sz w:val="22"/>
      <w:szCs w:val="22"/>
    </w:rPr>
  </w:style>
  <w:style w:type="character" w:customStyle="1" w:styleId="Heading1Char">
    <w:name w:val="Heading 1 Char"/>
    <w:aliases w:val="l1 Char"/>
    <w:basedOn w:val="DefaultParagraphFont"/>
    <w:link w:val="Heading1"/>
    <w:uiPriority w:val="9"/>
    <w:rsid w:val="006D3C56"/>
    <w:rPr>
      <w:rFonts w:ascii="Footlight MT Light" w:hAnsi="Footlight MT Light" w:cs="Footlight MT Light"/>
      <w:b/>
      <w:bCs/>
      <w:smallCaps/>
      <w:sz w:val="24"/>
      <w:szCs w:val="24"/>
    </w:rPr>
  </w:style>
  <w:style w:type="character" w:customStyle="1" w:styleId="Heading2Char">
    <w:name w:val="Heading 2 Char"/>
    <w:aliases w:val="l2 Char"/>
    <w:basedOn w:val="DefaultParagraphFont"/>
    <w:link w:val="Heading2"/>
    <w:uiPriority w:val="9"/>
    <w:rsid w:val="006D3C56"/>
    <w:rPr>
      <w:rFonts w:ascii="Footlight MT Light" w:hAnsi="Footlight MT Light" w:cs="Footlight MT Light"/>
      <w:b/>
      <w:bCs/>
      <w:sz w:val="24"/>
      <w:szCs w:val="24"/>
    </w:rPr>
  </w:style>
  <w:style w:type="paragraph" w:styleId="Title">
    <w:name w:val="Title"/>
    <w:basedOn w:val="Normal"/>
    <w:next w:val="Normal"/>
    <w:link w:val="TitleChar"/>
    <w:uiPriority w:val="10"/>
    <w:qFormat/>
    <w:rsid w:val="006D3C56"/>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3C56"/>
    <w:rPr>
      <w:rFonts w:asciiTheme="majorHAnsi" w:eastAsiaTheme="majorEastAsia" w:hAnsiTheme="majorHAnsi" w:cstheme="majorBidi"/>
      <w:spacing w:val="-10"/>
      <w:kern w:val="28"/>
      <w:sz w:val="56"/>
      <w:szCs w:val="56"/>
    </w:rPr>
  </w:style>
  <w:style w:type="character" w:customStyle="1" w:styleId="Heading3Char">
    <w:name w:val="Heading 3 Char"/>
    <w:basedOn w:val="DefaultParagraphFont"/>
    <w:link w:val="Heading3"/>
    <w:uiPriority w:val="9"/>
    <w:rsid w:val="006D3C56"/>
    <w:rPr>
      <w:rFonts w:ascii="Footlight MT Light" w:hAnsi="Footlight MT Light" w:cs="Footlight MT Light"/>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8438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56.bin"/><Relationship Id="rId671" Type="http://schemas.openxmlformats.org/officeDocument/2006/relationships/image" Target="media/image317.wmf"/><Relationship Id="rId769" Type="http://schemas.openxmlformats.org/officeDocument/2006/relationships/oleObject" Target="embeddings/oleObject397.bin"/><Relationship Id="rId976" Type="http://schemas.openxmlformats.org/officeDocument/2006/relationships/image" Target="media/image465.wmf"/><Relationship Id="rId1399" Type="http://schemas.openxmlformats.org/officeDocument/2006/relationships/image" Target="media/image678.png"/><Relationship Id="rId21" Type="http://schemas.openxmlformats.org/officeDocument/2006/relationships/oleObject" Target="embeddings/oleObject7.bin"/><Relationship Id="rId324" Type="http://schemas.openxmlformats.org/officeDocument/2006/relationships/image" Target="media/image152.wmf"/><Relationship Id="rId531" Type="http://schemas.openxmlformats.org/officeDocument/2006/relationships/image" Target="media/image249.wmf"/><Relationship Id="rId629" Type="http://schemas.openxmlformats.org/officeDocument/2006/relationships/oleObject" Target="embeddings/oleObject326.bin"/><Relationship Id="rId1161" Type="http://schemas.openxmlformats.org/officeDocument/2006/relationships/oleObject" Target="embeddings/oleObject601.bin"/><Relationship Id="rId1259" Type="http://schemas.openxmlformats.org/officeDocument/2006/relationships/oleObject" Target="embeddings/oleObject657.bin"/><Relationship Id="rId1466" Type="http://schemas.openxmlformats.org/officeDocument/2006/relationships/image" Target="media/image744.png"/><Relationship Id="rId170" Type="http://schemas.openxmlformats.org/officeDocument/2006/relationships/oleObject" Target="embeddings/oleObject84.bin"/><Relationship Id="rId836" Type="http://schemas.openxmlformats.org/officeDocument/2006/relationships/image" Target="media/image399.wmf"/><Relationship Id="rId1021" Type="http://schemas.openxmlformats.org/officeDocument/2006/relationships/oleObject" Target="embeddings/oleObject527.bin"/><Relationship Id="rId1119" Type="http://schemas.openxmlformats.org/officeDocument/2006/relationships/image" Target="media/image535.wmf"/><Relationship Id="rId268" Type="http://schemas.openxmlformats.org/officeDocument/2006/relationships/image" Target="media/image125.wmf"/><Relationship Id="rId475" Type="http://schemas.openxmlformats.org/officeDocument/2006/relationships/oleObject" Target="embeddings/oleObject246.bin"/><Relationship Id="rId682" Type="http://schemas.openxmlformats.org/officeDocument/2006/relationships/oleObject" Target="embeddings/oleObject353.bin"/><Relationship Id="rId903" Type="http://schemas.openxmlformats.org/officeDocument/2006/relationships/image" Target="media/image432.wmf"/><Relationship Id="rId1326" Type="http://schemas.openxmlformats.org/officeDocument/2006/relationships/image" Target="media/image628.wmf"/><Relationship Id="rId32" Type="http://schemas.openxmlformats.org/officeDocument/2006/relationships/oleObject" Target="embeddings/oleObject13.bin"/><Relationship Id="rId128" Type="http://schemas.openxmlformats.org/officeDocument/2006/relationships/image" Target="media/image60.wmf"/><Relationship Id="rId335" Type="http://schemas.openxmlformats.org/officeDocument/2006/relationships/image" Target="media/image157.wmf"/><Relationship Id="rId542" Type="http://schemas.openxmlformats.org/officeDocument/2006/relationships/oleObject" Target="embeddings/oleObject281.bin"/><Relationship Id="rId987" Type="http://schemas.openxmlformats.org/officeDocument/2006/relationships/oleObject" Target="embeddings/oleObject510.bin"/><Relationship Id="rId1172" Type="http://schemas.openxmlformats.org/officeDocument/2006/relationships/oleObject" Target="embeddings/oleObject610.bin"/><Relationship Id="rId181" Type="http://schemas.openxmlformats.org/officeDocument/2006/relationships/oleObject" Target="embeddings/oleObject90.bin"/><Relationship Id="rId402" Type="http://schemas.openxmlformats.org/officeDocument/2006/relationships/image" Target="media/image187.wmf"/><Relationship Id="rId847" Type="http://schemas.openxmlformats.org/officeDocument/2006/relationships/oleObject" Target="embeddings/oleObject436.bin"/><Relationship Id="rId1032" Type="http://schemas.openxmlformats.org/officeDocument/2006/relationships/oleObject" Target="embeddings/oleObject533.bin"/><Relationship Id="rId1477" Type="http://schemas.openxmlformats.org/officeDocument/2006/relationships/image" Target="media/image755.jpeg"/><Relationship Id="rId279" Type="http://schemas.openxmlformats.org/officeDocument/2006/relationships/oleObject" Target="embeddings/oleObject142.bin"/><Relationship Id="rId486" Type="http://schemas.openxmlformats.org/officeDocument/2006/relationships/oleObject" Target="embeddings/oleObject252.bin"/><Relationship Id="rId693" Type="http://schemas.openxmlformats.org/officeDocument/2006/relationships/image" Target="media/image328.wmf"/><Relationship Id="rId707" Type="http://schemas.openxmlformats.org/officeDocument/2006/relationships/image" Target="media/image335.wmf"/><Relationship Id="rId914" Type="http://schemas.openxmlformats.org/officeDocument/2006/relationships/oleObject" Target="embeddings/oleObject472.bin"/><Relationship Id="rId1337" Type="http://schemas.openxmlformats.org/officeDocument/2006/relationships/oleObject" Target="embeddings/oleObject697.bin"/><Relationship Id="rId43" Type="http://schemas.openxmlformats.org/officeDocument/2006/relationships/image" Target="media/image18.wmf"/><Relationship Id="rId139" Type="http://schemas.openxmlformats.org/officeDocument/2006/relationships/oleObject" Target="embeddings/oleObject67.bin"/><Relationship Id="rId346" Type="http://schemas.openxmlformats.org/officeDocument/2006/relationships/image" Target="media/image162.wmf"/><Relationship Id="rId553" Type="http://schemas.openxmlformats.org/officeDocument/2006/relationships/oleObject" Target="embeddings/oleObject287.bin"/><Relationship Id="rId760" Type="http://schemas.openxmlformats.org/officeDocument/2006/relationships/image" Target="media/image361.wmf"/><Relationship Id="rId998" Type="http://schemas.openxmlformats.org/officeDocument/2006/relationships/image" Target="media/image476.wmf"/><Relationship Id="rId1183" Type="http://schemas.openxmlformats.org/officeDocument/2006/relationships/image" Target="media/image559.wmf"/><Relationship Id="rId1390" Type="http://schemas.openxmlformats.org/officeDocument/2006/relationships/image" Target="media/image669.png"/><Relationship Id="rId1404" Type="http://schemas.openxmlformats.org/officeDocument/2006/relationships/image" Target="media/image683.png"/><Relationship Id="rId192" Type="http://schemas.openxmlformats.org/officeDocument/2006/relationships/oleObject" Target="embeddings/oleObject97.bin"/><Relationship Id="rId206" Type="http://schemas.openxmlformats.org/officeDocument/2006/relationships/oleObject" Target="embeddings/oleObject105.bin"/><Relationship Id="rId413" Type="http://schemas.openxmlformats.org/officeDocument/2006/relationships/oleObject" Target="embeddings/oleObject214.bin"/><Relationship Id="rId858" Type="http://schemas.openxmlformats.org/officeDocument/2006/relationships/image" Target="media/image410.wmf"/><Relationship Id="rId1043" Type="http://schemas.openxmlformats.org/officeDocument/2006/relationships/image" Target="media/image498.wmf"/><Relationship Id="rId1488" Type="http://schemas.openxmlformats.org/officeDocument/2006/relationships/image" Target="media/image766.png"/><Relationship Id="rId497" Type="http://schemas.openxmlformats.org/officeDocument/2006/relationships/oleObject" Target="embeddings/oleObject258.bin"/><Relationship Id="rId620" Type="http://schemas.openxmlformats.org/officeDocument/2006/relationships/image" Target="media/image292.wmf"/><Relationship Id="rId718" Type="http://schemas.openxmlformats.org/officeDocument/2006/relationships/image" Target="media/image340.wmf"/><Relationship Id="rId925" Type="http://schemas.openxmlformats.org/officeDocument/2006/relationships/image" Target="media/image441.wmf"/><Relationship Id="rId1250" Type="http://schemas.openxmlformats.org/officeDocument/2006/relationships/oleObject" Target="embeddings/oleObject652.bin"/><Relationship Id="rId1348" Type="http://schemas.openxmlformats.org/officeDocument/2006/relationships/image" Target="media/image639.wmf"/><Relationship Id="rId357" Type="http://schemas.openxmlformats.org/officeDocument/2006/relationships/oleObject" Target="embeddings/oleObject183.bin"/><Relationship Id="rId1110" Type="http://schemas.openxmlformats.org/officeDocument/2006/relationships/oleObject" Target="embeddings/oleObject573.bin"/><Relationship Id="rId1194" Type="http://schemas.openxmlformats.org/officeDocument/2006/relationships/oleObject" Target="embeddings/oleObject624.bin"/><Relationship Id="rId1208" Type="http://schemas.openxmlformats.org/officeDocument/2006/relationships/oleObject" Target="embeddings/oleObject631.bin"/><Relationship Id="rId1415" Type="http://schemas.openxmlformats.org/officeDocument/2006/relationships/image" Target="media/image694.png"/><Relationship Id="rId54" Type="http://schemas.openxmlformats.org/officeDocument/2006/relationships/oleObject" Target="embeddings/oleObject24.bin"/><Relationship Id="rId217" Type="http://schemas.openxmlformats.org/officeDocument/2006/relationships/oleObject" Target="embeddings/oleObject111.bin"/><Relationship Id="rId564" Type="http://schemas.openxmlformats.org/officeDocument/2006/relationships/image" Target="media/image265.wmf"/><Relationship Id="rId771" Type="http://schemas.openxmlformats.org/officeDocument/2006/relationships/oleObject" Target="embeddings/oleObject398.bin"/><Relationship Id="rId869" Type="http://schemas.openxmlformats.org/officeDocument/2006/relationships/oleObject" Target="embeddings/oleObject447.bin"/><Relationship Id="rId1499" Type="http://schemas.openxmlformats.org/officeDocument/2006/relationships/image" Target="media/image777.jpeg"/><Relationship Id="rId424" Type="http://schemas.openxmlformats.org/officeDocument/2006/relationships/image" Target="media/image198.wmf"/><Relationship Id="rId631" Type="http://schemas.openxmlformats.org/officeDocument/2006/relationships/oleObject" Target="embeddings/oleObject327.bin"/><Relationship Id="rId729" Type="http://schemas.openxmlformats.org/officeDocument/2006/relationships/oleObject" Target="embeddings/oleObject377.bin"/><Relationship Id="rId1054" Type="http://schemas.openxmlformats.org/officeDocument/2006/relationships/oleObject" Target="embeddings/oleObject545.bin"/><Relationship Id="rId1261" Type="http://schemas.openxmlformats.org/officeDocument/2006/relationships/oleObject" Target="embeddings/oleObject658.bin"/><Relationship Id="rId1359" Type="http://schemas.openxmlformats.org/officeDocument/2006/relationships/oleObject" Target="embeddings/oleObject708.bin"/><Relationship Id="rId270" Type="http://schemas.openxmlformats.org/officeDocument/2006/relationships/image" Target="media/image126.wmf"/><Relationship Id="rId936" Type="http://schemas.openxmlformats.org/officeDocument/2006/relationships/image" Target="media/image446.wmf"/><Relationship Id="rId1121" Type="http://schemas.openxmlformats.org/officeDocument/2006/relationships/image" Target="media/image536.wmf"/><Relationship Id="rId1219" Type="http://schemas.openxmlformats.org/officeDocument/2006/relationships/image" Target="media/image576.wmf"/><Relationship Id="rId65" Type="http://schemas.openxmlformats.org/officeDocument/2006/relationships/image" Target="media/image29.wmf"/><Relationship Id="rId130" Type="http://schemas.openxmlformats.org/officeDocument/2006/relationships/image" Target="media/image61.wmf"/><Relationship Id="rId368" Type="http://schemas.openxmlformats.org/officeDocument/2006/relationships/image" Target="media/image170.wmf"/><Relationship Id="rId575" Type="http://schemas.openxmlformats.org/officeDocument/2006/relationships/oleObject" Target="embeddings/oleObject298.bin"/><Relationship Id="rId782" Type="http://schemas.openxmlformats.org/officeDocument/2006/relationships/image" Target="media/image372.wmf"/><Relationship Id="rId1426" Type="http://schemas.openxmlformats.org/officeDocument/2006/relationships/image" Target="media/image704.png"/><Relationship Id="rId228" Type="http://schemas.openxmlformats.org/officeDocument/2006/relationships/image" Target="media/image105.wmf"/><Relationship Id="rId435" Type="http://schemas.openxmlformats.org/officeDocument/2006/relationships/oleObject" Target="embeddings/oleObject225.bin"/><Relationship Id="rId642" Type="http://schemas.openxmlformats.org/officeDocument/2006/relationships/image" Target="media/image303.wmf"/><Relationship Id="rId1065" Type="http://schemas.openxmlformats.org/officeDocument/2006/relationships/image" Target="media/image508.wmf"/><Relationship Id="rId1272" Type="http://schemas.openxmlformats.org/officeDocument/2006/relationships/oleObject" Target="embeddings/oleObject664.bin"/><Relationship Id="rId281" Type="http://schemas.openxmlformats.org/officeDocument/2006/relationships/oleObject" Target="embeddings/oleObject143.bin"/><Relationship Id="rId502" Type="http://schemas.openxmlformats.org/officeDocument/2006/relationships/image" Target="media/image235.wmf"/><Relationship Id="rId947" Type="http://schemas.openxmlformats.org/officeDocument/2006/relationships/oleObject" Target="embeddings/oleObject489.bin"/><Relationship Id="rId1132" Type="http://schemas.openxmlformats.org/officeDocument/2006/relationships/oleObject" Target="embeddings/oleObject584.bin"/><Relationship Id="rId76" Type="http://schemas.openxmlformats.org/officeDocument/2006/relationships/oleObject" Target="embeddings/oleObject35.bin"/><Relationship Id="rId141" Type="http://schemas.openxmlformats.org/officeDocument/2006/relationships/oleObject" Target="embeddings/oleObject68.bin"/><Relationship Id="rId379" Type="http://schemas.openxmlformats.org/officeDocument/2006/relationships/oleObject" Target="embeddings/oleObject197.bin"/><Relationship Id="rId586" Type="http://schemas.openxmlformats.org/officeDocument/2006/relationships/image" Target="media/image276.wmf"/><Relationship Id="rId793" Type="http://schemas.openxmlformats.org/officeDocument/2006/relationships/oleObject" Target="embeddings/oleObject409.bin"/><Relationship Id="rId807" Type="http://schemas.openxmlformats.org/officeDocument/2006/relationships/oleObject" Target="embeddings/oleObject416.bin"/><Relationship Id="rId1437" Type="http://schemas.openxmlformats.org/officeDocument/2006/relationships/image" Target="media/image715.png"/><Relationship Id="rId7" Type="http://schemas.openxmlformats.org/officeDocument/2006/relationships/endnotes" Target="endnotes.xml"/><Relationship Id="rId239" Type="http://schemas.openxmlformats.org/officeDocument/2006/relationships/oleObject" Target="embeddings/oleObject122.bin"/><Relationship Id="rId446" Type="http://schemas.openxmlformats.org/officeDocument/2006/relationships/oleObject" Target="embeddings/oleObject231.bin"/><Relationship Id="rId653" Type="http://schemas.openxmlformats.org/officeDocument/2006/relationships/image" Target="media/image308.wmf"/><Relationship Id="rId1076" Type="http://schemas.openxmlformats.org/officeDocument/2006/relationships/oleObject" Target="embeddings/oleObject556.bin"/><Relationship Id="rId1283" Type="http://schemas.openxmlformats.org/officeDocument/2006/relationships/image" Target="media/image607.wmf"/><Relationship Id="rId1490" Type="http://schemas.openxmlformats.org/officeDocument/2006/relationships/image" Target="media/image768.emf"/><Relationship Id="rId1504" Type="http://schemas.openxmlformats.org/officeDocument/2006/relationships/image" Target="media/image782.png"/><Relationship Id="rId292" Type="http://schemas.openxmlformats.org/officeDocument/2006/relationships/image" Target="media/image137.wmf"/><Relationship Id="rId306" Type="http://schemas.openxmlformats.org/officeDocument/2006/relationships/oleObject" Target="embeddings/oleObject156.bin"/><Relationship Id="rId860" Type="http://schemas.openxmlformats.org/officeDocument/2006/relationships/image" Target="media/image411.wmf"/><Relationship Id="rId958" Type="http://schemas.openxmlformats.org/officeDocument/2006/relationships/image" Target="media/image457.wmf"/><Relationship Id="rId1143" Type="http://schemas.openxmlformats.org/officeDocument/2006/relationships/oleObject" Target="embeddings/oleObject590.bin"/><Relationship Id="rId87" Type="http://schemas.openxmlformats.org/officeDocument/2006/relationships/image" Target="media/image40.wmf"/><Relationship Id="rId513" Type="http://schemas.openxmlformats.org/officeDocument/2006/relationships/image" Target="media/image240.wmf"/><Relationship Id="rId597" Type="http://schemas.openxmlformats.org/officeDocument/2006/relationships/image" Target="media/image281.wmf"/><Relationship Id="rId720" Type="http://schemas.openxmlformats.org/officeDocument/2006/relationships/image" Target="media/image341.wmf"/><Relationship Id="rId818" Type="http://schemas.openxmlformats.org/officeDocument/2006/relationships/image" Target="media/image390.wmf"/><Relationship Id="rId1350" Type="http://schemas.openxmlformats.org/officeDocument/2006/relationships/image" Target="media/image640.wmf"/><Relationship Id="rId1448" Type="http://schemas.openxmlformats.org/officeDocument/2006/relationships/image" Target="media/image726.png"/><Relationship Id="rId152" Type="http://schemas.openxmlformats.org/officeDocument/2006/relationships/image" Target="media/image72.wmf"/><Relationship Id="rId457" Type="http://schemas.openxmlformats.org/officeDocument/2006/relationships/oleObject" Target="embeddings/oleObject237.bin"/><Relationship Id="rId1003" Type="http://schemas.openxmlformats.org/officeDocument/2006/relationships/oleObject" Target="embeddings/oleObject518.bin"/><Relationship Id="rId1087" Type="http://schemas.openxmlformats.org/officeDocument/2006/relationships/image" Target="media/image519.wmf"/><Relationship Id="rId1210" Type="http://schemas.openxmlformats.org/officeDocument/2006/relationships/oleObject" Target="embeddings/oleObject632.bin"/><Relationship Id="rId1294" Type="http://schemas.openxmlformats.org/officeDocument/2006/relationships/image" Target="media/image612.wmf"/><Relationship Id="rId1308" Type="http://schemas.openxmlformats.org/officeDocument/2006/relationships/image" Target="media/image619.wmf"/><Relationship Id="rId664" Type="http://schemas.openxmlformats.org/officeDocument/2006/relationships/oleObject" Target="embeddings/oleObject344.bin"/><Relationship Id="rId871" Type="http://schemas.openxmlformats.org/officeDocument/2006/relationships/oleObject" Target="embeddings/oleObject448.bin"/><Relationship Id="rId969" Type="http://schemas.openxmlformats.org/officeDocument/2006/relationships/image" Target="media/image462.wmf"/><Relationship Id="rId1515" Type="http://schemas.openxmlformats.org/officeDocument/2006/relationships/oleObject" Target="embeddings/oleObject713.bin"/><Relationship Id="rId14" Type="http://schemas.openxmlformats.org/officeDocument/2006/relationships/image" Target="media/image4.wmf"/><Relationship Id="rId317" Type="http://schemas.openxmlformats.org/officeDocument/2006/relationships/image" Target="media/image149.wmf"/><Relationship Id="rId524" Type="http://schemas.openxmlformats.org/officeDocument/2006/relationships/oleObject" Target="embeddings/oleObject272.bin"/><Relationship Id="rId731" Type="http://schemas.openxmlformats.org/officeDocument/2006/relationships/oleObject" Target="embeddings/oleObject378.bin"/><Relationship Id="rId1154" Type="http://schemas.openxmlformats.org/officeDocument/2006/relationships/image" Target="media/image551.wmf"/><Relationship Id="rId1361" Type="http://schemas.openxmlformats.org/officeDocument/2006/relationships/oleObject" Target="embeddings/oleObject709.bin"/><Relationship Id="rId1459" Type="http://schemas.openxmlformats.org/officeDocument/2006/relationships/image" Target="media/image737.png"/><Relationship Id="rId98" Type="http://schemas.openxmlformats.org/officeDocument/2006/relationships/oleObject" Target="embeddings/oleObject46.bin"/><Relationship Id="rId163" Type="http://schemas.openxmlformats.org/officeDocument/2006/relationships/oleObject" Target="embeddings/oleObject80.bin"/><Relationship Id="rId370" Type="http://schemas.openxmlformats.org/officeDocument/2006/relationships/image" Target="media/image171.wmf"/><Relationship Id="rId829" Type="http://schemas.openxmlformats.org/officeDocument/2006/relationships/oleObject" Target="embeddings/oleObject427.bin"/><Relationship Id="rId1014" Type="http://schemas.openxmlformats.org/officeDocument/2006/relationships/image" Target="media/image484.wmf"/><Relationship Id="rId1221" Type="http://schemas.openxmlformats.org/officeDocument/2006/relationships/image" Target="media/image577.wmf"/><Relationship Id="rId230" Type="http://schemas.openxmlformats.org/officeDocument/2006/relationships/image" Target="media/image106.wmf"/><Relationship Id="rId468" Type="http://schemas.openxmlformats.org/officeDocument/2006/relationships/image" Target="media/image219.wmf"/><Relationship Id="rId675" Type="http://schemas.openxmlformats.org/officeDocument/2006/relationships/image" Target="media/image319.wmf"/><Relationship Id="rId882" Type="http://schemas.openxmlformats.org/officeDocument/2006/relationships/image" Target="media/image422.wmf"/><Relationship Id="rId1098" Type="http://schemas.openxmlformats.org/officeDocument/2006/relationships/oleObject" Target="embeddings/oleObject567.bin"/><Relationship Id="rId1319" Type="http://schemas.openxmlformats.org/officeDocument/2006/relationships/oleObject" Target="embeddings/oleObject688.bin"/><Relationship Id="rId25" Type="http://schemas.openxmlformats.org/officeDocument/2006/relationships/image" Target="media/image9.wmf"/><Relationship Id="rId328" Type="http://schemas.openxmlformats.org/officeDocument/2006/relationships/image" Target="media/image154.wmf"/><Relationship Id="rId535" Type="http://schemas.openxmlformats.org/officeDocument/2006/relationships/image" Target="media/image251.wmf"/><Relationship Id="rId742" Type="http://schemas.openxmlformats.org/officeDocument/2006/relationships/image" Target="media/image352.wmf"/><Relationship Id="rId1165" Type="http://schemas.openxmlformats.org/officeDocument/2006/relationships/oleObject" Target="embeddings/oleObject605.bin"/><Relationship Id="rId1372" Type="http://schemas.openxmlformats.org/officeDocument/2006/relationships/image" Target="media/image652.png"/><Relationship Id="rId174" Type="http://schemas.openxmlformats.org/officeDocument/2006/relationships/image" Target="media/image81.wmf"/><Relationship Id="rId381" Type="http://schemas.openxmlformats.org/officeDocument/2006/relationships/oleObject" Target="embeddings/oleObject198.bin"/><Relationship Id="rId602" Type="http://schemas.openxmlformats.org/officeDocument/2006/relationships/oleObject" Target="embeddings/oleObject312.bin"/><Relationship Id="rId1025" Type="http://schemas.openxmlformats.org/officeDocument/2006/relationships/oleObject" Target="embeddings/oleObject529.bin"/><Relationship Id="rId1232" Type="http://schemas.openxmlformats.org/officeDocument/2006/relationships/oleObject" Target="embeddings/oleObject643.bin"/><Relationship Id="rId241" Type="http://schemas.openxmlformats.org/officeDocument/2006/relationships/oleObject" Target="embeddings/oleObject123.bin"/><Relationship Id="rId479" Type="http://schemas.openxmlformats.org/officeDocument/2006/relationships/oleObject" Target="embeddings/oleObject248.bin"/><Relationship Id="rId686" Type="http://schemas.openxmlformats.org/officeDocument/2006/relationships/oleObject" Target="embeddings/oleObject355.bin"/><Relationship Id="rId893" Type="http://schemas.openxmlformats.org/officeDocument/2006/relationships/image" Target="media/image427.wmf"/><Relationship Id="rId907" Type="http://schemas.openxmlformats.org/officeDocument/2006/relationships/image" Target="media/image434.wmf"/><Relationship Id="rId36" Type="http://schemas.openxmlformats.org/officeDocument/2006/relationships/oleObject" Target="embeddings/oleObject15.bin"/><Relationship Id="rId339" Type="http://schemas.openxmlformats.org/officeDocument/2006/relationships/image" Target="media/image159.wmf"/><Relationship Id="rId546" Type="http://schemas.openxmlformats.org/officeDocument/2006/relationships/image" Target="media/image256.wmf"/><Relationship Id="rId753" Type="http://schemas.openxmlformats.org/officeDocument/2006/relationships/oleObject" Target="embeddings/oleObject389.bin"/><Relationship Id="rId1176" Type="http://schemas.openxmlformats.org/officeDocument/2006/relationships/oleObject" Target="embeddings/oleObject612.bin"/><Relationship Id="rId1383" Type="http://schemas.openxmlformats.org/officeDocument/2006/relationships/image" Target="media/image662.png"/><Relationship Id="rId101" Type="http://schemas.openxmlformats.org/officeDocument/2006/relationships/image" Target="media/image47.wmf"/><Relationship Id="rId185" Type="http://schemas.openxmlformats.org/officeDocument/2006/relationships/oleObject" Target="embeddings/oleObject93.bin"/><Relationship Id="rId406" Type="http://schemas.openxmlformats.org/officeDocument/2006/relationships/image" Target="media/image189.wmf"/><Relationship Id="rId960" Type="http://schemas.openxmlformats.org/officeDocument/2006/relationships/image" Target="media/image458.wmf"/><Relationship Id="rId1036" Type="http://schemas.openxmlformats.org/officeDocument/2006/relationships/oleObject" Target="embeddings/oleObject535.bin"/><Relationship Id="rId1243" Type="http://schemas.openxmlformats.org/officeDocument/2006/relationships/image" Target="media/image588.wmf"/><Relationship Id="rId392" Type="http://schemas.openxmlformats.org/officeDocument/2006/relationships/image" Target="media/image182.wmf"/><Relationship Id="rId613" Type="http://schemas.openxmlformats.org/officeDocument/2006/relationships/oleObject" Target="embeddings/oleObject318.bin"/><Relationship Id="rId697" Type="http://schemas.openxmlformats.org/officeDocument/2006/relationships/image" Target="media/image330.wmf"/><Relationship Id="rId820" Type="http://schemas.openxmlformats.org/officeDocument/2006/relationships/image" Target="media/image391.wmf"/><Relationship Id="rId918" Type="http://schemas.openxmlformats.org/officeDocument/2006/relationships/oleObject" Target="embeddings/oleObject474.bin"/><Relationship Id="rId1450" Type="http://schemas.openxmlformats.org/officeDocument/2006/relationships/image" Target="media/image728.png"/><Relationship Id="rId252" Type="http://schemas.openxmlformats.org/officeDocument/2006/relationships/image" Target="media/image117.wmf"/><Relationship Id="rId1103" Type="http://schemas.openxmlformats.org/officeDocument/2006/relationships/image" Target="media/image527.wmf"/><Relationship Id="rId1187" Type="http://schemas.openxmlformats.org/officeDocument/2006/relationships/oleObject" Target="embeddings/oleObject620.bin"/><Relationship Id="rId1310" Type="http://schemas.openxmlformats.org/officeDocument/2006/relationships/image" Target="media/image620.wmf"/><Relationship Id="rId1408" Type="http://schemas.openxmlformats.org/officeDocument/2006/relationships/image" Target="media/image687.jpeg"/><Relationship Id="rId47" Type="http://schemas.openxmlformats.org/officeDocument/2006/relationships/image" Target="media/image20.wmf"/><Relationship Id="rId112" Type="http://schemas.openxmlformats.org/officeDocument/2006/relationships/image" Target="media/image52.wmf"/><Relationship Id="rId557" Type="http://schemas.openxmlformats.org/officeDocument/2006/relationships/oleObject" Target="embeddings/oleObject289.bin"/><Relationship Id="rId764" Type="http://schemas.openxmlformats.org/officeDocument/2006/relationships/image" Target="media/image363.wmf"/><Relationship Id="rId971" Type="http://schemas.openxmlformats.org/officeDocument/2006/relationships/oleObject" Target="embeddings/oleObject502.bin"/><Relationship Id="rId1394" Type="http://schemas.openxmlformats.org/officeDocument/2006/relationships/image" Target="media/image673.png"/><Relationship Id="rId196" Type="http://schemas.openxmlformats.org/officeDocument/2006/relationships/oleObject" Target="embeddings/oleObject100.bin"/><Relationship Id="rId417" Type="http://schemas.openxmlformats.org/officeDocument/2006/relationships/oleObject" Target="embeddings/oleObject216.bin"/><Relationship Id="rId624" Type="http://schemas.openxmlformats.org/officeDocument/2006/relationships/image" Target="media/image294.wmf"/><Relationship Id="rId831" Type="http://schemas.openxmlformats.org/officeDocument/2006/relationships/oleObject" Target="embeddings/oleObject428.bin"/><Relationship Id="rId1047" Type="http://schemas.openxmlformats.org/officeDocument/2006/relationships/oleObject" Target="embeddings/oleObject541.bin"/><Relationship Id="rId1254" Type="http://schemas.openxmlformats.org/officeDocument/2006/relationships/oleObject" Target="embeddings/oleObject654.bin"/><Relationship Id="rId1461" Type="http://schemas.openxmlformats.org/officeDocument/2006/relationships/image" Target="media/image739.png"/><Relationship Id="rId263" Type="http://schemas.openxmlformats.org/officeDocument/2006/relationships/oleObject" Target="embeddings/oleObject134.bin"/><Relationship Id="rId470" Type="http://schemas.openxmlformats.org/officeDocument/2006/relationships/image" Target="media/image220.wmf"/><Relationship Id="rId929" Type="http://schemas.openxmlformats.org/officeDocument/2006/relationships/image" Target="media/image443.wmf"/><Relationship Id="rId1114" Type="http://schemas.openxmlformats.org/officeDocument/2006/relationships/oleObject" Target="embeddings/oleObject575.bin"/><Relationship Id="rId1321" Type="http://schemas.openxmlformats.org/officeDocument/2006/relationships/oleObject" Target="embeddings/oleObject689.bin"/><Relationship Id="rId58" Type="http://schemas.openxmlformats.org/officeDocument/2006/relationships/oleObject" Target="embeddings/oleObject26.bin"/><Relationship Id="rId123" Type="http://schemas.openxmlformats.org/officeDocument/2006/relationships/oleObject" Target="embeddings/oleObject59.bin"/><Relationship Id="rId330" Type="http://schemas.openxmlformats.org/officeDocument/2006/relationships/image" Target="media/image155.wmf"/><Relationship Id="rId568" Type="http://schemas.openxmlformats.org/officeDocument/2006/relationships/image" Target="media/image267.wmf"/><Relationship Id="rId775" Type="http://schemas.openxmlformats.org/officeDocument/2006/relationships/oleObject" Target="embeddings/oleObject400.bin"/><Relationship Id="rId982" Type="http://schemas.openxmlformats.org/officeDocument/2006/relationships/image" Target="media/image468.wmf"/><Relationship Id="rId1198" Type="http://schemas.openxmlformats.org/officeDocument/2006/relationships/oleObject" Target="embeddings/oleObject626.bin"/><Relationship Id="rId1419" Type="http://schemas.openxmlformats.org/officeDocument/2006/relationships/oleObject" Target="embeddings/oleObject712.bin"/><Relationship Id="rId428" Type="http://schemas.openxmlformats.org/officeDocument/2006/relationships/image" Target="media/image200.wmf"/><Relationship Id="rId635" Type="http://schemas.openxmlformats.org/officeDocument/2006/relationships/oleObject" Target="embeddings/oleObject329.bin"/><Relationship Id="rId842" Type="http://schemas.openxmlformats.org/officeDocument/2006/relationships/image" Target="media/image402.wmf"/><Relationship Id="rId1058" Type="http://schemas.openxmlformats.org/officeDocument/2006/relationships/oleObject" Target="embeddings/oleObject547.bin"/><Relationship Id="rId1265" Type="http://schemas.openxmlformats.org/officeDocument/2006/relationships/oleObject" Target="embeddings/oleObject660.bin"/><Relationship Id="rId1472" Type="http://schemas.openxmlformats.org/officeDocument/2006/relationships/image" Target="media/image750.png"/><Relationship Id="rId274" Type="http://schemas.openxmlformats.org/officeDocument/2006/relationships/image" Target="media/image128.wmf"/><Relationship Id="rId481" Type="http://schemas.openxmlformats.org/officeDocument/2006/relationships/oleObject" Target="embeddings/oleObject249.bin"/><Relationship Id="rId702" Type="http://schemas.openxmlformats.org/officeDocument/2006/relationships/oleObject" Target="embeddings/oleObject363.bin"/><Relationship Id="rId1125" Type="http://schemas.openxmlformats.org/officeDocument/2006/relationships/image" Target="media/image538.wmf"/><Relationship Id="rId1332" Type="http://schemas.openxmlformats.org/officeDocument/2006/relationships/image" Target="media/image631.wmf"/><Relationship Id="rId69" Type="http://schemas.openxmlformats.org/officeDocument/2006/relationships/image" Target="media/image31.wmf"/><Relationship Id="rId134" Type="http://schemas.openxmlformats.org/officeDocument/2006/relationships/image" Target="media/image63.wmf"/><Relationship Id="rId579" Type="http://schemas.openxmlformats.org/officeDocument/2006/relationships/oleObject" Target="embeddings/oleObject300.bin"/><Relationship Id="rId786" Type="http://schemas.openxmlformats.org/officeDocument/2006/relationships/image" Target="media/image374.wmf"/><Relationship Id="rId993" Type="http://schemas.openxmlformats.org/officeDocument/2006/relationships/oleObject" Target="embeddings/oleObject513.bin"/><Relationship Id="rId341" Type="http://schemas.openxmlformats.org/officeDocument/2006/relationships/image" Target="media/image160.wmf"/><Relationship Id="rId439" Type="http://schemas.openxmlformats.org/officeDocument/2006/relationships/image" Target="media/image205.wmf"/><Relationship Id="rId646" Type="http://schemas.openxmlformats.org/officeDocument/2006/relationships/oleObject" Target="embeddings/oleObject335.bin"/><Relationship Id="rId1069" Type="http://schemas.openxmlformats.org/officeDocument/2006/relationships/image" Target="media/image510.wmf"/><Relationship Id="rId1276" Type="http://schemas.openxmlformats.org/officeDocument/2006/relationships/oleObject" Target="embeddings/oleObject666.bin"/><Relationship Id="rId1483" Type="http://schemas.openxmlformats.org/officeDocument/2006/relationships/image" Target="media/image761.png"/><Relationship Id="rId201" Type="http://schemas.openxmlformats.org/officeDocument/2006/relationships/image" Target="media/image92.wmf"/><Relationship Id="rId285" Type="http://schemas.openxmlformats.org/officeDocument/2006/relationships/oleObject" Target="embeddings/oleObject145.bin"/><Relationship Id="rId506" Type="http://schemas.openxmlformats.org/officeDocument/2006/relationships/oleObject" Target="embeddings/oleObject263.bin"/><Relationship Id="rId853" Type="http://schemas.openxmlformats.org/officeDocument/2006/relationships/oleObject" Target="embeddings/oleObject439.bin"/><Relationship Id="rId1136" Type="http://schemas.openxmlformats.org/officeDocument/2006/relationships/oleObject" Target="embeddings/oleObject586.bin"/><Relationship Id="rId492" Type="http://schemas.openxmlformats.org/officeDocument/2006/relationships/image" Target="media/image230.wmf"/><Relationship Id="rId713" Type="http://schemas.openxmlformats.org/officeDocument/2006/relationships/oleObject" Target="embeddings/oleObject369.bin"/><Relationship Id="rId797" Type="http://schemas.openxmlformats.org/officeDocument/2006/relationships/oleObject" Target="embeddings/oleObject411.bin"/><Relationship Id="rId920" Type="http://schemas.openxmlformats.org/officeDocument/2006/relationships/oleObject" Target="embeddings/oleObject475.bin"/><Relationship Id="rId1343" Type="http://schemas.openxmlformats.org/officeDocument/2006/relationships/oleObject" Target="embeddings/oleObject700.bin"/><Relationship Id="rId145" Type="http://schemas.openxmlformats.org/officeDocument/2006/relationships/oleObject" Target="embeddings/oleObject70.bin"/><Relationship Id="rId352" Type="http://schemas.openxmlformats.org/officeDocument/2006/relationships/image" Target="media/image165.wmf"/><Relationship Id="rId1203" Type="http://schemas.openxmlformats.org/officeDocument/2006/relationships/image" Target="media/image568.wmf"/><Relationship Id="rId1287" Type="http://schemas.openxmlformats.org/officeDocument/2006/relationships/oleObject" Target="embeddings/oleObject672.bin"/><Relationship Id="rId1410" Type="http://schemas.openxmlformats.org/officeDocument/2006/relationships/image" Target="media/image689.png"/><Relationship Id="rId1508" Type="http://schemas.openxmlformats.org/officeDocument/2006/relationships/image" Target="media/image786.emf"/><Relationship Id="rId212" Type="http://schemas.openxmlformats.org/officeDocument/2006/relationships/image" Target="media/image97.wmf"/><Relationship Id="rId657" Type="http://schemas.openxmlformats.org/officeDocument/2006/relationships/image" Target="media/image310.wmf"/><Relationship Id="rId864" Type="http://schemas.openxmlformats.org/officeDocument/2006/relationships/image" Target="media/image413.wmf"/><Relationship Id="rId1494" Type="http://schemas.openxmlformats.org/officeDocument/2006/relationships/image" Target="media/image772.png"/><Relationship Id="rId296" Type="http://schemas.openxmlformats.org/officeDocument/2006/relationships/oleObject" Target="embeddings/oleObject151.bin"/><Relationship Id="rId517" Type="http://schemas.openxmlformats.org/officeDocument/2006/relationships/image" Target="media/image242.wmf"/><Relationship Id="rId724" Type="http://schemas.openxmlformats.org/officeDocument/2006/relationships/image" Target="media/image343.wmf"/><Relationship Id="rId931" Type="http://schemas.openxmlformats.org/officeDocument/2006/relationships/image" Target="media/image444.wmf"/><Relationship Id="rId1147" Type="http://schemas.openxmlformats.org/officeDocument/2006/relationships/oleObject" Target="embeddings/oleObject592.bin"/><Relationship Id="rId1354" Type="http://schemas.openxmlformats.org/officeDocument/2006/relationships/image" Target="media/image642.wmf"/><Relationship Id="rId60" Type="http://schemas.openxmlformats.org/officeDocument/2006/relationships/oleObject" Target="embeddings/oleObject27.bin"/><Relationship Id="rId156" Type="http://schemas.openxmlformats.org/officeDocument/2006/relationships/image" Target="media/image74.wmf"/><Relationship Id="rId363" Type="http://schemas.openxmlformats.org/officeDocument/2006/relationships/oleObject" Target="embeddings/oleObject189.bin"/><Relationship Id="rId570" Type="http://schemas.openxmlformats.org/officeDocument/2006/relationships/image" Target="media/image268.wmf"/><Relationship Id="rId1007" Type="http://schemas.openxmlformats.org/officeDocument/2006/relationships/oleObject" Target="embeddings/oleObject520.bin"/><Relationship Id="rId1214" Type="http://schemas.openxmlformats.org/officeDocument/2006/relationships/oleObject" Target="embeddings/oleObject634.bin"/><Relationship Id="rId1421" Type="http://schemas.openxmlformats.org/officeDocument/2006/relationships/image" Target="media/image699.png"/><Relationship Id="rId223" Type="http://schemas.openxmlformats.org/officeDocument/2006/relationships/oleObject" Target="embeddings/oleObject114.bin"/><Relationship Id="rId430" Type="http://schemas.openxmlformats.org/officeDocument/2006/relationships/image" Target="media/image201.wmf"/><Relationship Id="rId668" Type="http://schemas.openxmlformats.org/officeDocument/2006/relationships/oleObject" Target="embeddings/oleObject346.bin"/><Relationship Id="rId875" Type="http://schemas.openxmlformats.org/officeDocument/2006/relationships/oleObject" Target="embeddings/oleObject450.bin"/><Relationship Id="rId1060" Type="http://schemas.openxmlformats.org/officeDocument/2006/relationships/oleObject" Target="embeddings/oleObject548.bin"/><Relationship Id="rId1298" Type="http://schemas.openxmlformats.org/officeDocument/2006/relationships/image" Target="media/image614.wmf"/><Relationship Id="rId1519" Type="http://schemas.openxmlformats.org/officeDocument/2006/relationships/fontTable" Target="fontTable.xml"/><Relationship Id="rId18" Type="http://schemas.openxmlformats.org/officeDocument/2006/relationships/image" Target="media/image6.wmf"/><Relationship Id="rId528" Type="http://schemas.openxmlformats.org/officeDocument/2006/relationships/oleObject" Target="embeddings/oleObject274.bin"/><Relationship Id="rId735" Type="http://schemas.openxmlformats.org/officeDocument/2006/relationships/oleObject" Target="embeddings/oleObject380.bin"/><Relationship Id="rId942" Type="http://schemas.openxmlformats.org/officeDocument/2006/relationships/image" Target="media/image449.wmf"/><Relationship Id="rId1158" Type="http://schemas.openxmlformats.org/officeDocument/2006/relationships/image" Target="media/image553.wmf"/><Relationship Id="rId1365" Type="http://schemas.openxmlformats.org/officeDocument/2006/relationships/image" Target="media/image648.png"/><Relationship Id="rId167" Type="http://schemas.openxmlformats.org/officeDocument/2006/relationships/oleObject" Target="embeddings/oleObject82.bin"/><Relationship Id="rId374" Type="http://schemas.openxmlformats.org/officeDocument/2006/relationships/image" Target="media/image173.wmf"/><Relationship Id="rId581" Type="http://schemas.openxmlformats.org/officeDocument/2006/relationships/oleObject" Target="embeddings/oleObject301.bin"/><Relationship Id="rId1018" Type="http://schemas.openxmlformats.org/officeDocument/2006/relationships/image" Target="media/image486.wmf"/><Relationship Id="rId1225" Type="http://schemas.openxmlformats.org/officeDocument/2006/relationships/image" Target="media/image579.wmf"/><Relationship Id="rId1432" Type="http://schemas.openxmlformats.org/officeDocument/2006/relationships/image" Target="media/image710.png"/><Relationship Id="rId71" Type="http://schemas.openxmlformats.org/officeDocument/2006/relationships/image" Target="media/image32.wmf"/><Relationship Id="rId234" Type="http://schemas.openxmlformats.org/officeDocument/2006/relationships/image" Target="media/image108.wmf"/><Relationship Id="rId679" Type="http://schemas.openxmlformats.org/officeDocument/2006/relationships/image" Target="media/image321.wmf"/><Relationship Id="rId802" Type="http://schemas.openxmlformats.org/officeDocument/2006/relationships/image" Target="media/image382.wmf"/><Relationship Id="rId886" Type="http://schemas.openxmlformats.org/officeDocument/2006/relationships/image" Target="media/image424.wmf"/><Relationship Id="rId2" Type="http://schemas.openxmlformats.org/officeDocument/2006/relationships/numbering" Target="numbering.xml"/><Relationship Id="rId29" Type="http://schemas.openxmlformats.org/officeDocument/2006/relationships/image" Target="media/image11.wmf"/><Relationship Id="rId441" Type="http://schemas.openxmlformats.org/officeDocument/2006/relationships/image" Target="media/image206.wmf"/><Relationship Id="rId539" Type="http://schemas.openxmlformats.org/officeDocument/2006/relationships/image" Target="media/image253.wmf"/><Relationship Id="rId746" Type="http://schemas.openxmlformats.org/officeDocument/2006/relationships/image" Target="media/image354.wmf"/><Relationship Id="rId1071" Type="http://schemas.openxmlformats.org/officeDocument/2006/relationships/image" Target="media/image511.wmf"/><Relationship Id="rId1169" Type="http://schemas.openxmlformats.org/officeDocument/2006/relationships/oleObject" Target="embeddings/oleObject608.bin"/><Relationship Id="rId1376" Type="http://schemas.openxmlformats.org/officeDocument/2006/relationships/image" Target="media/image655.png"/><Relationship Id="rId178" Type="http://schemas.openxmlformats.org/officeDocument/2006/relationships/image" Target="media/image83.wmf"/><Relationship Id="rId301" Type="http://schemas.openxmlformats.org/officeDocument/2006/relationships/image" Target="media/image141.wmf"/><Relationship Id="rId953" Type="http://schemas.openxmlformats.org/officeDocument/2006/relationships/oleObject" Target="embeddings/oleObject492.bin"/><Relationship Id="rId1029" Type="http://schemas.openxmlformats.org/officeDocument/2006/relationships/image" Target="media/image491.wmf"/><Relationship Id="rId1236" Type="http://schemas.openxmlformats.org/officeDocument/2006/relationships/oleObject" Target="embeddings/oleObject645.bin"/><Relationship Id="rId82" Type="http://schemas.openxmlformats.org/officeDocument/2006/relationships/oleObject" Target="embeddings/oleObject38.bin"/><Relationship Id="rId385" Type="http://schemas.openxmlformats.org/officeDocument/2006/relationships/oleObject" Target="embeddings/oleObject200.bin"/><Relationship Id="rId592" Type="http://schemas.openxmlformats.org/officeDocument/2006/relationships/oleObject" Target="embeddings/oleObject307.bin"/><Relationship Id="rId606" Type="http://schemas.openxmlformats.org/officeDocument/2006/relationships/image" Target="media/image285.wmf"/><Relationship Id="rId813" Type="http://schemas.openxmlformats.org/officeDocument/2006/relationships/oleObject" Target="embeddings/oleObject419.bin"/><Relationship Id="rId1443" Type="http://schemas.openxmlformats.org/officeDocument/2006/relationships/image" Target="media/image721.png"/><Relationship Id="rId245" Type="http://schemas.openxmlformats.org/officeDocument/2006/relationships/oleObject" Target="embeddings/oleObject125.bin"/><Relationship Id="rId452" Type="http://schemas.openxmlformats.org/officeDocument/2006/relationships/oleObject" Target="embeddings/oleObject234.bin"/><Relationship Id="rId897" Type="http://schemas.openxmlformats.org/officeDocument/2006/relationships/image" Target="media/image429.wmf"/><Relationship Id="rId1082" Type="http://schemas.openxmlformats.org/officeDocument/2006/relationships/oleObject" Target="embeddings/oleObject559.bin"/><Relationship Id="rId1303" Type="http://schemas.openxmlformats.org/officeDocument/2006/relationships/oleObject" Target="embeddings/oleObject680.bin"/><Relationship Id="rId1510" Type="http://schemas.openxmlformats.org/officeDocument/2006/relationships/image" Target="media/image788.emf"/><Relationship Id="rId105" Type="http://schemas.openxmlformats.org/officeDocument/2006/relationships/oleObject" Target="embeddings/oleObject50.bin"/><Relationship Id="rId312" Type="http://schemas.openxmlformats.org/officeDocument/2006/relationships/oleObject" Target="embeddings/oleObject159.bin"/><Relationship Id="rId757" Type="http://schemas.openxmlformats.org/officeDocument/2006/relationships/oleObject" Target="embeddings/oleObject391.bin"/><Relationship Id="rId964" Type="http://schemas.openxmlformats.org/officeDocument/2006/relationships/image" Target="media/image460.wmf"/><Relationship Id="rId1387" Type="http://schemas.openxmlformats.org/officeDocument/2006/relationships/image" Target="media/image666.png"/><Relationship Id="rId93" Type="http://schemas.openxmlformats.org/officeDocument/2006/relationships/image" Target="media/image43.wmf"/><Relationship Id="rId189" Type="http://schemas.openxmlformats.org/officeDocument/2006/relationships/image" Target="media/image87.wmf"/><Relationship Id="rId396" Type="http://schemas.openxmlformats.org/officeDocument/2006/relationships/image" Target="media/image184.wmf"/><Relationship Id="rId617" Type="http://schemas.openxmlformats.org/officeDocument/2006/relationships/oleObject" Target="embeddings/oleObject320.bin"/><Relationship Id="rId824" Type="http://schemas.openxmlformats.org/officeDocument/2006/relationships/image" Target="media/image393.wmf"/><Relationship Id="rId1247" Type="http://schemas.openxmlformats.org/officeDocument/2006/relationships/image" Target="media/image590.wmf"/><Relationship Id="rId1454" Type="http://schemas.openxmlformats.org/officeDocument/2006/relationships/image" Target="media/image732.png"/><Relationship Id="rId256" Type="http://schemas.openxmlformats.org/officeDocument/2006/relationships/image" Target="media/image119.wmf"/><Relationship Id="rId463" Type="http://schemas.openxmlformats.org/officeDocument/2006/relationships/oleObject" Target="embeddings/oleObject240.bin"/><Relationship Id="rId670" Type="http://schemas.openxmlformats.org/officeDocument/2006/relationships/oleObject" Target="embeddings/oleObject347.bin"/><Relationship Id="rId1093" Type="http://schemas.openxmlformats.org/officeDocument/2006/relationships/image" Target="media/image522.wmf"/><Relationship Id="rId1107" Type="http://schemas.openxmlformats.org/officeDocument/2006/relationships/image" Target="media/image529.wmf"/><Relationship Id="rId1314" Type="http://schemas.openxmlformats.org/officeDocument/2006/relationships/image" Target="media/image622.wmf"/><Relationship Id="rId116" Type="http://schemas.openxmlformats.org/officeDocument/2006/relationships/image" Target="media/image54.wmf"/><Relationship Id="rId323" Type="http://schemas.openxmlformats.org/officeDocument/2006/relationships/oleObject" Target="embeddings/oleObject165.bin"/><Relationship Id="rId530" Type="http://schemas.openxmlformats.org/officeDocument/2006/relationships/oleObject" Target="embeddings/oleObject275.bin"/><Relationship Id="rId768" Type="http://schemas.openxmlformats.org/officeDocument/2006/relationships/image" Target="media/image365.wmf"/><Relationship Id="rId975" Type="http://schemas.openxmlformats.org/officeDocument/2006/relationships/oleObject" Target="embeddings/oleObject504.bin"/><Relationship Id="rId1160" Type="http://schemas.openxmlformats.org/officeDocument/2006/relationships/oleObject" Target="embeddings/oleObject600.bin"/><Relationship Id="rId1398" Type="http://schemas.openxmlformats.org/officeDocument/2006/relationships/image" Target="media/image677.png"/><Relationship Id="rId20" Type="http://schemas.openxmlformats.org/officeDocument/2006/relationships/image" Target="media/image7.wmf"/><Relationship Id="rId628" Type="http://schemas.openxmlformats.org/officeDocument/2006/relationships/image" Target="media/image296.wmf"/><Relationship Id="rId835" Type="http://schemas.openxmlformats.org/officeDocument/2006/relationships/oleObject" Target="embeddings/oleObject430.bin"/><Relationship Id="rId1258" Type="http://schemas.openxmlformats.org/officeDocument/2006/relationships/oleObject" Target="embeddings/oleObject656.bin"/><Relationship Id="rId1465" Type="http://schemas.openxmlformats.org/officeDocument/2006/relationships/image" Target="media/image743.png"/><Relationship Id="rId267" Type="http://schemas.openxmlformats.org/officeDocument/2006/relationships/oleObject" Target="embeddings/oleObject136.bin"/><Relationship Id="rId474" Type="http://schemas.openxmlformats.org/officeDocument/2006/relationships/image" Target="media/image222.wmf"/><Relationship Id="rId1020" Type="http://schemas.openxmlformats.org/officeDocument/2006/relationships/image" Target="media/image487.wmf"/><Relationship Id="rId1118" Type="http://schemas.openxmlformats.org/officeDocument/2006/relationships/oleObject" Target="embeddings/oleObject577.bin"/><Relationship Id="rId1325" Type="http://schemas.openxmlformats.org/officeDocument/2006/relationships/oleObject" Target="embeddings/oleObject691.bin"/><Relationship Id="rId127" Type="http://schemas.openxmlformats.org/officeDocument/2006/relationships/oleObject" Target="embeddings/oleObject61.bin"/><Relationship Id="rId681" Type="http://schemas.openxmlformats.org/officeDocument/2006/relationships/image" Target="media/image322.wmf"/><Relationship Id="rId779" Type="http://schemas.openxmlformats.org/officeDocument/2006/relationships/oleObject" Target="embeddings/oleObject402.bin"/><Relationship Id="rId902" Type="http://schemas.openxmlformats.org/officeDocument/2006/relationships/oleObject" Target="embeddings/oleObject464.bin"/><Relationship Id="rId986" Type="http://schemas.openxmlformats.org/officeDocument/2006/relationships/image" Target="media/image470.wmf"/><Relationship Id="rId31" Type="http://schemas.openxmlformats.org/officeDocument/2006/relationships/image" Target="media/image12.wmf"/><Relationship Id="rId334" Type="http://schemas.openxmlformats.org/officeDocument/2006/relationships/oleObject" Target="embeddings/oleObject171.bin"/><Relationship Id="rId541" Type="http://schemas.openxmlformats.org/officeDocument/2006/relationships/image" Target="media/image254.wmf"/><Relationship Id="rId639" Type="http://schemas.openxmlformats.org/officeDocument/2006/relationships/oleObject" Target="embeddings/oleObject331.bin"/><Relationship Id="rId1171" Type="http://schemas.openxmlformats.org/officeDocument/2006/relationships/image" Target="media/image555.wmf"/><Relationship Id="rId1269" Type="http://schemas.openxmlformats.org/officeDocument/2006/relationships/image" Target="media/image600.wmf"/><Relationship Id="rId1476" Type="http://schemas.openxmlformats.org/officeDocument/2006/relationships/image" Target="media/image754.png"/><Relationship Id="rId180" Type="http://schemas.openxmlformats.org/officeDocument/2006/relationships/image" Target="media/image84.wmf"/><Relationship Id="rId278" Type="http://schemas.openxmlformats.org/officeDocument/2006/relationships/image" Target="media/image130.wmf"/><Relationship Id="rId401" Type="http://schemas.openxmlformats.org/officeDocument/2006/relationships/oleObject" Target="embeddings/oleObject208.bin"/><Relationship Id="rId846" Type="http://schemas.openxmlformats.org/officeDocument/2006/relationships/image" Target="media/image404.wmf"/><Relationship Id="rId1031" Type="http://schemas.openxmlformats.org/officeDocument/2006/relationships/image" Target="media/image492.wmf"/><Relationship Id="rId1129" Type="http://schemas.openxmlformats.org/officeDocument/2006/relationships/image" Target="media/image540.wmf"/><Relationship Id="rId485" Type="http://schemas.openxmlformats.org/officeDocument/2006/relationships/oleObject" Target="embeddings/oleObject251.bin"/><Relationship Id="rId692" Type="http://schemas.openxmlformats.org/officeDocument/2006/relationships/oleObject" Target="embeddings/oleObject358.bin"/><Relationship Id="rId706" Type="http://schemas.openxmlformats.org/officeDocument/2006/relationships/oleObject" Target="embeddings/oleObject365.bin"/><Relationship Id="rId913" Type="http://schemas.openxmlformats.org/officeDocument/2006/relationships/oleObject" Target="embeddings/oleObject471.bin"/><Relationship Id="rId1336" Type="http://schemas.openxmlformats.org/officeDocument/2006/relationships/image" Target="media/image633.wmf"/><Relationship Id="rId42" Type="http://schemas.openxmlformats.org/officeDocument/2006/relationships/oleObject" Target="embeddings/oleObject18.bin"/><Relationship Id="rId138" Type="http://schemas.openxmlformats.org/officeDocument/2006/relationships/image" Target="media/image65.wmf"/><Relationship Id="rId345" Type="http://schemas.openxmlformats.org/officeDocument/2006/relationships/oleObject" Target="embeddings/oleObject177.bin"/><Relationship Id="rId552" Type="http://schemas.openxmlformats.org/officeDocument/2006/relationships/image" Target="media/image259.wmf"/><Relationship Id="rId997" Type="http://schemas.openxmlformats.org/officeDocument/2006/relationships/oleObject" Target="embeddings/oleObject515.bin"/><Relationship Id="rId1182" Type="http://schemas.openxmlformats.org/officeDocument/2006/relationships/oleObject" Target="embeddings/oleObject617.bin"/><Relationship Id="rId1403" Type="http://schemas.openxmlformats.org/officeDocument/2006/relationships/image" Target="media/image682.png"/><Relationship Id="rId191" Type="http://schemas.openxmlformats.org/officeDocument/2006/relationships/image" Target="media/image88.wmf"/><Relationship Id="rId205" Type="http://schemas.openxmlformats.org/officeDocument/2006/relationships/image" Target="media/image94.wmf"/><Relationship Id="rId412" Type="http://schemas.openxmlformats.org/officeDocument/2006/relationships/image" Target="media/image192.wmf"/><Relationship Id="rId857" Type="http://schemas.openxmlformats.org/officeDocument/2006/relationships/oleObject" Target="embeddings/oleObject441.bin"/><Relationship Id="rId1042" Type="http://schemas.openxmlformats.org/officeDocument/2006/relationships/oleObject" Target="embeddings/oleObject538.bin"/><Relationship Id="rId1487" Type="http://schemas.openxmlformats.org/officeDocument/2006/relationships/image" Target="media/image765.emf"/><Relationship Id="rId289" Type="http://schemas.openxmlformats.org/officeDocument/2006/relationships/oleObject" Target="embeddings/oleObject147.bin"/><Relationship Id="rId496" Type="http://schemas.openxmlformats.org/officeDocument/2006/relationships/image" Target="media/image232.wmf"/><Relationship Id="rId717" Type="http://schemas.openxmlformats.org/officeDocument/2006/relationships/oleObject" Target="embeddings/oleObject371.bin"/><Relationship Id="rId924" Type="http://schemas.openxmlformats.org/officeDocument/2006/relationships/oleObject" Target="embeddings/oleObject477.bin"/><Relationship Id="rId1347" Type="http://schemas.openxmlformats.org/officeDocument/2006/relationships/oleObject" Target="embeddings/oleObject702.bin"/><Relationship Id="rId53" Type="http://schemas.openxmlformats.org/officeDocument/2006/relationships/image" Target="media/image23.wmf"/><Relationship Id="rId149" Type="http://schemas.openxmlformats.org/officeDocument/2006/relationships/oleObject" Target="embeddings/oleObject72.bin"/><Relationship Id="rId356" Type="http://schemas.openxmlformats.org/officeDocument/2006/relationships/image" Target="media/image167.wmf"/><Relationship Id="rId563" Type="http://schemas.openxmlformats.org/officeDocument/2006/relationships/oleObject" Target="embeddings/oleObject292.bin"/><Relationship Id="rId770" Type="http://schemas.openxmlformats.org/officeDocument/2006/relationships/image" Target="media/image366.wmf"/><Relationship Id="rId1193" Type="http://schemas.openxmlformats.org/officeDocument/2006/relationships/image" Target="media/image563.wmf"/><Relationship Id="rId1207" Type="http://schemas.openxmlformats.org/officeDocument/2006/relationships/image" Target="media/image570.wmf"/><Relationship Id="rId1414" Type="http://schemas.openxmlformats.org/officeDocument/2006/relationships/image" Target="media/image693.png"/><Relationship Id="rId216" Type="http://schemas.openxmlformats.org/officeDocument/2006/relationships/image" Target="media/image99.wmf"/><Relationship Id="rId423" Type="http://schemas.openxmlformats.org/officeDocument/2006/relationships/oleObject" Target="embeddings/oleObject219.bin"/><Relationship Id="rId868" Type="http://schemas.openxmlformats.org/officeDocument/2006/relationships/image" Target="media/image415.wmf"/><Relationship Id="rId1053" Type="http://schemas.openxmlformats.org/officeDocument/2006/relationships/image" Target="media/image502.wmf"/><Relationship Id="rId1260" Type="http://schemas.openxmlformats.org/officeDocument/2006/relationships/image" Target="media/image596.wmf"/><Relationship Id="rId1498" Type="http://schemas.openxmlformats.org/officeDocument/2006/relationships/image" Target="media/image776.svg"/><Relationship Id="rId630" Type="http://schemas.openxmlformats.org/officeDocument/2006/relationships/image" Target="media/image297.wmf"/><Relationship Id="rId728" Type="http://schemas.openxmlformats.org/officeDocument/2006/relationships/image" Target="media/image345.wmf"/><Relationship Id="rId935" Type="http://schemas.openxmlformats.org/officeDocument/2006/relationships/oleObject" Target="embeddings/oleObject483.bin"/><Relationship Id="rId1358" Type="http://schemas.openxmlformats.org/officeDocument/2006/relationships/image" Target="media/image644.wmf"/><Relationship Id="rId64" Type="http://schemas.openxmlformats.org/officeDocument/2006/relationships/oleObject" Target="embeddings/oleObject29.bin"/><Relationship Id="rId367" Type="http://schemas.openxmlformats.org/officeDocument/2006/relationships/oleObject" Target="embeddings/oleObject191.bin"/><Relationship Id="rId574" Type="http://schemas.openxmlformats.org/officeDocument/2006/relationships/image" Target="media/image270.wmf"/><Relationship Id="rId1120" Type="http://schemas.openxmlformats.org/officeDocument/2006/relationships/oleObject" Target="embeddings/oleObject578.bin"/><Relationship Id="rId1218" Type="http://schemas.openxmlformats.org/officeDocument/2006/relationships/oleObject" Target="embeddings/oleObject636.bin"/><Relationship Id="rId1425" Type="http://schemas.openxmlformats.org/officeDocument/2006/relationships/image" Target="media/image703.png"/><Relationship Id="rId227" Type="http://schemas.openxmlformats.org/officeDocument/2006/relationships/oleObject" Target="embeddings/oleObject116.bin"/><Relationship Id="rId781" Type="http://schemas.openxmlformats.org/officeDocument/2006/relationships/oleObject" Target="embeddings/oleObject403.bin"/><Relationship Id="rId879" Type="http://schemas.openxmlformats.org/officeDocument/2006/relationships/oleObject" Target="embeddings/oleObject452.bin"/><Relationship Id="rId434" Type="http://schemas.openxmlformats.org/officeDocument/2006/relationships/image" Target="media/image203.wmf"/><Relationship Id="rId641" Type="http://schemas.openxmlformats.org/officeDocument/2006/relationships/oleObject" Target="embeddings/oleObject332.bin"/><Relationship Id="rId739" Type="http://schemas.openxmlformats.org/officeDocument/2006/relationships/oleObject" Target="embeddings/oleObject382.bin"/><Relationship Id="rId1064" Type="http://schemas.openxmlformats.org/officeDocument/2006/relationships/oleObject" Target="embeddings/oleObject550.bin"/><Relationship Id="rId1271" Type="http://schemas.openxmlformats.org/officeDocument/2006/relationships/image" Target="media/image601.wmf"/><Relationship Id="rId1369" Type="http://schemas.openxmlformats.org/officeDocument/2006/relationships/hyperlink" Target="http://vcc-sae.org/abstracts/1703-development-metal-foam-based-aftertreatment-diesel-passenger-car" TargetMode="External"/><Relationship Id="rId280" Type="http://schemas.openxmlformats.org/officeDocument/2006/relationships/image" Target="media/image131.wmf"/><Relationship Id="rId501" Type="http://schemas.openxmlformats.org/officeDocument/2006/relationships/oleObject" Target="embeddings/oleObject260.bin"/><Relationship Id="rId946" Type="http://schemas.openxmlformats.org/officeDocument/2006/relationships/image" Target="media/image451.wmf"/><Relationship Id="rId1131" Type="http://schemas.openxmlformats.org/officeDocument/2006/relationships/image" Target="media/image541.wmf"/><Relationship Id="rId1229" Type="http://schemas.openxmlformats.org/officeDocument/2006/relationships/image" Target="media/image581.wmf"/><Relationship Id="rId75" Type="http://schemas.openxmlformats.org/officeDocument/2006/relationships/image" Target="media/image34.wmf"/><Relationship Id="rId140" Type="http://schemas.openxmlformats.org/officeDocument/2006/relationships/image" Target="media/image66.wmf"/><Relationship Id="rId378" Type="http://schemas.openxmlformats.org/officeDocument/2006/relationships/image" Target="media/image175.wmf"/><Relationship Id="rId585" Type="http://schemas.openxmlformats.org/officeDocument/2006/relationships/oleObject" Target="embeddings/oleObject303.bin"/><Relationship Id="rId792" Type="http://schemas.openxmlformats.org/officeDocument/2006/relationships/image" Target="media/image377.wmf"/><Relationship Id="rId806" Type="http://schemas.openxmlformats.org/officeDocument/2006/relationships/image" Target="media/image384.wmf"/><Relationship Id="rId1436" Type="http://schemas.openxmlformats.org/officeDocument/2006/relationships/image" Target="media/image714.png"/><Relationship Id="rId6" Type="http://schemas.openxmlformats.org/officeDocument/2006/relationships/footnotes" Target="footnotes.xml"/><Relationship Id="rId238" Type="http://schemas.openxmlformats.org/officeDocument/2006/relationships/image" Target="media/image110.wmf"/><Relationship Id="rId445" Type="http://schemas.openxmlformats.org/officeDocument/2006/relationships/image" Target="media/image208.wmf"/><Relationship Id="rId652" Type="http://schemas.openxmlformats.org/officeDocument/2006/relationships/oleObject" Target="embeddings/oleObject338.bin"/><Relationship Id="rId1075" Type="http://schemas.openxmlformats.org/officeDocument/2006/relationships/image" Target="media/image513.wmf"/><Relationship Id="rId1282" Type="http://schemas.openxmlformats.org/officeDocument/2006/relationships/oleObject" Target="embeddings/oleObject669.bin"/><Relationship Id="rId1503" Type="http://schemas.openxmlformats.org/officeDocument/2006/relationships/image" Target="media/image781.emf"/><Relationship Id="rId291" Type="http://schemas.openxmlformats.org/officeDocument/2006/relationships/oleObject" Target="embeddings/oleObject148.bin"/><Relationship Id="rId305" Type="http://schemas.openxmlformats.org/officeDocument/2006/relationships/image" Target="media/image143.wmf"/><Relationship Id="rId512" Type="http://schemas.openxmlformats.org/officeDocument/2006/relationships/oleObject" Target="embeddings/oleObject266.bin"/><Relationship Id="rId957" Type="http://schemas.openxmlformats.org/officeDocument/2006/relationships/oleObject" Target="embeddings/oleObject494.bin"/><Relationship Id="rId1142" Type="http://schemas.openxmlformats.org/officeDocument/2006/relationships/image" Target="media/image546.wmf"/><Relationship Id="rId86" Type="http://schemas.openxmlformats.org/officeDocument/2006/relationships/oleObject" Target="embeddings/oleObject40.bin"/><Relationship Id="rId151" Type="http://schemas.openxmlformats.org/officeDocument/2006/relationships/oleObject" Target="embeddings/oleObject73.bin"/><Relationship Id="rId389" Type="http://schemas.openxmlformats.org/officeDocument/2006/relationships/oleObject" Target="embeddings/oleObject202.bin"/><Relationship Id="rId596" Type="http://schemas.openxmlformats.org/officeDocument/2006/relationships/oleObject" Target="embeddings/oleObject309.bin"/><Relationship Id="rId817" Type="http://schemas.openxmlformats.org/officeDocument/2006/relationships/oleObject" Target="embeddings/oleObject421.bin"/><Relationship Id="rId1002" Type="http://schemas.openxmlformats.org/officeDocument/2006/relationships/image" Target="media/image478.wmf"/><Relationship Id="rId1447" Type="http://schemas.openxmlformats.org/officeDocument/2006/relationships/image" Target="media/image725.png"/><Relationship Id="rId249" Type="http://schemas.openxmlformats.org/officeDocument/2006/relationships/oleObject" Target="embeddings/oleObject127.bin"/><Relationship Id="rId456" Type="http://schemas.openxmlformats.org/officeDocument/2006/relationships/image" Target="media/image213.wmf"/><Relationship Id="rId663" Type="http://schemas.openxmlformats.org/officeDocument/2006/relationships/image" Target="media/image313.wmf"/><Relationship Id="rId870" Type="http://schemas.openxmlformats.org/officeDocument/2006/relationships/image" Target="media/image416.wmf"/><Relationship Id="rId1086" Type="http://schemas.openxmlformats.org/officeDocument/2006/relationships/oleObject" Target="embeddings/oleObject561.bin"/><Relationship Id="rId1293" Type="http://schemas.openxmlformats.org/officeDocument/2006/relationships/oleObject" Target="embeddings/oleObject675.bin"/><Relationship Id="rId1307" Type="http://schemas.openxmlformats.org/officeDocument/2006/relationships/oleObject" Target="embeddings/oleObject682.bin"/><Relationship Id="rId1514" Type="http://schemas.openxmlformats.org/officeDocument/2006/relationships/image" Target="media/image792.emf"/><Relationship Id="rId13" Type="http://schemas.openxmlformats.org/officeDocument/2006/relationships/oleObject" Target="embeddings/oleObject3.bin"/><Relationship Id="rId109" Type="http://schemas.openxmlformats.org/officeDocument/2006/relationships/oleObject" Target="embeddings/oleObject52.bin"/><Relationship Id="rId316" Type="http://schemas.openxmlformats.org/officeDocument/2006/relationships/oleObject" Target="embeddings/oleObject161.bin"/><Relationship Id="rId523" Type="http://schemas.openxmlformats.org/officeDocument/2006/relationships/image" Target="media/image245.wmf"/><Relationship Id="rId968" Type="http://schemas.openxmlformats.org/officeDocument/2006/relationships/oleObject" Target="embeddings/oleObject500.bin"/><Relationship Id="rId1153" Type="http://schemas.openxmlformats.org/officeDocument/2006/relationships/oleObject" Target="embeddings/oleObject596.bin"/><Relationship Id="rId97" Type="http://schemas.openxmlformats.org/officeDocument/2006/relationships/image" Target="media/image45.wmf"/><Relationship Id="rId730" Type="http://schemas.openxmlformats.org/officeDocument/2006/relationships/image" Target="media/image346.wmf"/><Relationship Id="rId828" Type="http://schemas.openxmlformats.org/officeDocument/2006/relationships/image" Target="media/image395.wmf"/><Relationship Id="rId1013" Type="http://schemas.openxmlformats.org/officeDocument/2006/relationships/oleObject" Target="embeddings/oleObject523.bin"/><Relationship Id="rId1360" Type="http://schemas.openxmlformats.org/officeDocument/2006/relationships/image" Target="media/image645.wmf"/><Relationship Id="rId1458" Type="http://schemas.openxmlformats.org/officeDocument/2006/relationships/image" Target="media/image736.png"/><Relationship Id="rId162" Type="http://schemas.openxmlformats.org/officeDocument/2006/relationships/oleObject" Target="embeddings/oleObject79.bin"/><Relationship Id="rId467" Type="http://schemas.openxmlformats.org/officeDocument/2006/relationships/oleObject" Target="embeddings/oleObject242.bin"/><Relationship Id="rId1097" Type="http://schemas.openxmlformats.org/officeDocument/2006/relationships/image" Target="media/image524.wmf"/><Relationship Id="rId1220" Type="http://schemas.openxmlformats.org/officeDocument/2006/relationships/oleObject" Target="embeddings/oleObject637.bin"/><Relationship Id="rId1318" Type="http://schemas.openxmlformats.org/officeDocument/2006/relationships/image" Target="media/image624.wmf"/><Relationship Id="rId674" Type="http://schemas.openxmlformats.org/officeDocument/2006/relationships/oleObject" Target="embeddings/oleObject349.bin"/><Relationship Id="rId881" Type="http://schemas.openxmlformats.org/officeDocument/2006/relationships/oleObject" Target="embeddings/oleObject453.bin"/><Relationship Id="rId979" Type="http://schemas.openxmlformats.org/officeDocument/2006/relationships/oleObject" Target="embeddings/oleObject506.bin"/><Relationship Id="rId24" Type="http://schemas.openxmlformats.org/officeDocument/2006/relationships/oleObject" Target="embeddings/oleObject9.bin"/><Relationship Id="rId327" Type="http://schemas.openxmlformats.org/officeDocument/2006/relationships/oleObject" Target="embeddings/oleObject167.bin"/><Relationship Id="rId534" Type="http://schemas.openxmlformats.org/officeDocument/2006/relationships/oleObject" Target="embeddings/oleObject277.bin"/><Relationship Id="rId741" Type="http://schemas.openxmlformats.org/officeDocument/2006/relationships/oleObject" Target="embeddings/oleObject383.bin"/><Relationship Id="rId839" Type="http://schemas.openxmlformats.org/officeDocument/2006/relationships/oleObject" Target="embeddings/oleObject432.bin"/><Relationship Id="rId1164" Type="http://schemas.openxmlformats.org/officeDocument/2006/relationships/oleObject" Target="embeddings/oleObject604.bin"/><Relationship Id="rId1371" Type="http://schemas.openxmlformats.org/officeDocument/2006/relationships/image" Target="media/image651.png"/><Relationship Id="rId1469" Type="http://schemas.openxmlformats.org/officeDocument/2006/relationships/image" Target="media/image747.png"/><Relationship Id="rId173" Type="http://schemas.openxmlformats.org/officeDocument/2006/relationships/oleObject" Target="embeddings/oleObject86.bin"/><Relationship Id="rId380" Type="http://schemas.openxmlformats.org/officeDocument/2006/relationships/image" Target="media/image176.wmf"/><Relationship Id="rId601" Type="http://schemas.openxmlformats.org/officeDocument/2006/relationships/image" Target="media/image283.wmf"/><Relationship Id="rId1024" Type="http://schemas.openxmlformats.org/officeDocument/2006/relationships/image" Target="media/image489.wmf"/><Relationship Id="rId1231" Type="http://schemas.openxmlformats.org/officeDocument/2006/relationships/image" Target="media/image582.wmf"/><Relationship Id="rId240" Type="http://schemas.openxmlformats.org/officeDocument/2006/relationships/image" Target="media/image111.wmf"/><Relationship Id="rId478" Type="http://schemas.openxmlformats.org/officeDocument/2006/relationships/image" Target="media/image224.wmf"/><Relationship Id="rId685" Type="http://schemas.openxmlformats.org/officeDocument/2006/relationships/image" Target="media/image324.wmf"/><Relationship Id="rId892" Type="http://schemas.openxmlformats.org/officeDocument/2006/relationships/oleObject" Target="embeddings/oleObject459.bin"/><Relationship Id="rId906" Type="http://schemas.openxmlformats.org/officeDocument/2006/relationships/oleObject" Target="embeddings/oleObject466.bin"/><Relationship Id="rId1329" Type="http://schemas.openxmlformats.org/officeDocument/2006/relationships/oleObject" Target="embeddings/oleObject693.bin"/><Relationship Id="rId35" Type="http://schemas.openxmlformats.org/officeDocument/2006/relationships/image" Target="media/image14.wmf"/><Relationship Id="rId100" Type="http://schemas.openxmlformats.org/officeDocument/2006/relationships/oleObject" Target="embeddings/oleObject47.bin"/><Relationship Id="rId338" Type="http://schemas.openxmlformats.org/officeDocument/2006/relationships/oleObject" Target="embeddings/oleObject173.bin"/><Relationship Id="rId545" Type="http://schemas.openxmlformats.org/officeDocument/2006/relationships/oleObject" Target="embeddings/oleObject283.bin"/><Relationship Id="rId752" Type="http://schemas.openxmlformats.org/officeDocument/2006/relationships/image" Target="media/image357.wmf"/><Relationship Id="rId1175" Type="http://schemas.openxmlformats.org/officeDocument/2006/relationships/image" Target="media/image557.wmf"/><Relationship Id="rId1382" Type="http://schemas.openxmlformats.org/officeDocument/2006/relationships/image" Target="media/image661.png"/><Relationship Id="rId184" Type="http://schemas.openxmlformats.org/officeDocument/2006/relationships/image" Target="media/image85.wmf"/><Relationship Id="rId391" Type="http://schemas.openxmlformats.org/officeDocument/2006/relationships/oleObject" Target="embeddings/oleObject203.bin"/><Relationship Id="rId405" Type="http://schemas.openxmlformats.org/officeDocument/2006/relationships/oleObject" Target="embeddings/oleObject210.bin"/><Relationship Id="rId612" Type="http://schemas.openxmlformats.org/officeDocument/2006/relationships/image" Target="media/image288.wmf"/><Relationship Id="rId1035" Type="http://schemas.openxmlformats.org/officeDocument/2006/relationships/image" Target="media/image494.wmf"/><Relationship Id="rId1242" Type="http://schemas.openxmlformats.org/officeDocument/2006/relationships/oleObject" Target="embeddings/oleObject648.bin"/><Relationship Id="rId251" Type="http://schemas.openxmlformats.org/officeDocument/2006/relationships/oleObject" Target="embeddings/oleObject128.bin"/><Relationship Id="rId489" Type="http://schemas.openxmlformats.org/officeDocument/2006/relationships/oleObject" Target="embeddings/oleObject254.bin"/><Relationship Id="rId696" Type="http://schemas.openxmlformats.org/officeDocument/2006/relationships/oleObject" Target="embeddings/oleObject360.bin"/><Relationship Id="rId917" Type="http://schemas.openxmlformats.org/officeDocument/2006/relationships/image" Target="media/image437.wmf"/><Relationship Id="rId1102" Type="http://schemas.openxmlformats.org/officeDocument/2006/relationships/oleObject" Target="embeddings/oleObject569.bin"/><Relationship Id="rId46" Type="http://schemas.openxmlformats.org/officeDocument/2006/relationships/oleObject" Target="embeddings/oleObject20.bin"/><Relationship Id="rId349" Type="http://schemas.openxmlformats.org/officeDocument/2006/relationships/oleObject" Target="embeddings/oleObject179.bin"/><Relationship Id="rId556" Type="http://schemas.openxmlformats.org/officeDocument/2006/relationships/image" Target="media/image261.wmf"/><Relationship Id="rId763" Type="http://schemas.openxmlformats.org/officeDocument/2006/relationships/oleObject" Target="embeddings/oleObject394.bin"/><Relationship Id="rId1186" Type="http://schemas.openxmlformats.org/officeDocument/2006/relationships/oleObject" Target="embeddings/oleObject619.bin"/><Relationship Id="rId1393" Type="http://schemas.openxmlformats.org/officeDocument/2006/relationships/image" Target="media/image672.png"/><Relationship Id="rId1407" Type="http://schemas.openxmlformats.org/officeDocument/2006/relationships/image" Target="media/image686.png"/><Relationship Id="rId111" Type="http://schemas.openxmlformats.org/officeDocument/2006/relationships/oleObject" Target="embeddings/oleObject53.bin"/><Relationship Id="rId195" Type="http://schemas.openxmlformats.org/officeDocument/2006/relationships/image" Target="media/image89.wmf"/><Relationship Id="rId209" Type="http://schemas.openxmlformats.org/officeDocument/2006/relationships/oleObject" Target="embeddings/oleObject107.bin"/><Relationship Id="rId416" Type="http://schemas.openxmlformats.org/officeDocument/2006/relationships/image" Target="media/image194.wmf"/><Relationship Id="rId970" Type="http://schemas.openxmlformats.org/officeDocument/2006/relationships/oleObject" Target="embeddings/oleObject501.bin"/><Relationship Id="rId1046" Type="http://schemas.openxmlformats.org/officeDocument/2006/relationships/oleObject" Target="embeddings/oleObject540.bin"/><Relationship Id="rId1253" Type="http://schemas.openxmlformats.org/officeDocument/2006/relationships/image" Target="media/image593.wmf"/><Relationship Id="rId623" Type="http://schemas.openxmlformats.org/officeDocument/2006/relationships/oleObject" Target="embeddings/oleObject323.bin"/><Relationship Id="rId830" Type="http://schemas.openxmlformats.org/officeDocument/2006/relationships/image" Target="media/image396.wmf"/><Relationship Id="rId928" Type="http://schemas.openxmlformats.org/officeDocument/2006/relationships/oleObject" Target="embeddings/oleObject479.bin"/><Relationship Id="rId1460" Type="http://schemas.openxmlformats.org/officeDocument/2006/relationships/image" Target="media/image738.png"/><Relationship Id="rId57" Type="http://schemas.openxmlformats.org/officeDocument/2006/relationships/image" Target="media/image25.wmf"/><Relationship Id="rId262" Type="http://schemas.openxmlformats.org/officeDocument/2006/relationships/image" Target="media/image122.wmf"/><Relationship Id="rId567" Type="http://schemas.openxmlformats.org/officeDocument/2006/relationships/oleObject" Target="embeddings/oleObject294.bin"/><Relationship Id="rId1113" Type="http://schemas.openxmlformats.org/officeDocument/2006/relationships/image" Target="media/image532.wmf"/><Relationship Id="rId1197" Type="http://schemas.openxmlformats.org/officeDocument/2006/relationships/image" Target="media/image565.wmf"/><Relationship Id="rId1320" Type="http://schemas.openxmlformats.org/officeDocument/2006/relationships/image" Target="media/image625.wmf"/><Relationship Id="rId1418" Type="http://schemas.openxmlformats.org/officeDocument/2006/relationships/image" Target="media/image697.wmf"/><Relationship Id="rId122" Type="http://schemas.openxmlformats.org/officeDocument/2006/relationships/image" Target="media/image57.wmf"/><Relationship Id="rId774" Type="http://schemas.openxmlformats.org/officeDocument/2006/relationships/image" Target="media/image368.wmf"/><Relationship Id="rId981" Type="http://schemas.openxmlformats.org/officeDocument/2006/relationships/oleObject" Target="embeddings/oleObject507.bin"/><Relationship Id="rId1057" Type="http://schemas.openxmlformats.org/officeDocument/2006/relationships/image" Target="media/image504.wmf"/><Relationship Id="rId427" Type="http://schemas.openxmlformats.org/officeDocument/2006/relationships/oleObject" Target="embeddings/oleObject221.bin"/><Relationship Id="rId634" Type="http://schemas.openxmlformats.org/officeDocument/2006/relationships/image" Target="media/image299.wmf"/><Relationship Id="rId841" Type="http://schemas.openxmlformats.org/officeDocument/2006/relationships/oleObject" Target="embeddings/oleObject433.bin"/><Relationship Id="rId1264" Type="http://schemas.openxmlformats.org/officeDocument/2006/relationships/image" Target="media/image598.wmf"/><Relationship Id="rId1471" Type="http://schemas.openxmlformats.org/officeDocument/2006/relationships/image" Target="media/image749.png"/><Relationship Id="rId273" Type="http://schemas.openxmlformats.org/officeDocument/2006/relationships/oleObject" Target="embeddings/oleObject139.bin"/><Relationship Id="rId480" Type="http://schemas.openxmlformats.org/officeDocument/2006/relationships/image" Target="media/image225.wmf"/><Relationship Id="rId701" Type="http://schemas.openxmlformats.org/officeDocument/2006/relationships/image" Target="media/image332.wmf"/><Relationship Id="rId939" Type="http://schemas.openxmlformats.org/officeDocument/2006/relationships/oleObject" Target="embeddings/oleObject485.bin"/><Relationship Id="rId1124" Type="http://schemas.openxmlformats.org/officeDocument/2006/relationships/oleObject" Target="embeddings/oleObject580.bin"/><Relationship Id="rId1331" Type="http://schemas.openxmlformats.org/officeDocument/2006/relationships/oleObject" Target="embeddings/oleObject694.bin"/><Relationship Id="rId68" Type="http://schemas.openxmlformats.org/officeDocument/2006/relationships/oleObject" Target="embeddings/oleObject31.bin"/><Relationship Id="rId133" Type="http://schemas.openxmlformats.org/officeDocument/2006/relationships/oleObject" Target="embeddings/oleObject64.bin"/><Relationship Id="rId340" Type="http://schemas.openxmlformats.org/officeDocument/2006/relationships/oleObject" Target="embeddings/oleObject174.bin"/><Relationship Id="rId578" Type="http://schemas.openxmlformats.org/officeDocument/2006/relationships/image" Target="media/image272.wmf"/><Relationship Id="rId785" Type="http://schemas.openxmlformats.org/officeDocument/2006/relationships/oleObject" Target="embeddings/oleObject405.bin"/><Relationship Id="rId992" Type="http://schemas.openxmlformats.org/officeDocument/2006/relationships/image" Target="media/image473.wmf"/><Relationship Id="rId1429" Type="http://schemas.openxmlformats.org/officeDocument/2006/relationships/image" Target="media/image707.png"/><Relationship Id="rId200" Type="http://schemas.openxmlformats.org/officeDocument/2006/relationships/oleObject" Target="embeddings/oleObject102.bin"/><Relationship Id="rId438" Type="http://schemas.openxmlformats.org/officeDocument/2006/relationships/oleObject" Target="embeddings/oleObject227.bin"/><Relationship Id="rId645" Type="http://schemas.openxmlformats.org/officeDocument/2006/relationships/oleObject" Target="embeddings/oleObject334.bin"/><Relationship Id="rId852" Type="http://schemas.openxmlformats.org/officeDocument/2006/relationships/image" Target="media/image407.wmf"/><Relationship Id="rId1068" Type="http://schemas.openxmlformats.org/officeDocument/2006/relationships/oleObject" Target="embeddings/oleObject552.bin"/><Relationship Id="rId1275" Type="http://schemas.openxmlformats.org/officeDocument/2006/relationships/image" Target="media/image603.wmf"/><Relationship Id="rId1482" Type="http://schemas.openxmlformats.org/officeDocument/2006/relationships/image" Target="media/image760.png"/><Relationship Id="rId284" Type="http://schemas.openxmlformats.org/officeDocument/2006/relationships/image" Target="media/image133.wmf"/><Relationship Id="rId491" Type="http://schemas.openxmlformats.org/officeDocument/2006/relationships/oleObject" Target="embeddings/oleObject255.bin"/><Relationship Id="rId505" Type="http://schemas.openxmlformats.org/officeDocument/2006/relationships/image" Target="media/image236.wmf"/><Relationship Id="rId712" Type="http://schemas.openxmlformats.org/officeDocument/2006/relationships/image" Target="media/image337.wmf"/><Relationship Id="rId1135" Type="http://schemas.openxmlformats.org/officeDocument/2006/relationships/image" Target="media/image543.wmf"/><Relationship Id="rId1342" Type="http://schemas.openxmlformats.org/officeDocument/2006/relationships/image" Target="media/image636.wmf"/><Relationship Id="rId79" Type="http://schemas.openxmlformats.org/officeDocument/2006/relationships/image" Target="media/image36.wmf"/><Relationship Id="rId144" Type="http://schemas.openxmlformats.org/officeDocument/2006/relationships/image" Target="media/image68.wmf"/><Relationship Id="rId589" Type="http://schemas.openxmlformats.org/officeDocument/2006/relationships/oleObject" Target="embeddings/oleObject305.bin"/><Relationship Id="rId796" Type="http://schemas.openxmlformats.org/officeDocument/2006/relationships/image" Target="media/image379.wmf"/><Relationship Id="rId1202" Type="http://schemas.openxmlformats.org/officeDocument/2006/relationships/oleObject" Target="embeddings/oleObject628.bin"/><Relationship Id="rId351" Type="http://schemas.openxmlformats.org/officeDocument/2006/relationships/oleObject" Target="embeddings/oleObject180.bin"/><Relationship Id="rId449" Type="http://schemas.openxmlformats.org/officeDocument/2006/relationships/image" Target="media/image210.wmf"/><Relationship Id="rId656" Type="http://schemas.openxmlformats.org/officeDocument/2006/relationships/oleObject" Target="embeddings/oleObject340.bin"/><Relationship Id="rId863" Type="http://schemas.openxmlformats.org/officeDocument/2006/relationships/oleObject" Target="embeddings/oleObject444.bin"/><Relationship Id="rId1079" Type="http://schemas.openxmlformats.org/officeDocument/2006/relationships/image" Target="media/image515.wmf"/><Relationship Id="rId1286" Type="http://schemas.openxmlformats.org/officeDocument/2006/relationships/image" Target="media/image608.wmf"/><Relationship Id="rId1493" Type="http://schemas.openxmlformats.org/officeDocument/2006/relationships/image" Target="media/image771.png"/><Relationship Id="rId1507" Type="http://schemas.openxmlformats.org/officeDocument/2006/relationships/image" Target="media/image785.emf"/><Relationship Id="rId211" Type="http://schemas.openxmlformats.org/officeDocument/2006/relationships/oleObject" Target="embeddings/oleObject108.bin"/><Relationship Id="rId295" Type="http://schemas.openxmlformats.org/officeDocument/2006/relationships/image" Target="media/image138.wmf"/><Relationship Id="rId309" Type="http://schemas.openxmlformats.org/officeDocument/2006/relationships/image" Target="media/image145.wmf"/><Relationship Id="rId516" Type="http://schemas.openxmlformats.org/officeDocument/2006/relationships/oleObject" Target="embeddings/oleObject268.bin"/><Relationship Id="rId1146" Type="http://schemas.openxmlformats.org/officeDocument/2006/relationships/image" Target="media/image548.wmf"/><Relationship Id="rId723" Type="http://schemas.openxmlformats.org/officeDocument/2006/relationships/oleObject" Target="embeddings/oleObject374.bin"/><Relationship Id="rId930" Type="http://schemas.openxmlformats.org/officeDocument/2006/relationships/oleObject" Target="embeddings/oleObject480.bin"/><Relationship Id="rId1006" Type="http://schemas.openxmlformats.org/officeDocument/2006/relationships/image" Target="media/image480.wmf"/><Relationship Id="rId1353" Type="http://schemas.openxmlformats.org/officeDocument/2006/relationships/oleObject" Target="embeddings/oleObject705.bin"/><Relationship Id="rId155" Type="http://schemas.openxmlformats.org/officeDocument/2006/relationships/oleObject" Target="embeddings/oleObject75.bin"/><Relationship Id="rId362" Type="http://schemas.openxmlformats.org/officeDocument/2006/relationships/oleObject" Target="embeddings/oleObject188.bin"/><Relationship Id="rId1213" Type="http://schemas.openxmlformats.org/officeDocument/2006/relationships/image" Target="media/image573.wmf"/><Relationship Id="rId1297" Type="http://schemas.openxmlformats.org/officeDocument/2006/relationships/oleObject" Target="embeddings/oleObject677.bin"/><Relationship Id="rId1420" Type="http://schemas.openxmlformats.org/officeDocument/2006/relationships/image" Target="media/image698.jpeg"/><Relationship Id="rId1518" Type="http://schemas.openxmlformats.org/officeDocument/2006/relationships/footer" Target="footer2.xml"/><Relationship Id="rId222" Type="http://schemas.openxmlformats.org/officeDocument/2006/relationships/image" Target="media/image102.wmf"/><Relationship Id="rId667" Type="http://schemas.openxmlformats.org/officeDocument/2006/relationships/image" Target="media/image315.wmf"/><Relationship Id="rId874" Type="http://schemas.openxmlformats.org/officeDocument/2006/relationships/image" Target="media/image418.wmf"/><Relationship Id="rId17" Type="http://schemas.openxmlformats.org/officeDocument/2006/relationships/oleObject" Target="embeddings/oleObject5.bin"/><Relationship Id="rId527" Type="http://schemas.openxmlformats.org/officeDocument/2006/relationships/image" Target="media/image247.wmf"/><Relationship Id="rId734" Type="http://schemas.openxmlformats.org/officeDocument/2006/relationships/image" Target="media/image348.wmf"/><Relationship Id="rId941" Type="http://schemas.openxmlformats.org/officeDocument/2006/relationships/oleObject" Target="embeddings/oleObject486.bin"/><Relationship Id="rId1157" Type="http://schemas.openxmlformats.org/officeDocument/2006/relationships/oleObject" Target="embeddings/oleObject598.bin"/><Relationship Id="rId1364" Type="http://schemas.openxmlformats.org/officeDocument/2006/relationships/image" Target="media/image647.png"/><Relationship Id="rId70" Type="http://schemas.openxmlformats.org/officeDocument/2006/relationships/oleObject" Target="embeddings/oleObject32.bin"/><Relationship Id="rId166" Type="http://schemas.openxmlformats.org/officeDocument/2006/relationships/image" Target="media/image78.wmf"/><Relationship Id="rId373" Type="http://schemas.openxmlformats.org/officeDocument/2006/relationships/oleObject" Target="embeddings/oleObject194.bin"/><Relationship Id="rId580" Type="http://schemas.openxmlformats.org/officeDocument/2006/relationships/image" Target="media/image273.wmf"/><Relationship Id="rId801" Type="http://schemas.openxmlformats.org/officeDocument/2006/relationships/oleObject" Target="embeddings/oleObject413.bin"/><Relationship Id="rId1017" Type="http://schemas.openxmlformats.org/officeDocument/2006/relationships/oleObject" Target="embeddings/oleObject525.bin"/><Relationship Id="rId1224" Type="http://schemas.openxmlformats.org/officeDocument/2006/relationships/oleObject" Target="embeddings/oleObject639.bin"/><Relationship Id="rId1431" Type="http://schemas.openxmlformats.org/officeDocument/2006/relationships/image" Target="media/image709.png"/><Relationship Id="rId1" Type="http://schemas.openxmlformats.org/officeDocument/2006/relationships/customXml" Target="../customXml/item1.xml"/><Relationship Id="rId233" Type="http://schemas.openxmlformats.org/officeDocument/2006/relationships/oleObject" Target="embeddings/oleObject119.bin"/><Relationship Id="rId440" Type="http://schemas.openxmlformats.org/officeDocument/2006/relationships/oleObject" Target="embeddings/oleObject228.bin"/><Relationship Id="rId678" Type="http://schemas.openxmlformats.org/officeDocument/2006/relationships/oleObject" Target="embeddings/oleObject351.bin"/><Relationship Id="rId885" Type="http://schemas.openxmlformats.org/officeDocument/2006/relationships/oleObject" Target="embeddings/oleObject455.bin"/><Relationship Id="rId1070" Type="http://schemas.openxmlformats.org/officeDocument/2006/relationships/oleObject" Target="embeddings/oleObject553.bin"/><Relationship Id="rId28" Type="http://schemas.openxmlformats.org/officeDocument/2006/relationships/oleObject" Target="embeddings/oleObject11.bin"/><Relationship Id="rId300" Type="http://schemas.openxmlformats.org/officeDocument/2006/relationships/oleObject" Target="embeddings/oleObject153.bin"/><Relationship Id="rId538" Type="http://schemas.openxmlformats.org/officeDocument/2006/relationships/oleObject" Target="embeddings/oleObject279.bin"/><Relationship Id="rId745" Type="http://schemas.openxmlformats.org/officeDocument/2006/relationships/oleObject" Target="embeddings/oleObject385.bin"/><Relationship Id="rId952" Type="http://schemas.openxmlformats.org/officeDocument/2006/relationships/image" Target="media/image454.wmf"/><Relationship Id="rId1168" Type="http://schemas.openxmlformats.org/officeDocument/2006/relationships/oleObject" Target="embeddings/oleObject607.bin"/><Relationship Id="rId1375" Type="http://schemas.openxmlformats.org/officeDocument/2006/relationships/oleObject" Target="embeddings/oleObject711.bin"/><Relationship Id="rId81" Type="http://schemas.openxmlformats.org/officeDocument/2006/relationships/image" Target="media/image37.wmf"/><Relationship Id="rId177" Type="http://schemas.openxmlformats.org/officeDocument/2006/relationships/oleObject" Target="embeddings/oleObject88.bin"/><Relationship Id="rId384" Type="http://schemas.openxmlformats.org/officeDocument/2006/relationships/image" Target="media/image178.wmf"/><Relationship Id="rId591" Type="http://schemas.openxmlformats.org/officeDocument/2006/relationships/image" Target="media/image278.wmf"/><Relationship Id="rId605" Type="http://schemas.openxmlformats.org/officeDocument/2006/relationships/oleObject" Target="embeddings/oleObject314.bin"/><Relationship Id="rId812" Type="http://schemas.openxmlformats.org/officeDocument/2006/relationships/image" Target="media/image387.wmf"/><Relationship Id="rId1028" Type="http://schemas.openxmlformats.org/officeDocument/2006/relationships/oleObject" Target="embeddings/oleObject531.bin"/><Relationship Id="rId1235" Type="http://schemas.openxmlformats.org/officeDocument/2006/relationships/image" Target="media/image584.wmf"/><Relationship Id="rId1442" Type="http://schemas.openxmlformats.org/officeDocument/2006/relationships/image" Target="media/image720.png"/><Relationship Id="rId244" Type="http://schemas.openxmlformats.org/officeDocument/2006/relationships/image" Target="media/image113.wmf"/><Relationship Id="rId689" Type="http://schemas.openxmlformats.org/officeDocument/2006/relationships/image" Target="media/image326.wmf"/><Relationship Id="rId896" Type="http://schemas.openxmlformats.org/officeDocument/2006/relationships/oleObject" Target="embeddings/oleObject461.bin"/><Relationship Id="rId1081" Type="http://schemas.openxmlformats.org/officeDocument/2006/relationships/image" Target="media/image516.wmf"/><Relationship Id="rId1302" Type="http://schemas.openxmlformats.org/officeDocument/2006/relationships/image" Target="media/image616.wmf"/><Relationship Id="rId39" Type="http://schemas.openxmlformats.org/officeDocument/2006/relationships/image" Target="media/image16.wmf"/><Relationship Id="rId451" Type="http://schemas.openxmlformats.org/officeDocument/2006/relationships/image" Target="media/image211.wmf"/><Relationship Id="rId549" Type="http://schemas.openxmlformats.org/officeDocument/2006/relationships/oleObject" Target="embeddings/oleObject285.bin"/><Relationship Id="rId756" Type="http://schemas.openxmlformats.org/officeDocument/2006/relationships/image" Target="media/image359.wmf"/><Relationship Id="rId1179" Type="http://schemas.openxmlformats.org/officeDocument/2006/relationships/image" Target="media/image558.wmf"/><Relationship Id="rId1386" Type="http://schemas.openxmlformats.org/officeDocument/2006/relationships/image" Target="media/image665.png"/><Relationship Id="rId104" Type="http://schemas.openxmlformats.org/officeDocument/2006/relationships/image" Target="media/image48.wmf"/><Relationship Id="rId188" Type="http://schemas.openxmlformats.org/officeDocument/2006/relationships/oleObject" Target="embeddings/oleObject95.bin"/><Relationship Id="rId311" Type="http://schemas.openxmlformats.org/officeDocument/2006/relationships/image" Target="media/image146.wmf"/><Relationship Id="rId395" Type="http://schemas.openxmlformats.org/officeDocument/2006/relationships/oleObject" Target="embeddings/oleObject205.bin"/><Relationship Id="rId409" Type="http://schemas.openxmlformats.org/officeDocument/2006/relationships/oleObject" Target="embeddings/oleObject212.bin"/><Relationship Id="rId963" Type="http://schemas.openxmlformats.org/officeDocument/2006/relationships/oleObject" Target="embeddings/oleObject497.bin"/><Relationship Id="rId1039" Type="http://schemas.openxmlformats.org/officeDocument/2006/relationships/image" Target="media/image496.wmf"/><Relationship Id="rId1246" Type="http://schemas.openxmlformats.org/officeDocument/2006/relationships/oleObject" Target="embeddings/oleObject650.bin"/><Relationship Id="rId92" Type="http://schemas.openxmlformats.org/officeDocument/2006/relationships/oleObject" Target="embeddings/oleObject43.bin"/><Relationship Id="rId616" Type="http://schemas.openxmlformats.org/officeDocument/2006/relationships/image" Target="media/image290.wmf"/><Relationship Id="rId823" Type="http://schemas.openxmlformats.org/officeDocument/2006/relationships/oleObject" Target="embeddings/oleObject424.bin"/><Relationship Id="rId1453" Type="http://schemas.openxmlformats.org/officeDocument/2006/relationships/image" Target="media/image731.png"/><Relationship Id="rId255" Type="http://schemas.openxmlformats.org/officeDocument/2006/relationships/oleObject" Target="embeddings/oleObject130.bin"/><Relationship Id="rId462" Type="http://schemas.openxmlformats.org/officeDocument/2006/relationships/image" Target="media/image216.wmf"/><Relationship Id="rId1092" Type="http://schemas.openxmlformats.org/officeDocument/2006/relationships/oleObject" Target="embeddings/oleObject564.bin"/><Relationship Id="rId1106" Type="http://schemas.openxmlformats.org/officeDocument/2006/relationships/oleObject" Target="embeddings/oleObject571.bin"/><Relationship Id="rId1313" Type="http://schemas.openxmlformats.org/officeDocument/2006/relationships/oleObject" Target="embeddings/oleObject685.bin"/><Relationship Id="rId1397" Type="http://schemas.openxmlformats.org/officeDocument/2006/relationships/image" Target="media/image676.png"/><Relationship Id="rId1520" Type="http://schemas.openxmlformats.org/officeDocument/2006/relationships/theme" Target="theme/theme1.xml"/><Relationship Id="rId115" Type="http://schemas.openxmlformats.org/officeDocument/2006/relationships/oleObject" Target="embeddings/oleObject55.bin"/><Relationship Id="rId322" Type="http://schemas.openxmlformats.org/officeDocument/2006/relationships/image" Target="media/image151.wmf"/><Relationship Id="rId767" Type="http://schemas.openxmlformats.org/officeDocument/2006/relationships/oleObject" Target="embeddings/oleObject396.bin"/><Relationship Id="rId974" Type="http://schemas.openxmlformats.org/officeDocument/2006/relationships/image" Target="media/image464.wmf"/><Relationship Id="rId199" Type="http://schemas.openxmlformats.org/officeDocument/2006/relationships/image" Target="media/image91.wmf"/><Relationship Id="rId627" Type="http://schemas.openxmlformats.org/officeDocument/2006/relationships/oleObject" Target="embeddings/oleObject325.bin"/><Relationship Id="rId834" Type="http://schemas.openxmlformats.org/officeDocument/2006/relationships/image" Target="media/image398.wmf"/><Relationship Id="rId1257" Type="http://schemas.openxmlformats.org/officeDocument/2006/relationships/image" Target="media/image595.wmf"/><Relationship Id="rId1464" Type="http://schemas.openxmlformats.org/officeDocument/2006/relationships/image" Target="media/image742.png"/><Relationship Id="rId266" Type="http://schemas.openxmlformats.org/officeDocument/2006/relationships/image" Target="media/image124.wmf"/><Relationship Id="rId473" Type="http://schemas.openxmlformats.org/officeDocument/2006/relationships/oleObject" Target="embeddings/oleObject245.bin"/><Relationship Id="rId680" Type="http://schemas.openxmlformats.org/officeDocument/2006/relationships/oleObject" Target="embeddings/oleObject352.bin"/><Relationship Id="rId901" Type="http://schemas.openxmlformats.org/officeDocument/2006/relationships/image" Target="media/image431.wmf"/><Relationship Id="rId1117" Type="http://schemas.openxmlformats.org/officeDocument/2006/relationships/image" Target="media/image534.wmf"/><Relationship Id="rId1324" Type="http://schemas.openxmlformats.org/officeDocument/2006/relationships/image" Target="media/image627.wmf"/><Relationship Id="rId30" Type="http://schemas.openxmlformats.org/officeDocument/2006/relationships/oleObject" Target="embeddings/oleObject12.bin"/><Relationship Id="rId126" Type="http://schemas.openxmlformats.org/officeDocument/2006/relationships/image" Target="media/image59.wmf"/><Relationship Id="rId333" Type="http://schemas.openxmlformats.org/officeDocument/2006/relationships/oleObject" Target="embeddings/oleObject170.bin"/><Relationship Id="rId540" Type="http://schemas.openxmlformats.org/officeDocument/2006/relationships/oleObject" Target="embeddings/oleObject280.bin"/><Relationship Id="rId778" Type="http://schemas.openxmlformats.org/officeDocument/2006/relationships/image" Target="media/image370.wmf"/><Relationship Id="rId985" Type="http://schemas.openxmlformats.org/officeDocument/2006/relationships/oleObject" Target="embeddings/oleObject509.bin"/><Relationship Id="rId1170" Type="http://schemas.openxmlformats.org/officeDocument/2006/relationships/oleObject" Target="embeddings/oleObject609.bin"/><Relationship Id="rId638" Type="http://schemas.openxmlformats.org/officeDocument/2006/relationships/image" Target="media/image301.wmf"/><Relationship Id="rId845" Type="http://schemas.openxmlformats.org/officeDocument/2006/relationships/oleObject" Target="embeddings/oleObject435.bin"/><Relationship Id="rId1030" Type="http://schemas.openxmlformats.org/officeDocument/2006/relationships/oleObject" Target="embeddings/oleObject532.bin"/><Relationship Id="rId1268" Type="http://schemas.openxmlformats.org/officeDocument/2006/relationships/oleObject" Target="embeddings/oleObject662.bin"/><Relationship Id="rId1475" Type="http://schemas.openxmlformats.org/officeDocument/2006/relationships/image" Target="media/image753.png"/><Relationship Id="rId277" Type="http://schemas.openxmlformats.org/officeDocument/2006/relationships/oleObject" Target="embeddings/oleObject141.bin"/><Relationship Id="rId400" Type="http://schemas.openxmlformats.org/officeDocument/2006/relationships/image" Target="media/image186.wmf"/><Relationship Id="rId484" Type="http://schemas.openxmlformats.org/officeDocument/2006/relationships/image" Target="media/image227.wmf"/><Relationship Id="rId705" Type="http://schemas.openxmlformats.org/officeDocument/2006/relationships/image" Target="media/image334.wmf"/><Relationship Id="rId1128" Type="http://schemas.openxmlformats.org/officeDocument/2006/relationships/oleObject" Target="embeddings/oleObject582.bin"/><Relationship Id="rId1335" Type="http://schemas.openxmlformats.org/officeDocument/2006/relationships/oleObject" Target="embeddings/oleObject696.bin"/><Relationship Id="rId137" Type="http://schemas.openxmlformats.org/officeDocument/2006/relationships/oleObject" Target="embeddings/oleObject66.bin"/><Relationship Id="rId344" Type="http://schemas.openxmlformats.org/officeDocument/2006/relationships/oleObject" Target="embeddings/oleObject176.bin"/><Relationship Id="rId691" Type="http://schemas.openxmlformats.org/officeDocument/2006/relationships/image" Target="media/image327.wmf"/><Relationship Id="rId789" Type="http://schemas.openxmlformats.org/officeDocument/2006/relationships/oleObject" Target="embeddings/oleObject407.bin"/><Relationship Id="rId912" Type="http://schemas.openxmlformats.org/officeDocument/2006/relationships/oleObject" Target="embeddings/oleObject470.bin"/><Relationship Id="rId996" Type="http://schemas.openxmlformats.org/officeDocument/2006/relationships/image" Target="media/image475.wmf"/><Relationship Id="rId41" Type="http://schemas.openxmlformats.org/officeDocument/2006/relationships/image" Target="media/image17.wmf"/><Relationship Id="rId551" Type="http://schemas.openxmlformats.org/officeDocument/2006/relationships/oleObject" Target="embeddings/oleObject286.bin"/><Relationship Id="rId649" Type="http://schemas.openxmlformats.org/officeDocument/2006/relationships/image" Target="media/image306.wmf"/><Relationship Id="rId856" Type="http://schemas.openxmlformats.org/officeDocument/2006/relationships/image" Target="media/image409.wmf"/><Relationship Id="rId1181" Type="http://schemas.openxmlformats.org/officeDocument/2006/relationships/oleObject" Target="embeddings/oleObject616.bin"/><Relationship Id="rId1279" Type="http://schemas.openxmlformats.org/officeDocument/2006/relationships/image" Target="media/image605.wmf"/><Relationship Id="rId1402" Type="http://schemas.openxmlformats.org/officeDocument/2006/relationships/image" Target="media/image681.png"/><Relationship Id="rId1486" Type="http://schemas.openxmlformats.org/officeDocument/2006/relationships/image" Target="media/image764.emf"/><Relationship Id="rId190" Type="http://schemas.openxmlformats.org/officeDocument/2006/relationships/oleObject" Target="embeddings/oleObject96.bin"/><Relationship Id="rId204" Type="http://schemas.openxmlformats.org/officeDocument/2006/relationships/oleObject" Target="embeddings/oleObject104.bin"/><Relationship Id="rId288" Type="http://schemas.openxmlformats.org/officeDocument/2006/relationships/image" Target="media/image135.wmf"/><Relationship Id="rId411" Type="http://schemas.openxmlformats.org/officeDocument/2006/relationships/oleObject" Target="embeddings/oleObject213.bin"/><Relationship Id="rId509" Type="http://schemas.openxmlformats.org/officeDocument/2006/relationships/image" Target="media/image238.wmf"/><Relationship Id="rId1041" Type="http://schemas.openxmlformats.org/officeDocument/2006/relationships/image" Target="media/image497.wmf"/><Relationship Id="rId1139" Type="http://schemas.openxmlformats.org/officeDocument/2006/relationships/image" Target="media/image545.wmf"/><Relationship Id="rId1346" Type="http://schemas.openxmlformats.org/officeDocument/2006/relationships/image" Target="media/image638.wmf"/><Relationship Id="rId495" Type="http://schemas.openxmlformats.org/officeDocument/2006/relationships/oleObject" Target="embeddings/oleObject257.bin"/><Relationship Id="rId716" Type="http://schemas.openxmlformats.org/officeDocument/2006/relationships/image" Target="media/image339.wmf"/><Relationship Id="rId923" Type="http://schemas.openxmlformats.org/officeDocument/2006/relationships/image" Target="media/image440.wmf"/><Relationship Id="rId10" Type="http://schemas.openxmlformats.org/officeDocument/2006/relationships/image" Target="media/image2.wmf"/><Relationship Id="rId52" Type="http://schemas.openxmlformats.org/officeDocument/2006/relationships/oleObject" Target="embeddings/oleObject23.bin"/><Relationship Id="rId94" Type="http://schemas.openxmlformats.org/officeDocument/2006/relationships/oleObject" Target="embeddings/oleObject44.bin"/><Relationship Id="rId148" Type="http://schemas.openxmlformats.org/officeDocument/2006/relationships/image" Target="media/image70.wmf"/><Relationship Id="rId355" Type="http://schemas.openxmlformats.org/officeDocument/2006/relationships/oleObject" Target="embeddings/oleObject182.bin"/><Relationship Id="rId397" Type="http://schemas.openxmlformats.org/officeDocument/2006/relationships/oleObject" Target="embeddings/oleObject206.bin"/><Relationship Id="rId520" Type="http://schemas.openxmlformats.org/officeDocument/2006/relationships/oleObject" Target="embeddings/oleObject270.bin"/><Relationship Id="rId562" Type="http://schemas.openxmlformats.org/officeDocument/2006/relationships/image" Target="media/image264.wmf"/><Relationship Id="rId618" Type="http://schemas.openxmlformats.org/officeDocument/2006/relationships/image" Target="media/image291.wmf"/><Relationship Id="rId825" Type="http://schemas.openxmlformats.org/officeDocument/2006/relationships/oleObject" Target="embeddings/oleObject425.bin"/><Relationship Id="rId1192" Type="http://schemas.openxmlformats.org/officeDocument/2006/relationships/oleObject" Target="embeddings/oleObject623.bin"/><Relationship Id="rId1206" Type="http://schemas.openxmlformats.org/officeDocument/2006/relationships/oleObject" Target="embeddings/oleObject630.bin"/><Relationship Id="rId1248" Type="http://schemas.openxmlformats.org/officeDocument/2006/relationships/oleObject" Target="embeddings/oleObject651.bin"/><Relationship Id="rId1413" Type="http://schemas.openxmlformats.org/officeDocument/2006/relationships/image" Target="media/image692.png"/><Relationship Id="rId1455" Type="http://schemas.openxmlformats.org/officeDocument/2006/relationships/image" Target="media/image733.png"/><Relationship Id="rId215" Type="http://schemas.openxmlformats.org/officeDocument/2006/relationships/oleObject" Target="embeddings/oleObject110.bin"/><Relationship Id="rId257" Type="http://schemas.openxmlformats.org/officeDocument/2006/relationships/oleObject" Target="embeddings/oleObject131.bin"/><Relationship Id="rId422" Type="http://schemas.openxmlformats.org/officeDocument/2006/relationships/image" Target="media/image197.wmf"/><Relationship Id="rId464" Type="http://schemas.openxmlformats.org/officeDocument/2006/relationships/image" Target="media/image217.wmf"/><Relationship Id="rId867" Type="http://schemas.openxmlformats.org/officeDocument/2006/relationships/oleObject" Target="embeddings/oleObject446.bin"/><Relationship Id="rId1010" Type="http://schemas.openxmlformats.org/officeDocument/2006/relationships/image" Target="media/image482.wmf"/><Relationship Id="rId1052" Type="http://schemas.openxmlformats.org/officeDocument/2006/relationships/oleObject" Target="embeddings/oleObject544.bin"/><Relationship Id="rId1094" Type="http://schemas.openxmlformats.org/officeDocument/2006/relationships/oleObject" Target="embeddings/oleObject565.bin"/><Relationship Id="rId1108" Type="http://schemas.openxmlformats.org/officeDocument/2006/relationships/oleObject" Target="embeddings/oleObject572.bin"/><Relationship Id="rId1315" Type="http://schemas.openxmlformats.org/officeDocument/2006/relationships/oleObject" Target="embeddings/oleObject686.bin"/><Relationship Id="rId1497" Type="http://schemas.openxmlformats.org/officeDocument/2006/relationships/image" Target="media/image775.png"/><Relationship Id="rId299" Type="http://schemas.openxmlformats.org/officeDocument/2006/relationships/image" Target="media/image140.wmf"/><Relationship Id="rId727" Type="http://schemas.openxmlformats.org/officeDocument/2006/relationships/oleObject" Target="embeddings/oleObject376.bin"/><Relationship Id="rId934" Type="http://schemas.openxmlformats.org/officeDocument/2006/relationships/image" Target="media/image445.wmf"/><Relationship Id="rId1357" Type="http://schemas.openxmlformats.org/officeDocument/2006/relationships/oleObject" Target="embeddings/oleObject707.bin"/><Relationship Id="rId63" Type="http://schemas.openxmlformats.org/officeDocument/2006/relationships/image" Target="media/image28.wmf"/><Relationship Id="rId159" Type="http://schemas.openxmlformats.org/officeDocument/2006/relationships/oleObject" Target="embeddings/oleObject77.bin"/><Relationship Id="rId366" Type="http://schemas.openxmlformats.org/officeDocument/2006/relationships/image" Target="media/image169.wmf"/><Relationship Id="rId573" Type="http://schemas.openxmlformats.org/officeDocument/2006/relationships/oleObject" Target="embeddings/oleObject297.bin"/><Relationship Id="rId780" Type="http://schemas.openxmlformats.org/officeDocument/2006/relationships/image" Target="media/image371.wmf"/><Relationship Id="rId1217" Type="http://schemas.openxmlformats.org/officeDocument/2006/relationships/image" Target="media/image575.wmf"/><Relationship Id="rId1424" Type="http://schemas.openxmlformats.org/officeDocument/2006/relationships/image" Target="media/image702.png"/><Relationship Id="rId226" Type="http://schemas.openxmlformats.org/officeDocument/2006/relationships/image" Target="media/image104.wmf"/><Relationship Id="rId433" Type="http://schemas.openxmlformats.org/officeDocument/2006/relationships/oleObject" Target="embeddings/oleObject224.bin"/><Relationship Id="rId878" Type="http://schemas.openxmlformats.org/officeDocument/2006/relationships/image" Target="media/image420.wmf"/><Relationship Id="rId1063" Type="http://schemas.openxmlformats.org/officeDocument/2006/relationships/image" Target="media/image507.wmf"/><Relationship Id="rId1270" Type="http://schemas.openxmlformats.org/officeDocument/2006/relationships/oleObject" Target="embeddings/oleObject663.bin"/><Relationship Id="rId640" Type="http://schemas.openxmlformats.org/officeDocument/2006/relationships/image" Target="media/image302.wmf"/><Relationship Id="rId738" Type="http://schemas.openxmlformats.org/officeDocument/2006/relationships/image" Target="media/image350.wmf"/><Relationship Id="rId945" Type="http://schemas.openxmlformats.org/officeDocument/2006/relationships/oleObject" Target="embeddings/oleObject488.bin"/><Relationship Id="rId1368" Type="http://schemas.openxmlformats.org/officeDocument/2006/relationships/hyperlink" Target="http://apps.webofknowledge.com/full_record.do?product=WOS&amp;search_mode=GeneralSearch&amp;qid=1&amp;SID=1CCGEnEdOLcfjPciCj2&amp;page=1&amp;doc=1" TargetMode="External"/><Relationship Id="rId74" Type="http://schemas.openxmlformats.org/officeDocument/2006/relationships/oleObject" Target="embeddings/oleObject34.bin"/><Relationship Id="rId377" Type="http://schemas.openxmlformats.org/officeDocument/2006/relationships/oleObject" Target="embeddings/oleObject196.bin"/><Relationship Id="rId500" Type="http://schemas.openxmlformats.org/officeDocument/2006/relationships/image" Target="media/image234.wmf"/><Relationship Id="rId584" Type="http://schemas.openxmlformats.org/officeDocument/2006/relationships/image" Target="media/image275.wmf"/><Relationship Id="rId805" Type="http://schemas.openxmlformats.org/officeDocument/2006/relationships/oleObject" Target="embeddings/oleObject415.bin"/><Relationship Id="rId1130" Type="http://schemas.openxmlformats.org/officeDocument/2006/relationships/oleObject" Target="embeddings/oleObject583.bin"/><Relationship Id="rId1228" Type="http://schemas.openxmlformats.org/officeDocument/2006/relationships/oleObject" Target="embeddings/oleObject641.bin"/><Relationship Id="rId1435" Type="http://schemas.openxmlformats.org/officeDocument/2006/relationships/image" Target="media/image713.png"/><Relationship Id="rId5" Type="http://schemas.openxmlformats.org/officeDocument/2006/relationships/webSettings" Target="webSettings.xml"/><Relationship Id="rId237" Type="http://schemas.openxmlformats.org/officeDocument/2006/relationships/oleObject" Target="embeddings/oleObject121.bin"/><Relationship Id="rId791" Type="http://schemas.openxmlformats.org/officeDocument/2006/relationships/oleObject" Target="embeddings/oleObject408.bin"/><Relationship Id="rId889" Type="http://schemas.openxmlformats.org/officeDocument/2006/relationships/oleObject" Target="embeddings/oleObject457.bin"/><Relationship Id="rId1074" Type="http://schemas.openxmlformats.org/officeDocument/2006/relationships/oleObject" Target="embeddings/oleObject555.bin"/><Relationship Id="rId444" Type="http://schemas.openxmlformats.org/officeDocument/2006/relationships/oleObject" Target="embeddings/oleObject230.bin"/><Relationship Id="rId651" Type="http://schemas.openxmlformats.org/officeDocument/2006/relationships/image" Target="media/image307.wmf"/><Relationship Id="rId749" Type="http://schemas.openxmlformats.org/officeDocument/2006/relationships/oleObject" Target="embeddings/oleObject387.bin"/><Relationship Id="rId1281" Type="http://schemas.openxmlformats.org/officeDocument/2006/relationships/image" Target="media/image606.wmf"/><Relationship Id="rId1379" Type="http://schemas.openxmlformats.org/officeDocument/2006/relationships/image" Target="media/image658.png"/><Relationship Id="rId1502" Type="http://schemas.openxmlformats.org/officeDocument/2006/relationships/image" Target="media/image780.emf"/><Relationship Id="rId290" Type="http://schemas.openxmlformats.org/officeDocument/2006/relationships/image" Target="media/image136.wmf"/><Relationship Id="rId304" Type="http://schemas.openxmlformats.org/officeDocument/2006/relationships/oleObject" Target="embeddings/oleObject155.bin"/><Relationship Id="rId388" Type="http://schemas.openxmlformats.org/officeDocument/2006/relationships/image" Target="media/image180.wmf"/><Relationship Id="rId511" Type="http://schemas.openxmlformats.org/officeDocument/2006/relationships/image" Target="media/image239.wmf"/><Relationship Id="rId609" Type="http://schemas.openxmlformats.org/officeDocument/2006/relationships/oleObject" Target="embeddings/oleObject316.bin"/><Relationship Id="rId956" Type="http://schemas.openxmlformats.org/officeDocument/2006/relationships/image" Target="media/image456.wmf"/><Relationship Id="rId1141" Type="http://schemas.openxmlformats.org/officeDocument/2006/relationships/oleObject" Target="embeddings/oleObject589.bin"/><Relationship Id="rId1239" Type="http://schemas.openxmlformats.org/officeDocument/2006/relationships/image" Target="media/image586.wmf"/><Relationship Id="rId85" Type="http://schemas.openxmlformats.org/officeDocument/2006/relationships/image" Target="media/image39.wmf"/><Relationship Id="rId150" Type="http://schemas.openxmlformats.org/officeDocument/2006/relationships/image" Target="media/image71.wmf"/><Relationship Id="rId595" Type="http://schemas.openxmlformats.org/officeDocument/2006/relationships/image" Target="media/image280.wmf"/><Relationship Id="rId816" Type="http://schemas.openxmlformats.org/officeDocument/2006/relationships/image" Target="media/image389.wmf"/><Relationship Id="rId1001" Type="http://schemas.openxmlformats.org/officeDocument/2006/relationships/oleObject" Target="embeddings/oleObject517.bin"/><Relationship Id="rId1446" Type="http://schemas.openxmlformats.org/officeDocument/2006/relationships/image" Target="media/image724.png"/><Relationship Id="rId248" Type="http://schemas.openxmlformats.org/officeDocument/2006/relationships/image" Target="media/image115.wmf"/><Relationship Id="rId455" Type="http://schemas.openxmlformats.org/officeDocument/2006/relationships/oleObject" Target="embeddings/oleObject236.bin"/><Relationship Id="rId662" Type="http://schemas.openxmlformats.org/officeDocument/2006/relationships/oleObject" Target="embeddings/oleObject343.bin"/><Relationship Id="rId1085" Type="http://schemas.openxmlformats.org/officeDocument/2006/relationships/image" Target="media/image518.wmf"/><Relationship Id="rId1292" Type="http://schemas.openxmlformats.org/officeDocument/2006/relationships/image" Target="media/image611.wmf"/><Relationship Id="rId1306" Type="http://schemas.openxmlformats.org/officeDocument/2006/relationships/image" Target="media/image618.wmf"/><Relationship Id="rId1513" Type="http://schemas.openxmlformats.org/officeDocument/2006/relationships/image" Target="media/image791.emf"/><Relationship Id="rId12" Type="http://schemas.openxmlformats.org/officeDocument/2006/relationships/image" Target="media/image3.wmf"/><Relationship Id="rId108" Type="http://schemas.openxmlformats.org/officeDocument/2006/relationships/image" Target="media/image50.wmf"/><Relationship Id="rId315" Type="http://schemas.openxmlformats.org/officeDocument/2006/relationships/image" Target="media/image148.wmf"/><Relationship Id="rId522" Type="http://schemas.openxmlformats.org/officeDocument/2006/relationships/oleObject" Target="embeddings/oleObject271.bin"/><Relationship Id="rId967" Type="http://schemas.openxmlformats.org/officeDocument/2006/relationships/oleObject" Target="embeddings/oleObject499.bin"/><Relationship Id="rId1152" Type="http://schemas.openxmlformats.org/officeDocument/2006/relationships/image" Target="media/image550.wmf"/><Relationship Id="rId96" Type="http://schemas.openxmlformats.org/officeDocument/2006/relationships/oleObject" Target="embeddings/oleObject45.bin"/><Relationship Id="rId161" Type="http://schemas.openxmlformats.org/officeDocument/2006/relationships/oleObject" Target="embeddings/oleObject78.bin"/><Relationship Id="rId399" Type="http://schemas.openxmlformats.org/officeDocument/2006/relationships/oleObject" Target="embeddings/oleObject207.bin"/><Relationship Id="rId827" Type="http://schemas.openxmlformats.org/officeDocument/2006/relationships/oleObject" Target="embeddings/oleObject426.bin"/><Relationship Id="rId1012" Type="http://schemas.openxmlformats.org/officeDocument/2006/relationships/image" Target="media/image483.wmf"/><Relationship Id="rId1457" Type="http://schemas.openxmlformats.org/officeDocument/2006/relationships/image" Target="media/image735.png"/><Relationship Id="rId259" Type="http://schemas.openxmlformats.org/officeDocument/2006/relationships/oleObject" Target="embeddings/oleObject132.bin"/><Relationship Id="rId466" Type="http://schemas.openxmlformats.org/officeDocument/2006/relationships/image" Target="media/image218.wmf"/><Relationship Id="rId673" Type="http://schemas.openxmlformats.org/officeDocument/2006/relationships/image" Target="media/image318.wmf"/><Relationship Id="rId880" Type="http://schemas.openxmlformats.org/officeDocument/2006/relationships/image" Target="media/image421.wmf"/><Relationship Id="rId1096" Type="http://schemas.openxmlformats.org/officeDocument/2006/relationships/oleObject" Target="embeddings/oleObject566.bin"/><Relationship Id="rId1317" Type="http://schemas.openxmlformats.org/officeDocument/2006/relationships/oleObject" Target="embeddings/oleObject687.bin"/><Relationship Id="rId23" Type="http://schemas.openxmlformats.org/officeDocument/2006/relationships/oleObject" Target="embeddings/oleObject8.bin"/><Relationship Id="rId119" Type="http://schemas.openxmlformats.org/officeDocument/2006/relationships/oleObject" Target="embeddings/oleObject57.bin"/><Relationship Id="rId326" Type="http://schemas.openxmlformats.org/officeDocument/2006/relationships/image" Target="media/image153.wmf"/><Relationship Id="rId533" Type="http://schemas.openxmlformats.org/officeDocument/2006/relationships/image" Target="media/image250.wmf"/><Relationship Id="rId978" Type="http://schemas.openxmlformats.org/officeDocument/2006/relationships/image" Target="media/image466.wmf"/><Relationship Id="rId1163" Type="http://schemas.openxmlformats.org/officeDocument/2006/relationships/oleObject" Target="embeddings/oleObject603.bin"/><Relationship Id="rId1370" Type="http://schemas.openxmlformats.org/officeDocument/2006/relationships/hyperlink" Target="http://www.alantum.com/en/gastreatment.html" TargetMode="External"/><Relationship Id="rId740" Type="http://schemas.openxmlformats.org/officeDocument/2006/relationships/image" Target="media/image351.wmf"/><Relationship Id="rId838" Type="http://schemas.openxmlformats.org/officeDocument/2006/relationships/image" Target="media/image400.wmf"/><Relationship Id="rId1023" Type="http://schemas.openxmlformats.org/officeDocument/2006/relationships/oleObject" Target="embeddings/oleObject528.bin"/><Relationship Id="rId1468" Type="http://schemas.openxmlformats.org/officeDocument/2006/relationships/image" Target="media/image746.png"/><Relationship Id="rId172" Type="http://schemas.openxmlformats.org/officeDocument/2006/relationships/image" Target="media/image80.wmf"/><Relationship Id="rId477" Type="http://schemas.openxmlformats.org/officeDocument/2006/relationships/oleObject" Target="embeddings/oleObject247.bin"/><Relationship Id="rId600" Type="http://schemas.openxmlformats.org/officeDocument/2006/relationships/oleObject" Target="embeddings/oleObject311.bin"/><Relationship Id="rId684" Type="http://schemas.openxmlformats.org/officeDocument/2006/relationships/oleObject" Target="embeddings/oleObject354.bin"/><Relationship Id="rId1230" Type="http://schemas.openxmlformats.org/officeDocument/2006/relationships/oleObject" Target="embeddings/oleObject642.bin"/><Relationship Id="rId1328" Type="http://schemas.openxmlformats.org/officeDocument/2006/relationships/image" Target="media/image629.wmf"/><Relationship Id="rId337" Type="http://schemas.openxmlformats.org/officeDocument/2006/relationships/image" Target="media/image158.wmf"/><Relationship Id="rId891" Type="http://schemas.openxmlformats.org/officeDocument/2006/relationships/image" Target="media/image426.wmf"/><Relationship Id="rId905" Type="http://schemas.openxmlformats.org/officeDocument/2006/relationships/image" Target="media/image433.wmf"/><Relationship Id="rId989" Type="http://schemas.openxmlformats.org/officeDocument/2006/relationships/oleObject" Target="embeddings/oleObject511.bin"/><Relationship Id="rId34" Type="http://schemas.openxmlformats.org/officeDocument/2006/relationships/oleObject" Target="embeddings/oleObject14.bin"/><Relationship Id="rId544" Type="http://schemas.openxmlformats.org/officeDocument/2006/relationships/oleObject" Target="embeddings/oleObject282.bin"/><Relationship Id="rId751" Type="http://schemas.openxmlformats.org/officeDocument/2006/relationships/oleObject" Target="embeddings/oleObject388.bin"/><Relationship Id="rId849" Type="http://schemas.openxmlformats.org/officeDocument/2006/relationships/oleObject" Target="embeddings/oleObject437.bin"/><Relationship Id="rId1174" Type="http://schemas.openxmlformats.org/officeDocument/2006/relationships/oleObject" Target="embeddings/oleObject611.bin"/><Relationship Id="rId1381" Type="http://schemas.openxmlformats.org/officeDocument/2006/relationships/image" Target="media/image660.png"/><Relationship Id="rId1479" Type="http://schemas.openxmlformats.org/officeDocument/2006/relationships/image" Target="media/image757.png"/><Relationship Id="rId183" Type="http://schemas.openxmlformats.org/officeDocument/2006/relationships/oleObject" Target="embeddings/oleObject92.bin"/><Relationship Id="rId390" Type="http://schemas.openxmlformats.org/officeDocument/2006/relationships/image" Target="media/image181.wmf"/><Relationship Id="rId404" Type="http://schemas.openxmlformats.org/officeDocument/2006/relationships/image" Target="media/image188.wmf"/><Relationship Id="rId611" Type="http://schemas.openxmlformats.org/officeDocument/2006/relationships/oleObject" Target="embeddings/oleObject317.bin"/><Relationship Id="rId1034" Type="http://schemas.openxmlformats.org/officeDocument/2006/relationships/oleObject" Target="embeddings/oleObject534.bin"/><Relationship Id="rId1241" Type="http://schemas.openxmlformats.org/officeDocument/2006/relationships/image" Target="media/image587.wmf"/><Relationship Id="rId1339" Type="http://schemas.openxmlformats.org/officeDocument/2006/relationships/oleObject" Target="embeddings/oleObject698.bin"/><Relationship Id="rId250" Type="http://schemas.openxmlformats.org/officeDocument/2006/relationships/image" Target="media/image116.wmf"/><Relationship Id="rId488" Type="http://schemas.openxmlformats.org/officeDocument/2006/relationships/oleObject" Target="embeddings/oleObject253.bin"/><Relationship Id="rId695" Type="http://schemas.openxmlformats.org/officeDocument/2006/relationships/image" Target="media/image329.wmf"/><Relationship Id="rId709" Type="http://schemas.openxmlformats.org/officeDocument/2006/relationships/image" Target="media/image336.wmf"/><Relationship Id="rId916" Type="http://schemas.openxmlformats.org/officeDocument/2006/relationships/oleObject" Target="embeddings/oleObject473.bin"/><Relationship Id="rId1101" Type="http://schemas.openxmlformats.org/officeDocument/2006/relationships/image" Target="media/image526.wmf"/><Relationship Id="rId45" Type="http://schemas.openxmlformats.org/officeDocument/2006/relationships/image" Target="media/image19.wmf"/><Relationship Id="rId110" Type="http://schemas.openxmlformats.org/officeDocument/2006/relationships/image" Target="media/image51.wmf"/><Relationship Id="rId348" Type="http://schemas.openxmlformats.org/officeDocument/2006/relationships/image" Target="media/image163.wmf"/><Relationship Id="rId555" Type="http://schemas.openxmlformats.org/officeDocument/2006/relationships/oleObject" Target="embeddings/oleObject288.bin"/><Relationship Id="rId762" Type="http://schemas.openxmlformats.org/officeDocument/2006/relationships/image" Target="media/image362.wmf"/><Relationship Id="rId1185" Type="http://schemas.openxmlformats.org/officeDocument/2006/relationships/image" Target="media/image560.wmf"/><Relationship Id="rId1392" Type="http://schemas.openxmlformats.org/officeDocument/2006/relationships/image" Target="media/image671.png"/><Relationship Id="rId1406" Type="http://schemas.openxmlformats.org/officeDocument/2006/relationships/image" Target="media/image685.jpeg"/><Relationship Id="rId194" Type="http://schemas.openxmlformats.org/officeDocument/2006/relationships/oleObject" Target="embeddings/oleObject99.bin"/><Relationship Id="rId208" Type="http://schemas.openxmlformats.org/officeDocument/2006/relationships/image" Target="media/image95.wmf"/><Relationship Id="rId415" Type="http://schemas.openxmlformats.org/officeDocument/2006/relationships/oleObject" Target="embeddings/oleObject215.bin"/><Relationship Id="rId622" Type="http://schemas.openxmlformats.org/officeDocument/2006/relationships/image" Target="media/image293.wmf"/><Relationship Id="rId1045" Type="http://schemas.openxmlformats.org/officeDocument/2006/relationships/image" Target="media/image499.wmf"/><Relationship Id="rId1252" Type="http://schemas.openxmlformats.org/officeDocument/2006/relationships/oleObject" Target="embeddings/oleObject653.bin"/><Relationship Id="rId261" Type="http://schemas.openxmlformats.org/officeDocument/2006/relationships/oleObject" Target="embeddings/oleObject133.bin"/><Relationship Id="rId499" Type="http://schemas.openxmlformats.org/officeDocument/2006/relationships/oleObject" Target="embeddings/oleObject259.bin"/><Relationship Id="rId927" Type="http://schemas.openxmlformats.org/officeDocument/2006/relationships/image" Target="media/image442.wmf"/><Relationship Id="rId1112" Type="http://schemas.openxmlformats.org/officeDocument/2006/relationships/oleObject" Target="embeddings/oleObject574.bin"/><Relationship Id="rId56" Type="http://schemas.openxmlformats.org/officeDocument/2006/relationships/oleObject" Target="embeddings/oleObject25.bin"/><Relationship Id="rId359" Type="http://schemas.openxmlformats.org/officeDocument/2006/relationships/oleObject" Target="embeddings/oleObject185.bin"/><Relationship Id="rId566" Type="http://schemas.openxmlformats.org/officeDocument/2006/relationships/image" Target="media/image266.wmf"/><Relationship Id="rId773" Type="http://schemas.openxmlformats.org/officeDocument/2006/relationships/oleObject" Target="embeddings/oleObject399.bin"/><Relationship Id="rId1196" Type="http://schemas.openxmlformats.org/officeDocument/2006/relationships/oleObject" Target="embeddings/oleObject625.bin"/><Relationship Id="rId1417" Type="http://schemas.openxmlformats.org/officeDocument/2006/relationships/image" Target="media/image696.png"/><Relationship Id="rId121" Type="http://schemas.openxmlformats.org/officeDocument/2006/relationships/oleObject" Target="embeddings/oleObject58.bin"/><Relationship Id="rId219" Type="http://schemas.openxmlformats.org/officeDocument/2006/relationships/oleObject" Target="embeddings/oleObject112.bin"/><Relationship Id="rId426" Type="http://schemas.openxmlformats.org/officeDocument/2006/relationships/image" Target="media/image199.wmf"/><Relationship Id="rId633" Type="http://schemas.openxmlformats.org/officeDocument/2006/relationships/oleObject" Target="embeddings/oleObject328.bin"/><Relationship Id="rId980" Type="http://schemas.openxmlformats.org/officeDocument/2006/relationships/image" Target="media/image467.wmf"/><Relationship Id="rId1056" Type="http://schemas.openxmlformats.org/officeDocument/2006/relationships/oleObject" Target="embeddings/oleObject546.bin"/><Relationship Id="rId1263" Type="http://schemas.openxmlformats.org/officeDocument/2006/relationships/oleObject" Target="embeddings/oleObject659.bin"/><Relationship Id="rId840" Type="http://schemas.openxmlformats.org/officeDocument/2006/relationships/image" Target="media/image401.wmf"/><Relationship Id="rId938" Type="http://schemas.openxmlformats.org/officeDocument/2006/relationships/image" Target="media/image447.wmf"/><Relationship Id="rId1470" Type="http://schemas.openxmlformats.org/officeDocument/2006/relationships/image" Target="media/image748.png"/><Relationship Id="rId67" Type="http://schemas.openxmlformats.org/officeDocument/2006/relationships/image" Target="media/image30.wmf"/><Relationship Id="rId272" Type="http://schemas.openxmlformats.org/officeDocument/2006/relationships/image" Target="media/image127.wmf"/><Relationship Id="rId577" Type="http://schemas.openxmlformats.org/officeDocument/2006/relationships/oleObject" Target="embeddings/oleObject299.bin"/><Relationship Id="rId700" Type="http://schemas.openxmlformats.org/officeDocument/2006/relationships/oleObject" Target="embeddings/oleObject362.bin"/><Relationship Id="rId1123" Type="http://schemas.openxmlformats.org/officeDocument/2006/relationships/image" Target="media/image537.wmf"/><Relationship Id="rId1330" Type="http://schemas.openxmlformats.org/officeDocument/2006/relationships/image" Target="media/image630.wmf"/><Relationship Id="rId1428" Type="http://schemas.openxmlformats.org/officeDocument/2006/relationships/image" Target="media/image706.png"/><Relationship Id="rId132" Type="http://schemas.openxmlformats.org/officeDocument/2006/relationships/image" Target="media/image62.wmf"/><Relationship Id="rId784" Type="http://schemas.openxmlformats.org/officeDocument/2006/relationships/image" Target="media/image373.wmf"/><Relationship Id="rId991" Type="http://schemas.openxmlformats.org/officeDocument/2006/relationships/oleObject" Target="embeddings/oleObject512.bin"/><Relationship Id="rId1067" Type="http://schemas.openxmlformats.org/officeDocument/2006/relationships/image" Target="media/image509.wmf"/><Relationship Id="rId437" Type="http://schemas.openxmlformats.org/officeDocument/2006/relationships/oleObject" Target="embeddings/oleObject226.bin"/><Relationship Id="rId644" Type="http://schemas.openxmlformats.org/officeDocument/2006/relationships/image" Target="media/image304.wmf"/><Relationship Id="rId851" Type="http://schemas.openxmlformats.org/officeDocument/2006/relationships/oleObject" Target="embeddings/oleObject438.bin"/><Relationship Id="rId1274" Type="http://schemas.openxmlformats.org/officeDocument/2006/relationships/oleObject" Target="embeddings/oleObject665.bin"/><Relationship Id="rId1481" Type="http://schemas.openxmlformats.org/officeDocument/2006/relationships/image" Target="media/image759.png"/><Relationship Id="rId283" Type="http://schemas.openxmlformats.org/officeDocument/2006/relationships/oleObject" Target="embeddings/oleObject144.bin"/><Relationship Id="rId490" Type="http://schemas.openxmlformats.org/officeDocument/2006/relationships/image" Target="media/image229.wmf"/><Relationship Id="rId504" Type="http://schemas.openxmlformats.org/officeDocument/2006/relationships/oleObject" Target="embeddings/oleObject262.bin"/><Relationship Id="rId711" Type="http://schemas.openxmlformats.org/officeDocument/2006/relationships/oleObject" Target="embeddings/oleObject368.bin"/><Relationship Id="rId949" Type="http://schemas.openxmlformats.org/officeDocument/2006/relationships/oleObject" Target="embeddings/oleObject490.bin"/><Relationship Id="rId1134" Type="http://schemas.openxmlformats.org/officeDocument/2006/relationships/oleObject" Target="embeddings/oleObject585.bin"/><Relationship Id="rId1341" Type="http://schemas.openxmlformats.org/officeDocument/2006/relationships/oleObject" Target="embeddings/oleObject699.bin"/><Relationship Id="rId78" Type="http://schemas.openxmlformats.org/officeDocument/2006/relationships/oleObject" Target="embeddings/oleObject36.bin"/><Relationship Id="rId143" Type="http://schemas.openxmlformats.org/officeDocument/2006/relationships/oleObject" Target="embeddings/oleObject69.bin"/><Relationship Id="rId350" Type="http://schemas.openxmlformats.org/officeDocument/2006/relationships/image" Target="media/image164.wmf"/><Relationship Id="rId588" Type="http://schemas.openxmlformats.org/officeDocument/2006/relationships/image" Target="media/image277.wmf"/><Relationship Id="rId795" Type="http://schemas.openxmlformats.org/officeDocument/2006/relationships/oleObject" Target="embeddings/oleObject410.bin"/><Relationship Id="rId809" Type="http://schemas.openxmlformats.org/officeDocument/2006/relationships/oleObject" Target="embeddings/oleObject417.bin"/><Relationship Id="rId1201" Type="http://schemas.openxmlformats.org/officeDocument/2006/relationships/image" Target="media/image567.wmf"/><Relationship Id="rId1439" Type="http://schemas.openxmlformats.org/officeDocument/2006/relationships/image" Target="media/image717.jpeg"/><Relationship Id="rId9" Type="http://schemas.openxmlformats.org/officeDocument/2006/relationships/oleObject" Target="embeddings/oleObject1.bin"/><Relationship Id="rId210" Type="http://schemas.openxmlformats.org/officeDocument/2006/relationships/image" Target="media/image96.wmf"/><Relationship Id="rId448" Type="http://schemas.openxmlformats.org/officeDocument/2006/relationships/oleObject" Target="embeddings/oleObject232.bin"/><Relationship Id="rId655" Type="http://schemas.openxmlformats.org/officeDocument/2006/relationships/image" Target="media/image309.wmf"/><Relationship Id="rId862" Type="http://schemas.openxmlformats.org/officeDocument/2006/relationships/image" Target="media/image412.wmf"/><Relationship Id="rId1078" Type="http://schemas.openxmlformats.org/officeDocument/2006/relationships/oleObject" Target="embeddings/oleObject557.bin"/><Relationship Id="rId1285" Type="http://schemas.openxmlformats.org/officeDocument/2006/relationships/oleObject" Target="embeddings/oleObject671.bin"/><Relationship Id="rId1492" Type="http://schemas.openxmlformats.org/officeDocument/2006/relationships/image" Target="media/image770.emf"/><Relationship Id="rId1506" Type="http://schemas.openxmlformats.org/officeDocument/2006/relationships/image" Target="media/image784.emf"/><Relationship Id="rId294" Type="http://schemas.openxmlformats.org/officeDocument/2006/relationships/oleObject" Target="embeddings/oleObject150.bin"/><Relationship Id="rId308" Type="http://schemas.openxmlformats.org/officeDocument/2006/relationships/oleObject" Target="embeddings/oleObject157.bin"/><Relationship Id="rId515" Type="http://schemas.openxmlformats.org/officeDocument/2006/relationships/image" Target="media/image241.wmf"/><Relationship Id="rId722" Type="http://schemas.openxmlformats.org/officeDocument/2006/relationships/image" Target="media/image342.wmf"/><Relationship Id="rId1145" Type="http://schemas.openxmlformats.org/officeDocument/2006/relationships/oleObject" Target="embeddings/oleObject591.bin"/><Relationship Id="rId1352" Type="http://schemas.openxmlformats.org/officeDocument/2006/relationships/image" Target="media/image641.wmf"/><Relationship Id="rId89" Type="http://schemas.openxmlformats.org/officeDocument/2006/relationships/image" Target="media/image41.wmf"/><Relationship Id="rId154" Type="http://schemas.openxmlformats.org/officeDocument/2006/relationships/image" Target="media/image73.wmf"/><Relationship Id="rId361" Type="http://schemas.openxmlformats.org/officeDocument/2006/relationships/oleObject" Target="embeddings/oleObject187.bin"/><Relationship Id="rId599" Type="http://schemas.openxmlformats.org/officeDocument/2006/relationships/image" Target="media/image282.wmf"/><Relationship Id="rId1005" Type="http://schemas.openxmlformats.org/officeDocument/2006/relationships/oleObject" Target="embeddings/oleObject519.bin"/><Relationship Id="rId1212" Type="http://schemas.openxmlformats.org/officeDocument/2006/relationships/oleObject" Target="embeddings/oleObject633.bin"/><Relationship Id="rId459" Type="http://schemas.openxmlformats.org/officeDocument/2006/relationships/oleObject" Target="embeddings/oleObject238.bin"/><Relationship Id="rId666" Type="http://schemas.openxmlformats.org/officeDocument/2006/relationships/oleObject" Target="embeddings/oleObject345.bin"/><Relationship Id="rId873" Type="http://schemas.openxmlformats.org/officeDocument/2006/relationships/oleObject" Target="embeddings/oleObject449.bin"/><Relationship Id="rId1089" Type="http://schemas.openxmlformats.org/officeDocument/2006/relationships/image" Target="media/image520.wmf"/><Relationship Id="rId1296" Type="http://schemas.openxmlformats.org/officeDocument/2006/relationships/image" Target="media/image613.wmf"/><Relationship Id="rId1517" Type="http://schemas.openxmlformats.org/officeDocument/2006/relationships/footer" Target="footer1.xml"/><Relationship Id="rId16" Type="http://schemas.openxmlformats.org/officeDocument/2006/relationships/image" Target="media/image5.wmf"/><Relationship Id="rId221" Type="http://schemas.openxmlformats.org/officeDocument/2006/relationships/oleObject" Target="embeddings/oleObject113.bin"/><Relationship Id="rId319" Type="http://schemas.openxmlformats.org/officeDocument/2006/relationships/oleObject" Target="embeddings/oleObject163.bin"/><Relationship Id="rId526" Type="http://schemas.openxmlformats.org/officeDocument/2006/relationships/oleObject" Target="embeddings/oleObject273.bin"/><Relationship Id="rId1156" Type="http://schemas.openxmlformats.org/officeDocument/2006/relationships/image" Target="media/image552.wmf"/><Relationship Id="rId1363" Type="http://schemas.openxmlformats.org/officeDocument/2006/relationships/oleObject" Target="embeddings/oleObject710.bin"/><Relationship Id="rId733" Type="http://schemas.openxmlformats.org/officeDocument/2006/relationships/oleObject" Target="embeddings/oleObject379.bin"/><Relationship Id="rId940" Type="http://schemas.openxmlformats.org/officeDocument/2006/relationships/image" Target="media/image448.wmf"/><Relationship Id="rId1016" Type="http://schemas.openxmlformats.org/officeDocument/2006/relationships/image" Target="media/image485.wmf"/><Relationship Id="rId165" Type="http://schemas.openxmlformats.org/officeDocument/2006/relationships/oleObject" Target="embeddings/oleObject81.bin"/><Relationship Id="rId372" Type="http://schemas.openxmlformats.org/officeDocument/2006/relationships/image" Target="media/image172.wmf"/><Relationship Id="rId677" Type="http://schemas.openxmlformats.org/officeDocument/2006/relationships/image" Target="media/image320.wmf"/><Relationship Id="rId800" Type="http://schemas.openxmlformats.org/officeDocument/2006/relationships/image" Target="media/image381.wmf"/><Relationship Id="rId1223" Type="http://schemas.openxmlformats.org/officeDocument/2006/relationships/image" Target="media/image578.wmf"/><Relationship Id="rId1430" Type="http://schemas.openxmlformats.org/officeDocument/2006/relationships/image" Target="media/image708.png"/><Relationship Id="rId232" Type="http://schemas.openxmlformats.org/officeDocument/2006/relationships/image" Target="media/image107.wmf"/><Relationship Id="rId884" Type="http://schemas.openxmlformats.org/officeDocument/2006/relationships/image" Target="media/image423.wmf"/><Relationship Id="rId27" Type="http://schemas.openxmlformats.org/officeDocument/2006/relationships/image" Target="media/image10.wmf"/><Relationship Id="rId537" Type="http://schemas.openxmlformats.org/officeDocument/2006/relationships/image" Target="media/image252.wmf"/><Relationship Id="rId744" Type="http://schemas.openxmlformats.org/officeDocument/2006/relationships/image" Target="media/image353.wmf"/><Relationship Id="rId951" Type="http://schemas.openxmlformats.org/officeDocument/2006/relationships/oleObject" Target="embeddings/oleObject491.bin"/><Relationship Id="rId1167" Type="http://schemas.openxmlformats.org/officeDocument/2006/relationships/oleObject" Target="embeddings/oleObject606.bin"/><Relationship Id="rId1374" Type="http://schemas.openxmlformats.org/officeDocument/2006/relationships/image" Target="media/image654.wmf"/><Relationship Id="rId80" Type="http://schemas.openxmlformats.org/officeDocument/2006/relationships/oleObject" Target="embeddings/oleObject37.bin"/><Relationship Id="rId176" Type="http://schemas.openxmlformats.org/officeDocument/2006/relationships/image" Target="media/image82.wmf"/><Relationship Id="rId383" Type="http://schemas.openxmlformats.org/officeDocument/2006/relationships/oleObject" Target="embeddings/oleObject199.bin"/><Relationship Id="rId590" Type="http://schemas.openxmlformats.org/officeDocument/2006/relationships/oleObject" Target="embeddings/oleObject306.bin"/><Relationship Id="rId604" Type="http://schemas.openxmlformats.org/officeDocument/2006/relationships/oleObject" Target="embeddings/oleObject313.bin"/><Relationship Id="rId811" Type="http://schemas.openxmlformats.org/officeDocument/2006/relationships/oleObject" Target="embeddings/oleObject418.bin"/><Relationship Id="rId1027" Type="http://schemas.openxmlformats.org/officeDocument/2006/relationships/image" Target="media/image490.wmf"/><Relationship Id="rId1234" Type="http://schemas.openxmlformats.org/officeDocument/2006/relationships/oleObject" Target="embeddings/oleObject644.bin"/><Relationship Id="rId1441" Type="http://schemas.openxmlformats.org/officeDocument/2006/relationships/image" Target="media/image719.png"/><Relationship Id="rId243" Type="http://schemas.openxmlformats.org/officeDocument/2006/relationships/oleObject" Target="embeddings/oleObject124.bin"/><Relationship Id="rId450" Type="http://schemas.openxmlformats.org/officeDocument/2006/relationships/oleObject" Target="embeddings/oleObject233.bin"/><Relationship Id="rId688" Type="http://schemas.openxmlformats.org/officeDocument/2006/relationships/oleObject" Target="embeddings/oleObject356.bin"/><Relationship Id="rId895" Type="http://schemas.openxmlformats.org/officeDocument/2006/relationships/image" Target="media/image428.wmf"/><Relationship Id="rId909" Type="http://schemas.openxmlformats.org/officeDocument/2006/relationships/oleObject" Target="embeddings/oleObject468.bin"/><Relationship Id="rId1080" Type="http://schemas.openxmlformats.org/officeDocument/2006/relationships/oleObject" Target="embeddings/oleObject558.bin"/><Relationship Id="rId1301" Type="http://schemas.openxmlformats.org/officeDocument/2006/relationships/oleObject" Target="embeddings/oleObject679.bin"/><Relationship Id="rId38" Type="http://schemas.openxmlformats.org/officeDocument/2006/relationships/oleObject" Target="embeddings/oleObject16.bin"/><Relationship Id="rId103" Type="http://schemas.openxmlformats.org/officeDocument/2006/relationships/oleObject" Target="embeddings/oleObject49.bin"/><Relationship Id="rId310" Type="http://schemas.openxmlformats.org/officeDocument/2006/relationships/oleObject" Target="embeddings/oleObject158.bin"/><Relationship Id="rId548" Type="http://schemas.openxmlformats.org/officeDocument/2006/relationships/image" Target="media/image257.wmf"/><Relationship Id="rId755" Type="http://schemas.openxmlformats.org/officeDocument/2006/relationships/oleObject" Target="embeddings/oleObject390.bin"/><Relationship Id="rId962" Type="http://schemas.openxmlformats.org/officeDocument/2006/relationships/image" Target="media/image459.wmf"/><Relationship Id="rId1178" Type="http://schemas.openxmlformats.org/officeDocument/2006/relationships/oleObject" Target="embeddings/oleObject614.bin"/><Relationship Id="rId1385" Type="http://schemas.openxmlformats.org/officeDocument/2006/relationships/image" Target="media/image664.png"/><Relationship Id="rId91" Type="http://schemas.openxmlformats.org/officeDocument/2006/relationships/image" Target="media/image42.wmf"/><Relationship Id="rId187" Type="http://schemas.openxmlformats.org/officeDocument/2006/relationships/oleObject" Target="embeddings/oleObject94.bin"/><Relationship Id="rId394" Type="http://schemas.openxmlformats.org/officeDocument/2006/relationships/image" Target="media/image183.wmf"/><Relationship Id="rId408" Type="http://schemas.openxmlformats.org/officeDocument/2006/relationships/image" Target="media/image190.wmf"/><Relationship Id="rId615" Type="http://schemas.openxmlformats.org/officeDocument/2006/relationships/oleObject" Target="embeddings/oleObject319.bin"/><Relationship Id="rId822" Type="http://schemas.openxmlformats.org/officeDocument/2006/relationships/image" Target="media/image392.wmf"/><Relationship Id="rId1038" Type="http://schemas.openxmlformats.org/officeDocument/2006/relationships/oleObject" Target="embeddings/oleObject536.bin"/><Relationship Id="rId1245" Type="http://schemas.openxmlformats.org/officeDocument/2006/relationships/image" Target="media/image589.wmf"/><Relationship Id="rId1452" Type="http://schemas.openxmlformats.org/officeDocument/2006/relationships/image" Target="media/image730.png"/><Relationship Id="rId254" Type="http://schemas.openxmlformats.org/officeDocument/2006/relationships/image" Target="media/image118.wmf"/><Relationship Id="rId699" Type="http://schemas.openxmlformats.org/officeDocument/2006/relationships/image" Target="media/image331.wmf"/><Relationship Id="rId1091" Type="http://schemas.openxmlformats.org/officeDocument/2006/relationships/image" Target="media/image521.wmf"/><Relationship Id="rId1105" Type="http://schemas.openxmlformats.org/officeDocument/2006/relationships/image" Target="media/image528.wmf"/><Relationship Id="rId1312" Type="http://schemas.openxmlformats.org/officeDocument/2006/relationships/image" Target="media/image621.wmf"/><Relationship Id="rId49" Type="http://schemas.openxmlformats.org/officeDocument/2006/relationships/image" Target="media/image21.wmf"/><Relationship Id="rId114" Type="http://schemas.openxmlformats.org/officeDocument/2006/relationships/image" Target="media/image53.wmf"/><Relationship Id="rId461" Type="http://schemas.openxmlformats.org/officeDocument/2006/relationships/oleObject" Target="embeddings/oleObject239.bin"/><Relationship Id="rId559" Type="http://schemas.openxmlformats.org/officeDocument/2006/relationships/oleObject" Target="embeddings/oleObject290.bin"/><Relationship Id="rId766" Type="http://schemas.openxmlformats.org/officeDocument/2006/relationships/image" Target="media/image364.wmf"/><Relationship Id="rId1189" Type="http://schemas.openxmlformats.org/officeDocument/2006/relationships/oleObject" Target="embeddings/oleObject621.bin"/><Relationship Id="rId1396" Type="http://schemas.openxmlformats.org/officeDocument/2006/relationships/image" Target="media/image675.png"/><Relationship Id="rId198" Type="http://schemas.openxmlformats.org/officeDocument/2006/relationships/oleObject" Target="embeddings/oleObject101.bin"/><Relationship Id="rId321" Type="http://schemas.openxmlformats.org/officeDocument/2006/relationships/oleObject" Target="embeddings/oleObject164.bin"/><Relationship Id="rId419" Type="http://schemas.openxmlformats.org/officeDocument/2006/relationships/oleObject" Target="embeddings/oleObject217.bin"/><Relationship Id="rId626" Type="http://schemas.openxmlformats.org/officeDocument/2006/relationships/image" Target="media/image295.wmf"/><Relationship Id="rId973" Type="http://schemas.openxmlformats.org/officeDocument/2006/relationships/oleObject" Target="embeddings/oleObject503.bin"/><Relationship Id="rId1049" Type="http://schemas.openxmlformats.org/officeDocument/2006/relationships/image" Target="media/image500.wmf"/><Relationship Id="rId1256" Type="http://schemas.openxmlformats.org/officeDocument/2006/relationships/oleObject" Target="embeddings/oleObject655.bin"/><Relationship Id="rId833" Type="http://schemas.openxmlformats.org/officeDocument/2006/relationships/oleObject" Target="embeddings/oleObject429.bin"/><Relationship Id="rId1116" Type="http://schemas.openxmlformats.org/officeDocument/2006/relationships/oleObject" Target="embeddings/oleObject576.bin"/><Relationship Id="rId1463" Type="http://schemas.openxmlformats.org/officeDocument/2006/relationships/image" Target="media/image741.jpeg"/><Relationship Id="rId265" Type="http://schemas.openxmlformats.org/officeDocument/2006/relationships/oleObject" Target="embeddings/oleObject135.bin"/><Relationship Id="rId472" Type="http://schemas.openxmlformats.org/officeDocument/2006/relationships/image" Target="media/image221.wmf"/><Relationship Id="rId900" Type="http://schemas.openxmlformats.org/officeDocument/2006/relationships/oleObject" Target="embeddings/oleObject463.bin"/><Relationship Id="rId1323" Type="http://schemas.openxmlformats.org/officeDocument/2006/relationships/oleObject" Target="embeddings/oleObject690.bin"/><Relationship Id="rId125" Type="http://schemas.openxmlformats.org/officeDocument/2006/relationships/oleObject" Target="embeddings/oleObject60.bin"/><Relationship Id="rId332" Type="http://schemas.openxmlformats.org/officeDocument/2006/relationships/image" Target="media/image156.wmf"/><Relationship Id="rId777" Type="http://schemas.openxmlformats.org/officeDocument/2006/relationships/oleObject" Target="embeddings/oleObject401.bin"/><Relationship Id="rId984" Type="http://schemas.openxmlformats.org/officeDocument/2006/relationships/image" Target="media/image469.wmf"/><Relationship Id="rId637" Type="http://schemas.openxmlformats.org/officeDocument/2006/relationships/oleObject" Target="embeddings/oleObject330.bin"/><Relationship Id="rId844" Type="http://schemas.openxmlformats.org/officeDocument/2006/relationships/image" Target="media/image403.wmf"/><Relationship Id="rId1267" Type="http://schemas.openxmlformats.org/officeDocument/2006/relationships/image" Target="media/image599.wmf"/><Relationship Id="rId1474" Type="http://schemas.openxmlformats.org/officeDocument/2006/relationships/image" Target="media/image752.png"/><Relationship Id="rId276" Type="http://schemas.openxmlformats.org/officeDocument/2006/relationships/image" Target="media/image129.wmf"/><Relationship Id="rId483" Type="http://schemas.openxmlformats.org/officeDocument/2006/relationships/oleObject" Target="embeddings/oleObject250.bin"/><Relationship Id="rId690" Type="http://schemas.openxmlformats.org/officeDocument/2006/relationships/oleObject" Target="embeddings/oleObject357.bin"/><Relationship Id="rId704" Type="http://schemas.openxmlformats.org/officeDocument/2006/relationships/oleObject" Target="embeddings/oleObject364.bin"/><Relationship Id="rId911" Type="http://schemas.openxmlformats.org/officeDocument/2006/relationships/oleObject" Target="embeddings/oleObject469.bin"/><Relationship Id="rId1127" Type="http://schemas.openxmlformats.org/officeDocument/2006/relationships/image" Target="media/image539.wmf"/><Relationship Id="rId1334" Type="http://schemas.openxmlformats.org/officeDocument/2006/relationships/image" Target="media/image632.wmf"/><Relationship Id="rId40" Type="http://schemas.openxmlformats.org/officeDocument/2006/relationships/oleObject" Target="embeddings/oleObject17.bin"/><Relationship Id="rId136" Type="http://schemas.openxmlformats.org/officeDocument/2006/relationships/image" Target="media/image64.wmf"/><Relationship Id="rId343" Type="http://schemas.openxmlformats.org/officeDocument/2006/relationships/image" Target="media/image161.wmf"/><Relationship Id="rId550" Type="http://schemas.openxmlformats.org/officeDocument/2006/relationships/image" Target="media/image258.wmf"/><Relationship Id="rId788" Type="http://schemas.openxmlformats.org/officeDocument/2006/relationships/image" Target="media/image375.wmf"/><Relationship Id="rId995" Type="http://schemas.openxmlformats.org/officeDocument/2006/relationships/oleObject" Target="embeddings/oleObject514.bin"/><Relationship Id="rId1180" Type="http://schemas.openxmlformats.org/officeDocument/2006/relationships/oleObject" Target="embeddings/oleObject615.bin"/><Relationship Id="rId1401" Type="http://schemas.openxmlformats.org/officeDocument/2006/relationships/image" Target="media/image680.png"/><Relationship Id="rId203" Type="http://schemas.openxmlformats.org/officeDocument/2006/relationships/image" Target="media/image93.wmf"/><Relationship Id="rId648" Type="http://schemas.openxmlformats.org/officeDocument/2006/relationships/oleObject" Target="embeddings/oleObject336.bin"/><Relationship Id="rId855" Type="http://schemas.openxmlformats.org/officeDocument/2006/relationships/oleObject" Target="embeddings/oleObject440.bin"/><Relationship Id="rId1040" Type="http://schemas.openxmlformats.org/officeDocument/2006/relationships/oleObject" Target="embeddings/oleObject537.bin"/><Relationship Id="rId1278" Type="http://schemas.openxmlformats.org/officeDocument/2006/relationships/oleObject" Target="embeddings/oleObject667.bin"/><Relationship Id="rId1485" Type="http://schemas.openxmlformats.org/officeDocument/2006/relationships/image" Target="media/image763.emf"/><Relationship Id="rId287" Type="http://schemas.openxmlformats.org/officeDocument/2006/relationships/oleObject" Target="embeddings/oleObject146.bin"/><Relationship Id="rId410" Type="http://schemas.openxmlformats.org/officeDocument/2006/relationships/image" Target="media/image191.wmf"/><Relationship Id="rId494" Type="http://schemas.openxmlformats.org/officeDocument/2006/relationships/image" Target="media/image231.wmf"/><Relationship Id="rId508" Type="http://schemas.openxmlformats.org/officeDocument/2006/relationships/oleObject" Target="embeddings/oleObject264.bin"/><Relationship Id="rId715" Type="http://schemas.openxmlformats.org/officeDocument/2006/relationships/oleObject" Target="embeddings/oleObject370.bin"/><Relationship Id="rId922" Type="http://schemas.openxmlformats.org/officeDocument/2006/relationships/oleObject" Target="embeddings/oleObject476.bin"/><Relationship Id="rId1138" Type="http://schemas.openxmlformats.org/officeDocument/2006/relationships/oleObject" Target="embeddings/oleObject587.bin"/><Relationship Id="rId1345" Type="http://schemas.openxmlformats.org/officeDocument/2006/relationships/oleObject" Target="embeddings/oleObject701.bin"/><Relationship Id="rId147" Type="http://schemas.openxmlformats.org/officeDocument/2006/relationships/oleObject" Target="embeddings/oleObject71.bin"/><Relationship Id="rId354" Type="http://schemas.openxmlformats.org/officeDocument/2006/relationships/image" Target="media/image166.wmf"/><Relationship Id="rId799" Type="http://schemas.openxmlformats.org/officeDocument/2006/relationships/oleObject" Target="embeddings/oleObject412.bin"/><Relationship Id="rId1191" Type="http://schemas.openxmlformats.org/officeDocument/2006/relationships/oleObject" Target="embeddings/oleObject622.bin"/><Relationship Id="rId1205" Type="http://schemas.openxmlformats.org/officeDocument/2006/relationships/image" Target="media/image569.wmf"/><Relationship Id="rId51" Type="http://schemas.openxmlformats.org/officeDocument/2006/relationships/image" Target="media/image22.wmf"/><Relationship Id="rId561" Type="http://schemas.openxmlformats.org/officeDocument/2006/relationships/oleObject" Target="embeddings/oleObject291.bin"/><Relationship Id="rId659" Type="http://schemas.openxmlformats.org/officeDocument/2006/relationships/image" Target="media/image311.wmf"/><Relationship Id="rId866" Type="http://schemas.openxmlformats.org/officeDocument/2006/relationships/image" Target="media/image414.wmf"/><Relationship Id="rId1289" Type="http://schemas.openxmlformats.org/officeDocument/2006/relationships/oleObject" Target="embeddings/oleObject673.bin"/><Relationship Id="rId1412" Type="http://schemas.openxmlformats.org/officeDocument/2006/relationships/image" Target="media/image691.png"/><Relationship Id="rId1496" Type="http://schemas.openxmlformats.org/officeDocument/2006/relationships/image" Target="media/image774.png"/><Relationship Id="rId214" Type="http://schemas.openxmlformats.org/officeDocument/2006/relationships/image" Target="media/image98.wmf"/><Relationship Id="rId298" Type="http://schemas.openxmlformats.org/officeDocument/2006/relationships/oleObject" Target="embeddings/oleObject152.bin"/><Relationship Id="rId421" Type="http://schemas.openxmlformats.org/officeDocument/2006/relationships/oleObject" Target="embeddings/oleObject218.bin"/><Relationship Id="rId519" Type="http://schemas.openxmlformats.org/officeDocument/2006/relationships/image" Target="media/image243.wmf"/><Relationship Id="rId1051" Type="http://schemas.openxmlformats.org/officeDocument/2006/relationships/image" Target="media/image501.wmf"/><Relationship Id="rId1149" Type="http://schemas.openxmlformats.org/officeDocument/2006/relationships/oleObject" Target="embeddings/oleObject594.bin"/><Relationship Id="rId1356" Type="http://schemas.openxmlformats.org/officeDocument/2006/relationships/image" Target="media/image643.wmf"/><Relationship Id="rId158" Type="http://schemas.openxmlformats.org/officeDocument/2006/relationships/image" Target="media/image75.wmf"/><Relationship Id="rId726" Type="http://schemas.openxmlformats.org/officeDocument/2006/relationships/image" Target="media/image344.wmf"/><Relationship Id="rId933" Type="http://schemas.openxmlformats.org/officeDocument/2006/relationships/oleObject" Target="embeddings/oleObject482.bin"/><Relationship Id="rId1009" Type="http://schemas.openxmlformats.org/officeDocument/2006/relationships/oleObject" Target="embeddings/oleObject521.bin"/><Relationship Id="rId62" Type="http://schemas.openxmlformats.org/officeDocument/2006/relationships/oleObject" Target="embeddings/oleObject28.bin"/><Relationship Id="rId365" Type="http://schemas.openxmlformats.org/officeDocument/2006/relationships/oleObject" Target="embeddings/oleObject190.bin"/><Relationship Id="rId572" Type="http://schemas.openxmlformats.org/officeDocument/2006/relationships/image" Target="media/image269.wmf"/><Relationship Id="rId1216" Type="http://schemas.openxmlformats.org/officeDocument/2006/relationships/oleObject" Target="embeddings/oleObject635.bin"/><Relationship Id="rId1423" Type="http://schemas.openxmlformats.org/officeDocument/2006/relationships/image" Target="media/image701.png"/><Relationship Id="rId225" Type="http://schemas.openxmlformats.org/officeDocument/2006/relationships/oleObject" Target="embeddings/oleObject115.bin"/><Relationship Id="rId432" Type="http://schemas.openxmlformats.org/officeDocument/2006/relationships/image" Target="media/image202.wmf"/><Relationship Id="rId877" Type="http://schemas.openxmlformats.org/officeDocument/2006/relationships/oleObject" Target="embeddings/oleObject451.bin"/><Relationship Id="rId1062" Type="http://schemas.openxmlformats.org/officeDocument/2006/relationships/oleObject" Target="embeddings/oleObject549.bin"/><Relationship Id="rId737" Type="http://schemas.openxmlformats.org/officeDocument/2006/relationships/oleObject" Target="embeddings/oleObject381.bin"/><Relationship Id="rId944" Type="http://schemas.openxmlformats.org/officeDocument/2006/relationships/image" Target="media/image450.wmf"/><Relationship Id="rId1367" Type="http://schemas.openxmlformats.org/officeDocument/2006/relationships/image" Target="media/image650.png"/><Relationship Id="rId73" Type="http://schemas.openxmlformats.org/officeDocument/2006/relationships/image" Target="media/image33.wmf"/><Relationship Id="rId169" Type="http://schemas.openxmlformats.org/officeDocument/2006/relationships/oleObject" Target="embeddings/oleObject83.bin"/><Relationship Id="rId376" Type="http://schemas.openxmlformats.org/officeDocument/2006/relationships/image" Target="media/image174.wmf"/><Relationship Id="rId583" Type="http://schemas.openxmlformats.org/officeDocument/2006/relationships/oleObject" Target="embeddings/oleObject302.bin"/><Relationship Id="rId790" Type="http://schemas.openxmlformats.org/officeDocument/2006/relationships/image" Target="media/image376.wmf"/><Relationship Id="rId804" Type="http://schemas.openxmlformats.org/officeDocument/2006/relationships/image" Target="media/image383.wmf"/><Relationship Id="rId1227" Type="http://schemas.openxmlformats.org/officeDocument/2006/relationships/image" Target="media/image580.wmf"/><Relationship Id="rId1434" Type="http://schemas.openxmlformats.org/officeDocument/2006/relationships/image" Target="media/image712.png"/><Relationship Id="rId4" Type="http://schemas.openxmlformats.org/officeDocument/2006/relationships/settings" Target="settings.xml"/><Relationship Id="rId236" Type="http://schemas.openxmlformats.org/officeDocument/2006/relationships/image" Target="media/image109.wmf"/><Relationship Id="rId443" Type="http://schemas.openxmlformats.org/officeDocument/2006/relationships/image" Target="media/image207.wmf"/><Relationship Id="rId650" Type="http://schemas.openxmlformats.org/officeDocument/2006/relationships/oleObject" Target="embeddings/oleObject337.bin"/><Relationship Id="rId888" Type="http://schemas.openxmlformats.org/officeDocument/2006/relationships/image" Target="media/image425.wmf"/><Relationship Id="rId1073" Type="http://schemas.openxmlformats.org/officeDocument/2006/relationships/image" Target="media/image512.wmf"/><Relationship Id="rId1280" Type="http://schemas.openxmlformats.org/officeDocument/2006/relationships/oleObject" Target="embeddings/oleObject668.bin"/><Relationship Id="rId1501" Type="http://schemas.openxmlformats.org/officeDocument/2006/relationships/image" Target="media/image779.png"/><Relationship Id="rId303" Type="http://schemas.openxmlformats.org/officeDocument/2006/relationships/image" Target="media/image142.wmf"/><Relationship Id="rId748" Type="http://schemas.openxmlformats.org/officeDocument/2006/relationships/image" Target="media/image355.wmf"/><Relationship Id="rId955" Type="http://schemas.openxmlformats.org/officeDocument/2006/relationships/oleObject" Target="embeddings/oleObject493.bin"/><Relationship Id="rId1140" Type="http://schemas.openxmlformats.org/officeDocument/2006/relationships/oleObject" Target="embeddings/oleObject588.bin"/><Relationship Id="rId1378" Type="http://schemas.openxmlformats.org/officeDocument/2006/relationships/image" Target="media/image657.png"/><Relationship Id="rId84" Type="http://schemas.openxmlformats.org/officeDocument/2006/relationships/oleObject" Target="embeddings/oleObject39.bin"/><Relationship Id="rId387" Type="http://schemas.openxmlformats.org/officeDocument/2006/relationships/oleObject" Target="embeddings/oleObject201.bin"/><Relationship Id="rId510" Type="http://schemas.openxmlformats.org/officeDocument/2006/relationships/oleObject" Target="embeddings/oleObject265.bin"/><Relationship Id="rId594" Type="http://schemas.openxmlformats.org/officeDocument/2006/relationships/oleObject" Target="embeddings/oleObject308.bin"/><Relationship Id="rId608" Type="http://schemas.openxmlformats.org/officeDocument/2006/relationships/image" Target="media/image286.wmf"/><Relationship Id="rId815" Type="http://schemas.openxmlformats.org/officeDocument/2006/relationships/oleObject" Target="embeddings/oleObject420.bin"/><Relationship Id="rId1238" Type="http://schemas.openxmlformats.org/officeDocument/2006/relationships/oleObject" Target="embeddings/oleObject646.bin"/><Relationship Id="rId1445" Type="http://schemas.openxmlformats.org/officeDocument/2006/relationships/image" Target="media/image723.png"/><Relationship Id="rId247" Type="http://schemas.openxmlformats.org/officeDocument/2006/relationships/oleObject" Target="embeddings/oleObject126.bin"/><Relationship Id="rId899" Type="http://schemas.openxmlformats.org/officeDocument/2006/relationships/image" Target="media/image430.wmf"/><Relationship Id="rId1000" Type="http://schemas.openxmlformats.org/officeDocument/2006/relationships/image" Target="media/image477.wmf"/><Relationship Id="rId1084" Type="http://schemas.openxmlformats.org/officeDocument/2006/relationships/oleObject" Target="embeddings/oleObject560.bin"/><Relationship Id="rId1305" Type="http://schemas.openxmlformats.org/officeDocument/2006/relationships/oleObject" Target="embeddings/oleObject681.bin"/><Relationship Id="rId107" Type="http://schemas.openxmlformats.org/officeDocument/2006/relationships/oleObject" Target="embeddings/oleObject51.bin"/><Relationship Id="rId454" Type="http://schemas.openxmlformats.org/officeDocument/2006/relationships/image" Target="media/image212.wmf"/><Relationship Id="rId661" Type="http://schemas.openxmlformats.org/officeDocument/2006/relationships/image" Target="media/image312.wmf"/><Relationship Id="rId759" Type="http://schemas.openxmlformats.org/officeDocument/2006/relationships/oleObject" Target="embeddings/oleObject392.bin"/><Relationship Id="rId966" Type="http://schemas.openxmlformats.org/officeDocument/2006/relationships/image" Target="media/image461.wmf"/><Relationship Id="rId1291" Type="http://schemas.openxmlformats.org/officeDocument/2006/relationships/oleObject" Target="embeddings/oleObject674.bin"/><Relationship Id="rId1389" Type="http://schemas.openxmlformats.org/officeDocument/2006/relationships/image" Target="media/image668.png"/><Relationship Id="rId1512" Type="http://schemas.openxmlformats.org/officeDocument/2006/relationships/image" Target="media/image790.emf"/><Relationship Id="rId11" Type="http://schemas.openxmlformats.org/officeDocument/2006/relationships/oleObject" Target="embeddings/oleObject2.bin"/><Relationship Id="rId314" Type="http://schemas.openxmlformats.org/officeDocument/2006/relationships/oleObject" Target="embeddings/oleObject160.bin"/><Relationship Id="rId398" Type="http://schemas.openxmlformats.org/officeDocument/2006/relationships/image" Target="media/image185.wmf"/><Relationship Id="rId521" Type="http://schemas.openxmlformats.org/officeDocument/2006/relationships/image" Target="media/image244.wmf"/><Relationship Id="rId619" Type="http://schemas.openxmlformats.org/officeDocument/2006/relationships/oleObject" Target="embeddings/oleObject321.bin"/><Relationship Id="rId1151" Type="http://schemas.openxmlformats.org/officeDocument/2006/relationships/oleObject" Target="embeddings/oleObject595.bin"/><Relationship Id="rId1249" Type="http://schemas.openxmlformats.org/officeDocument/2006/relationships/image" Target="media/image591.wmf"/><Relationship Id="rId95" Type="http://schemas.openxmlformats.org/officeDocument/2006/relationships/image" Target="media/image44.wmf"/><Relationship Id="rId160" Type="http://schemas.openxmlformats.org/officeDocument/2006/relationships/image" Target="media/image76.wmf"/><Relationship Id="rId826" Type="http://schemas.openxmlformats.org/officeDocument/2006/relationships/image" Target="media/image394.wmf"/><Relationship Id="rId1011" Type="http://schemas.openxmlformats.org/officeDocument/2006/relationships/oleObject" Target="embeddings/oleObject522.bin"/><Relationship Id="rId1109" Type="http://schemas.openxmlformats.org/officeDocument/2006/relationships/image" Target="media/image530.wmf"/><Relationship Id="rId1456" Type="http://schemas.openxmlformats.org/officeDocument/2006/relationships/image" Target="media/image734.png"/><Relationship Id="rId258" Type="http://schemas.openxmlformats.org/officeDocument/2006/relationships/image" Target="media/image120.wmf"/><Relationship Id="rId465" Type="http://schemas.openxmlformats.org/officeDocument/2006/relationships/oleObject" Target="embeddings/oleObject241.bin"/><Relationship Id="rId672" Type="http://schemas.openxmlformats.org/officeDocument/2006/relationships/oleObject" Target="embeddings/oleObject348.bin"/><Relationship Id="rId1095" Type="http://schemas.openxmlformats.org/officeDocument/2006/relationships/image" Target="media/image523.wmf"/><Relationship Id="rId1316" Type="http://schemas.openxmlformats.org/officeDocument/2006/relationships/image" Target="media/image623.wmf"/><Relationship Id="rId22" Type="http://schemas.openxmlformats.org/officeDocument/2006/relationships/image" Target="media/image8.wmf"/><Relationship Id="rId118" Type="http://schemas.openxmlformats.org/officeDocument/2006/relationships/image" Target="media/image55.wmf"/><Relationship Id="rId325" Type="http://schemas.openxmlformats.org/officeDocument/2006/relationships/oleObject" Target="embeddings/oleObject166.bin"/><Relationship Id="rId532" Type="http://schemas.openxmlformats.org/officeDocument/2006/relationships/oleObject" Target="embeddings/oleObject276.bin"/><Relationship Id="rId977" Type="http://schemas.openxmlformats.org/officeDocument/2006/relationships/oleObject" Target="embeddings/oleObject505.bin"/><Relationship Id="rId1162" Type="http://schemas.openxmlformats.org/officeDocument/2006/relationships/oleObject" Target="embeddings/oleObject602.bin"/><Relationship Id="rId171" Type="http://schemas.openxmlformats.org/officeDocument/2006/relationships/oleObject" Target="embeddings/oleObject85.bin"/><Relationship Id="rId837" Type="http://schemas.openxmlformats.org/officeDocument/2006/relationships/oleObject" Target="embeddings/oleObject431.bin"/><Relationship Id="rId1022" Type="http://schemas.openxmlformats.org/officeDocument/2006/relationships/image" Target="media/image488.wmf"/><Relationship Id="rId1467" Type="http://schemas.openxmlformats.org/officeDocument/2006/relationships/image" Target="media/image745.jpeg"/><Relationship Id="rId269" Type="http://schemas.openxmlformats.org/officeDocument/2006/relationships/oleObject" Target="embeddings/oleObject137.bin"/><Relationship Id="rId476" Type="http://schemas.openxmlformats.org/officeDocument/2006/relationships/image" Target="media/image223.wmf"/><Relationship Id="rId683" Type="http://schemas.openxmlformats.org/officeDocument/2006/relationships/image" Target="media/image323.wmf"/><Relationship Id="rId890" Type="http://schemas.openxmlformats.org/officeDocument/2006/relationships/oleObject" Target="embeddings/oleObject458.bin"/><Relationship Id="rId904" Type="http://schemas.openxmlformats.org/officeDocument/2006/relationships/oleObject" Target="embeddings/oleObject465.bin"/><Relationship Id="rId1327" Type="http://schemas.openxmlformats.org/officeDocument/2006/relationships/oleObject" Target="embeddings/oleObject692.bin"/><Relationship Id="rId33" Type="http://schemas.openxmlformats.org/officeDocument/2006/relationships/image" Target="media/image13.wmf"/><Relationship Id="rId129" Type="http://schemas.openxmlformats.org/officeDocument/2006/relationships/oleObject" Target="embeddings/oleObject62.bin"/><Relationship Id="rId336" Type="http://schemas.openxmlformats.org/officeDocument/2006/relationships/oleObject" Target="embeddings/oleObject172.bin"/><Relationship Id="rId543" Type="http://schemas.openxmlformats.org/officeDocument/2006/relationships/image" Target="media/image255.wmf"/><Relationship Id="rId988" Type="http://schemas.openxmlformats.org/officeDocument/2006/relationships/image" Target="media/image471.wmf"/><Relationship Id="rId1173" Type="http://schemas.openxmlformats.org/officeDocument/2006/relationships/image" Target="media/image556.wmf"/><Relationship Id="rId1380" Type="http://schemas.openxmlformats.org/officeDocument/2006/relationships/image" Target="media/image659.png"/><Relationship Id="rId182" Type="http://schemas.openxmlformats.org/officeDocument/2006/relationships/oleObject" Target="embeddings/oleObject91.bin"/><Relationship Id="rId403" Type="http://schemas.openxmlformats.org/officeDocument/2006/relationships/oleObject" Target="embeddings/oleObject209.bin"/><Relationship Id="rId750" Type="http://schemas.openxmlformats.org/officeDocument/2006/relationships/image" Target="media/image356.wmf"/><Relationship Id="rId848" Type="http://schemas.openxmlformats.org/officeDocument/2006/relationships/image" Target="media/image405.wmf"/><Relationship Id="rId1033" Type="http://schemas.openxmlformats.org/officeDocument/2006/relationships/image" Target="media/image493.wmf"/><Relationship Id="rId1478" Type="http://schemas.openxmlformats.org/officeDocument/2006/relationships/image" Target="media/image756.png"/><Relationship Id="rId487" Type="http://schemas.openxmlformats.org/officeDocument/2006/relationships/image" Target="media/image228.wmf"/><Relationship Id="rId610" Type="http://schemas.openxmlformats.org/officeDocument/2006/relationships/image" Target="media/image287.wmf"/><Relationship Id="rId694" Type="http://schemas.openxmlformats.org/officeDocument/2006/relationships/oleObject" Target="embeddings/oleObject359.bin"/><Relationship Id="rId708" Type="http://schemas.openxmlformats.org/officeDocument/2006/relationships/oleObject" Target="embeddings/oleObject366.bin"/><Relationship Id="rId915" Type="http://schemas.openxmlformats.org/officeDocument/2006/relationships/image" Target="media/image436.wmf"/><Relationship Id="rId1240" Type="http://schemas.openxmlformats.org/officeDocument/2006/relationships/oleObject" Target="embeddings/oleObject647.bin"/><Relationship Id="rId1338" Type="http://schemas.openxmlformats.org/officeDocument/2006/relationships/image" Target="media/image634.wmf"/><Relationship Id="rId347" Type="http://schemas.openxmlformats.org/officeDocument/2006/relationships/oleObject" Target="embeddings/oleObject178.bin"/><Relationship Id="rId999" Type="http://schemas.openxmlformats.org/officeDocument/2006/relationships/oleObject" Target="embeddings/oleObject516.bin"/><Relationship Id="rId1100" Type="http://schemas.openxmlformats.org/officeDocument/2006/relationships/oleObject" Target="embeddings/oleObject568.bin"/><Relationship Id="rId1184" Type="http://schemas.openxmlformats.org/officeDocument/2006/relationships/oleObject" Target="embeddings/oleObject618.bin"/><Relationship Id="rId1405" Type="http://schemas.openxmlformats.org/officeDocument/2006/relationships/image" Target="media/image684.png"/><Relationship Id="rId44" Type="http://schemas.openxmlformats.org/officeDocument/2006/relationships/oleObject" Target="embeddings/oleObject19.bin"/><Relationship Id="rId554" Type="http://schemas.openxmlformats.org/officeDocument/2006/relationships/image" Target="media/image260.wmf"/><Relationship Id="rId761" Type="http://schemas.openxmlformats.org/officeDocument/2006/relationships/oleObject" Target="embeddings/oleObject393.bin"/><Relationship Id="rId859" Type="http://schemas.openxmlformats.org/officeDocument/2006/relationships/oleObject" Target="embeddings/oleObject442.bin"/><Relationship Id="rId1391" Type="http://schemas.openxmlformats.org/officeDocument/2006/relationships/image" Target="media/image670.png"/><Relationship Id="rId1489" Type="http://schemas.openxmlformats.org/officeDocument/2006/relationships/image" Target="media/image767.png"/><Relationship Id="rId193" Type="http://schemas.openxmlformats.org/officeDocument/2006/relationships/oleObject" Target="embeddings/oleObject98.bin"/><Relationship Id="rId207" Type="http://schemas.openxmlformats.org/officeDocument/2006/relationships/oleObject" Target="embeddings/oleObject106.bin"/><Relationship Id="rId414" Type="http://schemas.openxmlformats.org/officeDocument/2006/relationships/image" Target="media/image193.wmf"/><Relationship Id="rId498" Type="http://schemas.openxmlformats.org/officeDocument/2006/relationships/image" Target="media/image233.wmf"/><Relationship Id="rId621" Type="http://schemas.openxmlformats.org/officeDocument/2006/relationships/oleObject" Target="embeddings/oleObject322.bin"/><Relationship Id="rId1044" Type="http://schemas.openxmlformats.org/officeDocument/2006/relationships/oleObject" Target="embeddings/oleObject539.bin"/><Relationship Id="rId1251" Type="http://schemas.openxmlformats.org/officeDocument/2006/relationships/image" Target="media/image592.wmf"/><Relationship Id="rId1349" Type="http://schemas.openxmlformats.org/officeDocument/2006/relationships/oleObject" Target="embeddings/oleObject703.bin"/><Relationship Id="rId260" Type="http://schemas.openxmlformats.org/officeDocument/2006/relationships/image" Target="media/image121.wmf"/><Relationship Id="rId719" Type="http://schemas.openxmlformats.org/officeDocument/2006/relationships/oleObject" Target="embeddings/oleObject372.bin"/><Relationship Id="rId926" Type="http://schemas.openxmlformats.org/officeDocument/2006/relationships/oleObject" Target="embeddings/oleObject478.bin"/><Relationship Id="rId1111" Type="http://schemas.openxmlformats.org/officeDocument/2006/relationships/image" Target="media/image531.wmf"/><Relationship Id="rId55" Type="http://schemas.openxmlformats.org/officeDocument/2006/relationships/image" Target="media/image24.wmf"/><Relationship Id="rId120" Type="http://schemas.openxmlformats.org/officeDocument/2006/relationships/image" Target="media/image56.wmf"/><Relationship Id="rId358" Type="http://schemas.openxmlformats.org/officeDocument/2006/relationships/oleObject" Target="embeddings/oleObject184.bin"/><Relationship Id="rId565" Type="http://schemas.openxmlformats.org/officeDocument/2006/relationships/oleObject" Target="embeddings/oleObject293.bin"/><Relationship Id="rId772" Type="http://schemas.openxmlformats.org/officeDocument/2006/relationships/image" Target="media/image367.wmf"/><Relationship Id="rId1195" Type="http://schemas.openxmlformats.org/officeDocument/2006/relationships/image" Target="media/image564.wmf"/><Relationship Id="rId1209" Type="http://schemas.openxmlformats.org/officeDocument/2006/relationships/image" Target="media/image571.wmf"/><Relationship Id="rId1416" Type="http://schemas.openxmlformats.org/officeDocument/2006/relationships/image" Target="media/image695.png"/><Relationship Id="rId218" Type="http://schemas.openxmlformats.org/officeDocument/2006/relationships/image" Target="media/image100.wmf"/><Relationship Id="rId425" Type="http://schemas.openxmlformats.org/officeDocument/2006/relationships/oleObject" Target="embeddings/oleObject220.bin"/><Relationship Id="rId632" Type="http://schemas.openxmlformats.org/officeDocument/2006/relationships/image" Target="media/image298.wmf"/><Relationship Id="rId1055" Type="http://schemas.openxmlformats.org/officeDocument/2006/relationships/image" Target="media/image503.wmf"/><Relationship Id="rId1262" Type="http://schemas.openxmlformats.org/officeDocument/2006/relationships/image" Target="media/image597.wmf"/><Relationship Id="rId271" Type="http://schemas.openxmlformats.org/officeDocument/2006/relationships/oleObject" Target="embeddings/oleObject138.bin"/><Relationship Id="rId937" Type="http://schemas.openxmlformats.org/officeDocument/2006/relationships/oleObject" Target="embeddings/oleObject484.bin"/><Relationship Id="rId1122" Type="http://schemas.openxmlformats.org/officeDocument/2006/relationships/oleObject" Target="embeddings/oleObject579.bin"/><Relationship Id="rId66" Type="http://schemas.openxmlformats.org/officeDocument/2006/relationships/oleObject" Target="embeddings/oleObject30.bin"/><Relationship Id="rId131" Type="http://schemas.openxmlformats.org/officeDocument/2006/relationships/oleObject" Target="embeddings/oleObject63.bin"/><Relationship Id="rId369" Type="http://schemas.openxmlformats.org/officeDocument/2006/relationships/oleObject" Target="embeddings/oleObject192.bin"/><Relationship Id="rId576" Type="http://schemas.openxmlformats.org/officeDocument/2006/relationships/image" Target="media/image271.wmf"/><Relationship Id="rId783" Type="http://schemas.openxmlformats.org/officeDocument/2006/relationships/oleObject" Target="embeddings/oleObject404.bin"/><Relationship Id="rId990" Type="http://schemas.openxmlformats.org/officeDocument/2006/relationships/image" Target="media/image472.wmf"/><Relationship Id="rId1427" Type="http://schemas.openxmlformats.org/officeDocument/2006/relationships/image" Target="media/image705.png"/><Relationship Id="rId229" Type="http://schemas.openxmlformats.org/officeDocument/2006/relationships/oleObject" Target="embeddings/oleObject117.bin"/><Relationship Id="rId436" Type="http://schemas.openxmlformats.org/officeDocument/2006/relationships/image" Target="media/image204.wmf"/><Relationship Id="rId643" Type="http://schemas.openxmlformats.org/officeDocument/2006/relationships/oleObject" Target="embeddings/oleObject333.bin"/><Relationship Id="rId1066" Type="http://schemas.openxmlformats.org/officeDocument/2006/relationships/oleObject" Target="embeddings/oleObject551.bin"/><Relationship Id="rId1273" Type="http://schemas.openxmlformats.org/officeDocument/2006/relationships/image" Target="media/image602.wmf"/><Relationship Id="rId1480" Type="http://schemas.openxmlformats.org/officeDocument/2006/relationships/image" Target="media/image758.png"/><Relationship Id="rId850" Type="http://schemas.openxmlformats.org/officeDocument/2006/relationships/image" Target="media/image406.wmf"/><Relationship Id="rId948" Type="http://schemas.openxmlformats.org/officeDocument/2006/relationships/image" Target="media/image452.wmf"/><Relationship Id="rId1133" Type="http://schemas.openxmlformats.org/officeDocument/2006/relationships/image" Target="media/image542.wmf"/><Relationship Id="rId77" Type="http://schemas.openxmlformats.org/officeDocument/2006/relationships/image" Target="media/image35.wmf"/><Relationship Id="rId282" Type="http://schemas.openxmlformats.org/officeDocument/2006/relationships/image" Target="media/image132.wmf"/><Relationship Id="rId503" Type="http://schemas.openxmlformats.org/officeDocument/2006/relationships/oleObject" Target="embeddings/oleObject261.bin"/><Relationship Id="rId587" Type="http://schemas.openxmlformats.org/officeDocument/2006/relationships/oleObject" Target="embeddings/oleObject304.bin"/><Relationship Id="rId710" Type="http://schemas.openxmlformats.org/officeDocument/2006/relationships/oleObject" Target="embeddings/oleObject367.bin"/><Relationship Id="rId808" Type="http://schemas.openxmlformats.org/officeDocument/2006/relationships/image" Target="media/image385.wmf"/><Relationship Id="rId1340" Type="http://schemas.openxmlformats.org/officeDocument/2006/relationships/image" Target="media/image635.wmf"/><Relationship Id="rId1438" Type="http://schemas.openxmlformats.org/officeDocument/2006/relationships/image" Target="media/image716.jpeg"/><Relationship Id="rId8" Type="http://schemas.openxmlformats.org/officeDocument/2006/relationships/image" Target="media/image1.wmf"/><Relationship Id="rId142" Type="http://schemas.openxmlformats.org/officeDocument/2006/relationships/image" Target="media/image67.wmf"/><Relationship Id="rId447" Type="http://schemas.openxmlformats.org/officeDocument/2006/relationships/image" Target="media/image209.wmf"/><Relationship Id="rId794" Type="http://schemas.openxmlformats.org/officeDocument/2006/relationships/image" Target="media/image378.wmf"/><Relationship Id="rId1077" Type="http://schemas.openxmlformats.org/officeDocument/2006/relationships/image" Target="media/image514.wmf"/><Relationship Id="rId1200" Type="http://schemas.openxmlformats.org/officeDocument/2006/relationships/oleObject" Target="embeddings/oleObject627.bin"/><Relationship Id="rId654" Type="http://schemas.openxmlformats.org/officeDocument/2006/relationships/oleObject" Target="embeddings/oleObject339.bin"/><Relationship Id="rId861" Type="http://schemas.openxmlformats.org/officeDocument/2006/relationships/oleObject" Target="embeddings/oleObject443.bin"/><Relationship Id="rId959" Type="http://schemas.openxmlformats.org/officeDocument/2006/relationships/oleObject" Target="embeddings/oleObject495.bin"/><Relationship Id="rId1284" Type="http://schemas.openxmlformats.org/officeDocument/2006/relationships/oleObject" Target="embeddings/oleObject670.bin"/><Relationship Id="rId1491" Type="http://schemas.openxmlformats.org/officeDocument/2006/relationships/image" Target="media/image769.emf"/><Relationship Id="rId1505" Type="http://schemas.openxmlformats.org/officeDocument/2006/relationships/image" Target="media/image783.emf"/><Relationship Id="rId293" Type="http://schemas.openxmlformats.org/officeDocument/2006/relationships/oleObject" Target="embeddings/oleObject149.bin"/><Relationship Id="rId307" Type="http://schemas.openxmlformats.org/officeDocument/2006/relationships/image" Target="media/image144.wmf"/><Relationship Id="rId514" Type="http://schemas.openxmlformats.org/officeDocument/2006/relationships/oleObject" Target="embeddings/oleObject267.bin"/><Relationship Id="rId721" Type="http://schemas.openxmlformats.org/officeDocument/2006/relationships/oleObject" Target="embeddings/oleObject373.bin"/><Relationship Id="rId1144" Type="http://schemas.openxmlformats.org/officeDocument/2006/relationships/image" Target="media/image547.wmf"/><Relationship Id="rId1351" Type="http://schemas.openxmlformats.org/officeDocument/2006/relationships/oleObject" Target="embeddings/oleObject704.bin"/><Relationship Id="rId1449" Type="http://schemas.openxmlformats.org/officeDocument/2006/relationships/image" Target="media/image727.png"/><Relationship Id="rId88" Type="http://schemas.openxmlformats.org/officeDocument/2006/relationships/oleObject" Target="embeddings/oleObject41.bin"/><Relationship Id="rId153" Type="http://schemas.openxmlformats.org/officeDocument/2006/relationships/oleObject" Target="embeddings/oleObject74.bin"/><Relationship Id="rId360" Type="http://schemas.openxmlformats.org/officeDocument/2006/relationships/oleObject" Target="embeddings/oleObject186.bin"/><Relationship Id="rId598" Type="http://schemas.openxmlformats.org/officeDocument/2006/relationships/oleObject" Target="embeddings/oleObject310.bin"/><Relationship Id="rId819" Type="http://schemas.openxmlformats.org/officeDocument/2006/relationships/oleObject" Target="embeddings/oleObject422.bin"/><Relationship Id="rId1004" Type="http://schemas.openxmlformats.org/officeDocument/2006/relationships/image" Target="media/image479.wmf"/><Relationship Id="rId1211" Type="http://schemas.openxmlformats.org/officeDocument/2006/relationships/image" Target="media/image572.wmf"/><Relationship Id="rId220" Type="http://schemas.openxmlformats.org/officeDocument/2006/relationships/image" Target="media/image101.wmf"/><Relationship Id="rId458" Type="http://schemas.openxmlformats.org/officeDocument/2006/relationships/image" Target="media/image214.wmf"/><Relationship Id="rId665" Type="http://schemas.openxmlformats.org/officeDocument/2006/relationships/image" Target="media/image314.wmf"/><Relationship Id="rId872" Type="http://schemas.openxmlformats.org/officeDocument/2006/relationships/image" Target="media/image417.wmf"/><Relationship Id="rId1088" Type="http://schemas.openxmlformats.org/officeDocument/2006/relationships/oleObject" Target="embeddings/oleObject562.bin"/><Relationship Id="rId1295" Type="http://schemas.openxmlformats.org/officeDocument/2006/relationships/oleObject" Target="embeddings/oleObject676.bin"/><Relationship Id="rId1309" Type="http://schemas.openxmlformats.org/officeDocument/2006/relationships/oleObject" Target="embeddings/oleObject683.bin"/><Relationship Id="rId1516" Type="http://schemas.openxmlformats.org/officeDocument/2006/relationships/oleObject" Target="embeddings/oleObject714.bin"/><Relationship Id="rId15" Type="http://schemas.openxmlformats.org/officeDocument/2006/relationships/oleObject" Target="embeddings/oleObject4.bin"/><Relationship Id="rId318" Type="http://schemas.openxmlformats.org/officeDocument/2006/relationships/oleObject" Target="embeddings/oleObject162.bin"/><Relationship Id="rId525" Type="http://schemas.openxmlformats.org/officeDocument/2006/relationships/image" Target="media/image246.wmf"/><Relationship Id="rId732" Type="http://schemas.openxmlformats.org/officeDocument/2006/relationships/image" Target="media/image347.wmf"/><Relationship Id="rId1155" Type="http://schemas.openxmlformats.org/officeDocument/2006/relationships/oleObject" Target="embeddings/oleObject597.bin"/><Relationship Id="rId1362" Type="http://schemas.openxmlformats.org/officeDocument/2006/relationships/image" Target="media/image646.wmf"/><Relationship Id="rId99" Type="http://schemas.openxmlformats.org/officeDocument/2006/relationships/image" Target="media/image46.wmf"/><Relationship Id="rId164" Type="http://schemas.openxmlformats.org/officeDocument/2006/relationships/image" Target="media/image77.wmf"/><Relationship Id="rId371" Type="http://schemas.openxmlformats.org/officeDocument/2006/relationships/oleObject" Target="embeddings/oleObject193.bin"/><Relationship Id="rId1015" Type="http://schemas.openxmlformats.org/officeDocument/2006/relationships/oleObject" Target="embeddings/oleObject524.bin"/><Relationship Id="rId1222" Type="http://schemas.openxmlformats.org/officeDocument/2006/relationships/oleObject" Target="embeddings/oleObject638.bin"/><Relationship Id="rId469" Type="http://schemas.openxmlformats.org/officeDocument/2006/relationships/oleObject" Target="embeddings/oleObject243.bin"/><Relationship Id="rId676" Type="http://schemas.openxmlformats.org/officeDocument/2006/relationships/oleObject" Target="embeddings/oleObject350.bin"/><Relationship Id="rId883" Type="http://schemas.openxmlformats.org/officeDocument/2006/relationships/oleObject" Target="embeddings/oleObject454.bin"/><Relationship Id="rId1099" Type="http://schemas.openxmlformats.org/officeDocument/2006/relationships/image" Target="media/image525.wmf"/><Relationship Id="rId26" Type="http://schemas.openxmlformats.org/officeDocument/2006/relationships/oleObject" Target="embeddings/oleObject10.bin"/><Relationship Id="rId231" Type="http://schemas.openxmlformats.org/officeDocument/2006/relationships/oleObject" Target="embeddings/oleObject118.bin"/><Relationship Id="rId329" Type="http://schemas.openxmlformats.org/officeDocument/2006/relationships/oleObject" Target="embeddings/oleObject168.bin"/><Relationship Id="rId536" Type="http://schemas.openxmlformats.org/officeDocument/2006/relationships/oleObject" Target="embeddings/oleObject278.bin"/><Relationship Id="rId1166" Type="http://schemas.openxmlformats.org/officeDocument/2006/relationships/image" Target="media/image554.wmf"/><Relationship Id="rId1373" Type="http://schemas.openxmlformats.org/officeDocument/2006/relationships/image" Target="media/image653.png"/><Relationship Id="rId175" Type="http://schemas.openxmlformats.org/officeDocument/2006/relationships/oleObject" Target="embeddings/oleObject87.bin"/><Relationship Id="rId743" Type="http://schemas.openxmlformats.org/officeDocument/2006/relationships/oleObject" Target="embeddings/oleObject384.bin"/><Relationship Id="rId950" Type="http://schemas.openxmlformats.org/officeDocument/2006/relationships/image" Target="media/image453.wmf"/><Relationship Id="rId1026" Type="http://schemas.openxmlformats.org/officeDocument/2006/relationships/oleObject" Target="embeddings/oleObject530.bin"/><Relationship Id="rId382" Type="http://schemas.openxmlformats.org/officeDocument/2006/relationships/image" Target="media/image177.wmf"/><Relationship Id="rId603" Type="http://schemas.openxmlformats.org/officeDocument/2006/relationships/image" Target="media/image284.wmf"/><Relationship Id="rId687" Type="http://schemas.openxmlformats.org/officeDocument/2006/relationships/image" Target="media/image325.wmf"/><Relationship Id="rId810" Type="http://schemas.openxmlformats.org/officeDocument/2006/relationships/image" Target="media/image386.wmf"/><Relationship Id="rId908" Type="http://schemas.openxmlformats.org/officeDocument/2006/relationships/oleObject" Target="embeddings/oleObject467.bin"/><Relationship Id="rId1233" Type="http://schemas.openxmlformats.org/officeDocument/2006/relationships/image" Target="media/image583.wmf"/><Relationship Id="rId1440" Type="http://schemas.openxmlformats.org/officeDocument/2006/relationships/image" Target="media/image718.png"/><Relationship Id="rId242" Type="http://schemas.openxmlformats.org/officeDocument/2006/relationships/image" Target="media/image112.wmf"/><Relationship Id="rId894" Type="http://schemas.openxmlformats.org/officeDocument/2006/relationships/oleObject" Target="embeddings/oleObject460.bin"/><Relationship Id="rId1177" Type="http://schemas.openxmlformats.org/officeDocument/2006/relationships/oleObject" Target="embeddings/oleObject613.bin"/><Relationship Id="rId1300" Type="http://schemas.openxmlformats.org/officeDocument/2006/relationships/image" Target="media/image615.wmf"/><Relationship Id="rId37" Type="http://schemas.openxmlformats.org/officeDocument/2006/relationships/image" Target="media/image15.wmf"/><Relationship Id="rId102" Type="http://schemas.openxmlformats.org/officeDocument/2006/relationships/oleObject" Target="embeddings/oleObject48.bin"/><Relationship Id="rId547" Type="http://schemas.openxmlformats.org/officeDocument/2006/relationships/oleObject" Target="embeddings/oleObject284.bin"/><Relationship Id="rId754" Type="http://schemas.openxmlformats.org/officeDocument/2006/relationships/image" Target="media/image358.wmf"/><Relationship Id="rId961" Type="http://schemas.openxmlformats.org/officeDocument/2006/relationships/oleObject" Target="embeddings/oleObject496.bin"/><Relationship Id="rId1384" Type="http://schemas.openxmlformats.org/officeDocument/2006/relationships/image" Target="media/image663.png"/><Relationship Id="rId90" Type="http://schemas.openxmlformats.org/officeDocument/2006/relationships/oleObject" Target="embeddings/oleObject42.bin"/><Relationship Id="rId186" Type="http://schemas.openxmlformats.org/officeDocument/2006/relationships/image" Target="media/image86.wmf"/><Relationship Id="rId393" Type="http://schemas.openxmlformats.org/officeDocument/2006/relationships/oleObject" Target="embeddings/oleObject204.bin"/><Relationship Id="rId407" Type="http://schemas.openxmlformats.org/officeDocument/2006/relationships/oleObject" Target="embeddings/oleObject211.bin"/><Relationship Id="rId614" Type="http://schemas.openxmlformats.org/officeDocument/2006/relationships/image" Target="media/image289.wmf"/><Relationship Id="rId821" Type="http://schemas.openxmlformats.org/officeDocument/2006/relationships/oleObject" Target="embeddings/oleObject423.bin"/><Relationship Id="rId1037" Type="http://schemas.openxmlformats.org/officeDocument/2006/relationships/image" Target="media/image495.wmf"/><Relationship Id="rId1244" Type="http://schemas.openxmlformats.org/officeDocument/2006/relationships/oleObject" Target="embeddings/oleObject649.bin"/><Relationship Id="rId1451" Type="http://schemas.openxmlformats.org/officeDocument/2006/relationships/image" Target="media/image729.png"/><Relationship Id="rId253" Type="http://schemas.openxmlformats.org/officeDocument/2006/relationships/oleObject" Target="embeddings/oleObject129.bin"/><Relationship Id="rId460" Type="http://schemas.openxmlformats.org/officeDocument/2006/relationships/image" Target="media/image215.wmf"/><Relationship Id="rId698" Type="http://schemas.openxmlformats.org/officeDocument/2006/relationships/oleObject" Target="embeddings/oleObject361.bin"/><Relationship Id="rId919" Type="http://schemas.openxmlformats.org/officeDocument/2006/relationships/image" Target="media/image438.wmf"/><Relationship Id="rId1090" Type="http://schemas.openxmlformats.org/officeDocument/2006/relationships/oleObject" Target="embeddings/oleObject563.bin"/><Relationship Id="rId1104" Type="http://schemas.openxmlformats.org/officeDocument/2006/relationships/oleObject" Target="embeddings/oleObject570.bin"/><Relationship Id="rId1311" Type="http://schemas.openxmlformats.org/officeDocument/2006/relationships/oleObject" Target="embeddings/oleObject684.bin"/><Relationship Id="rId48" Type="http://schemas.openxmlformats.org/officeDocument/2006/relationships/oleObject" Target="embeddings/oleObject21.bin"/><Relationship Id="rId113" Type="http://schemas.openxmlformats.org/officeDocument/2006/relationships/oleObject" Target="embeddings/oleObject54.bin"/><Relationship Id="rId320" Type="http://schemas.openxmlformats.org/officeDocument/2006/relationships/image" Target="media/image150.wmf"/><Relationship Id="rId558" Type="http://schemas.openxmlformats.org/officeDocument/2006/relationships/image" Target="media/image262.wmf"/><Relationship Id="rId765" Type="http://schemas.openxmlformats.org/officeDocument/2006/relationships/oleObject" Target="embeddings/oleObject395.bin"/><Relationship Id="rId972" Type="http://schemas.openxmlformats.org/officeDocument/2006/relationships/image" Target="media/image463.wmf"/><Relationship Id="rId1188" Type="http://schemas.openxmlformats.org/officeDocument/2006/relationships/image" Target="media/image561.wmf"/><Relationship Id="rId1395" Type="http://schemas.openxmlformats.org/officeDocument/2006/relationships/image" Target="media/image674.png"/><Relationship Id="rId1409" Type="http://schemas.openxmlformats.org/officeDocument/2006/relationships/image" Target="media/image688.png"/><Relationship Id="rId197" Type="http://schemas.openxmlformats.org/officeDocument/2006/relationships/image" Target="media/image90.wmf"/><Relationship Id="rId418" Type="http://schemas.openxmlformats.org/officeDocument/2006/relationships/image" Target="media/image195.wmf"/><Relationship Id="rId625" Type="http://schemas.openxmlformats.org/officeDocument/2006/relationships/oleObject" Target="embeddings/oleObject324.bin"/><Relationship Id="rId832" Type="http://schemas.openxmlformats.org/officeDocument/2006/relationships/image" Target="media/image397.wmf"/><Relationship Id="rId1048" Type="http://schemas.openxmlformats.org/officeDocument/2006/relationships/oleObject" Target="embeddings/oleObject542.bin"/><Relationship Id="rId1255" Type="http://schemas.openxmlformats.org/officeDocument/2006/relationships/image" Target="media/image594.wmf"/><Relationship Id="rId1462" Type="http://schemas.openxmlformats.org/officeDocument/2006/relationships/image" Target="media/image740.jpeg"/><Relationship Id="rId264" Type="http://schemas.openxmlformats.org/officeDocument/2006/relationships/image" Target="media/image123.wmf"/><Relationship Id="rId471" Type="http://schemas.openxmlformats.org/officeDocument/2006/relationships/oleObject" Target="embeddings/oleObject244.bin"/><Relationship Id="rId1115" Type="http://schemas.openxmlformats.org/officeDocument/2006/relationships/image" Target="media/image533.wmf"/><Relationship Id="rId1322" Type="http://schemas.openxmlformats.org/officeDocument/2006/relationships/image" Target="media/image626.wmf"/><Relationship Id="rId59" Type="http://schemas.openxmlformats.org/officeDocument/2006/relationships/image" Target="media/image26.wmf"/><Relationship Id="rId124" Type="http://schemas.openxmlformats.org/officeDocument/2006/relationships/image" Target="media/image58.wmf"/><Relationship Id="rId569" Type="http://schemas.openxmlformats.org/officeDocument/2006/relationships/oleObject" Target="embeddings/oleObject295.bin"/><Relationship Id="rId776" Type="http://schemas.openxmlformats.org/officeDocument/2006/relationships/image" Target="media/image369.wmf"/><Relationship Id="rId983" Type="http://schemas.openxmlformats.org/officeDocument/2006/relationships/oleObject" Target="embeddings/oleObject508.bin"/><Relationship Id="rId1199" Type="http://schemas.openxmlformats.org/officeDocument/2006/relationships/image" Target="media/image566.wmf"/><Relationship Id="rId331" Type="http://schemas.openxmlformats.org/officeDocument/2006/relationships/oleObject" Target="embeddings/oleObject169.bin"/><Relationship Id="rId429" Type="http://schemas.openxmlformats.org/officeDocument/2006/relationships/oleObject" Target="embeddings/oleObject222.bin"/><Relationship Id="rId636" Type="http://schemas.openxmlformats.org/officeDocument/2006/relationships/image" Target="media/image300.wmf"/><Relationship Id="rId1059" Type="http://schemas.openxmlformats.org/officeDocument/2006/relationships/image" Target="media/image505.wmf"/><Relationship Id="rId1266" Type="http://schemas.openxmlformats.org/officeDocument/2006/relationships/oleObject" Target="embeddings/oleObject661.bin"/><Relationship Id="rId1473" Type="http://schemas.openxmlformats.org/officeDocument/2006/relationships/image" Target="media/image751.png"/><Relationship Id="rId843" Type="http://schemas.openxmlformats.org/officeDocument/2006/relationships/oleObject" Target="embeddings/oleObject434.bin"/><Relationship Id="rId1126" Type="http://schemas.openxmlformats.org/officeDocument/2006/relationships/oleObject" Target="embeddings/oleObject581.bin"/><Relationship Id="rId275" Type="http://schemas.openxmlformats.org/officeDocument/2006/relationships/oleObject" Target="embeddings/oleObject140.bin"/><Relationship Id="rId482" Type="http://schemas.openxmlformats.org/officeDocument/2006/relationships/image" Target="media/image226.wmf"/><Relationship Id="rId703" Type="http://schemas.openxmlformats.org/officeDocument/2006/relationships/image" Target="media/image333.wmf"/><Relationship Id="rId910" Type="http://schemas.openxmlformats.org/officeDocument/2006/relationships/image" Target="media/image435.wmf"/><Relationship Id="rId1333" Type="http://schemas.openxmlformats.org/officeDocument/2006/relationships/oleObject" Target="embeddings/oleObject695.bin"/><Relationship Id="rId135" Type="http://schemas.openxmlformats.org/officeDocument/2006/relationships/oleObject" Target="embeddings/oleObject65.bin"/><Relationship Id="rId342" Type="http://schemas.openxmlformats.org/officeDocument/2006/relationships/oleObject" Target="embeddings/oleObject175.bin"/><Relationship Id="rId787" Type="http://schemas.openxmlformats.org/officeDocument/2006/relationships/oleObject" Target="embeddings/oleObject406.bin"/><Relationship Id="rId994" Type="http://schemas.openxmlformats.org/officeDocument/2006/relationships/image" Target="media/image474.wmf"/><Relationship Id="rId1400" Type="http://schemas.openxmlformats.org/officeDocument/2006/relationships/image" Target="media/image679.png"/><Relationship Id="rId202" Type="http://schemas.openxmlformats.org/officeDocument/2006/relationships/oleObject" Target="embeddings/oleObject103.bin"/><Relationship Id="rId647" Type="http://schemas.openxmlformats.org/officeDocument/2006/relationships/image" Target="media/image305.wmf"/><Relationship Id="rId854" Type="http://schemas.openxmlformats.org/officeDocument/2006/relationships/image" Target="media/image408.wmf"/><Relationship Id="rId1277" Type="http://schemas.openxmlformats.org/officeDocument/2006/relationships/image" Target="media/image604.wmf"/><Relationship Id="rId1484" Type="http://schemas.openxmlformats.org/officeDocument/2006/relationships/image" Target="media/image762.emf"/><Relationship Id="rId286" Type="http://schemas.openxmlformats.org/officeDocument/2006/relationships/image" Target="media/image134.wmf"/><Relationship Id="rId493" Type="http://schemas.openxmlformats.org/officeDocument/2006/relationships/oleObject" Target="embeddings/oleObject256.bin"/><Relationship Id="rId507" Type="http://schemas.openxmlformats.org/officeDocument/2006/relationships/image" Target="media/image237.wmf"/><Relationship Id="rId714" Type="http://schemas.openxmlformats.org/officeDocument/2006/relationships/image" Target="media/image338.wmf"/><Relationship Id="rId921" Type="http://schemas.openxmlformats.org/officeDocument/2006/relationships/image" Target="media/image439.wmf"/><Relationship Id="rId1137" Type="http://schemas.openxmlformats.org/officeDocument/2006/relationships/image" Target="media/image544.wmf"/><Relationship Id="rId1344" Type="http://schemas.openxmlformats.org/officeDocument/2006/relationships/image" Target="media/image637.wmf"/><Relationship Id="rId50" Type="http://schemas.openxmlformats.org/officeDocument/2006/relationships/oleObject" Target="embeddings/oleObject22.bin"/><Relationship Id="rId146" Type="http://schemas.openxmlformats.org/officeDocument/2006/relationships/image" Target="media/image69.wmf"/><Relationship Id="rId353" Type="http://schemas.openxmlformats.org/officeDocument/2006/relationships/oleObject" Target="embeddings/oleObject181.bin"/><Relationship Id="rId560" Type="http://schemas.openxmlformats.org/officeDocument/2006/relationships/image" Target="media/image263.wmf"/><Relationship Id="rId798" Type="http://schemas.openxmlformats.org/officeDocument/2006/relationships/image" Target="media/image380.wmf"/><Relationship Id="rId1190" Type="http://schemas.openxmlformats.org/officeDocument/2006/relationships/image" Target="media/image562.wmf"/><Relationship Id="rId1204" Type="http://schemas.openxmlformats.org/officeDocument/2006/relationships/oleObject" Target="embeddings/oleObject629.bin"/><Relationship Id="rId1411" Type="http://schemas.openxmlformats.org/officeDocument/2006/relationships/image" Target="media/image690.png"/><Relationship Id="rId213" Type="http://schemas.openxmlformats.org/officeDocument/2006/relationships/oleObject" Target="embeddings/oleObject109.bin"/><Relationship Id="rId420" Type="http://schemas.openxmlformats.org/officeDocument/2006/relationships/image" Target="media/image196.wmf"/><Relationship Id="rId658" Type="http://schemas.openxmlformats.org/officeDocument/2006/relationships/oleObject" Target="embeddings/oleObject341.bin"/><Relationship Id="rId865" Type="http://schemas.openxmlformats.org/officeDocument/2006/relationships/oleObject" Target="embeddings/oleObject445.bin"/><Relationship Id="rId1050" Type="http://schemas.openxmlformats.org/officeDocument/2006/relationships/oleObject" Target="embeddings/oleObject543.bin"/><Relationship Id="rId1288" Type="http://schemas.openxmlformats.org/officeDocument/2006/relationships/image" Target="media/image609.wmf"/><Relationship Id="rId1495" Type="http://schemas.openxmlformats.org/officeDocument/2006/relationships/image" Target="media/image773.png"/><Relationship Id="rId1509" Type="http://schemas.openxmlformats.org/officeDocument/2006/relationships/image" Target="media/image787.emf"/><Relationship Id="rId297" Type="http://schemas.openxmlformats.org/officeDocument/2006/relationships/image" Target="media/image139.wmf"/><Relationship Id="rId518" Type="http://schemas.openxmlformats.org/officeDocument/2006/relationships/oleObject" Target="embeddings/oleObject269.bin"/><Relationship Id="rId725" Type="http://schemas.openxmlformats.org/officeDocument/2006/relationships/oleObject" Target="embeddings/oleObject375.bin"/><Relationship Id="rId932" Type="http://schemas.openxmlformats.org/officeDocument/2006/relationships/oleObject" Target="embeddings/oleObject481.bin"/><Relationship Id="rId1148" Type="http://schemas.openxmlformats.org/officeDocument/2006/relationships/oleObject" Target="embeddings/oleObject593.bin"/><Relationship Id="rId1355" Type="http://schemas.openxmlformats.org/officeDocument/2006/relationships/oleObject" Target="embeddings/oleObject706.bin"/><Relationship Id="rId157" Type="http://schemas.openxmlformats.org/officeDocument/2006/relationships/oleObject" Target="embeddings/oleObject76.bin"/><Relationship Id="rId364" Type="http://schemas.openxmlformats.org/officeDocument/2006/relationships/image" Target="media/image168.wmf"/><Relationship Id="rId1008" Type="http://schemas.openxmlformats.org/officeDocument/2006/relationships/image" Target="media/image481.wmf"/><Relationship Id="rId1215" Type="http://schemas.openxmlformats.org/officeDocument/2006/relationships/image" Target="media/image574.wmf"/><Relationship Id="rId1422" Type="http://schemas.openxmlformats.org/officeDocument/2006/relationships/image" Target="media/image700.png"/><Relationship Id="rId61" Type="http://schemas.openxmlformats.org/officeDocument/2006/relationships/image" Target="media/image27.wmf"/><Relationship Id="rId571" Type="http://schemas.openxmlformats.org/officeDocument/2006/relationships/oleObject" Target="embeddings/oleObject296.bin"/><Relationship Id="rId669" Type="http://schemas.openxmlformats.org/officeDocument/2006/relationships/image" Target="media/image316.wmf"/><Relationship Id="rId876" Type="http://schemas.openxmlformats.org/officeDocument/2006/relationships/image" Target="media/image419.wmf"/><Relationship Id="rId1299" Type="http://schemas.openxmlformats.org/officeDocument/2006/relationships/oleObject" Target="embeddings/oleObject678.bin"/><Relationship Id="rId19" Type="http://schemas.openxmlformats.org/officeDocument/2006/relationships/oleObject" Target="embeddings/oleObject6.bin"/><Relationship Id="rId224" Type="http://schemas.openxmlformats.org/officeDocument/2006/relationships/image" Target="media/image103.wmf"/><Relationship Id="rId431" Type="http://schemas.openxmlformats.org/officeDocument/2006/relationships/oleObject" Target="embeddings/oleObject223.bin"/><Relationship Id="rId529" Type="http://schemas.openxmlformats.org/officeDocument/2006/relationships/image" Target="media/image248.wmf"/><Relationship Id="rId736" Type="http://schemas.openxmlformats.org/officeDocument/2006/relationships/image" Target="media/image349.wmf"/><Relationship Id="rId1061" Type="http://schemas.openxmlformats.org/officeDocument/2006/relationships/image" Target="media/image506.wmf"/><Relationship Id="rId1159" Type="http://schemas.openxmlformats.org/officeDocument/2006/relationships/oleObject" Target="embeddings/oleObject599.bin"/><Relationship Id="rId1366" Type="http://schemas.openxmlformats.org/officeDocument/2006/relationships/image" Target="media/image649.png"/><Relationship Id="rId168" Type="http://schemas.openxmlformats.org/officeDocument/2006/relationships/image" Target="media/image79.wmf"/><Relationship Id="rId943" Type="http://schemas.openxmlformats.org/officeDocument/2006/relationships/oleObject" Target="embeddings/oleObject487.bin"/><Relationship Id="rId1019" Type="http://schemas.openxmlformats.org/officeDocument/2006/relationships/oleObject" Target="embeddings/oleObject526.bin"/><Relationship Id="rId72" Type="http://schemas.openxmlformats.org/officeDocument/2006/relationships/oleObject" Target="embeddings/oleObject33.bin"/><Relationship Id="rId375" Type="http://schemas.openxmlformats.org/officeDocument/2006/relationships/oleObject" Target="embeddings/oleObject195.bin"/><Relationship Id="rId582" Type="http://schemas.openxmlformats.org/officeDocument/2006/relationships/image" Target="media/image274.wmf"/><Relationship Id="rId803" Type="http://schemas.openxmlformats.org/officeDocument/2006/relationships/oleObject" Target="embeddings/oleObject414.bin"/><Relationship Id="rId1226" Type="http://schemas.openxmlformats.org/officeDocument/2006/relationships/oleObject" Target="embeddings/oleObject640.bin"/><Relationship Id="rId1433" Type="http://schemas.openxmlformats.org/officeDocument/2006/relationships/image" Target="media/image711.png"/><Relationship Id="rId3" Type="http://schemas.openxmlformats.org/officeDocument/2006/relationships/styles" Target="styles.xml"/><Relationship Id="rId235" Type="http://schemas.openxmlformats.org/officeDocument/2006/relationships/oleObject" Target="embeddings/oleObject120.bin"/><Relationship Id="rId442" Type="http://schemas.openxmlformats.org/officeDocument/2006/relationships/oleObject" Target="embeddings/oleObject229.bin"/><Relationship Id="rId887" Type="http://schemas.openxmlformats.org/officeDocument/2006/relationships/oleObject" Target="embeddings/oleObject456.bin"/><Relationship Id="rId1072" Type="http://schemas.openxmlformats.org/officeDocument/2006/relationships/oleObject" Target="embeddings/oleObject554.bin"/><Relationship Id="rId1500" Type="http://schemas.openxmlformats.org/officeDocument/2006/relationships/image" Target="media/image778.png"/><Relationship Id="rId302" Type="http://schemas.openxmlformats.org/officeDocument/2006/relationships/oleObject" Target="embeddings/oleObject154.bin"/><Relationship Id="rId747" Type="http://schemas.openxmlformats.org/officeDocument/2006/relationships/oleObject" Target="embeddings/oleObject386.bin"/><Relationship Id="rId954" Type="http://schemas.openxmlformats.org/officeDocument/2006/relationships/image" Target="media/image455.wmf"/><Relationship Id="rId1377" Type="http://schemas.openxmlformats.org/officeDocument/2006/relationships/image" Target="media/image656.png"/><Relationship Id="rId83" Type="http://schemas.openxmlformats.org/officeDocument/2006/relationships/image" Target="media/image38.wmf"/><Relationship Id="rId179" Type="http://schemas.openxmlformats.org/officeDocument/2006/relationships/oleObject" Target="embeddings/oleObject89.bin"/><Relationship Id="rId386" Type="http://schemas.openxmlformats.org/officeDocument/2006/relationships/image" Target="media/image179.wmf"/><Relationship Id="rId593" Type="http://schemas.openxmlformats.org/officeDocument/2006/relationships/image" Target="media/image279.wmf"/><Relationship Id="rId607" Type="http://schemas.openxmlformats.org/officeDocument/2006/relationships/oleObject" Target="embeddings/oleObject315.bin"/><Relationship Id="rId814" Type="http://schemas.openxmlformats.org/officeDocument/2006/relationships/image" Target="media/image388.wmf"/><Relationship Id="rId1237" Type="http://schemas.openxmlformats.org/officeDocument/2006/relationships/image" Target="media/image585.wmf"/><Relationship Id="rId1444" Type="http://schemas.openxmlformats.org/officeDocument/2006/relationships/image" Target="media/image722.png"/><Relationship Id="rId246" Type="http://schemas.openxmlformats.org/officeDocument/2006/relationships/image" Target="media/image114.wmf"/><Relationship Id="rId453" Type="http://schemas.openxmlformats.org/officeDocument/2006/relationships/oleObject" Target="embeddings/oleObject235.bin"/><Relationship Id="rId660" Type="http://schemas.openxmlformats.org/officeDocument/2006/relationships/oleObject" Target="embeddings/oleObject342.bin"/><Relationship Id="rId898" Type="http://schemas.openxmlformats.org/officeDocument/2006/relationships/oleObject" Target="embeddings/oleObject462.bin"/><Relationship Id="rId1083" Type="http://schemas.openxmlformats.org/officeDocument/2006/relationships/image" Target="media/image517.wmf"/><Relationship Id="rId1290" Type="http://schemas.openxmlformats.org/officeDocument/2006/relationships/image" Target="media/image610.wmf"/><Relationship Id="rId1304" Type="http://schemas.openxmlformats.org/officeDocument/2006/relationships/image" Target="media/image617.wmf"/><Relationship Id="rId1511" Type="http://schemas.openxmlformats.org/officeDocument/2006/relationships/image" Target="media/image789.emf"/><Relationship Id="rId106" Type="http://schemas.openxmlformats.org/officeDocument/2006/relationships/image" Target="media/image49.wmf"/><Relationship Id="rId313" Type="http://schemas.openxmlformats.org/officeDocument/2006/relationships/image" Target="media/image147.wmf"/><Relationship Id="rId758" Type="http://schemas.openxmlformats.org/officeDocument/2006/relationships/image" Target="media/image360.wmf"/><Relationship Id="rId965" Type="http://schemas.openxmlformats.org/officeDocument/2006/relationships/oleObject" Target="embeddings/oleObject498.bin"/><Relationship Id="rId1150" Type="http://schemas.openxmlformats.org/officeDocument/2006/relationships/image" Target="media/image549.wmf"/><Relationship Id="rId1388" Type="http://schemas.openxmlformats.org/officeDocument/2006/relationships/image" Target="media/image66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10DCC5-5534-4E63-ACF6-E8620E02C7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395</Pages>
  <Words>128259</Words>
  <Characters>731077</Characters>
  <Application>Microsoft Office Word</Application>
  <DocSecurity>0</DocSecurity>
  <Lines>6092</Lines>
  <Paragraphs>1715</Paragraphs>
  <ScaleCrop>false</ScaleCrop>
  <HeadingPairs>
    <vt:vector size="2" baseType="variant">
      <vt:variant>
        <vt:lpstr>Title</vt:lpstr>
      </vt:variant>
      <vt:variant>
        <vt:i4>1</vt:i4>
      </vt:variant>
    </vt:vector>
  </HeadingPairs>
  <TitlesOfParts>
    <vt:vector size="1" baseType="lpstr">
      <vt:lpstr>SOLIDIFICATION</vt:lpstr>
    </vt:vector>
  </TitlesOfParts>
  <Company>NIST</Company>
  <LinksUpToDate>false</LinksUpToDate>
  <CharactersWithSpaces>857621</CharactersWithSpaces>
  <SharedDoc>false</SharedDoc>
  <HLinks>
    <vt:vector size="24" baseType="variant">
      <vt:variant>
        <vt:i4>2031682</vt:i4>
      </vt:variant>
      <vt:variant>
        <vt:i4>2411</vt:i4>
      </vt:variant>
      <vt:variant>
        <vt:i4>0</vt:i4>
      </vt:variant>
      <vt:variant>
        <vt:i4>5</vt:i4>
      </vt:variant>
      <vt:variant>
        <vt:lpwstr>http://www.optomec.com)/</vt:lpwstr>
      </vt:variant>
      <vt:variant>
        <vt:lpwstr/>
      </vt:variant>
      <vt:variant>
        <vt:i4>6684793</vt:i4>
      </vt:variant>
      <vt:variant>
        <vt:i4>2398</vt:i4>
      </vt:variant>
      <vt:variant>
        <vt:i4>0</vt:i4>
      </vt:variant>
      <vt:variant>
        <vt:i4>5</vt:i4>
      </vt:variant>
      <vt:variant>
        <vt:lpwstr>http://www.alantum.com/en/gastreatment.html</vt:lpwstr>
      </vt:variant>
      <vt:variant>
        <vt:lpwstr/>
      </vt:variant>
      <vt:variant>
        <vt:i4>2949247</vt:i4>
      </vt:variant>
      <vt:variant>
        <vt:i4>2395</vt:i4>
      </vt:variant>
      <vt:variant>
        <vt:i4>0</vt:i4>
      </vt:variant>
      <vt:variant>
        <vt:i4>5</vt:i4>
      </vt:variant>
      <vt:variant>
        <vt:lpwstr>http://vcc-sae.org/abstracts/1703-development-metal-foam-based-aftertreatment-diesel-passenger-car</vt:lpwstr>
      </vt:variant>
      <vt:variant>
        <vt:lpwstr/>
      </vt:variant>
      <vt:variant>
        <vt:i4>1114122</vt:i4>
      </vt:variant>
      <vt:variant>
        <vt:i4>2392</vt:i4>
      </vt:variant>
      <vt:variant>
        <vt:i4>0</vt:i4>
      </vt:variant>
      <vt:variant>
        <vt:i4>5</vt:i4>
      </vt:variant>
      <vt:variant>
        <vt:lpwstr>http://apps.webofknowledge.com/full_record.do?product=WOS&amp;search_mode=GeneralSearch&amp;qid=1&amp;SID=1CCGEnEdOLcfjPciCj2&amp;page=1&amp;doc=1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SOLIDIFICATION</dc:title>
  <dc:subject/>
  <dc:creator>William J. Boettinger</dc:creator>
  <cp:keywords/>
  <cp:lastModifiedBy>Banerjee, Dilip K. (Fed)</cp:lastModifiedBy>
  <cp:revision>3</cp:revision>
  <cp:lastPrinted>2011-11-10T15:40:00Z</cp:lastPrinted>
  <dcterms:created xsi:type="dcterms:W3CDTF">2026-05-18T19:46:00Z</dcterms:created>
  <dcterms:modified xsi:type="dcterms:W3CDTF">2026-05-18T19:47:00Z</dcterms:modified>
</cp:coreProperties>
</file>