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15F4D3" w14:textId="12FE4A36" w:rsidR="00D87ECE" w:rsidRDefault="00692AD0" w:rsidP="00286BE9">
      <w:pPr>
        <w:pStyle w:val="BATitle"/>
        <w:spacing w:line="360" w:lineRule="auto"/>
      </w:pPr>
      <w:bookmarkStart w:id="0" w:name="_Hlk51170713"/>
      <w:bookmarkStart w:id="1" w:name="_Hlk519521294"/>
      <w:bookmarkStart w:id="2" w:name="_GoBack"/>
      <w:bookmarkEnd w:id="2"/>
      <w:r w:rsidRPr="00692AD0">
        <w:t>Compensation of Strong Water Absorption in Infrared Spectroscopy Reveals the Secondary Structure of Protein</w:t>
      </w:r>
      <w:r w:rsidR="00307C27">
        <w:t>s</w:t>
      </w:r>
      <w:r w:rsidRPr="00692AD0">
        <w:t xml:space="preserve"> in Dilute Solutions</w:t>
      </w:r>
      <w:bookmarkEnd w:id="0"/>
    </w:p>
    <w:p w14:paraId="2AE2CE5D" w14:textId="77777777" w:rsidR="00101716" w:rsidRPr="00F62743" w:rsidRDefault="00101716" w:rsidP="00101716">
      <w:pPr>
        <w:pStyle w:val="BBAuthorName"/>
        <w:rPr>
          <w:rFonts w:ascii="Times New Roman" w:hAnsi="Times New Roman"/>
        </w:rPr>
      </w:pPr>
      <w:bookmarkStart w:id="3" w:name="_Hlk51170763"/>
      <w:bookmarkEnd w:id="1"/>
      <w:r w:rsidRPr="00F62743">
        <w:rPr>
          <w:rFonts w:ascii="Times New Roman" w:hAnsi="Times New Roman"/>
        </w:rPr>
        <w:t xml:space="preserve">Bonghwan Chon, Shuyu Xu, </w:t>
      </w:r>
      <w:r w:rsidR="00B317AC" w:rsidRPr="00F62743">
        <w:rPr>
          <w:rFonts w:ascii="Times New Roman" w:hAnsi="Times New Roman"/>
        </w:rPr>
        <w:t xml:space="preserve">and </w:t>
      </w:r>
      <w:r w:rsidRPr="00F62743">
        <w:rPr>
          <w:rFonts w:ascii="Times New Roman" w:hAnsi="Times New Roman"/>
        </w:rPr>
        <w:t>Young Jong Lee</w:t>
      </w:r>
      <w:r w:rsidRPr="00F62743">
        <w:rPr>
          <w:rFonts w:ascii="Times New Roman" w:hAnsi="Times New Roman"/>
          <w:i w:val="0"/>
          <w:vertAlign w:val="superscript"/>
        </w:rPr>
        <w:t>*</w:t>
      </w:r>
      <w:bookmarkEnd w:id="3"/>
    </w:p>
    <w:p w14:paraId="456F1905" w14:textId="00D77FBA" w:rsidR="00930C9B" w:rsidRPr="00951B1A" w:rsidRDefault="00101716" w:rsidP="00951B1A">
      <w:pPr>
        <w:pStyle w:val="BCAuthorAddress"/>
        <w:rPr>
          <w:rFonts w:ascii="Times New Roman" w:hAnsi="Times New Roman"/>
        </w:rPr>
      </w:pPr>
      <w:bookmarkStart w:id="4" w:name="_Hlk51170778"/>
      <w:r w:rsidRPr="00F62743">
        <w:rPr>
          <w:rFonts w:ascii="Times New Roman" w:hAnsi="Times New Roman"/>
        </w:rPr>
        <w:t>Biosystems and Biomaterials Division, National Institute of Standards and Technology, Gaithersburg, MD 20899</w:t>
      </w:r>
      <w:r w:rsidR="00CF23CA" w:rsidRPr="00F62743">
        <w:rPr>
          <w:rFonts w:ascii="Times New Roman" w:hAnsi="Times New Roman"/>
        </w:rPr>
        <w:t>, USA</w:t>
      </w:r>
      <w:bookmarkEnd w:id="4"/>
    </w:p>
    <w:p w14:paraId="2C17B753" w14:textId="7A316F28" w:rsidR="00101716" w:rsidRPr="00F62743" w:rsidRDefault="00101716" w:rsidP="00BA559B">
      <w:pPr>
        <w:spacing w:after="0" w:line="480" w:lineRule="auto"/>
        <w:jc w:val="left"/>
        <w:rPr>
          <w:rFonts w:ascii="Times New Roman" w:hAnsi="Times New Roman"/>
          <w:b/>
          <w:bCs/>
        </w:rPr>
      </w:pPr>
      <w:r w:rsidRPr="00F62743">
        <w:rPr>
          <w:rFonts w:ascii="Times New Roman" w:hAnsi="Times New Roman"/>
          <w:b/>
          <w:bCs/>
        </w:rPr>
        <w:t xml:space="preserve">ABSTRACT </w:t>
      </w:r>
    </w:p>
    <w:p w14:paraId="24E0C811" w14:textId="6C634CF5" w:rsidR="00E1430B" w:rsidRDefault="004061A1" w:rsidP="00101716">
      <w:pPr>
        <w:pStyle w:val="TAMainText"/>
      </w:pPr>
      <w:bookmarkStart w:id="5" w:name="_Hlk51170960"/>
      <w:r>
        <w:t xml:space="preserve">Infrared (IR) absorption spectroscopy is a powerful tool that can </w:t>
      </w:r>
      <w:r w:rsidR="00A00F52">
        <w:t xml:space="preserve">quantify </w:t>
      </w:r>
      <w:r>
        <w:t xml:space="preserve">complex biomolecules and their structural conformations. </w:t>
      </w:r>
      <w:bookmarkStart w:id="6" w:name="_Hlk56440860"/>
      <w:r>
        <w:t xml:space="preserve">However, conventional approaches to </w:t>
      </w:r>
      <w:r w:rsidRPr="005D7AC7">
        <w:t xml:space="preserve">protein </w:t>
      </w:r>
      <w:r w:rsidR="00C27497" w:rsidRPr="005D7AC7">
        <w:t xml:space="preserve">analysis </w:t>
      </w:r>
      <w:r w:rsidRPr="005D7AC7">
        <w:t xml:space="preserve">in </w:t>
      </w:r>
      <w:r>
        <w:t xml:space="preserve">aqueous solutions have been significantly challenged </w:t>
      </w:r>
      <w:bookmarkEnd w:id="6"/>
      <w:r>
        <w:t xml:space="preserve">because the strong IR absorption of water overwhelms the limited dynamic range of the detection system and thus allows only a very </w:t>
      </w:r>
      <w:r w:rsidR="003672E0">
        <w:t xml:space="preserve">short </w:t>
      </w:r>
      <w:r>
        <w:t xml:space="preserve">path length and a limited concentration sensitivity. Here, we demonstrate </w:t>
      </w:r>
      <w:r w:rsidR="007975FC">
        <w:t>a</w:t>
      </w:r>
      <w:r w:rsidR="0040087C">
        <w:t>n adaptive</w:t>
      </w:r>
      <w:r w:rsidR="005278C3">
        <w:t xml:space="preserve"> </w:t>
      </w:r>
      <w:r w:rsidR="0070524B">
        <w:t>solvent</w:t>
      </w:r>
      <w:r w:rsidR="004A4460">
        <w:t xml:space="preserve"> </w:t>
      </w:r>
      <w:r w:rsidR="0070524B">
        <w:t xml:space="preserve">absorption compensation </w:t>
      </w:r>
      <w:r w:rsidR="007975FC">
        <w:t>(</w:t>
      </w:r>
      <w:r w:rsidR="0070524B">
        <w:t>S</w:t>
      </w:r>
      <w:r w:rsidR="009D25B1">
        <w:t>A</w:t>
      </w:r>
      <w:r w:rsidR="0070524B">
        <w:t>C</w:t>
      </w:r>
      <w:r w:rsidR="007975FC">
        <w:t xml:space="preserve">) </w:t>
      </w:r>
      <w:r w:rsidR="004B5809">
        <w:t xml:space="preserve">approach </w:t>
      </w:r>
      <w:r>
        <w:t xml:space="preserve">can improve </w:t>
      </w:r>
      <w:r w:rsidR="00C13019">
        <w:t xml:space="preserve">the </w:t>
      </w:r>
      <w:r w:rsidR="009D22A1">
        <w:t>concentration sensitivity</w:t>
      </w:r>
      <w:r w:rsidR="004F7DF5">
        <w:t xml:space="preserve"> </w:t>
      </w:r>
      <w:r w:rsidR="00C13019">
        <w:t xml:space="preserve">and </w:t>
      </w:r>
      <w:r w:rsidR="0093175F">
        <w:t xml:space="preserve">extend the available path length </w:t>
      </w:r>
      <w:r w:rsidR="0063293B">
        <w:t>by</w:t>
      </w:r>
      <w:r w:rsidR="00E30E90">
        <w:t xml:space="preserve"> </w:t>
      </w:r>
      <w:r w:rsidR="00A26FF7">
        <w:t>distinguish</w:t>
      </w:r>
      <w:r w:rsidR="00E30E90">
        <w:t>ing</w:t>
      </w:r>
      <w:r w:rsidR="00A26FF7">
        <w:t xml:space="preserve"> </w:t>
      </w:r>
      <w:r>
        <w:t>the analyte signal</w:t>
      </w:r>
      <w:r w:rsidR="00742E86">
        <w:t xml:space="preserve"> </w:t>
      </w:r>
      <w:r w:rsidR="00B750FA">
        <w:t xml:space="preserve">over </w:t>
      </w:r>
      <w:r>
        <w:t>the full dynamic range</w:t>
      </w:r>
      <w:r w:rsidR="00B5457A">
        <w:t xml:space="preserve"> at each wavelength</w:t>
      </w:r>
      <w:r>
        <w:t xml:space="preserve">. </w:t>
      </w:r>
      <w:r w:rsidR="0003603E">
        <w:t>A</w:t>
      </w:r>
      <w:r>
        <w:t xml:space="preserve">bsorption spectra </w:t>
      </w:r>
      <w:r w:rsidR="00E249C5">
        <w:t>without any post</w:t>
      </w:r>
      <w:r w:rsidR="00BD6779">
        <w:t>-</w:t>
      </w:r>
      <w:r w:rsidR="00E249C5">
        <w:t>processing</w:t>
      </w:r>
      <w:r w:rsidR="00375337">
        <w:t xml:space="preserve"> </w:t>
      </w:r>
      <w:r>
        <w:t>show good linearity from 100 mg/mL to 0.1 mg/mL</w:t>
      </w:r>
      <w:r w:rsidR="00B750FA">
        <w:t xml:space="preserve"> </w:t>
      </w:r>
      <w:r w:rsidR="00E249C5">
        <w:t xml:space="preserve">protein </w:t>
      </w:r>
      <w:r w:rsidR="00B750FA">
        <w:t>concentration</w:t>
      </w:r>
      <w:r w:rsidR="00FA7AB0">
        <w:t>,</w:t>
      </w:r>
      <w:r w:rsidR="001A53A7">
        <w:t xml:space="preserve"> allowing</w:t>
      </w:r>
      <w:r w:rsidR="007852C0">
        <w:t xml:space="preserve"> a</w:t>
      </w:r>
      <w:r w:rsidR="000B1794">
        <w:t xml:space="preserve"> </w:t>
      </w:r>
      <w:r w:rsidR="00AA4F1D">
        <w:t>&gt;</w:t>
      </w:r>
      <w:r>
        <w:t xml:space="preserve">100 times </w:t>
      </w:r>
      <w:r w:rsidR="007852C0">
        <w:t>enhanced signal-to-noise ratio</w:t>
      </w:r>
      <w:r>
        <w:t xml:space="preserve"> </w:t>
      </w:r>
      <w:r w:rsidR="00957169">
        <w:t>in the amide I band</w:t>
      </w:r>
      <w:r w:rsidR="00B750FA">
        <w:t xml:space="preserve"> </w:t>
      </w:r>
      <w:r>
        <w:t xml:space="preserve">compared to </w:t>
      </w:r>
      <w:r w:rsidR="001B2355">
        <w:t xml:space="preserve">the </w:t>
      </w:r>
      <w:r>
        <w:t>non-</w:t>
      </w:r>
      <w:r w:rsidR="009D25B1">
        <w:t>SAC</w:t>
      </w:r>
      <w:r w:rsidR="009D25B1" w:rsidDel="001B2355">
        <w:t xml:space="preserve"> </w:t>
      </w:r>
      <w:r w:rsidR="001A53A7">
        <w:t>results</w:t>
      </w:r>
      <w:r>
        <w:t xml:space="preserve">. </w:t>
      </w:r>
      <w:r w:rsidR="001A53A7">
        <w:t>We apply t</w:t>
      </w:r>
      <w:r>
        <w:t>his method to</w:t>
      </w:r>
      <w:r w:rsidR="009219B0" w:rsidRPr="001A53A7">
        <w:rPr>
          <w:i/>
          <w:iCs/>
        </w:rPr>
        <w:t xml:space="preserve"> </w:t>
      </w:r>
      <w:r w:rsidR="009219B0" w:rsidRPr="03066021">
        <w:rPr>
          <w:i/>
          <w:iCs/>
        </w:rPr>
        <w:t>in-sit</w:t>
      </w:r>
      <w:r w:rsidR="009219B0">
        <w:rPr>
          <w:i/>
          <w:iCs/>
        </w:rPr>
        <w:t>u</w:t>
      </w:r>
      <w:r>
        <w:t xml:space="preserve"> investigate the isothermal kinetics of insulin fibrillation </w:t>
      </w:r>
      <w:r w:rsidR="00FB3677">
        <w:t>at</w:t>
      </w:r>
      <w:r w:rsidR="00E77DF9">
        <w:t xml:space="preserve"> two clinical</w:t>
      </w:r>
      <w:r w:rsidR="00FB3677">
        <w:t xml:space="preserve"> concentrations </w:t>
      </w:r>
      <w:r>
        <w:t xml:space="preserve">at </w:t>
      </w:r>
      <w:r w:rsidR="001A53A7">
        <w:t xml:space="preserve">74 </w:t>
      </w:r>
      <w:r w:rsidR="001A53A7">
        <w:rPr>
          <w:rFonts w:cs="Times"/>
        </w:rPr>
        <w:t>°</w:t>
      </w:r>
      <w:r w:rsidR="00A677C6">
        <w:rPr>
          <w:rFonts w:cs="Times"/>
        </w:rPr>
        <w:t>C</w:t>
      </w:r>
      <w:r>
        <w:t xml:space="preserve"> for 18 hours.</w:t>
      </w:r>
      <w:bookmarkEnd w:id="5"/>
      <w:r w:rsidR="00776C0D" w:rsidRPr="00776C0D">
        <w:t xml:space="preserve"> </w:t>
      </w:r>
      <w:r w:rsidR="00776C0D">
        <w:t xml:space="preserve">Simultaneous monitoring of both reactants (native forms) and products (fibrils) allows quantitative discussion of the detailed fibrillation mechanisms, which are not accessible with other single </w:t>
      </w:r>
      <w:r w:rsidR="00776C0D">
        <w:lastRenderedPageBreak/>
        <w:t>modality measurements.</w:t>
      </w:r>
      <w:r w:rsidR="00776C0D" w:rsidRPr="00776C0D">
        <w:t xml:space="preserve"> </w:t>
      </w:r>
      <w:r w:rsidR="00776C0D">
        <w:t>This simple optical technique can be applied to other absorption spectroscopies of analytes in strongly absorbing solvents, allowing for enhanced sensitivity without changing the detection system.</w:t>
      </w:r>
    </w:p>
    <w:p w14:paraId="28CF70AE" w14:textId="77777777" w:rsidR="001265CE" w:rsidRPr="00B52196" w:rsidRDefault="001265CE" w:rsidP="00EB1BED">
      <w:pPr>
        <w:pStyle w:val="BGKeywords"/>
        <w:rPr>
          <w:rFonts w:ascii="Times New Roman" w:hAnsi="Times New Roman"/>
        </w:rPr>
      </w:pPr>
    </w:p>
    <w:p w14:paraId="5C1D6B62" w14:textId="77777777" w:rsidR="00101716" w:rsidRDefault="001B0E8E" w:rsidP="00BA559B">
      <w:pPr>
        <w:pStyle w:val="TAMainText"/>
        <w:ind w:firstLine="0"/>
      </w:pPr>
      <w:bookmarkStart w:id="7" w:name="_Hlk51171088"/>
      <w:r w:rsidRPr="00EA7377">
        <w:rPr>
          <w:b/>
        </w:rPr>
        <w:t>INTRODUCTIO</w:t>
      </w:r>
      <w:r>
        <w:rPr>
          <w:b/>
        </w:rPr>
        <w:t>N</w:t>
      </w:r>
    </w:p>
    <w:p w14:paraId="6FAD6A16" w14:textId="7C8A3904" w:rsidR="003A70CC" w:rsidRPr="007731D8" w:rsidRDefault="002B0AA8" w:rsidP="003F0922">
      <w:pPr>
        <w:pStyle w:val="TAMainText"/>
        <w:rPr>
          <w:rFonts w:ascii="Times New Roman" w:hAnsi="Times New Roman"/>
          <w:bCs/>
          <w:color w:val="000000" w:themeColor="text1"/>
        </w:rPr>
      </w:pPr>
      <w:r w:rsidRPr="00F667CE">
        <w:t>Infrared</w:t>
      </w:r>
      <w:r w:rsidR="00084574" w:rsidRPr="00F667CE">
        <w:t xml:space="preserve"> (IR)</w:t>
      </w:r>
      <w:r w:rsidRPr="00F667CE">
        <w:t xml:space="preserve"> absorption spectroscopy</w:t>
      </w:r>
      <w:r w:rsidRPr="009D1652">
        <w:t xml:space="preserve"> has been widely used to </w:t>
      </w:r>
      <w:r w:rsidR="00084574" w:rsidRPr="009D1652">
        <w:t>characterize</w:t>
      </w:r>
      <w:r w:rsidRPr="009D1652">
        <w:t xml:space="preserve"> </w:t>
      </w:r>
      <w:r w:rsidR="00C34119">
        <w:t xml:space="preserve">the </w:t>
      </w:r>
      <w:r w:rsidRPr="00F667CE">
        <w:t>secondary structure</w:t>
      </w:r>
      <w:r w:rsidR="007C3436">
        <w:t xml:space="preserve"> </w:t>
      </w:r>
      <w:r w:rsidR="00C34119" w:rsidRPr="009D1652">
        <w:t>of proteins and polypeptides</w:t>
      </w:r>
      <w:r w:rsidR="002B7CF4">
        <w:t>.</w:t>
      </w:r>
      <w:r w:rsidR="005A5847" w:rsidRPr="006B759D">
        <w:rPr>
          <w:rFonts w:cs="Minion"/>
          <w:color w:val="000000"/>
          <w:szCs w:val="19"/>
        </w:rPr>
        <w:fldChar w:fldCharType="begin" w:fldLock="1"/>
      </w:r>
      <w:r w:rsidR="00CB7374">
        <w:rPr>
          <w:rFonts w:cs="Minion"/>
          <w:color w:val="000000"/>
          <w:szCs w:val="19"/>
        </w:rPr>
        <w:instrText>ADDIN CSL_CITATION {"citationItems":[{"id":"ITEM-1","itemData":{"DOI":"10.1038/nprot.2014.110","ISSN":"17502799","abstract":"IR spectroscopy is an excellent method for biological analyses. It enables the nonperturbative, label-free extraction of biochemical information and images toward diagnosis and the assessment of cell functionality. Although not strictly microscopy in the conventional sense, it allows the construction of images of tissue or cell architecture by the passing of spectral data through a variety of computational algorithms. Because such images are constructed from fingerprint spectra, the notion is that they can be an objective reflection of the underlying health status of the analyzed sample. One of the major difficulties in the field has been determining a consensus on spectral pre-processing and data analysis. This manuscript brings together as coauthors some of the leaders in this field to allow the standardization of methods and procedures for adapting a multistage approach to a methodology that can be applied to a variety of cell biological questions or used within a clinical setting for disease screening or diagnosis. We describe a protocol for collecting IR spectra and images from biological samples (e.g., fixed cytology and tissue sections, live cells or biofluids) that assesses the instrumental options available, appropriate sample preparation, different sampling modes as well as important advances in spectral data acquisition. After acquisition, data processing consists of a sequence of steps including quality control, spectral pre-processing, feature extraction and classification of the supervised or unsupervised type. A typical experiment can be completed and analyzed within hours. Example results are presented on the use of IR spectra combined with multivariate data processing. © 2014 Nature America, Inc.","author":[{"dropping-particle":"","family":"Baker","given":"Matthew J.","non-dropping-particle":"","parse-names":false,"suffix":""},{"dropping-particle":"","family":"Trevisan","given":"Júlio","non-dropping-particle":"","parse-names":false,"suffix":""},{"dropping-particle":"","family":"Bassan","given":"Paul","non-dropping-particle":"","parse-names":false,"suffix":""},{"dropping-particle":"","family":"Bhargava","given":"Rohit","non-dropping-particle":"","parse-names":false,"suffix":""},{"dropping-particle":"","family":"Butler","given":"Holly J.","non-dropping-particle":"","parse-names":false,"suffix":""},{"dropping-particle":"","family":"Dorling","given":"Konrad M.","non-dropping-particle":"","parse-names":false,"suffix":""},{"dropping-particle":"","family":"Fielden","given":"Peter R.","non-dropping-particle":"","parse-names":false,"suffix":""},{"dropping-particle":"","family":"Fogarty","given":"Simon W.","non-dropping-particle":"","parse-names":false,"suffix":""},{"dropping-particle":"","family":"Fullwood","given":"Nigel J.","non-dropping-particle":"","parse-names":false,"suffix":""},{"dropping-particle":"","family":"Heys","given":"Kelly A.","non-dropping-particle":"","parse-names":false,"suffix":""},{"dropping-particle":"","family":"Hughes","given":"Caryn","non-dropping-particle":"","parse-names":false,"suffix":""},{"dropping-particle":"","family":"Lasch","given":"Peter","non-dropping-particle":"","parse-names":false,"suffix":""},{"dropping-particle":"","family":"Martin-Hirsch","given":"Pierre L.","non-dropping-particle":"","parse-names":false,"suffix":""},{"dropping-particle":"","family":"Obinaju","given":"Blessing","non-dropping-particle":"","parse-names":false,"suffix":""},{"dropping-particle":"","family":"Sockalingum","given":"Ganesh D.","non-dropping-particle":"","parse-names":false,"suffix":""},{"dropping-particle":"","family":"Sulé-Suso","given":"Josep","non-dropping-particle":"","parse-names":false,"suffix":""},{"dropping-particle":"","family":"Strong","given":"Rebecca J.","non-dropping-particle":"","parse-names":false,"suffix":""},{"dropping-particle":"","family":"Walsh","given":"Michael J.","non-dropping-particle":"","parse-names":false,"suffix":""},{"dropping-particle":"","family":"Wood","given":"Bayden R.","non-dropping-particle":"","parse-names":false,"suffix":""},{"dropping-particle":"","family":"Gardner","given":"Peter","non-dropping-particle":"","parse-names":false,"suffix":""},{"dropping-particle":"","family":"Martin","given":"Francis L.","non-dropping-particle":"","parse-names":false,"suffix":""}],"container-title":"Nature Protocols","id":"ITEM-1","issue":"8","issued":{"date-parts":[["2014"]]},"page":"1771-1791","publisher":"Nature Publishing Group","title":"Using Fourier transform IR spectroscopy to analyze biological materials","type":"article-journal","volume":"9"},"uris":["http://www.mendeley.com/documents/?uuid=a6a6c120-f677-30e0-8216-5f83b776ae5b"]},{"id":"ITEM-2","itemData":{"DOI":"10.3109/10409239509085140","ISBN":"1040.9238/95","ISSN":"10409238","abstract":"Fourier transform infrartd (FTIR) spectroscopy is an established tool for the structural characterization of proteins. However, many potential pitfalls exist for the unwary investigator. In this review we critically assess the application of FIlR spectroscopy to the determination of protein structure by (1) outlining the principles underlying protein secondary structure determination by FZZR spectroscopy. (2) highhghting the situations in which FZZR spectroscopy should be considered the technique of choice, (3) discussing the manner in which experiments should be conducted to derive as much physiologically relevant information as possible, and (4) outlining current methods for the determination of secondary structure from infrared spectm of proteins. © 1995 Informa UK Ltd All rights reserved: reproduction in whole or part not permitted.","author":[{"dropping-particle":"","family":"Jackson","given":"Michael","non-dropping-particle":"","parse-names":false,"suffix":""},{"dropping-particle":"","family":"Mantsch","given":"Henry H","non-dropping-particle":"","parse-names":false,"suffix":""}],"container-title":"Critical Reviews in Biochemistry and Molecular Biology","id":"ITEM-2","issue":"2","issued":{"date-parts":[["1995"]]},"page":"95-120","title":"The use and misuse of FTIR spectroscopy in the determination of protein structure","type":"article-journal","volume":"30"},"uris":["http://www.mendeley.com/documents/?uuid=7679da3e-d8bc-4862-9780-9250dd810afa"]},{"id":"ITEM-3","itemData":{"DOI":"10.1038/nprot.2015.024","ISSN":"17502799","abstract":"Fourier transform IR (FTIR) spectroscopy is a nondestructive technique for structural characterization of proteins and polypeptides. The IR spectral data of polymers are usually interpreted in terms of the vibrations of a structural repeat. The repeat units in proteins give rise to nine characteristic IR absorption bands (amides A, B and I-VII). Amide I bands (1,700-1,600 cm -1) are the most prominent and sensitive vibrational bands of the protein backbone, and they relate to protein secondary structural components. In this protocol, we have detailed the principles that underlie the determination of protein secondary structure by FTIR spectroscopy, as well as the basic steps involved in protein sample preparation, instrument operation, FTIR spectra collection and spectra analysis in order to estimate protein secondary-structural components in aqueous (both H 2 O and deuterium oxide (D 2 O)) solution using algorithms, such as second-derivative, deconvolution and curve fitting. Small amounts of high-purity (&gt;95%) proteins at high concentrations (&gt;3 mg ml -1) are needed in this protocol; typically, the procedure can be completed in 1-2 d.","author":[{"dropping-particle":"","family":"Yang","given":"Huayan","non-dropping-particle":"","parse-names":false,"suffix":""},{"dropping-particle":"","family":"Yang","given":"Shouning","non-dropping-particle":"","parse-names":false,"suffix":""},{"dropping-particle":"","family":"Kong","given":"Jilie","non-dropping-particle":"","parse-names":false,"suffix":""},{"dropping-particle":"","family":"Dong","given":"Aichun","non-dropping-particle":"","parse-names":false,"suffix":""},{"dropping-particle":"","family":"Yu","given":"Shaoning","non-dropping-particle":"","parse-names":false,"suffix":""}],"container-title":"Nature Protocols","id":"ITEM-3","issue":"3","issued":{"date-parts":[["2015","3","2"]]},"page":"382-396","publisher":"Nature Publishing Group","title":"Obtaining information about protein secondary structures in aqueous solution using Fourier transform IR spectroscopy","type":"article-journal","volume":"10"},"uris":["http://www.mendeley.com/documents/?uuid=0d525243-eee6-4c2f-805f-4be28cb6393d"]}],"mendeley":{"formattedCitation":"&lt;sup&gt;1–3&lt;/sup&gt;","plainTextFormattedCitation":"1–3","previouslyFormattedCitation":"&lt;sup&gt;1–3&lt;/sup&gt;"},"properties":{"noteIndex":0},"schema":"https://github.com/citation-style-language/schema/raw/master/csl-citation.json"}</w:instrText>
      </w:r>
      <w:r w:rsidR="005A5847" w:rsidRPr="006B759D">
        <w:rPr>
          <w:rFonts w:cs="Minion"/>
          <w:color w:val="000000"/>
          <w:szCs w:val="19"/>
        </w:rPr>
        <w:fldChar w:fldCharType="separate"/>
      </w:r>
      <w:r w:rsidR="00CB7374" w:rsidRPr="00CB7374">
        <w:rPr>
          <w:rFonts w:cs="Minion"/>
          <w:noProof/>
          <w:color w:val="000000"/>
          <w:szCs w:val="19"/>
          <w:vertAlign w:val="superscript"/>
        </w:rPr>
        <w:t>1–3</w:t>
      </w:r>
      <w:r w:rsidR="005A5847" w:rsidRPr="006B759D">
        <w:rPr>
          <w:rFonts w:cs="Minion"/>
          <w:color w:val="000000"/>
          <w:szCs w:val="19"/>
        </w:rPr>
        <w:fldChar w:fldCharType="end"/>
      </w:r>
      <w:r w:rsidRPr="009D1652">
        <w:rPr>
          <w:rFonts w:cs="Minion"/>
          <w:color w:val="000000"/>
          <w:szCs w:val="19"/>
        </w:rPr>
        <w:t xml:space="preserve"> </w:t>
      </w:r>
      <w:r w:rsidR="00084574" w:rsidRPr="009D1652">
        <w:rPr>
          <w:rFonts w:cs="Minion"/>
          <w:color w:val="000000"/>
          <w:szCs w:val="19"/>
        </w:rPr>
        <w:t xml:space="preserve">In particular, the amide </w:t>
      </w:r>
      <w:r w:rsidR="00555F69">
        <w:rPr>
          <w:rFonts w:cs="Minion"/>
          <w:color w:val="000000"/>
          <w:szCs w:val="19"/>
        </w:rPr>
        <w:t xml:space="preserve">I </w:t>
      </w:r>
      <w:r w:rsidR="00084574" w:rsidRPr="009D1652">
        <w:rPr>
          <w:rFonts w:cs="Minion"/>
          <w:color w:val="000000"/>
          <w:szCs w:val="19"/>
        </w:rPr>
        <w:t>band</w:t>
      </w:r>
      <w:r w:rsidR="007A6EFF">
        <w:rPr>
          <w:rFonts w:cs="Minion"/>
          <w:color w:val="000000"/>
          <w:szCs w:val="19"/>
        </w:rPr>
        <w:t>,</w:t>
      </w:r>
      <w:r w:rsidR="007A6EFF" w:rsidRPr="009D1652">
        <w:rPr>
          <w:rFonts w:cs="Minion"/>
          <w:color w:val="000000"/>
          <w:szCs w:val="19"/>
        </w:rPr>
        <w:t xml:space="preserve"> observed in the range of 1600 cm</w:t>
      </w:r>
      <w:r w:rsidR="007A6EFF" w:rsidRPr="009D1652">
        <w:rPr>
          <w:rFonts w:cs="Minion"/>
          <w:color w:val="000000"/>
          <w:szCs w:val="19"/>
          <w:vertAlign w:val="superscript"/>
        </w:rPr>
        <w:t>-1</w:t>
      </w:r>
      <w:r w:rsidR="007A6EFF" w:rsidRPr="009D1652">
        <w:rPr>
          <w:rStyle w:val="A5"/>
        </w:rPr>
        <w:t xml:space="preserve"> </w:t>
      </w:r>
      <w:r w:rsidR="007A6EFF" w:rsidRPr="009D1652">
        <w:rPr>
          <w:rFonts w:cs="Minion"/>
          <w:color w:val="000000"/>
          <w:szCs w:val="19"/>
        </w:rPr>
        <w:t>and</w:t>
      </w:r>
      <w:r w:rsidR="007A6EFF" w:rsidRPr="009D1652">
        <w:t xml:space="preserve"> </w:t>
      </w:r>
      <w:r w:rsidR="007A6EFF" w:rsidRPr="009D1652">
        <w:rPr>
          <w:rFonts w:cs="Minion"/>
          <w:color w:val="000000"/>
          <w:szCs w:val="19"/>
        </w:rPr>
        <w:t>1700 cm</w:t>
      </w:r>
      <w:r w:rsidR="00706F50" w:rsidRPr="007731D8">
        <w:rPr>
          <w:rFonts w:cs="Minion"/>
          <w:color w:val="000000"/>
          <w:szCs w:val="19"/>
          <w:vertAlign w:val="superscript"/>
        </w:rPr>
        <w:t>-</w:t>
      </w:r>
      <w:r w:rsidR="007A6EFF" w:rsidRPr="009D1652">
        <w:rPr>
          <w:rFonts w:cs="Minion"/>
          <w:color w:val="000000"/>
          <w:szCs w:val="19"/>
          <w:vertAlign w:val="superscript"/>
        </w:rPr>
        <w:t>1</w:t>
      </w:r>
      <w:r w:rsidR="007A6EFF" w:rsidRPr="009D1652">
        <w:rPr>
          <w:rFonts w:cs="Minion"/>
          <w:color w:val="000000"/>
          <w:szCs w:val="19"/>
        </w:rPr>
        <w:t xml:space="preserve">, </w:t>
      </w:r>
      <w:r w:rsidR="00555F69">
        <w:rPr>
          <w:rFonts w:cs="Minion"/>
          <w:color w:val="000000"/>
          <w:szCs w:val="19"/>
        </w:rPr>
        <w:t>is</w:t>
      </w:r>
      <w:r w:rsidR="00084574" w:rsidRPr="009D1652">
        <w:rPr>
          <w:rFonts w:cs="Minion"/>
          <w:color w:val="000000"/>
          <w:szCs w:val="19"/>
        </w:rPr>
        <w:t xml:space="preserve"> extensively studied because </w:t>
      </w:r>
      <w:r w:rsidR="00B750FA">
        <w:rPr>
          <w:rFonts w:cs="Minion"/>
          <w:color w:val="000000"/>
          <w:szCs w:val="19"/>
        </w:rPr>
        <w:t>its</w:t>
      </w:r>
      <w:r w:rsidRPr="009D1652">
        <w:rPr>
          <w:rFonts w:cs="Minion"/>
          <w:color w:val="000000"/>
          <w:szCs w:val="19"/>
        </w:rPr>
        <w:t xml:space="preserve"> absorption cross section </w:t>
      </w:r>
      <w:r w:rsidR="00B750FA">
        <w:rPr>
          <w:rFonts w:cs="Minion"/>
          <w:color w:val="000000"/>
          <w:szCs w:val="19"/>
        </w:rPr>
        <w:t>is</w:t>
      </w:r>
      <w:r w:rsidRPr="009D1652">
        <w:rPr>
          <w:rFonts w:cs="Minion"/>
          <w:color w:val="000000"/>
          <w:szCs w:val="19"/>
        </w:rPr>
        <w:t xml:space="preserve"> </w:t>
      </w:r>
      <w:r w:rsidR="00084574" w:rsidRPr="009D1652">
        <w:rPr>
          <w:rFonts w:cs="Minion"/>
          <w:color w:val="000000"/>
          <w:szCs w:val="19"/>
        </w:rPr>
        <w:t>high compared to other functional groups</w:t>
      </w:r>
      <w:r w:rsidR="00DD787E">
        <w:rPr>
          <w:rFonts w:cs="Minion"/>
          <w:color w:val="000000"/>
          <w:szCs w:val="19"/>
        </w:rPr>
        <w:t xml:space="preserve"> and, m</w:t>
      </w:r>
      <w:r w:rsidR="00084574" w:rsidRPr="009D1652">
        <w:rPr>
          <w:rFonts w:cs="Minion"/>
          <w:color w:val="000000"/>
          <w:szCs w:val="19"/>
        </w:rPr>
        <w:t xml:space="preserve">ore importantly, </w:t>
      </w:r>
      <w:r w:rsidR="00B750FA">
        <w:rPr>
          <w:rFonts w:cs="Minion"/>
          <w:color w:val="000000"/>
          <w:szCs w:val="19"/>
        </w:rPr>
        <w:t>its</w:t>
      </w:r>
      <w:r w:rsidR="00B750FA" w:rsidRPr="009D1652">
        <w:rPr>
          <w:rFonts w:cs="Minion"/>
          <w:color w:val="000000"/>
          <w:szCs w:val="19"/>
        </w:rPr>
        <w:t xml:space="preserve"> </w:t>
      </w:r>
      <w:r w:rsidR="00084574" w:rsidRPr="009D1652">
        <w:rPr>
          <w:rFonts w:cs="Minion"/>
          <w:color w:val="000000"/>
          <w:szCs w:val="19"/>
        </w:rPr>
        <w:t>absorption peak</w:t>
      </w:r>
      <w:r w:rsidRPr="009D1652">
        <w:rPr>
          <w:rFonts w:cs="Minion"/>
          <w:color w:val="000000"/>
          <w:szCs w:val="19"/>
        </w:rPr>
        <w:t xml:space="preserve"> </w:t>
      </w:r>
      <w:r w:rsidR="00F3568B">
        <w:rPr>
          <w:rFonts w:cs="Minion"/>
          <w:color w:val="000000"/>
          <w:szCs w:val="19"/>
        </w:rPr>
        <w:t xml:space="preserve">width and </w:t>
      </w:r>
      <w:r w:rsidR="00EF7987">
        <w:rPr>
          <w:rFonts w:cs="Minion"/>
          <w:color w:val="000000"/>
          <w:szCs w:val="19"/>
        </w:rPr>
        <w:t>position</w:t>
      </w:r>
      <w:r w:rsidRPr="009D1652">
        <w:rPr>
          <w:rFonts w:cs="Minion"/>
          <w:color w:val="000000"/>
          <w:szCs w:val="19"/>
        </w:rPr>
        <w:t xml:space="preserve"> </w:t>
      </w:r>
      <w:r w:rsidR="0032161D">
        <w:rPr>
          <w:rFonts w:cs="Minion"/>
          <w:color w:val="000000"/>
          <w:szCs w:val="19"/>
        </w:rPr>
        <w:t>are</w:t>
      </w:r>
      <w:r w:rsidR="007D1E07" w:rsidRPr="009D1652">
        <w:rPr>
          <w:rFonts w:cs="Minion"/>
          <w:color w:val="000000"/>
          <w:szCs w:val="19"/>
        </w:rPr>
        <w:t xml:space="preserve"> </w:t>
      </w:r>
      <w:r w:rsidR="00084574" w:rsidRPr="009D1652">
        <w:rPr>
          <w:rFonts w:cs="Minion"/>
          <w:color w:val="000000"/>
          <w:szCs w:val="19"/>
        </w:rPr>
        <w:t xml:space="preserve">unique for different </w:t>
      </w:r>
      <w:r w:rsidRPr="009D1652">
        <w:rPr>
          <w:rFonts w:cs="Minion"/>
          <w:color w:val="000000"/>
          <w:szCs w:val="19"/>
        </w:rPr>
        <w:t>secondary structures, such as α-helices, β-sheets, and random coils</w:t>
      </w:r>
      <w:r w:rsidR="002B7CF4">
        <w:rPr>
          <w:rFonts w:cs="Minion"/>
          <w:color w:val="000000"/>
          <w:szCs w:val="19"/>
        </w:rPr>
        <w:t>.</w:t>
      </w:r>
      <w:r w:rsidR="005A5847" w:rsidRPr="006B759D">
        <w:rPr>
          <w:rFonts w:cs="Minion"/>
          <w:color w:val="000000"/>
          <w:szCs w:val="19"/>
        </w:rPr>
        <w:fldChar w:fldCharType="begin" w:fldLock="1"/>
      </w:r>
      <w:r w:rsidR="00CB7374">
        <w:rPr>
          <w:rFonts w:cs="Minion"/>
          <w:color w:val="000000"/>
          <w:szCs w:val="19"/>
        </w:rPr>
        <w:instrText>ADDIN CSL_CITATION {"citationItems":[{"id":"ITEM-1","itemData":{"DOI":"10.3109/10409239509085140","ISBN":"1040.9238/95","ISSN":"10409238","abstract":"Fourier transform infrartd (FTIR) spectroscopy is an established tool for the structural characterization of proteins. However, many potential pitfalls exist for the unwary investigator. In this review we critically assess the application of FIlR spectroscopy to the determination of protein structure by (1) outlining the principles underlying protein secondary structure determination by FZZR spectroscopy. (2) highhghting the situations in which FZZR spectroscopy should be considered the technique of choice, (3) discussing the manner in which experiments should be conducted to derive as much physiologically relevant information as possible, and (4) outlining current methods for the determination of secondary structure from infrared spectm of proteins. © 1995 Informa UK Ltd All rights reserved: reproduction in whole or part not permitted.","author":[{"dropping-particle":"","family":"Jackson","given":"Michael","non-dropping-particle":"","parse-names":false,"suffix":""},{"dropping-particle":"","family":"Mantsch","given":"Henry H","non-dropping-particle":"","parse-names":false,"suffix":""}],"container-title":"Critical Reviews in Biochemistry and Molecular Biology","id":"ITEM-1","issue":"2","issued":{"date-parts":[["1995"]]},"page":"95-120","title":"The use and misuse of FTIR spectroscopy in the determination of protein structure","type":"article-journal","volume":"30"},"uris":["http://www.mendeley.com/documents/?uuid=211da205-d795-457d-aec4-f2682082583d","http://www.mendeley.com/documents/?uuid=7679da3e-d8bc-4862-9780-9250dd810afa"]}],"mendeley":{"formattedCitation":"&lt;sup&gt;2&lt;/sup&gt;","plainTextFormattedCitation":"2","previouslyFormattedCitation":"&lt;sup&gt;2&lt;/sup&gt;"},"properties":{"noteIndex":0},"schema":"https://github.com/citation-style-language/schema/raw/master/csl-citation.json"}</w:instrText>
      </w:r>
      <w:r w:rsidR="005A5847" w:rsidRPr="006B759D">
        <w:rPr>
          <w:rFonts w:cs="Minion"/>
          <w:color w:val="000000"/>
          <w:szCs w:val="19"/>
        </w:rPr>
        <w:fldChar w:fldCharType="separate"/>
      </w:r>
      <w:r w:rsidR="00CB7374" w:rsidRPr="00CB7374">
        <w:rPr>
          <w:rFonts w:cs="Minion"/>
          <w:noProof/>
          <w:color w:val="000000"/>
          <w:szCs w:val="19"/>
          <w:vertAlign w:val="superscript"/>
        </w:rPr>
        <w:t>2</w:t>
      </w:r>
      <w:r w:rsidR="005A5847" w:rsidRPr="006B759D">
        <w:rPr>
          <w:rFonts w:cs="Minion"/>
          <w:color w:val="000000"/>
          <w:szCs w:val="19"/>
        </w:rPr>
        <w:fldChar w:fldCharType="end"/>
      </w:r>
      <w:r w:rsidRPr="009D1652">
        <w:rPr>
          <w:rFonts w:cs="Minion"/>
          <w:color w:val="000000"/>
          <w:szCs w:val="19"/>
        </w:rPr>
        <w:t xml:space="preserve"> </w:t>
      </w:r>
      <w:r w:rsidR="00D86396" w:rsidRPr="009D1652">
        <w:rPr>
          <w:rFonts w:cs="Minion"/>
          <w:color w:val="000000"/>
          <w:szCs w:val="19"/>
        </w:rPr>
        <w:t xml:space="preserve">The distinct spectral features </w:t>
      </w:r>
      <w:r w:rsidR="00662BD6">
        <w:rPr>
          <w:rFonts w:cs="Minion"/>
          <w:color w:val="000000"/>
          <w:szCs w:val="19"/>
        </w:rPr>
        <w:t>of</w:t>
      </w:r>
      <w:r w:rsidR="00D86396" w:rsidRPr="009D1652">
        <w:rPr>
          <w:rFonts w:cs="Minion"/>
          <w:color w:val="000000"/>
          <w:szCs w:val="19"/>
        </w:rPr>
        <w:t xml:space="preserve"> the amid</w:t>
      </w:r>
      <w:r w:rsidR="00482B08">
        <w:rPr>
          <w:rFonts w:cs="Minion"/>
          <w:color w:val="000000"/>
          <w:szCs w:val="19"/>
        </w:rPr>
        <w:t>e</w:t>
      </w:r>
      <w:r w:rsidR="00D86396" w:rsidRPr="009D1652">
        <w:rPr>
          <w:rFonts w:cs="Minion"/>
          <w:color w:val="000000"/>
          <w:szCs w:val="19"/>
        </w:rPr>
        <w:t xml:space="preserve"> I band </w:t>
      </w:r>
      <w:r w:rsidR="007D1320" w:rsidRPr="009D1652">
        <w:rPr>
          <w:rFonts w:cs="Minion"/>
          <w:color w:val="000000"/>
          <w:szCs w:val="19"/>
        </w:rPr>
        <w:t xml:space="preserve">are so well investigated that </w:t>
      </w:r>
      <w:r w:rsidR="00D86396" w:rsidRPr="009D1652">
        <w:rPr>
          <w:rFonts w:cs="Minion"/>
          <w:color w:val="000000"/>
          <w:szCs w:val="19"/>
        </w:rPr>
        <w:t xml:space="preserve">IR spectroscopy </w:t>
      </w:r>
      <w:r w:rsidR="00482B08">
        <w:rPr>
          <w:rFonts w:cs="Minion"/>
          <w:color w:val="000000"/>
          <w:szCs w:val="19"/>
        </w:rPr>
        <w:t>can</w:t>
      </w:r>
      <w:r w:rsidR="007D1320" w:rsidRPr="009D1652">
        <w:rPr>
          <w:rFonts w:cs="Minion"/>
          <w:color w:val="000000"/>
          <w:szCs w:val="19"/>
        </w:rPr>
        <w:t xml:space="preserve"> </w:t>
      </w:r>
      <w:r w:rsidR="00C90FAF">
        <w:rPr>
          <w:rFonts w:cs="Minion"/>
          <w:color w:val="000000"/>
          <w:szCs w:val="19"/>
        </w:rPr>
        <w:t xml:space="preserve">be used to </w:t>
      </w:r>
      <w:r w:rsidR="00482B08" w:rsidRPr="009D1652">
        <w:rPr>
          <w:rFonts w:cs="Minion"/>
          <w:color w:val="000000"/>
          <w:szCs w:val="19"/>
        </w:rPr>
        <w:t xml:space="preserve">measure </w:t>
      </w:r>
      <w:r w:rsidR="003F0922" w:rsidRPr="009D1652">
        <w:rPr>
          <w:rFonts w:cs="Minion"/>
          <w:color w:val="000000"/>
          <w:szCs w:val="19"/>
        </w:rPr>
        <w:t>semi-quantitatively the</w:t>
      </w:r>
      <w:r w:rsidR="00D86396" w:rsidRPr="009D1652">
        <w:rPr>
          <w:rFonts w:cs="Minion"/>
          <w:color w:val="000000"/>
          <w:szCs w:val="19"/>
        </w:rPr>
        <w:t xml:space="preserve"> </w:t>
      </w:r>
      <w:r w:rsidR="007D1320" w:rsidRPr="009D1652">
        <w:rPr>
          <w:rFonts w:cs="Minion"/>
          <w:color w:val="000000"/>
          <w:szCs w:val="19"/>
        </w:rPr>
        <w:t>fractions</w:t>
      </w:r>
      <w:r w:rsidR="003F0922" w:rsidRPr="009D1652">
        <w:rPr>
          <w:rFonts w:cs="Minion"/>
          <w:color w:val="000000"/>
          <w:szCs w:val="19"/>
        </w:rPr>
        <w:t xml:space="preserve"> of</w:t>
      </w:r>
      <w:r w:rsidR="00D86396" w:rsidRPr="009D1652">
        <w:rPr>
          <w:rFonts w:cs="Minion"/>
          <w:color w:val="000000"/>
          <w:szCs w:val="19"/>
        </w:rPr>
        <w:t xml:space="preserve"> </w:t>
      </w:r>
      <w:r w:rsidR="003F0922" w:rsidRPr="009D1652">
        <w:rPr>
          <w:rFonts w:cs="Minion"/>
          <w:color w:val="000000"/>
          <w:szCs w:val="19"/>
        </w:rPr>
        <w:t xml:space="preserve">mixed </w:t>
      </w:r>
      <w:r w:rsidR="00D86396" w:rsidRPr="009D1652">
        <w:rPr>
          <w:rFonts w:cs="Minion"/>
          <w:color w:val="000000"/>
          <w:szCs w:val="19"/>
        </w:rPr>
        <w:t>secondary structures</w:t>
      </w:r>
      <w:r w:rsidR="003F0922" w:rsidRPr="009D1652">
        <w:rPr>
          <w:rFonts w:cs="Minion"/>
          <w:color w:val="000000"/>
          <w:szCs w:val="19"/>
        </w:rPr>
        <w:t>.</w:t>
      </w:r>
      <w:r w:rsidR="003A70CC" w:rsidRPr="009D1652">
        <w:rPr>
          <w:rFonts w:cs="Minion"/>
          <w:color w:val="000000"/>
          <w:szCs w:val="19"/>
        </w:rPr>
        <w:t xml:space="preserve"> </w:t>
      </w:r>
      <w:r w:rsidR="00662BD6">
        <w:rPr>
          <w:rFonts w:cs="Minion"/>
          <w:color w:val="000000"/>
          <w:szCs w:val="19"/>
        </w:rPr>
        <w:t xml:space="preserve">In addition to </w:t>
      </w:r>
      <w:r w:rsidR="00C96872">
        <w:rPr>
          <w:rFonts w:cs="Minion"/>
          <w:color w:val="000000"/>
          <w:szCs w:val="19"/>
        </w:rPr>
        <w:t>the amide I band, analysis of broader</w:t>
      </w:r>
      <w:r w:rsidR="00662BD6">
        <w:rPr>
          <w:rFonts w:cs="Minion"/>
          <w:color w:val="000000"/>
          <w:szCs w:val="19"/>
        </w:rPr>
        <w:t xml:space="preserve"> </w:t>
      </w:r>
      <w:r w:rsidR="00662BD6" w:rsidRPr="00BF788D">
        <w:rPr>
          <w:rFonts w:ascii="Times New Roman" w:hAnsi="Times New Roman"/>
          <w:bCs/>
          <w:color w:val="000000" w:themeColor="text1"/>
        </w:rPr>
        <w:t xml:space="preserve">IR absorption spectra </w:t>
      </w:r>
      <w:r w:rsidR="00C96872">
        <w:rPr>
          <w:rFonts w:ascii="Times New Roman" w:hAnsi="Times New Roman"/>
          <w:bCs/>
          <w:color w:val="000000" w:themeColor="text1"/>
        </w:rPr>
        <w:t xml:space="preserve">of other </w:t>
      </w:r>
      <w:r w:rsidR="00662BD6" w:rsidRPr="00BF788D">
        <w:rPr>
          <w:rFonts w:ascii="Times New Roman" w:hAnsi="Times New Roman"/>
          <w:bCs/>
          <w:color w:val="000000" w:themeColor="text1"/>
        </w:rPr>
        <w:t>molecul</w:t>
      </w:r>
      <w:r w:rsidR="00C96872">
        <w:rPr>
          <w:rFonts w:ascii="Times New Roman" w:hAnsi="Times New Roman"/>
          <w:bCs/>
          <w:color w:val="000000" w:themeColor="text1"/>
        </w:rPr>
        <w:t>ar</w:t>
      </w:r>
      <w:r w:rsidR="00662BD6" w:rsidRPr="00BF788D">
        <w:rPr>
          <w:rFonts w:ascii="Times New Roman" w:hAnsi="Times New Roman"/>
          <w:bCs/>
          <w:color w:val="000000" w:themeColor="text1"/>
        </w:rPr>
        <w:t xml:space="preserve"> vibrations </w:t>
      </w:r>
      <w:r w:rsidR="00C96872">
        <w:rPr>
          <w:rFonts w:ascii="Times New Roman" w:hAnsi="Times New Roman"/>
          <w:bCs/>
          <w:color w:val="000000" w:themeColor="text1"/>
        </w:rPr>
        <w:t>enables</w:t>
      </w:r>
      <w:r w:rsidR="00662BD6" w:rsidRPr="00BF788D">
        <w:rPr>
          <w:rFonts w:ascii="Times New Roman" w:hAnsi="Times New Roman"/>
          <w:bCs/>
          <w:color w:val="000000" w:themeColor="text1"/>
        </w:rPr>
        <w:t xml:space="preserve"> </w:t>
      </w:r>
      <w:r w:rsidR="00662BD6">
        <w:rPr>
          <w:rFonts w:ascii="Times New Roman" w:hAnsi="Times New Roman"/>
          <w:bCs/>
          <w:color w:val="000000" w:themeColor="text1"/>
        </w:rPr>
        <w:t xml:space="preserve">label-free </w:t>
      </w:r>
      <w:r w:rsidR="00662BD6" w:rsidRPr="00BF788D">
        <w:rPr>
          <w:rFonts w:ascii="Times New Roman" w:hAnsi="Times New Roman"/>
          <w:bCs/>
          <w:color w:val="000000" w:themeColor="text1"/>
        </w:rPr>
        <w:t>chemical identification</w:t>
      </w:r>
      <w:r w:rsidR="00C96872">
        <w:rPr>
          <w:rFonts w:ascii="Times New Roman" w:hAnsi="Times New Roman"/>
          <w:bCs/>
          <w:color w:val="000000" w:themeColor="text1"/>
        </w:rPr>
        <w:t xml:space="preserve"> with the help of extensively accumulated spectral libraries. This non-emission</w:t>
      </w:r>
      <w:r w:rsidR="00447950">
        <w:rPr>
          <w:rFonts w:ascii="Times New Roman" w:hAnsi="Times New Roman"/>
          <w:bCs/>
          <w:color w:val="000000" w:themeColor="text1"/>
        </w:rPr>
        <w:t>-</w:t>
      </w:r>
      <w:r w:rsidR="00C96872">
        <w:rPr>
          <w:rFonts w:ascii="Times New Roman" w:hAnsi="Times New Roman"/>
          <w:bCs/>
          <w:color w:val="000000" w:themeColor="text1"/>
        </w:rPr>
        <w:t xml:space="preserve">based </w:t>
      </w:r>
      <w:r w:rsidR="006343BA">
        <w:rPr>
          <w:rFonts w:ascii="Times New Roman" w:hAnsi="Times New Roman"/>
          <w:bCs/>
          <w:color w:val="000000" w:themeColor="text1"/>
        </w:rPr>
        <w:t>approach</w:t>
      </w:r>
      <w:r w:rsidR="00C96872">
        <w:rPr>
          <w:rFonts w:ascii="Times New Roman" w:hAnsi="Times New Roman"/>
          <w:bCs/>
          <w:color w:val="000000" w:themeColor="text1"/>
        </w:rPr>
        <w:t xml:space="preserve"> can also provide</w:t>
      </w:r>
      <w:r w:rsidR="00662BD6" w:rsidRPr="00BF788D">
        <w:rPr>
          <w:rFonts w:ascii="Times New Roman" w:hAnsi="Times New Roman"/>
          <w:bCs/>
          <w:color w:val="000000" w:themeColor="text1"/>
        </w:rPr>
        <w:t xml:space="preserve"> absolute</w:t>
      </w:r>
      <w:r w:rsidR="006343BA">
        <w:rPr>
          <w:rFonts w:ascii="Times New Roman" w:hAnsi="Times New Roman"/>
          <w:bCs/>
          <w:color w:val="000000" w:themeColor="text1"/>
        </w:rPr>
        <w:t xml:space="preserve"> concentrations of subcomponents from the Beer–Lambert law. The</w:t>
      </w:r>
      <w:r w:rsidR="00662BD6" w:rsidRPr="00BF788D">
        <w:rPr>
          <w:rFonts w:ascii="Times New Roman" w:hAnsi="Times New Roman"/>
          <w:bCs/>
          <w:color w:val="000000" w:themeColor="text1"/>
        </w:rPr>
        <w:t xml:space="preserve"> </w:t>
      </w:r>
      <w:bookmarkStart w:id="8" w:name="_Hlk51185721"/>
      <w:r w:rsidR="00662BD6" w:rsidRPr="00BF788D">
        <w:rPr>
          <w:rFonts w:ascii="Times New Roman" w:hAnsi="Times New Roman"/>
          <w:bCs/>
          <w:color w:val="000000" w:themeColor="text1"/>
        </w:rPr>
        <w:t>SI</w:t>
      </w:r>
      <w:r w:rsidR="00C96872">
        <w:rPr>
          <w:rFonts w:ascii="Times New Roman" w:hAnsi="Times New Roman"/>
          <w:bCs/>
          <w:color w:val="000000" w:themeColor="text1"/>
        </w:rPr>
        <w:t xml:space="preserve"> </w:t>
      </w:r>
      <w:r w:rsidR="00C96872" w:rsidRPr="007731D8">
        <w:rPr>
          <w:rFonts w:cs="Minion"/>
          <w:color w:val="000000"/>
          <w:szCs w:val="19"/>
        </w:rPr>
        <w:t>(international system of units)</w:t>
      </w:r>
      <w:bookmarkEnd w:id="8"/>
      <w:r w:rsidR="00C96872" w:rsidRPr="007731D8">
        <w:rPr>
          <w:rFonts w:cs="Minion"/>
          <w:color w:val="000000"/>
          <w:szCs w:val="19"/>
        </w:rPr>
        <w:t xml:space="preserve">-traceable </w:t>
      </w:r>
      <w:r w:rsidR="006343BA">
        <w:rPr>
          <w:rFonts w:ascii="Times New Roman" w:hAnsi="Times New Roman"/>
          <w:bCs/>
          <w:color w:val="000000" w:themeColor="text1"/>
        </w:rPr>
        <w:t>measurement can improve data reproducibility and inter-laboratory comparability significantly for measurement assurance</w:t>
      </w:r>
      <w:r w:rsidR="00662BD6" w:rsidRPr="00BF788D">
        <w:rPr>
          <w:rFonts w:ascii="Times New Roman" w:hAnsi="Times New Roman"/>
          <w:bCs/>
          <w:color w:val="000000" w:themeColor="text1"/>
        </w:rPr>
        <w:t>.</w:t>
      </w:r>
    </w:p>
    <w:p w14:paraId="6ACBC5E0" w14:textId="5DBA4FDA" w:rsidR="00A87B35" w:rsidRPr="009D1652" w:rsidRDefault="0094350F" w:rsidP="003F0922">
      <w:pPr>
        <w:pStyle w:val="TAMainText"/>
        <w:rPr>
          <w:rFonts w:cs="Minion"/>
          <w:color w:val="000000"/>
          <w:szCs w:val="19"/>
        </w:rPr>
      </w:pPr>
      <w:r w:rsidRPr="009D1652">
        <w:rPr>
          <w:rFonts w:cs="Minion"/>
          <w:color w:val="000000"/>
          <w:szCs w:val="19"/>
        </w:rPr>
        <w:t xml:space="preserve">Despite these many advantages, </w:t>
      </w:r>
      <w:r w:rsidR="00482B08">
        <w:rPr>
          <w:rFonts w:cs="Minion"/>
          <w:color w:val="000000"/>
          <w:szCs w:val="19"/>
        </w:rPr>
        <w:t xml:space="preserve">the </w:t>
      </w:r>
      <w:r w:rsidR="005A5DCC" w:rsidRPr="009D1652">
        <w:rPr>
          <w:rFonts w:cs="Minion"/>
          <w:color w:val="000000"/>
          <w:szCs w:val="19"/>
        </w:rPr>
        <w:t xml:space="preserve">application of </w:t>
      </w:r>
      <w:r w:rsidR="00673F5F">
        <w:rPr>
          <w:rFonts w:cs="Minion"/>
          <w:color w:val="000000"/>
          <w:szCs w:val="19"/>
        </w:rPr>
        <w:t xml:space="preserve">conventional </w:t>
      </w:r>
      <w:r w:rsidR="006343BA">
        <w:rPr>
          <w:rFonts w:cs="Minion"/>
          <w:color w:val="000000"/>
          <w:szCs w:val="19"/>
        </w:rPr>
        <w:t xml:space="preserve">IR </w:t>
      </w:r>
      <w:r w:rsidR="006343BA" w:rsidRPr="00F667CE">
        <w:t>spectroscopy</w:t>
      </w:r>
      <w:r w:rsidR="00673F5F">
        <w:rPr>
          <w:rFonts w:cs="Minion"/>
          <w:color w:val="000000"/>
          <w:szCs w:val="19"/>
        </w:rPr>
        <w:t>, represented by</w:t>
      </w:r>
      <w:r w:rsidRPr="009D1652">
        <w:rPr>
          <w:rFonts w:cs="Minion"/>
          <w:color w:val="000000"/>
          <w:szCs w:val="19"/>
        </w:rPr>
        <w:t xml:space="preserve"> </w:t>
      </w:r>
      <w:r w:rsidR="00673F5F">
        <w:rPr>
          <w:rFonts w:cs="Minion"/>
          <w:color w:val="000000"/>
          <w:szCs w:val="19"/>
        </w:rPr>
        <w:t>Fourier-transform IR (FT-IR),</w:t>
      </w:r>
      <w:r w:rsidR="00673F5F" w:rsidRPr="009D1652">
        <w:rPr>
          <w:rFonts w:cs="Minion"/>
          <w:color w:val="000000"/>
          <w:szCs w:val="19"/>
        </w:rPr>
        <w:t xml:space="preserve"> </w:t>
      </w:r>
      <w:r w:rsidR="005A5DCC" w:rsidRPr="009D1652">
        <w:rPr>
          <w:rFonts w:cs="Minion"/>
          <w:color w:val="000000"/>
          <w:szCs w:val="19"/>
        </w:rPr>
        <w:t xml:space="preserve">is </w:t>
      </w:r>
      <w:r w:rsidR="00BA51AE" w:rsidRPr="009D1652">
        <w:rPr>
          <w:rFonts w:cs="Minion"/>
          <w:color w:val="000000"/>
          <w:szCs w:val="19"/>
        </w:rPr>
        <w:t xml:space="preserve">significantly </w:t>
      </w:r>
      <w:r w:rsidR="005A5DCC" w:rsidRPr="009D1652">
        <w:rPr>
          <w:rFonts w:cs="Minion"/>
          <w:color w:val="000000"/>
          <w:szCs w:val="19"/>
        </w:rPr>
        <w:t xml:space="preserve">limited when </w:t>
      </w:r>
      <w:r w:rsidR="003A70CC" w:rsidRPr="009D1652">
        <w:rPr>
          <w:rFonts w:cs="Minion"/>
          <w:color w:val="000000"/>
          <w:szCs w:val="19"/>
        </w:rPr>
        <w:t xml:space="preserve">it is used to </w:t>
      </w:r>
      <w:r w:rsidR="005A5DCC" w:rsidRPr="009D1652">
        <w:rPr>
          <w:rFonts w:cs="Minion"/>
          <w:color w:val="000000"/>
          <w:szCs w:val="19"/>
        </w:rPr>
        <w:t>analy</w:t>
      </w:r>
      <w:r w:rsidR="003A70CC" w:rsidRPr="009D1652">
        <w:rPr>
          <w:rFonts w:cs="Minion"/>
          <w:color w:val="000000"/>
          <w:szCs w:val="19"/>
        </w:rPr>
        <w:t>ze</w:t>
      </w:r>
      <w:r w:rsidR="005A5DCC" w:rsidRPr="009D1652">
        <w:rPr>
          <w:rFonts w:cs="Minion"/>
          <w:color w:val="000000"/>
          <w:szCs w:val="19"/>
        </w:rPr>
        <w:t xml:space="preserve"> </w:t>
      </w:r>
      <w:r w:rsidR="00D044D5">
        <w:rPr>
          <w:rFonts w:cs="Minion"/>
          <w:color w:val="000000"/>
          <w:szCs w:val="19"/>
        </w:rPr>
        <w:t>proteins in aqueous solutions</w:t>
      </w:r>
      <w:r w:rsidR="006F196F">
        <w:rPr>
          <w:rFonts w:cs="Minion"/>
          <w:color w:val="000000"/>
          <w:szCs w:val="19"/>
        </w:rPr>
        <w:t>.</w:t>
      </w:r>
      <w:r w:rsidR="00B4177E">
        <w:rPr>
          <w:rFonts w:cs="Minion"/>
          <w:color w:val="000000"/>
          <w:szCs w:val="19"/>
        </w:rPr>
        <w:t xml:space="preserve"> T</w:t>
      </w:r>
      <w:r w:rsidR="005A5DCC" w:rsidRPr="009D1652">
        <w:rPr>
          <w:rFonts w:cs="Minion"/>
          <w:color w:val="000000"/>
          <w:szCs w:val="19"/>
        </w:rPr>
        <w:t xml:space="preserve">he </w:t>
      </w:r>
      <w:r w:rsidR="006343BA">
        <w:rPr>
          <w:rFonts w:cs="Minion"/>
          <w:color w:val="000000"/>
          <w:szCs w:val="19"/>
        </w:rPr>
        <w:t>substantial</w:t>
      </w:r>
      <w:r w:rsidR="006343BA" w:rsidRPr="009D1652">
        <w:rPr>
          <w:rFonts w:cs="Minion"/>
          <w:color w:val="000000"/>
          <w:szCs w:val="19"/>
        </w:rPr>
        <w:t xml:space="preserve"> </w:t>
      </w:r>
      <w:r w:rsidR="002949D5" w:rsidRPr="009D1652">
        <w:rPr>
          <w:rFonts w:cs="Minion"/>
          <w:color w:val="000000"/>
          <w:szCs w:val="19"/>
        </w:rPr>
        <w:t xml:space="preserve">light </w:t>
      </w:r>
      <w:r w:rsidR="005A5DCC" w:rsidRPr="009D1652">
        <w:rPr>
          <w:rFonts w:cs="Minion"/>
          <w:color w:val="000000"/>
          <w:szCs w:val="19"/>
        </w:rPr>
        <w:t>absorption by water</w:t>
      </w:r>
      <w:r w:rsidR="00B74D99" w:rsidRPr="009D1652">
        <w:rPr>
          <w:rFonts w:cs="Minion"/>
          <w:color w:val="000000"/>
          <w:szCs w:val="19"/>
        </w:rPr>
        <w:t xml:space="preserve"> </w:t>
      </w:r>
      <w:r w:rsidR="00BA51AE" w:rsidRPr="009D1652">
        <w:rPr>
          <w:rFonts w:cs="Minion"/>
          <w:color w:val="000000"/>
          <w:szCs w:val="19"/>
        </w:rPr>
        <w:t xml:space="preserve">reduces the transmitted signal intensity, </w:t>
      </w:r>
      <w:r w:rsidR="003A70CC" w:rsidRPr="009D1652">
        <w:rPr>
          <w:rFonts w:cs="Minion"/>
          <w:color w:val="000000"/>
          <w:szCs w:val="19"/>
        </w:rPr>
        <w:t>dominates the dynamic range of a detection system</w:t>
      </w:r>
      <w:r w:rsidR="00BA51AE" w:rsidRPr="009D1652">
        <w:rPr>
          <w:rFonts w:cs="Minion"/>
          <w:color w:val="000000"/>
          <w:szCs w:val="19"/>
        </w:rPr>
        <w:t>,</w:t>
      </w:r>
      <w:r w:rsidR="00B74D99" w:rsidRPr="009D1652">
        <w:rPr>
          <w:rFonts w:cs="Minion"/>
          <w:color w:val="000000"/>
          <w:szCs w:val="19"/>
        </w:rPr>
        <w:t xml:space="preserve"> and </w:t>
      </w:r>
      <w:r w:rsidR="00447950">
        <w:rPr>
          <w:rFonts w:cs="Minion"/>
          <w:color w:val="000000"/>
          <w:szCs w:val="19"/>
        </w:rPr>
        <w:t>overwhelms</w:t>
      </w:r>
      <w:r w:rsidR="00B74D99" w:rsidRPr="009D1652">
        <w:rPr>
          <w:rFonts w:cs="Minion"/>
          <w:color w:val="000000"/>
          <w:szCs w:val="19"/>
        </w:rPr>
        <w:t xml:space="preserve"> analyte absorption contributions</w:t>
      </w:r>
      <w:r w:rsidR="005A5DCC" w:rsidRPr="009D1652">
        <w:rPr>
          <w:rFonts w:cs="Minion"/>
          <w:color w:val="000000"/>
          <w:szCs w:val="19"/>
        </w:rPr>
        <w:t>.</w:t>
      </w:r>
      <w:r w:rsidR="003A70CC" w:rsidRPr="009D1652">
        <w:rPr>
          <w:rFonts w:cs="Minion"/>
          <w:color w:val="000000"/>
          <w:szCs w:val="19"/>
        </w:rPr>
        <w:t xml:space="preserve"> </w:t>
      </w:r>
      <w:r w:rsidR="002949D5" w:rsidRPr="009D1652">
        <w:rPr>
          <w:rFonts w:cs="Minion"/>
          <w:color w:val="000000"/>
          <w:szCs w:val="19"/>
        </w:rPr>
        <w:t xml:space="preserve">As a result, </w:t>
      </w:r>
      <w:r w:rsidR="00931331">
        <w:rPr>
          <w:rFonts w:cs="Minion"/>
          <w:color w:val="000000"/>
          <w:szCs w:val="19"/>
        </w:rPr>
        <w:t>the</w:t>
      </w:r>
      <w:r w:rsidR="002949D5" w:rsidRPr="009D1652">
        <w:rPr>
          <w:rFonts w:cs="Minion"/>
          <w:color w:val="000000"/>
          <w:szCs w:val="19"/>
        </w:rPr>
        <w:t xml:space="preserve"> optical path length </w:t>
      </w:r>
      <w:r w:rsidR="001260BD" w:rsidRPr="009D1652">
        <w:rPr>
          <w:rFonts w:cs="Minion"/>
          <w:color w:val="000000"/>
          <w:szCs w:val="19"/>
        </w:rPr>
        <w:t>i</w:t>
      </w:r>
      <w:r w:rsidR="002949D5" w:rsidRPr="009D1652">
        <w:rPr>
          <w:rFonts w:cs="Minion"/>
          <w:color w:val="000000"/>
          <w:szCs w:val="19"/>
        </w:rPr>
        <w:t>s</w:t>
      </w:r>
      <w:r w:rsidR="001260BD" w:rsidRPr="009D1652">
        <w:rPr>
          <w:rFonts w:cs="Minion"/>
          <w:color w:val="000000"/>
          <w:szCs w:val="19"/>
        </w:rPr>
        <w:t xml:space="preserve"> required</w:t>
      </w:r>
      <w:r w:rsidR="002949D5" w:rsidRPr="009D1652">
        <w:rPr>
          <w:rFonts w:cs="Minion"/>
          <w:color w:val="000000"/>
          <w:szCs w:val="19"/>
        </w:rPr>
        <w:t xml:space="preserve"> to be short, typically </w:t>
      </w:r>
      <w:r w:rsidR="008D3499" w:rsidRPr="009D1652">
        <w:rPr>
          <w:rFonts w:cs="Minion"/>
          <w:color w:val="000000"/>
          <w:szCs w:val="19"/>
        </w:rPr>
        <w:t>6</w:t>
      </w:r>
      <w:r w:rsidR="002949D5" w:rsidRPr="009D1652">
        <w:rPr>
          <w:rFonts w:cs="Minion"/>
          <w:color w:val="000000"/>
          <w:szCs w:val="19"/>
        </w:rPr>
        <w:t xml:space="preserve"> </w:t>
      </w:r>
      <w:r w:rsidR="00880231" w:rsidRPr="009D1652">
        <w:rPr>
          <w:rFonts w:ascii="Symbol" w:hAnsi="Symbol" w:cs="Minion"/>
          <w:color w:val="000000"/>
          <w:szCs w:val="19"/>
        </w:rPr>
        <w:t></w:t>
      </w:r>
      <w:r w:rsidR="002949D5" w:rsidRPr="009D1652">
        <w:rPr>
          <w:rFonts w:cs="Minion"/>
          <w:color w:val="000000"/>
          <w:szCs w:val="19"/>
        </w:rPr>
        <w:t>m</w:t>
      </w:r>
      <w:r w:rsidR="008D3499" w:rsidRPr="009D1652">
        <w:rPr>
          <w:rFonts w:cs="Minion"/>
          <w:color w:val="000000"/>
          <w:szCs w:val="19"/>
        </w:rPr>
        <w:t xml:space="preserve"> or 8 </w:t>
      </w:r>
      <w:r w:rsidR="008D3499" w:rsidRPr="009D1652">
        <w:rPr>
          <w:rFonts w:ascii="Symbol" w:hAnsi="Symbol" w:cs="Minion"/>
          <w:color w:val="000000"/>
          <w:szCs w:val="19"/>
        </w:rPr>
        <w:t></w:t>
      </w:r>
      <w:r w:rsidR="008D3499" w:rsidRPr="009D1652">
        <w:rPr>
          <w:rFonts w:cs="Minion"/>
          <w:color w:val="000000"/>
          <w:szCs w:val="19"/>
        </w:rPr>
        <w:t>m</w:t>
      </w:r>
      <w:r w:rsidR="00B74D99" w:rsidRPr="009D1652">
        <w:rPr>
          <w:rFonts w:cs="Minion"/>
          <w:color w:val="000000"/>
          <w:szCs w:val="19"/>
        </w:rPr>
        <w:t xml:space="preserve">, </w:t>
      </w:r>
      <w:r w:rsidR="002949D5" w:rsidRPr="009D1652">
        <w:rPr>
          <w:rFonts w:cs="Minion"/>
          <w:color w:val="000000"/>
          <w:szCs w:val="19"/>
        </w:rPr>
        <w:t xml:space="preserve">and the analyte concentration needs to be high, typically </w:t>
      </w:r>
      <w:r w:rsidR="005A0D1C" w:rsidRPr="009D1652">
        <w:rPr>
          <w:rFonts w:cs="Minion"/>
          <w:color w:val="000000"/>
          <w:szCs w:val="19"/>
        </w:rPr>
        <w:t>&gt;</w:t>
      </w:r>
      <w:r w:rsidR="002949D5" w:rsidRPr="009D1652">
        <w:rPr>
          <w:rFonts w:cs="Minion"/>
          <w:color w:val="000000"/>
          <w:szCs w:val="19"/>
        </w:rPr>
        <w:t>10 mg/mL for protein</w:t>
      </w:r>
      <w:r w:rsidR="002B7CF4">
        <w:rPr>
          <w:rFonts w:cs="Minion"/>
          <w:color w:val="000000"/>
          <w:szCs w:val="19"/>
        </w:rPr>
        <w:t>.</w:t>
      </w:r>
      <w:r w:rsidR="00096D6A">
        <w:fldChar w:fldCharType="begin" w:fldLock="1"/>
      </w:r>
      <w:r w:rsidR="00CB7374">
        <w:instrText>ADDIN CSL_CITATION {"citationItems":[{"id":"ITEM-1","itemData":{"DOI":"10.1038/nprot.2015.024","ISSN":"17502799","abstract":"Fourier transform IR (FTIR) spectroscopy is a nondestructive technique for structural characterization of proteins and polypeptides. The IR spectral data of polymers are usually interpreted in terms of the vibrations of a structural repeat. The repeat units in proteins give rise to nine characteristic IR absorption bands (amides A, B and I-VII). Amide I bands (1,700-1,600 cm -1) are the most prominent and sensitive vibrational bands of the protein backbone, and they relate to protein secondary structural components. In this protocol, we have detailed the principles that underlie the determination of protein secondary structure by FTIR spectroscopy, as well as the basic steps involved in protein sample preparation, instrument operation, FTIR spectra collection and spectra analysis in order to estimate protein secondary-structural components in aqueous (both H 2 O and deuterium oxide (D 2 O)) solution using algorithms, such as second-derivative, deconvolution and curve fitting. Small amounts of high-purity (&gt;95%) proteins at high concentrations (&gt;3 mg ml -1) are needed in this protocol; typically, the procedure can be completed in 1-2 d.","author":[{"dropping-particle":"","family":"Yang","given":"Huayan","non-dropping-particle":"","parse-names":false,"suffix":""},{"dropping-particle":"","family":"Yang","given":"Shouning","non-dropping-particle":"","parse-names":false,"suffix":""},{"dropping-particle":"","family":"Kong","given":"Jilie","non-dropping-particle":"","parse-names":false,"suffix":""},{"dropping-particle":"","family":"Dong","given":"Aichun","non-dropping-particle":"","parse-names":false,"suffix":""},{"dropping-particle":"","family":"Yu","given":"Shaoning","non-dropping-particle":"","parse-names":false,"suffix":""}],"container-title":"Nature Protocols","id":"ITEM-1","issue":"3","issued":{"date-parts":[["2015","3","2"]]},"page":"382-396","publisher":"Nature Publishing Group","title":"Obtaining information about protein secondary structures in aqueous solution using Fourier transform IR spectroscopy","type":"article-journal","volume":"10"},"uris":["http://www.mendeley.com/documents/?uuid=0d525243-eee6-4c2f-805f-4be28cb6393d"]}],"mendeley":{"formattedCitation":"&lt;sup&gt;3&lt;/sup&gt;","plainTextFormattedCitation":"3","previouslyFormattedCitation":"&lt;sup&gt;3&lt;/sup&gt;"},"properties":{"noteIndex":0},"schema":"https://github.com/citation-style-language/schema/raw/master/csl-citation.json"}</w:instrText>
      </w:r>
      <w:r w:rsidR="00096D6A">
        <w:fldChar w:fldCharType="separate"/>
      </w:r>
      <w:r w:rsidR="00CB7374" w:rsidRPr="00CB7374">
        <w:rPr>
          <w:noProof/>
          <w:vertAlign w:val="superscript"/>
        </w:rPr>
        <w:t>3</w:t>
      </w:r>
      <w:r w:rsidR="00096D6A">
        <w:fldChar w:fldCharType="end"/>
      </w:r>
      <w:r w:rsidR="002949D5" w:rsidRPr="009D1652">
        <w:rPr>
          <w:rFonts w:cs="Minion"/>
          <w:color w:val="000000"/>
          <w:szCs w:val="19"/>
        </w:rPr>
        <w:t xml:space="preserve"> </w:t>
      </w:r>
      <w:r w:rsidR="00B750FA">
        <w:rPr>
          <w:rFonts w:cs="Minion"/>
          <w:color w:val="000000"/>
          <w:szCs w:val="19"/>
        </w:rPr>
        <w:t>The</w:t>
      </w:r>
      <w:r w:rsidR="002949D5" w:rsidRPr="009D1652">
        <w:rPr>
          <w:rFonts w:cs="Minion"/>
          <w:color w:val="000000"/>
          <w:szCs w:val="19"/>
        </w:rPr>
        <w:t xml:space="preserve"> thin optical </w:t>
      </w:r>
      <w:r w:rsidR="002949D5" w:rsidRPr="009D1652">
        <w:rPr>
          <w:rFonts w:cs="Minion"/>
          <w:color w:val="000000"/>
          <w:szCs w:val="19"/>
        </w:rPr>
        <w:lastRenderedPageBreak/>
        <w:t xml:space="preserve">path length makes it extremely challenging to </w:t>
      </w:r>
      <w:r w:rsidR="001260BD" w:rsidRPr="009D1652">
        <w:rPr>
          <w:rFonts w:cs="Minion"/>
          <w:color w:val="000000"/>
          <w:szCs w:val="19"/>
        </w:rPr>
        <w:t xml:space="preserve">keep the same path length </w:t>
      </w:r>
      <w:r w:rsidR="002949D5" w:rsidRPr="009D1652">
        <w:rPr>
          <w:rFonts w:cs="Minion"/>
          <w:color w:val="000000"/>
          <w:szCs w:val="19"/>
        </w:rPr>
        <w:t xml:space="preserve">between the sample solution and the solvent reference </w:t>
      </w:r>
      <w:r w:rsidR="001260BD" w:rsidRPr="009D1652">
        <w:rPr>
          <w:rFonts w:cs="Minion"/>
          <w:color w:val="000000"/>
          <w:szCs w:val="19"/>
        </w:rPr>
        <w:t xml:space="preserve">measurements, </w:t>
      </w:r>
      <w:r w:rsidR="00B74D99" w:rsidRPr="009D1652">
        <w:rPr>
          <w:rFonts w:cs="Minion"/>
          <w:color w:val="000000"/>
          <w:szCs w:val="19"/>
        </w:rPr>
        <w:t xml:space="preserve">which </w:t>
      </w:r>
      <w:r w:rsidR="00B750FA">
        <w:rPr>
          <w:rFonts w:cs="Minion"/>
          <w:color w:val="000000"/>
          <w:szCs w:val="19"/>
        </w:rPr>
        <w:t>makes</w:t>
      </w:r>
      <w:r w:rsidR="001260BD" w:rsidRPr="009D1652">
        <w:rPr>
          <w:rFonts w:cs="Minion"/>
          <w:color w:val="000000"/>
          <w:szCs w:val="19"/>
        </w:rPr>
        <w:t xml:space="preserve"> practical measurement reliability</w:t>
      </w:r>
      <w:r w:rsidR="00B750FA">
        <w:rPr>
          <w:rFonts w:cs="Minion"/>
          <w:color w:val="000000"/>
          <w:szCs w:val="19"/>
        </w:rPr>
        <w:t xml:space="preserve"> challen</w:t>
      </w:r>
      <w:r w:rsidR="004A0E27">
        <w:rPr>
          <w:rFonts w:cs="Minion"/>
          <w:color w:val="000000"/>
          <w:szCs w:val="19"/>
        </w:rPr>
        <w:t>g</w:t>
      </w:r>
      <w:r w:rsidR="00B750FA">
        <w:rPr>
          <w:rFonts w:cs="Minion"/>
          <w:color w:val="000000"/>
          <w:szCs w:val="19"/>
        </w:rPr>
        <w:t>ing</w:t>
      </w:r>
      <w:r w:rsidR="001260BD" w:rsidRPr="009D1652">
        <w:rPr>
          <w:rFonts w:cs="Minion"/>
          <w:color w:val="000000"/>
          <w:szCs w:val="19"/>
        </w:rPr>
        <w:t xml:space="preserve">. </w:t>
      </w:r>
      <w:r w:rsidR="006343BA">
        <w:rPr>
          <w:rFonts w:cs="Minion"/>
          <w:color w:val="000000"/>
          <w:szCs w:val="19"/>
        </w:rPr>
        <w:t>Also, an optical sample cell with a narrow space (&lt;</w:t>
      </w:r>
      <w:r w:rsidR="00096D6A">
        <w:rPr>
          <w:rFonts w:cs="Minion"/>
          <w:color w:val="000000"/>
          <w:szCs w:val="19"/>
        </w:rPr>
        <w:t xml:space="preserve"> </w:t>
      </w:r>
      <w:r w:rsidR="006343BA">
        <w:rPr>
          <w:rFonts w:cs="Minion"/>
          <w:color w:val="000000"/>
          <w:szCs w:val="19"/>
        </w:rPr>
        <w:t xml:space="preserve">10 </w:t>
      </w:r>
      <w:r w:rsidR="006343BA" w:rsidRPr="009D1652">
        <w:rPr>
          <w:rFonts w:ascii="Symbol" w:hAnsi="Symbol" w:cs="Minion"/>
          <w:color w:val="000000"/>
          <w:szCs w:val="19"/>
        </w:rPr>
        <w:t></w:t>
      </w:r>
      <w:r w:rsidR="006343BA" w:rsidRPr="009D1652">
        <w:rPr>
          <w:rFonts w:cs="Minion"/>
          <w:color w:val="000000"/>
          <w:szCs w:val="19"/>
        </w:rPr>
        <w:t>m</w:t>
      </w:r>
      <w:r w:rsidR="006343BA">
        <w:rPr>
          <w:rFonts w:cs="Minion"/>
          <w:color w:val="000000"/>
          <w:szCs w:val="19"/>
        </w:rPr>
        <w:t xml:space="preserve">) is not compatible with typical </w:t>
      </w:r>
      <w:r w:rsidR="003A4195">
        <w:rPr>
          <w:rFonts w:cs="Minion"/>
          <w:color w:val="000000"/>
          <w:szCs w:val="19"/>
        </w:rPr>
        <w:t xml:space="preserve">microfluidic </w:t>
      </w:r>
      <w:r w:rsidR="006343BA">
        <w:rPr>
          <w:rFonts w:cs="Minion"/>
          <w:color w:val="000000"/>
          <w:szCs w:val="19"/>
        </w:rPr>
        <w:t>conditions because of pressure build-up</w:t>
      </w:r>
      <w:r w:rsidR="002B7CF4">
        <w:rPr>
          <w:rFonts w:cs="Minion"/>
          <w:color w:val="000000"/>
          <w:szCs w:val="19"/>
        </w:rPr>
        <w:t>,</w:t>
      </w:r>
      <w:r w:rsidR="005875E6">
        <w:rPr>
          <w:rFonts w:cs="Minion"/>
          <w:color w:val="000000"/>
          <w:szCs w:val="19"/>
        </w:rPr>
        <w:fldChar w:fldCharType="begin" w:fldLock="1"/>
      </w:r>
      <w:r w:rsidR="00CB7374">
        <w:rPr>
          <w:rFonts w:cs="Minion"/>
          <w:color w:val="000000"/>
          <w:szCs w:val="19"/>
        </w:rPr>
        <w:instrText>ADDIN CSL_CITATION {"citationItems":[{"id":"ITEM-1","itemData":{"DOI":"10.1039/c6re00127k","ISSN":"20589883","abstract":"This review outlines the combination of infrared spectroscopy and continuous microfluidic processes. FTIR spectroscopy gives access to the microscopic chemical composition of samples, which can be correlated with their macroscopic properties. This approach is widely used in chemistry or biology to get insights into reactive media. Meanwhile, the miniaturization of flow chemical reactors offers many advantages such as the small amount of products used or the versatility of the reactors. Coupling these two approaches creates major opportunities for the analytical field, although it raises additional challenges. Emphasis is placed on the most recent developments and limitations concerning the integration of infrared spectroscopy techniques within microfluidic devices, while current applications and future opportunities will be discussed.","author":[{"dropping-particle":"","family":"Perro","given":"Adeline","non-dropping-particle":"","parse-names":false,"suffix":""},{"dropping-particle":"","family":"Lebourdon","given":"Gwenaelle","non-dropping-particle":"","parse-names":false,"suffix":""},{"dropping-particle":"","family":"Henry","given":"Sarah","non-dropping-particle":"","parse-names":false,"suffix":""},{"dropping-particle":"","family":"Lecomte","given":"Sophie","non-dropping-particle":"","parse-names":false,"suffix":""},{"dropping-particle":"","family":"Servant","given":"Laurent","non-dropping-particle":"","parse-names":false,"suffix":""},{"dropping-particle":"","family":"Marre","given":"Samuel","non-dropping-particle":"","parse-names":false,"suffix":""}],"container-title":"Reaction Chemistry and Engineering","id":"ITEM-1","issue":"6","issued":{"date-parts":[["2016"]]},"page":"577-594","publisher":"Royal Society of Chemistry","title":"Combining microfluidics and FT-IR spectroscopy: Towards spatially resolved information on chemical processes","type":"article-journal","volume":"1"},"uris":["http://www.mendeley.com/documents/?uuid=ac816e40-f1a9-40df-a089-9a6e3d1556b9"]}],"mendeley":{"formattedCitation":"&lt;sup&gt;4&lt;/sup&gt;","plainTextFormattedCitation":"4","previouslyFormattedCitation":"&lt;sup&gt;4&lt;/sup&gt;"},"properties":{"noteIndex":0},"schema":"https://github.com/citation-style-language/schema/raw/master/csl-citation.json"}</w:instrText>
      </w:r>
      <w:r w:rsidR="005875E6">
        <w:rPr>
          <w:rFonts w:cs="Minion"/>
          <w:color w:val="000000"/>
          <w:szCs w:val="19"/>
        </w:rPr>
        <w:fldChar w:fldCharType="separate"/>
      </w:r>
      <w:r w:rsidR="00CB7374" w:rsidRPr="00CB7374">
        <w:rPr>
          <w:rFonts w:cs="Minion"/>
          <w:noProof/>
          <w:color w:val="000000"/>
          <w:szCs w:val="19"/>
          <w:vertAlign w:val="superscript"/>
        </w:rPr>
        <w:t>4</w:t>
      </w:r>
      <w:r w:rsidR="005875E6">
        <w:rPr>
          <w:rFonts w:cs="Minion"/>
          <w:color w:val="000000"/>
          <w:szCs w:val="19"/>
        </w:rPr>
        <w:fldChar w:fldCharType="end"/>
      </w:r>
      <w:r w:rsidR="006343BA">
        <w:rPr>
          <w:rFonts w:cs="Minion"/>
          <w:color w:val="000000"/>
          <w:szCs w:val="19"/>
        </w:rPr>
        <w:t xml:space="preserve"> </w:t>
      </w:r>
      <w:r w:rsidR="00EA30BD">
        <w:rPr>
          <w:rFonts w:cs="Minion"/>
          <w:color w:val="000000"/>
          <w:szCs w:val="19"/>
        </w:rPr>
        <w:t>making</w:t>
      </w:r>
      <w:r w:rsidR="006343BA">
        <w:rPr>
          <w:rFonts w:cs="Minion"/>
          <w:color w:val="000000"/>
          <w:szCs w:val="19"/>
        </w:rPr>
        <w:t xml:space="preserve"> the technique </w:t>
      </w:r>
      <w:r w:rsidR="00F639C1">
        <w:rPr>
          <w:rFonts w:cs="Minion"/>
          <w:color w:val="000000"/>
          <w:szCs w:val="19"/>
        </w:rPr>
        <w:t>unsuitable for</w:t>
      </w:r>
      <w:r w:rsidR="003A4195">
        <w:rPr>
          <w:rFonts w:cs="Minion"/>
          <w:color w:val="000000"/>
          <w:szCs w:val="19"/>
        </w:rPr>
        <w:t xml:space="preserve"> </w:t>
      </w:r>
      <w:r w:rsidR="006343BA">
        <w:rPr>
          <w:rFonts w:cs="Minion"/>
          <w:color w:val="000000"/>
          <w:szCs w:val="19"/>
        </w:rPr>
        <w:t xml:space="preserve">in-line monitoring or </w:t>
      </w:r>
      <w:bookmarkStart w:id="9" w:name="_Hlk51185772"/>
      <w:r w:rsidR="006343BA">
        <w:rPr>
          <w:rFonts w:cs="Minion"/>
          <w:color w:val="000000"/>
          <w:szCs w:val="19"/>
        </w:rPr>
        <w:t xml:space="preserve">process analytical technology </w:t>
      </w:r>
      <w:bookmarkEnd w:id="9"/>
      <w:r w:rsidR="006343BA">
        <w:rPr>
          <w:rFonts w:cs="Minion"/>
          <w:color w:val="000000"/>
          <w:szCs w:val="19"/>
        </w:rPr>
        <w:t>(PAT).</w:t>
      </w:r>
      <w:r w:rsidR="008C0C50">
        <w:rPr>
          <w:rFonts w:cs="Minion"/>
          <w:color w:val="000000"/>
          <w:szCs w:val="19"/>
        </w:rPr>
        <w:t xml:space="preserve"> </w:t>
      </w:r>
      <w:r w:rsidR="001260BD" w:rsidRPr="009D1652">
        <w:rPr>
          <w:rFonts w:cs="Minion"/>
          <w:color w:val="000000"/>
          <w:szCs w:val="19"/>
        </w:rPr>
        <w:t>As an alternative</w:t>
      </w:r>
      <w:r w:rsidR="002B7CF4">
        <w:rPr>
          <w:rFonts w:cs="Minion"/>
          <w:color w:val="000000"/>
          <w:szCs w:val="19"/>
        </w:rPr>
        <w:t xml:space="preserve"> to avoid the water absorption band</w:t>
      </w:r>
      <w:r w:rsidR="001260BD" w:rsidRPr="009D1652">
        <w:rPr>
          <w:rFonts w:cs="Minion"/>
          <w:color w:val="000000"/>
          <w:szCs w:val="19"/>
        </w:rPr>
        <w:t xml:space="preserve">, </w:t>
      </w:r>
      <w:r w:rsidR="00482B08">
        <w:rPr>
          <w:rFonts w:cs="Minion"/>
          <w:color w:val="000000"/>
          <w:szCs w:val="19"/>
        </w:rPr>
        <w:t xml:space="preserve">the </w:t>
      </w:r>
      <w:r w:rsidR="001260BD" w:rsidRPr="009D1652">
        <w:rPr>
          <w:rFonts w:cs="Minion"/>
          <w:color w:val="000000"/>
          <w:szCs w:val="19"/>
        </w:rPr>
        <w:t>D</w:t>
      </w:r>
      <w:r w:rsidR="001260BD" w:rsidRPr="00F667CE">
        <w:rPr>
          <w:rFonts w:cs="Minion"/>
          <w:color w:val="000000"/>
          <w:szCs w:val="19"/>
          <w:vertAlign w:val="subscript"/>
        </w:rPr>
        <w:t>2</w:t>
      </w:r>
      <w:r w:rsidR="001260BD" w:rsidRPr="009D1652">
        <w:rPr>
          <w:rFonts w:cs="Minion"/>
          <w:color w:val="000000"/>
          <w:szCs w:val="19"/>
        </w:rPr>
        <w:t>O exchange of the solvent has been used</w:t>
      </w:r>
      <w:r w:rsidR="002B7CF4">
        <w:rPr>
          <w:rFonts w:cs="Minion"/>
          <w:color w:val="000000"/>
          <w:szCs w:val="19"/>
        </w:rPr>
        <w:t>.</w:t>
      </w:r>
      <w:r w:rsidR="001260BD" w:rsidRPr="009D1652">
        <w:rPr>
          <w:rFonts w:cs="Minion"/>
          <w:color w:val="000000"/>
          <w:szCs w:val="19"/>
        </w:rPr>
        <w:t xml:space="preserve"> </w:t>
      </w:r>
      <w:r w:rsidR="002B7CF4">
        <w:rPr>
          <w:rFonts w:cs="Minion"/>
          <w:color w:val="000000"/>
          <w:szCs w:val="19"/>
        </w:rPr>
        <w:t>H</w:t>
      </w:r>
      <w:r w:rsidR="001260BD" w:rsidRPr="009D1652">
        <w:rPr>
          <w:rFonts w:cs="Minion"/>
          <w:color w:val="000000"/>
          <w:szCs w:val="19"/>
        </w:rPr>
        <w:t>owever, the thermodynamics and reaction kinetics of protein are known to be different in H</w:t>
      </w:r>
      <w:r w:rsidR="001260BD" w:rsidRPr="00F667CE">
        <w:rPr>
          <w:rFonts w:cs="Minion"/>
          <w:color w:val="000000"/>
          <w:szCs w:val="19"/>
          <w:vertAlign w:val="subscript"/>
        </w:rPr>
        <w:t>2</w:t>
      </w:r>
      <w:r w:rsidR="001260BD" w:rsidRPr="009D1652">
        <w:rPr>
          <w:rFonts w:cs="Minion"/>
          <w:color w:val="000000"/>
          <w:szCs w:val="19"/>
        </w:rPr>
        <w:t>O and D</w:t>
      </w:r>
      <w:r w:rsidR="001260BD" w:rsidRPr="00F667CE">
        <w:rPr>
          <w:rFonts w:cs="Minion"/>
          <w:color w:val="000000"/>
          <w:szCs w:val="19"/>
          <w:vertAlign w:val="subscript"/>
        </w:rPr>
        <w:t>2</w:t>
      </w:r>
      <w:r w:rsidR="001260BD" w:rsidRPr="009D1652">
        <w:rPr>
          <w:rFonts w:cs="Minion"/>
          <w:color w:val="000000"/>
          <w:szCs w:val="19"/>
        </w:rPr>
        <w:t>O, which can make the interpretation difficult</w:t>
      </w:r>
      <w:r w:rsidR="002B7CF4">
        <w:rPr>
          <w:rFonts w:cs="Minion"/>
          <w:color w:val="000000"/>
          <w:szCs w:val="19"/>
        </w:rPr>
        <w:t>.</w:t>
      </w:r>
      <w:r w:rsidR="00096D6A">
        <w:rPr>
          <w:rFonts w:cs="Minion"/>
          <w:color w:val="000000"/>
          <w:szCs w:val="19"/>
        </w:rPr>
        <w:fldChar w:fldCharType="begin" w:fldLock="1"/>
      </w:r>
      <w:r w:rsidR="00CB7374">
        <w:rPr>
          <w:rFonts w:cs="Minion"/>
          <w:color w:val="000000"/>
          <w:szCs w:val="19"/>
        </w:rPr>
        <w:instrText>ADDIN CSL_CITATION {"citationItems":[{"id":"ITEM-1","itemData":{"DOI":"10.1038/nprot.2015.024","ISSN":"17502799","abstract":"Fourier transform IR (FTIR) spectroscopy is a nondestructive technique for structural characterization of proteins and polypeptides. The IR spectral data of polymers are usually interpreted in terms of the vibrations of a structural repeat. The repeat units in proteins give rise to nine characteristic IR absorption bands (amides A, B and I-VII). Amide I bands (1,700-1,600 cm -1) are the most prominent and sensitive vibrational bands of the protein backbone, and they relate to protein secondary structural components. In this protocol, we have detailed the principles that underlie the determination of protein secondary structure by FTIR spectroscopy, as well as the basic steps involved in protein sample preparation, instrument operation, FTIR spectra collection and spectra analysis in order to estimate protein secondary-structural components in aqueous (both H 2 O and deuterium oxide (D 2 O)) solution using algorithms, such as second-derivative, deconvolution and curve fitting. Small amounts of high-purity (&gt;95%) proteins at high concentrations (&gt;3 mg ml -1) are needed in this protocol; typically, the procedure can be completed in 1-2 d.","author":[{"dropping-particle":"","family":"Yang","given":"Huayan","non-dropping-particle":"","parse-names":false,"suffix":""},{"dropping-particle":"","family":"Yang","given":"Shouning","non-dropping-particle":"","parse-names":false,"suffix":""},{"dropping-particle":"","family":"Kong","given":"Jilie","non-dropping-particle":"","parse-names":false,"suffix":""},{"dropping-particle":"","family":"Dong","given":"Aichun","non-dropping-particle":"","parse-names":false,"suffix":""},{"dropping-particle":"","family":"Yu","given":"Shaoning","non-dropping-particle":"","parse-names":false,"suffix":""}],"container-title":"Nature Protocols","id":"ITEM-1","issue":"3","issued":{"date-parts":[["2015","3","2"]]},"page":"382-396","publisher":"Nature Publishing Group","title":"Obtaining information about protein secondary structures in aqueous solution using Fourier transform IR spectroscopy","type":"article-journal","volume":"10"},"uris":["http://www.mendeley.com/documents/?uuid=0d525243-eee6-4c2f-805f-4be28cb6393d"]}],"mendeley":{"formattedCitation":"&lt;sup&gt;3&lt;/sup&gt;","plainTextFormattedCitation":"3","previouslyFormattedCitation":"&lt;sup&gt;3&lt;/sup&gt;"},"properties":{"noteIndex":0},"schema":"https://github.com/citation-style-language/schema/raw/master/csl-citation.json"}</w:instrText>
      </w:r>
      <w:r w:rsidR="00096D6A">
        <w:rPr>
          <w:rFonts w:cs="Minion"/>
          <w:color w:val="000000"/>
          <w:szCs w:val="19"/>
        </w:rPr>
        <w:fldChar w:fldCharType="separate"/>
      </w:r>
      <w:r w:rsidR="00CB7374" w:rsidRPr="00CB7374">
        <w:rPr>
          <w:rFonts w:cs="Minion"/>
          <w:noProof/>
          <w:color w:val="000000"/>
          <w:szCs w:val="19"/>
          <w:vertAlign w:val="superscript"/>
        </w:rPr>
        <w:t>3</w:t>
      </w:r>
      <w:r w:rsidR="00096D6A">
        <w:rPr>
          <w:rFonts w:cs="Minion"/>
          <w:color w:val="000000"/>
          <w:szCs w:val="19"/>
        </w:rPr>
        <w:fldChar w:fldCharType="end"/>
      </w:r>
    </w:p>
    <w:p w14:paraId="26731431" w14:textId="70CA18F6" w:rsidR="001260BD" w:rsidRPr="00084FF2" w:rsidRDefault="001260BD" w:rsidP="003F0922">
      <w:pPr>
        <w:pStyle w:val="TAMainText"/>
      </w:pPr>
      <w:r w:rsidRPr="6608B1F4">
        <w:rPr>
          <w:rFonts w:cs="Minion"/>
          <w:color w:val="000000" w:themeColor="text1"/>
        </w:rPr>
        <w:t>To overcome the</w:t>
      </w:r>
      <w:r w:rsidR="00880231" w:rsidRPr="6608B1F4">
        <w:rPr>
          <w:rFonts w:cs="Minion"/>
          <w:color w:val="000000" w:themeColor="text1"/>
        </w:rPr>
        <w:t>se</w:t>
      </w:r>
      <w:r w:rsidRPr="6608B1F4">
        <w:rPr>
          <w:rFonts w:cs="Minion"/>
          <w:color w:val="000000" w:themeColor="text1"/>
        </w:rPr>
        <w:t xml:space="preserve"> limitations </w:t>
      </w:r>
      <w:r w:rsidR="00425266" w:rsidRPr="6608B1F4">
        <w:rPr>
          <w:rFonts w:cs="Minion"/>
          <w:color w:val="000000" w:themeColor="text1"/>
        </w:rPr>
        <w:t xml:space="preserve">caused by </w:t>
      </w:r>
      <w:r w:rsidR="00F06FDC" w:rsidRPr="6608B1F4">
        <w:rPr>
          <w:rFonts w:cs="Minion"/>
          <w:color w:val="000000" w:themeColor="text1"/>
        </w:rPr>
        <w:t>low-</w:t>
      </w:r>
      <w:r w:rsidR="00425266" w:rsidRPr="6608B1F4">
        <w:rPr>
          <w:rFonts w:cs="Minion"/>
          <w:color w:val="000000" w:themeColor="text1"/>
        </w:rPr>
        <w:t xml:space="preserve">intensity </w:t>
      </w:r>
      <w:r w:rsidR="00880231" w:rsidRPr="6608B1F4">
        <w:rPr>
          <w:rFonts w:cs="Minion"/>
          <w:color w:val="000000" w:themeColor="text1"/>
        </w:rPr>
        <w:t xml:space="preserve">lamp-based </w:t>
      </w:r>
      <w:r w:rsidRPr="6608B1F4">
        <w:rPr>
          <w:rFonts w:cs="Minion"/>
          <w:color w:val="000000" w:themeColor="text1"/>
        </w:rPr>
        <w:t xml:space="preserve">IR </w:t>
      </w:r>
      <w:r w:rsidR="00425266" w:rsidRPr="6608B1F4">
        <w:rPr>
          <w:rFonts w:cs="Minion"/>
          <w:color w:val="000000" w:themeColor="text1"/>
        </w:rPr>
        <w:t>light sources</w:t>
      </w:r>
      <w:r w:rsidRPr="6608B1F4">
        <w:rPr>
          <w:rFonts w:cs="Minion"/>
          <w:color w:val="000000" w:themeColor="text1"/>
        </w:rPr>
        <w:t xml:space="preserve">, </w:t>
      </w:r>
      <w:r w:rsidR="00880231" w:rsidRPr="6608B1F4">
        <w:rPr>
          <w:rFonts w:cs="Minion"/>
          <w:color w:val="000000" w:themeColor="text1"/>
        </w:rPr>
        <w:t xml:space="preserve">more intense light sources </w:t>
      </w:r>
      <w:r w:rsidR="002B1A92" w:rsidRPr="6608B1F4">
        <w:rPr>
          <w:rFonts w:cs="Minion"/>
          <w:color w:val="000000" w:themeColor="text1"/>
        </w:rPr>
        <w:t xml:space="preserve">have been </w:t>
      </w:r>
      <w:r w:rsidR="00880231" w:rsidRPr="6608B1F4">
        <w:rPr>
          <w:rFonts w:cs="Minion"/>
          <w:color w:val="000000" w:themeColor="text1"/>
        </w:rPr>
        <w:t>used</w:t>
      </w:r>
      <w:r w:rsidR="00425266" w:rsidRPr="6608B1F4">
        <w:rPr>
          <w:rFonts w:cs="Minion"/>
          <w:color w:val="000000" w:themeColor="text1"/>
        </w:rPr>
        <w:t>. These include</w:t>
      </w:r>
      <w:r w:rsidR="00880231" w:rsidRPr="6608B1F4">
        <w:rPr>
          <w:rFonts w:cs="Minion"/>
          <w:color w:val="000000" w:themeColor="text1"/>
        </w:rPr>
        <w:t xml:space="preserve"> synchrotron radiation </w:t>
      </w:r>
      <w:r w:rsidR="00425266" w:rsidRPr="6608B1F4">
        <w:rPr>
          <w:rFonts w:cs="Minion"/>
          <w:color w:val="000000" w:themeColor="text1"/>
        </w:rPr>
        <w:t>and the more accessible</w:t>
      </w:r>
      <w:r w:rsidR="00880231" w:rsidRPr="6608B1F4">
        <w:rPr>
          <w:rFonts w:cs="Minion"/>
          <w:color w:val="000000" w:themeColor="text1"/>
        </w:rPr>
        <w:t xml:space="preserve"> </w:t>
      </w:r>
      <w:r w:rsidR="002B1A92" w:rsidRPr="6608B1F4">
        <w:rPr>
          <w:rFonts w:cs="Minion"/>
          <w:color w:val="000000" w:themeColor="text1"/>
        </w:rPr>
        <w:t>external-cavity quantum cascade laser (EC-QCL)</w:t>
      </w:r>
      <w:r w:rsidR="002B7CF4">
        <w:rPr>
          <w:rFonts w:cs="Minion"/>
          <w:color w:val="000000" w:themeColor="text1"/>
        </w:rPr>
        <w:t>.</w:t>
      </w:r>
      <w:r w:rsidR="003476CC" w:rsidRPr="00873831">
        <w:rPr>
          <w:rFonts w:cs="Minion"/>
          <w:color w:val="000000" w:themeColor="text1"/>
        </w:rPr>
        <w:fldChar w:fldCharType="begin" w:fldLock="1"/>
      </w:r>
      <w:r w:rsidR="00CB7374">
        <w:rPr>
          <w:rFonts w:cs="Minion"/>
          <w:color w:val="000000" w:themeColor="text1"/>
        </w:rPr>
        <w:instrText>ADDIN CSL_CITATION {"citationItems":[{"id":"ITEM-1","itemData":{"DOI":"10.1080/05704928.2015.1075208","ISBN":"0360-4012 (Print)\\r0360-4012","ISSN":"1520569X","PMID":"16447284","abstract":"AbstractInterest in mid-infrared spectroscopy instrumentation beyond classical FTIR using a thermal light source has increased dramatically in recent years. Synchrotron, supercontinuum, and external-cavity quantum cascade laser light sources are emerging as viable alternatives to the traditional thermal black-body emitter (Globar), especially for remote interrogation of samples (“stand-off” detection) and for hyperspectral imaging at diffraction-limited spatial resolution (“microspectroscopy”). It is thus timely to rigorously consider the relative merits of these different light sources for such applications. We study the theoretical maximum achievable signal-to-noise ratio (SNR) of FTIR using synchrotron or supercontinuum light vs. that of a tunable quantum cascade laser, by reinterpreting an important result that is well known in near-infrared optical coherence tomography imaging. We rigorously show that mid-infrared spectra can be acquired up to 1000 times faster—using the same detected light intensity...","author":[{"dropping-particle":"","family":"Childs","given":"David T.D.","non-dropping-particle":"","parse-names":false,"suffix":""},{"dropping-particle":"","family":"Hogg","given":"Richard A.","non-dropping-particle":"","parse-names":false,"suffix":""},{"dropping-particle":"","family":"Revin","given":"Dmitry G.","non-dropping-particle":"","parse-names":false,"suffix":""},{"dropping-particle":"","family":"Rehman","given":"Ihtseham Ur","non-dropping-particle":"","parse-names":false,"suffix":""},{"dropping-particle":"","family":"Cockburn","given":"John W.","non-dropping-particle":"","parse-names":false,"suffix":""},{"dropping-particle":"","family":"Matcher","given":"Stephen J.","non-dropping-particle":"","parse-names":false,"suffix":""}],"container-title":"Applied Spectroscopy Reviews","id":"ITEM-1","issue":"10","issued":{"date-parts":[["2015"]]},"page":"822-839","title":"Sensitivity Advantage of QCL Tunable-Laser Mid-Infrared Spectroscopy over FTIR Spectroscopy","type":"article-journal","volume":"50"},"uris":["http://www.mendeley.com/documents/?uuid=1a3b1c07-5374-48fb-9a5f-d745d96eae12","http://www.mendeley.com/documents/?uuid=79ad0a02-5633-4bb8-97fa-86e922659e9d"]}],"mendeley":{"formattedCitation":"&lt;sup&gt;5&lt;/sup&gt;","plainTextFormattedCitation":"5","previouslyFormattedCitation":"&lt;sup&gt;5&lt;/sup&gt;"},"properties":{"noteIndex":0},"schema":"https://github.com/citation-style-language/schema/raw/master/csl-citation.json"}</w:instrText>
      </w:r>
      <w:r w:rsidR="003476CC" w:rsidRPr="00873831">
        <w:rPr>
          <w:rFonts w:cs="Minion"/>
          <w:color w:val="000000" w:themeColor="text1"/>
        </w:rPr>
        <w:fldChar w:fldCharType="separate"/>
      </w:r>
      <w:r w:rsidR="00CB7374" w:rsidRPr="00CB7374">
        <w:rPr>
          <w:rFonts w:cs="Minion"/>
          <w:noProof/>
          <w:color w:val="000000" w:themeColor="text1"/>
          <w:vertAlign w:val="superscript"/>
        </w:rPr>
        <w:t>5</w:t>
      </w:r>
      <w:r w:rsidR="003476CC" w:rsidRPr="00873831">
        <w:rPr>
          <w:rFonts w:cs="Minion"/>
          <w:color w:val="000000" w:themeColor="text1"/>
        </w:rPr>
        <w:fldChar w:fldCharType="end"/>
      </w:r>
      <w:r w:rsidR="0070749F" w:rsidRPr="6608B1F4">
        <w:rPr>
          <w:rFonts w:cs="Minion"/>
          <w:color w:val="000000" w:themeColor="text1"/>
        </w:rPr>
        <w:t xml:space="preserve">  EC-QCL</w:t>
      </w:r>
      <w:r w:rsidR="00880231" w:rsidRPr="6608B1F4">
        <w:rPr>
          <w:rFonts w:cs="Minion"/>
          <w:color w:val="000000" w:themeColor="text1"/>
        </w:rPr>
        <w:t xml:space="preserve"> sources have been extensively used for IR </w:t>
      </w:r>
      <w:r w:rsidR="003B6357" w:rsidRPr="6608B1F4">
        <w:rPr>
          <w:rFonts w:cs="Minion"/>
          <w:color w:val="000000" w:themeColor="text1"/>
        </w:rPr>
        <w:t>microscopy</w:t>
      </w:r>
      <w:r w:rsidRPr="6608B1F4">
        <w:rPr>
          <w:rFonts w:cs="Minion"/>
          <w:color w:val="000000" w:themeColor="text1"/>
        </w:rPr>
        <w:fldChar w:fldCharType="begin" w:fldLock="1"/>
      </w:r>
      <w:r w:rsidR="00CB7374">
        <w:rPr>
          <w:rFonts w:cs="Minion"/>
          <w:color w:val="000000" w:themeColor="text1"/>
        </w:rPr>
        <w:instrText>ADDIN CSL_CITATION {"citationItems":[{"id":"ITEM-1","itemData":{"DOI":"10.1021/ac5027513","ISSN":"15206882","PMID":"25474546","abstract":"Infrared (IR) spectroscopic imaging systems are a powerful tool for visualizing molecular microstructure of a sample without the need for dyes or stains. Table-top Fourier transform infrared (FT-IR) imaging spectrometers, the current established technology, can record broadband spectral data efficiently but requires scanning the entire spectrum with a low throughput source. The advent of high-intensity, broadly tunable quantum cascade lasers (QCL) has now accelerated IR imaging but results in a fundamentally different type of instrument and approach, namely, discrete frequency IR (DF-IR) spectral imaging. While the higher intensity of the source provides a higher signal per channel, the absence of spectral multiplexing also provides new opportunities and challenges. Here, we couple a rapidly tunable QCL with a high performance microscope equipped with a cooled focal plane array (FPA) detector. Our optical system is conceptualized to provide optimal performance based on recent theory and design rules for high-definition (HD) IR imaging. Multiple QCL units are multiplexed together to provide spectral coverage across the fingerprint region (776.9 to 1904.4 cm-1) in our DF-IR microscope capable of broad spectral coverage, wide-field detection, and diffraction-limited spectral imaging. We demonstrate that the spectral and spatial fidelity of this system is at least as good as the best FT-IR imaging systems. Our configuration provides a speedup for equivalent spectral signal-to-noise ratio (SNR) compared to the best spectral quality from a high-performance linear array system that has 10-fold larger pixels. Compared to the fastest available HD FT-IR imaging system, we demonstrate scanning of large tissue microarrays (TMA) in 3-orders of magnitude smaller time per essential spectral frequency. These advances offer new opportunities for high throughput IR chemical imaging, especially for the measurement of cells and tissues.","author":[{"dropping-particle":"","family":"Yeh","given":"Kevin","non-dropping-particle":"","parse-names":false,"suffix":""},{"dropping-particle":"","family":"Kenkel","given":"Seth","non-dropping-particle":"","parse-names":false,"suffix":""},{"dropping-particle":"","family":"Liu","given":"Jui Nung","non-dropping-particle":"","parse-names":false,"suffix":""},{"dropping-particle":"","family":"Bhargava","given":"Rohit","non-dropping-particle":"","parse-names":false,"suffix":""}],"container-title":"Analytical Chemistry","id":"ITEM-1","issue":"1","issued":{"date-parts":[["2015","1","6"]]},"page":"485-493","publisher":"American Chemical Society","title":"Fast infrared chemical imaging with a quantum cascade laser","type":"article-journal","volume":"87"},"uris":["http://www.mendeley.com/documents/?uuid=054e5d5f-6568-353e-a33a-ba813aeb7d9d"]},{"id":"ITEM-2","itemData":{"abstract":"Chemical contrast has long been sought for label-free visualization of biomolecules and materials in complex living systems. Although infrared spectroscopic imaging has come a long way in this direction, it is thus far only applicable to dried tissues because of the strong infrared absorption by water. It also suffers from low spatial resolution due to long wavelengths and lacks optical sectioning capabilities. We overcome these limitations through sensing vibrational absorption–induced photothermal effect by a visible laser beam. Our mid-infrared photothermal (MIP) approach reached 10 mM detection sensitivity and submicrometer lateral spatial resolution. This performance has exceeded the diffraction limit of infrared microscopy and allowed label-free three-dimensional chemical imaging of live cells and organisms. Distributions of endogenous lipid and exogenous drug inside single cells were visualized. We further demonstrated in vivo MIP imaging of lipids and proteins in Caenorhabditis elegans. The reported MIP imaging technology promises broad applications from monitoring metabolic activ- ities to high-resolution mapping of drug molecules in living systems, which are beyond the reach of current infrared microscopy.","author":[{"dropping-particle":"","family":"Zhang","given":"Delong","non-dropping-particle":"","parse-names":false,"suffix":""},{"dropping-particle":"","family":"Li","given":"Chen","non-dropping-particle":"","parse-names":false,"suffix":""},{"dropping-particle":"","family":"Zhang","given":"Chi","non-dropping-particle":"","parse-names":false,"suffix":""},{"dropping-particle":"","family":"Slipchenko","given":"Mikhail N","non-dropping-particle":"","parse-names":false,"suffix":""},{"dropping-particle":"","family":"Eakins","given":"Gregory","non-dropping-particle":"","parse-names":false,"suffix":""},{"dropping-particle":"","family":"Cheng","given":"Ji-xin","non-dropping-particle":"","parse-names":false,"suffix":""}],"container-title":"Science Advances","id":"ITEM-2","issue":"September","issued":{"date-parts":[["2016"]]},"page":"e1600521","title":"Depth-resolved mid-infrared photothermal imaging of living cells and organisms with submicrometer spatial resolution","type":"article-journal","volume":"2"},"uris":["http://www.mendeley.com/documents/?uuid=62d170a8-2221-4f22-b2dd-b6cad4fd72ce","http://www.mendeley.com/documents/?uuid=77643bf9-eee3-4abd-b8d5-59f490d4856e"]}],"mendeley":{"formattedCitation":"&lt;sup&gt;6,7&lt;/sup&gt;","plainTextFormattedCitation":"6,7","previouslyFormattedCitation":"&lt;sup&gt;6,7&lt;/sup&gt;"},"properties":{"noteIndex":0},"schema":"https://github.com/citation-style-language/schema/raw/master/csl-citation.json"}</w:instrText>
      </w:r>
      <w:r w:rsidRPr="6608B1F4">
        <w:rPr>
          <w:rFonts w:cs="Minion"/>
          <w:color w:val="000000" w:themeColor="text1"/>
        </w:rPr>
        <w:fldChar w:fldCharType="separate"/>
      </w:r>
      <w:r w:rsidR="00CB7374" w:rsidRPr="00CB7374">
        <w:rPr>
          <w:rFonts w:cs="Minion"/>
          <w:noProof/>
          <w:color w:val="000000" w:themeColor="text1"/>
          <w:vertAlign w:val="superscript"/>
        </w:rPr>
        <w:t>6,7</w:t>
      </w:r>
      <w:r w:rsidRPr="6608B1F4">
        <w:rPr>
          <w:rFonts w:cs="Minion"/>
          <w:color w:val="000000" w:themeColor="text1"/>
        </w:rPr>
        <w:fldChar w:fldCharType="end"/>
      </w:r>
      <w:r w:rsidR="00BF446F" w:rsidRPr="6608B1F4">
        <w:rPr>
          <w:rFonts w:cs="Minion"/>
          <w:color w:val="000000" w:themeColor="text1"/>
        </w:rPr>
        <w:t xml:space="preserve"> </w:t>
      </w:r>
      <w:r w:rsidR="00880231" w:rsidRPr="6608B1F4">
        <w:rPr>
          <w:rFonts w:cs="Minion"/>
          <w:color w:val="000000" w:themeColor="text1"/>
        </w:rPr>
        <w:t>and IR spectroscopy</w:t>
      </w:r>
      <w:r w:rsidR="002B7CF4">
        <w:rPr>
          <w:rFonts w:cs="Minion"/>
          <w:color w:val="000000" w:themeColor="text1"/>
        </w:rPr>
        <w:t>.</w:t>
      </w:r>
      <w:r w:rsidRPr="6608B1F4">
        <w:rPr>
          <w:rFonts w:cs="Minion"/>
          <w:color w:val="000000" w:themeColor="text1"/>
        </w:rPr>
        <w:fldChar w:fldCharType="begin" w:fldLock="1"/>
      </w:r>
      <w:r w:rsidR="00CB7374">
        <w:rPr>
          <w:rFonts w:cs="Minion"/>
          <w:color w:val="000000" w:themeColor="text1"/>
        </w:rPr>
        <w:instrText>ADDIN CSL_CITATION {"citationItems":[{"id":"ITEM-1","itemData":{"DOI":"10.1126/science.264.5158.553","ISSN":"00368075","PMID":"17732739","abstract":"A semiconductor injection laser that differs in a fundamental way from diode lasers has been demonstrated. It is built out of quantum semiconductor structures that were grown by molecular beam epitaxy and designed by band structure engineering. Electrons streaming down a potential staircase sequentially emit photons at the steps. The steps consist of coupled quantum wells in which population inversion between discrete conduction band excited states is achieved by control of tunneling. A strong narrowing of the emission spectrum, above threshold, provides direct evidence of laser action at a wavelength of 4.2 micrometers with peak powers in excess of 8 milliwatts in pulsed operation. In quantum cascade lasers, the wavelength, entirely determined by quantum confinement, can be tailored from the mid-infrared to the submillimeter wave region in the same heterostructure material.","author":[{"dropping-particle":"","family":"Faist","given":"Jerome","non-dropping-particle":"","parse-names":false,"suffix":""},{"dropping-particle":"","family":"Capasso","given":"Federico","non-dropping-particle":"","parse-names":false,"suffix":""},{"dropping-particle":"","family":"Sivco","given":"Deborah L.","non-dropping-particle":"","parse-names":false,"suffix":""},{"dropping-particle":"","family":"Sirtori","given":"Carlo","non-dropping-particle":"","parse-names":false,"suffix":""},{"dropping-particle":"","family":"Hutchinson","given":"Albert L.","non-dropping-particle":"","parse-names":false,"suffix":""},{"dropping-particle":"","family":"Cho","given":"Alfred Y.","non-dropping-particle":"","parse-names":false,"suffix":""}],"container-title":"Science","id":"ITEM-1","issue":"5158","issued":{"date-parts":[["1994"]]},"page":"553-556","title":"Quantum cascade laser","type":"article-journal","volume":"264"},"uris":["http://www.mendeley.com/documents/?uuid=18ee3a59-68cb-4fff-a0bd-bfba9edeb4d9","http://www.mendeley.com/documents/?uuid=bb62beb1-aa3d-453d-8403-133ef9dd591e"]},{"id":"ITEM-2","itemData":{"DOI":"10.1021/acs.analchem.5b01738","ISSN":"0003-2700","abstract":"In this work, we report mid-IR transmission measurements of the protein amide I band in aqueous solution at large optical paths. A tunable external-cavity quantum cascade laser (EC-QCL) operated in pulsed mode at room temperature allowed one to apply a path length of up to 38 μm, which is four times larger than that applicable with conventional FT-IR spectrometers. To minimize temperature-induced variations caused by background absorption of the ν2-vibration of water (HOH-bending) overlapping with the amide I region, a highly stable temperature control unit with relative temperature stability within 0.005 °C was developed. An advanced data processing protocol was established to overcome fluctuations in the fine structure of the emission curve that are inherent to the employed EC-QCL due to its mechanical instabilities. To allow for wavenumber accuracy, a spectral calibration method has been elaborated to reference the acquired IR spectra to the absolute positions of the water vapor absorption bands. Employing this setup, characteristic spectral features of five well-studied proteins exhibiting different secondary structures could be measured at concentrations as low as 2.5 mg mL−1. This concentration range could previously only be accessed by IR measurements in D2O. Mathematical evaluation of the spectral overlap and comparison of second derivative spectra confirm excellent agreement of the QCL transmission measurements with protein spectra acquired by FT-IR spectroscopy. This proves the potential of the applied setup to monitor secondary structure changes of proteins in aqueous solution at extended optical path lengths, which allow experiments in flow through configuration","author":[{"dropping-particle":"","family":"Alcaráz","given":"Mirta R.","non-dropping-particle":"","parse-names":false,"suffix":""},{"dropping-particle":"","family":"Schwaighofer","given":"Andreas","non-dropping-particle":"","parse-names":false,"suffix":""},{"dropping-particle":"","family":"Kristament","given":"Christian","non-dropping-particle":"","parse-names":false,"suffix":""},{"dropping-particle":"","family":"Ramer","given":"Georg","non-dropping-particle":"","parse-names":false,"suffix":""},{"dropping-particle":"","family":"Brandstetter","given":"Markus","non-dropping-particle":"","parse-names":false,"suffix":""},{"dropping-particle":"","family":"Goicoechea","given":"Héctor","non-dropping-particle":"","parse-names":false,"suffix":""},{"dropping-particle":"","family":"Lendl","given":"Bernhard","non-dropping-particle":"","parse-names":false,"suffix":""}],"container-title":"Analytical Chemistry","id":"ITEM-2","issue":"13","issued":{"date-parts":[["2015"]]},"page":"6980-6987","title":"External-Cavity Quantum Cascade Laser Spectroscopy for Mid-IR Transmission Measurements of Proteins in Aqueous Solution","type":"article-journal","volume":"87"},"uris":["http://www.mendeley.com/documents/?uuid=2332a291-af6e-4f46-a82f-261c21c98580"]}],"mendeley":{"formattedCitation":"&lt;sup&gt;8,9&lt;/sup&gt;","plainTextFormattedCitation":"8,9","previouslyFormattedCitation":"&lt;sup&gt;8,9&lt;/sup&gt;"},"properties":{"noteIndex":0},"schema":"https://github.com/citation-style-language/schema/raw/master/csl-citation.json"}</w:instrText>
      </w:r>
      <w:r w:rsidRPr="6608B1F4">
        <w:rPr>
          <w:rFonts w:cs="Minion"/>
          <w:color w:val="000000" w:themeColor="text1"/>
        </w:rPr>
        <w:fldChar w:fldCharType="separate"/>
      </w:r>
      <w:r w:rsidR="00CB7374" w:rsidRPr="00CB7374">
        <w:rPr>
          <w:rFonts w:cs="Minion"/>
          <w:noProof/>
          <w:color w:val="000000" w:themeColor="text1"/>
          <w:vertAlign w:val="superscript"/>
        </w:rPr>
        <w:t>8,9</w:t>
      </w:r>
      <w:r w:rsidRPr="6608B1F4">
        <w:rPr>
          <w:rFonts w:cs="Minion"/>
          <w:color w:val="000000" w:themeColor="text1"/>
        </w:rPr>
        <w:fldChar w:fldCharType="end"/>
      </w:r>
      <w:r w:rsidR="002B1A92" w:rsidRPr="6608B1F4">
        <w:rPr>
          <w:rFonts w:cs="Minion"/>
          <w:color w:val="000000" w:themeColor="text1"/>
        </w:rPr>
        <w:t xml:space="preserve"> T</w:t>
      </w:r>
      <w:r w:rsidR="002B1A92">
        <w:t xml:space="preserve">he </w:t>
      </w:r>
      <w:r w:rsidR="00663FA3" w:rsidRPr="6608B1F4">
        <w:rPr>
          <w:rFonts w:cs="Minion"/>
          <w:color w:val="000000" w:themeColor="text1"/>
        </w:rPr>
        <w:t>EC-QCL</w:t>
      </w:r>
      <w:r w:rsidR="00663FA3">
        <w:t xml:space="preserve"> </w:t>
      </w:r>
      <w:r w:rsidR="008668D7">
        <w:t>provide</w:t>
      </w:r>
      <w:r w:rsidR="00663FA3">
        <w:t>s</w:t>
      </w:r>
      <w:r w:rsidR="008668D7">
        <w:t xml:space="preserve"> </w:t>
      </w:r>
      <w:r w:rsidR="00663FA3">
        <w:t>fast-</w:t>
      </w:r>
      <w:r w:rsidR="008668D7">
        <w:t xml:space="preserve">scanning monochromatic light with </w:t>
      </w:r>
      <w:r w:rsidR="00D67A87">
        <w:t>high</w:t>
      </w:r>
      <w:r w:rsidR="008668D7">
        <w:t xml:space="preserve"> </w:t>
      </w:r>
      <w:r w:rsidR="00D67A87">
        <w:t>intensity</w:t>
      </w:r>
      <w:r w:rsidR="002B1A92">
        <w:t xml:space="preserve"> </w:t>
      </w:r>
      <w:r w:rsidR="00E16AFD">
        <w:t xml:space="preserve">ranging </w:t>
      </w:r>
      <w:r w:rsidR="0070749F">
        <w:t xml:space="preserve">from </w:t>
      </w:r>
      <w:r w:rsidR="00880231">
        <w:t xml:space="preserve">mid- </w:t>
      </w:r>
      <w:r w:rsidR="0070749F">
        <w:t xml:space="preserve">to </w:t>
      </w:r>
      <w:r w:rsidR="00880231">
        <w:t xml:space="preserve">far-IR </w:t>
      </w:r>
      <w:r w:rsidR="00E16AFD">
        <w:t>wavelength</w:t>
      </w:r>
      <w:r w:rsidR="00470265">
        <w:t>s</w:t>
      </w:r>
      <w:r w:rsidR="002B7CF4">
        <w:t>.</w:t>
      </w:r>
      <w:r>
        <w:fldChar w:fldCharType="begin" w:fldLock="1"/>
      </w:r>
      <w:r w:rsidR="00CB7374">
        <w:instrText>ADDIN CSL_CITATION {"citationItems":[{"id":"ITEM-1","itemData":{"DOI":"10.1007/3-540-36491-9_11","abstract":"The vast majority of gaseous chemical substances exhibit fundamental vibrational absorption bands in the mid-infrared spectral region (≈ 2–25 μm), and the absorption of light by these fundamental bands provides a nearly universal means for their detection. A main feature of optical techniques is the non-intrusive in situ detection capability for trace gases. The focus time period of this chapter is the years 1996–2002 and we will discuss primarily CW mid-infrared laser spectroscopy. We shall not attempt to review the large number of diverse mid-infrared spectroscopic laser applications published to date. The scope of this chapter is rather to discuss recent developments of mid-infrared laser sources, with emphasis on established and new spectroscopic techniques and their applications for sensitive, selective, and quantitative trace gas detection. For example, laboratory based spectroscopic studies and chemical kinetics, which will also benefit from new laser source and technique developments, will not be considered.","author":[{"dropping-particle":"","family":"Tittel","given":"Frank K.","non-dropping-particle":"","parse-names":false,"suffix":""},{"dropping-particle":"","family":"Richter","given":"Dirk","non-dropping-particle":"","parse-names":false,"suffix":""},{"dropping-particle":"","family":"Fried","given":"Alan","non-dropping-particle":"","parse-names":false,"suffix":""}],"container-title":"Solid-State Mid-Infrared Laser Sources","id":"ITEM-1","issue":"7","issued":{"date-parts":[["2007"]]},"page":"458-529","title":"Mid-Infrared Laser Applications in Spectroscopy","type":"article-journal","volume":"516"},"uris":["http://www.mendeley.com/documents/?uuid=dde6539e-0aec-4f34-87c4-191f7aa00368","http://www.mendeley.com/documents/?uuid=515ad25d-e7c0-47e7-97f6-e4736510189f"]}],"mendeley":{"formattedCitation":"&lt;sup&gt;10&lt;/sup&gt;","plainTextFormattedCitation":"10","previouslyFormattedCitation":"&lt;sup&gt;10&lt;/sup&gt;"},"properties":{"noteIndex":0},"schema":"https://github.com/citation-style-language/schema/raw/master/csl-citation.json"}</w:instrText>
      </w:r>
      <w:r>
        <w:fldChar w:fldCharType="separate"/>
      </w:r>
      <w:r w:rsidR="00CB7374" w:rsidRPr="00CB7374">
        <w:rPr>
          <w:noProof/>
          <w:vertAlign w:val="superscript"/>
        </w:rPr>
        <w:t>10</w:t>
      </w:r>
      <w:r>
        <w:fldChar w:fldCharType="end"/>
      </w:r>
      <w:r w:rsidR="002B1A92">
        <w:t xml:space="preserve"> </w:t>
      </w:r>
      <w:r w:rsidR="008E42C2">
        <w:t>T</w:t>
      </w:r>
      <w:r w:rsidR="008668D7">
        <w:t>h</w:t>
      </w:r>
      <w:r w:rsidR="003310AC">
        <w:t>is intense monochromatic l</w:t>
      </w:r>
      <w:r w:rsidR="008668D7">
        <w:t>ight</w:t>
      </w:r>
      <w:r w:rsidR="008E42C2">
        <w:t xml:space="preserve"> allows for</w:t>
      </w:r>
      <w:r w:rsidR="008668D7">
        <w:t xml:space="preserve"> </w:t>
      </w:r>
      <w:r w:rsidR="0062118F">
        <w:t xml:space="preserve">the optical path length </w:t>
      </w:r>
      <w:r w:rsidR="008E42C2">
        <w:t>to increase</w:t>
      </w:r>
      <w:r w:rsidR="0062118F">
        <w:t xml:space="preserve"> </w:t>
      </w:r>
      <w:r w:rsidR="0070749F">
        <w:t>up to</w:t>
      </w:r>
      <w:r w:rsidR="0062118F">
        <w:t xml:space="preserve"> 38 </w:t>
      </w:r>
      <w:r w:rsidR="0062118F" w:rsidRPr="6608B1F4">
        <w:rPr>
          <w:rFonts w:ascii="Symbol" w:hAnsi="Symbol"/>
        </w:rPr>
        <w:t></w:t>
      </w:r>
      <w:r w:rsidR="0062118F">
        <w:t xml:space="preserve">m for </w:t>
      </w:r>
      <w:r w:rsidR="008D3499">
        <w:t>IR spectrum measurements of protein in a non-deuterated aqueous solution</w:t>
      </w:r>
      <w:r w:rsidR="002B7CF4">
        <w:t>.</w:t>
      </w:r>
      <w:r>
        <w:fldChar w:fldCharType="begin" w:fldLock="1"/>
      </w:r>
      <w:r w:rsidR="00CB7374">
        <w:instrText>ADDIN CSL_CITATION {"citationItems":[{"id":"ITEM-1","itemData":{"DOI":"10.1021/acs.analchem.5b01738","ISSN":"0003-2700","abstract":"In this work, we report mid-IR transmission measurements of the protein amide I band in aqueous solution at large optical paths. A tunable external-cavity quantum cascade laser (EC-QCL) operated in pulsed mode at room temperature allowed one to apply a path length of up to 38 μm, which is four times larger than that applicable with conventional FT-IR spectrometers. To minimize temperature-induced variations caused by background absorption of the ν2-vibration of water (HOH-bending) overlapping with the amide I region, a highly stable temperature control unit with relative temperature stability within 0.005 °C was developed. An advanced data processing protocol was established to overcome fluctuations in the fine structure of the emission curve that are inherent to the employed EC-QCL due to its mechanical instabilities. To allow for wavenumber accuracy, a spectral calibration method has been elaborated to reference the acquired IR spectra to the absolute positions of the water vapor absorption bands. Employing this setup, characteristic spectral features of five well-studied proteins exhibiting different secondary structures could be measured at concentrations as low as 2.5 mg mL−1. This concentration range could previously only be accessed by IR measurements in D2O. Mathematical evaluation of the spectral overlap and comparison of second derivative spectra confirm excellent agreement of the QCL transmission measurements with protein spectra acquired by FT-IR spectroscopy. This proves the potential of the applied setup to monitor secondary structure changes of proteins in aqueous solution at extended optical path lengths, which allow experiments in flow through configuration","author":[{"dropping-particle":"","family":"Alcaráz","given":"Mirta R.","non-dropping-particle":"","parse-names":false,"suffix":""},{"dropping-particle":"","family":"Schwaighofer","given":"Andreas","non-dropping-particle":"","parse-names":false,"suffix":""},{"dropping-particle":"","family":"Kristament","given":"Christian","non-dropping-particle":"","parse-names":false,"suffix":""},{"dropping-particle":"","family":"Ramer","given":"Georg","non-dropping-particle":"","parse-names":false,"suffix":""},{"dropping-particle":"","family":"Brandstetter","given":"Markus","non-dropping-particle":"","parse-names":false,"suffix":""},{"dropping-particle":"","family":"Goicoechea","given":"Héctor","non-dropping-particle":"","parse-names":false,"suffix":""},{"dropping-particle":"","family":"Lendl","given":"Bernhard","non-dropping-particle":"","parse-names":false,"suffix":""}],"container-title":"Analytical Chemistry","id":"ITEM-1","issue":"13","issued":{"date-parts":[["2015"]]},"page":"6980-6987","title":"External-Cavity Quantum Cascade Laser Spectroscopy for Mid-IR Transmission Measurements of Proteins in Aqueous Solution","type":"article-journal","volume":"87"},"uris":["http://www.mendeley.com/documents/?uuid=2332a291-af6e-4f46-a82f-261c21c98580"]}],"mendeley":{"formattedCitation":"&lt;sup&gt;9&lt;/sup&gt;","plainTextFormattedCitation":"9","previouslyFormattedCitation":"&lt;sup&gt;9&lt;/sup&gt;"},"properties":{"noteIndex":0},"schema":"https://github.com/citation-style-language/schema/raw/master/csl-citation.json"}</w:instrText>
      </w:r>
      <w:r>
        <w:fldChar w:fldCharType="separate"/>
      </w:r>
      <w:r w:rsidR="00CB7374" w:rsidRPr="00CB7374">
        <w:rPr>
          <w:noProof/>
          <w:vertAlign w:val="superscript"/>
        </w:rPr>
        <w:t>9</w:t>
      </w:r>
      <w:r>
        <w:fldChar w:fldCharType="end"/>
      </w:r>
      <w:r w:rsidR="008D3499">
        <w:t xml:space="preserve"> The increased path length and the </w:t>
      </w:r>
      <w:r w:rsidR="00BD778C">
        <w:t xml:space="preserve">high </w:t>
      </w:r>
      <w:r w:rsidR="008D3499">
        <w:t>light intensity significantly lowe</w:t>
      </w:r>
      <w:r w:rsidR="0070749F">
        <w:t>rs</w:t>
      </w:r>
      <w:r w:rsidR="008D3499">
        <w:t xml:space="preserve"> the detection limit to </w:t>
      </w:r>
      <w:r w:rsidR="00350D33">
        <w:t>&lt;</w:t>
      </w:r>
      <w:r w:rsidR="005A0D1C">
        <w:t>1</w:t>
      </w:r>
      <w:r w:rsidR="008D3499">
        <w:t xml:space="preserve"> mg/mL for the amid</w:t>
      </w:r>
      <w:r w:rsidR="00482B08">
        <w:t>e</w:t>
      </w:r>
      <w:r w:rsidR="008D3499">
        <w:t xml:space="preserve"> I band</w:t>
      </w:r>
      <w:r w:rsidR="007C3436">
        <w:t>.</w:t>
      </w:r>
      <w:r w:rsidR="008D3499">
        <w:t xml:space="preserve"> </w:t>
      </w:r>
      <w:r w:rsidR="0027513C">
        <w:t xml:space="preserve">However, the reported spectral range </w:t>
      </w:r>
      <w:r w:rsidR="00DA3BEA">
        <w:t xml:space="preserve">is limited to </w:t>
      </w:r>
      <w:r w:rsidR="0027513C">
        <w:t>the amide I band between 1600 cm</w:t>
      </w:r>
      <w:r w:rsidR="0027513C" w:rsidRPr="6608B1F4">
        <w:rPr>
          <w:vertAlign w:val="superscript"/>
        </w:rPr>
        <w:t>-1</w:t>
      </w:r>
      <w:r w:rsidR="0027513C">
        <w:t xml:space="preserve"> and 1700 cm</w:t>
      </w:r>
      <w:r w:rsidR="0027513C" w:rsidRPr="6608B1F4">
        <w:rPr>
          <w:vertAlign w:val="superscript"/>
        </w:rPr>
        <w:t>-1</w:t>
      </w:r>
      <w:r w:rsidR="0027513C">
        <w:t xml:space="preserve">. </w:t>
      </w:r>
      <w:r w:rsidR="00DA3BEA">
        <w:t>Microfluidic modulation spectroscopy is a</w:t>
      </w:r>
      <w:r w:rsidR="007469D5">
        <w:t xml:space="preserve"> different approach to </w:t>
      </w:r>
      <w:r w:rsidR="00A42BDC">
        <w:t>improve the signal</w:t>
      </w:r>
      <w:r w:rsidR="002B7CF4">
        <w:t>-</w:t>
      </w:r>
      <w:r w:rsidR="00A42BDC">
        <w:t>to</w:t>
      </w:r>
      <w:r w:rsidR="002B7CF4">
        <w:t>-</w:t>
      </w:r>
      <w:r w:rsidR="00A42BDC">
        <w:t xml:space="preserve">noise ratio </w:t>
      </w:r>
      <w:r w:rsidR="00FD658D">
        <w:t>by measuring</w:t>
      </w:r>
      <w:r w:rsidR="00590A73">
        <w:t xml:space="preserve"> the </w:t>
      </w:r>
      <w:r w:rsidR="00391E55">
        <w:t xml:space="preserve">signal difference as </w:t>
      </w:r>
      <w:r w:rsidR="00E90A08">
        <w:t xml:space="preserve">the </w:t>
      </w:r>
      <w:r w:rsidR="00B0594B">
        <w:t>sample</w:t>
      </w:r>
      <w:r w:rsidR="007B5421">
        <w:t xml:space="preserve"> and the solvent </w:t>
      </w:r>
      <w:r w:rsidR="00B0594B">
        <w:t xml:space="preserve">fluids </w:t>
      </w:r>
      <w:r w:rsidR="007B5421">
        <w:t>are alternated in a</w:t>
      </w:r>
      <w:r w:rsidR="00391E55">
        <w:t xml:space="preserve"> microfluidic</w:t>
      </w:r>
      <w:r w:rsidR="007B5421">
        <w:t xml:space="preserve"> tran</w:t>
      </w:r>
      <w:r w:rsidR="003E7FA9">
        <w:t>smission cell</w:t>
      </w:r>
      <w:r w:rsidR="002B7CF4">
        <w:t>.</w:t>
      </w:r>
      <w:r>
        <w:fldChar w:fldCharType="begin" w:fldLock="1"/>
      </w:r>
      <w:r w:rsidR="00CB7374">
        <w:instrText>ADDIN CSL_CITATION {"citationItems":[{"id":"ITEM-1","itemData":{"DOI":"10.1016/j.xphs.2019.09.004","ISSN":"15206017","abstract":"Protein secondary structures are frequently assessed using infrared and circular dichroism spectroscopies during drug development (e.g., during product comparability and biosimilarity studies, reference standard characterization, etc.) However, there is little information on the lower limits of quantitation of structural misfolds and impurities for these methods. A model system using a monoclonal antibody reference material was spiked at various levels with a protein that had a significantly different secondary structure to represent the presence of a stable and discreet structural misfold. The ability of circular dichroism, transmission Fourier transform infrared spectroscopy and microfluidic modulation spectroscopy, along with various spectral comparison algorithms, were assessed for their ability to detect the presence and quantify the amount of the misfolded structure.","author":[{"dropping-particle":"","family":"Kendrick","given":"Brent S.","non-dropping-particle":"","parse-names":false,"suffix":""},{"dropping-particle":"","family":"Gabrielson","given":"John P.","non-dropping-particle":"","parse-names":false,"suffix":""},{"dropping-particle":"","family":"Solsberg","given":"Caroline Warly","non-dropping-particle":"","parse-names":false,"suffix":""},{"dropping-particle":"","family":"Ma","given":"Eugene","non-dropping-particle":"","parse-names":false,"suffix":""},{"dropping-particle":"","family":"Wang","given":"Libo","non-dropping-particle":"","parse-names":false,"suffix":""}],"container-title":"Journal of Pharmaceutical Sciences","id":"ITEM-1","issue":"1","issued":{"date-parts":[["2019"]]},"page":"933-936","publisher":"Elsevier Ltd","title":"Determining Spectroscopic Quantitation Limits for Misfolded Structures","type":"article-journal","volume":"109"},"uris":["http://www.mendeley.com/documents/?uuid=acb28b68-613c-4953-b837-521d6e8fa3f0"]}],"mendeley":{"formattedCitation":"&lt;sup&gt;11&lt;/sup&gt;","plainTextFormattedCitation":"11","previouslyFormattedCitation":"&lt;sup&gt;11&lt;/sup&gt;"},"properties":{"noteIndex":0},"schema":"https://github.com/citation-style-language/schema/raw/master/csl-citation.json"}</w:instrText>
      </w:r>
      <w:r>
        <w:fldChar w:fldCharType="separate"/>
      </w:r>
      <w:r w:rsidR="00CB7374" w:rsidRPr="00CB7374">
        <w:rPr>
          <w:noProof/>
          <w:vertAlign w:val="superscript"/>
        </w:rPr>
        <w:t>11</w:t>
      </w:r>
      <w:r>
        <w:fldChar w:fldCharType="end"/>
      </w:r>
      <w:r w:rsidR="00D65112">
        <w:t xml:space="preserve"> </w:t>
      </w:r>
      <w:r w:rsidR="00E15862" w:rsidRPr="00D177CD">
        <w:t xml:space="preserve">Recently, </w:t>
      </w:r>
      <w:r w:rsidR="00181036" w:rsidRPr="00D177CD">
        <w:t>Lendl</w:t>
      </w:r>
      <w:r w:rsidR="00E15862" w:rsidRPr="00D177CD">
        <w:t xml:space="preserve"> </w:t>
      </w:r>
      <w:r w:rsidR="00181036" w:rsidRPr="00D177CD">
        <w:rPr>
          <w:i/>
          <w:iCs/>
        </w:rPr>
        <w:t>et al.</w:t>
      </w:r>
      <w:r w:rsidR="00E15862" w:rsidRPr="00D177CD">
        <w:t xml:space="preserve"> </w:t>
      </w:r>
      <w:r w:rsidR="00413ABE" w:rsidRPr="00DD2106">
        <w:t>reported IR spectra</w:t>
      </w:r>
      <w:r w:rsidR="00090249" w:rsidRPr="00DD2106">
        <w:t xml:space="preserve"> of proteins at concentrations as low as 0.1 mg/mL</w:t>
      </w:r>
      <w:r w:rsidR="00645016" w:rsidRPr="00DD2106">
        <w:t xml:space="preserve"> over </w:t>
      </w:r>
      <w:r w:rsidR="00E15862" w:rsidRPr="00D177CD">
        <w:t>the spectral range to 1500 cm</w:t>
      </w:r>
      <w:r w:rsidR="00E15862" w:rsidRPr="00D177CD">
        <w:rPr>
          <w:vertAlign w:val="superscript"/>
        </w:rPr>
        <w:t>-1</w:t>
      </w:r>
      <w:r w:rsidR="00E15862" w:rsidRPr="00D177CD">
        <w:t xml:space="preserve"> and 1700 cm</w:t>
      </w:r>
      <w:r w:rsidR="00E15862" w:rsidRPr="00D177CD">
        <w:rPr>
          <w:vertAlign w:val="superscript"/>
        </w:rPr>
        <w:t>-1</w:t>
      </w:r>
      <w:r w:rsidR="00E15862" w:rsidRPr="00D177CD">
        <w:t xml:space="preserve"> to cover both the amide I and II bands</w:t>
      </w:r>
      <w:r w:rsidR="00F52B93" w:rsidRPr="00F52B93">
        <w:t xml:space="preserve"> </w:t>
      </w:r>
      <w:r w:rsidR="00F52B93" w:rsidRPr="00DD2106">
        <w:t>by using dual-beam balanced detection.</w:t>
      </w:r>
      <w:r w:rsidRPr="00D177CD">
        <w:fldChar w:fldCharType="begin" w:fldLock="1"/>
      </w:r>
      <w:r w:rsidR="00CB7374">
        <w:instrText>ADDIN CSL_CITATION {"citationItems":[{"id":"ITEM-1","itemData":{"DOI":"10.1021/acs.analchem.0c01406","ISSN":"0003-2700","abstract":"We report a mid-IR transmission setup for the analysis of the protein amide I and amide II band in aqueous solutions that achieves a limit of detection as low as 0.0025 mg mL−1 (outperforming our previous results and other state-of-the-art mid-IR-based techniques by almost an order of magnitude). This large improvement is made possible by combining the latest- generation external cavity-quantum cascade laser (EC-QCL) operated at room temperature with an optimized double-beam optical setup that adjusts the path length (26 μm) to ensure robust sample handling. For minimizing the noise introduced by the high- intensity laser light source, a thermoelectrically cooled mercury cadmium telluride balanced detection module was employed. In this way, noise levels better by a factor of up to 20 were achieved compared with single-channel measurements. Characteristic spectral features of proteins with different secondary structures were successfully identified at concentrations as low as 0.1 mg mL−1. Furthermore, a highly linear response was demonstrated for concentrations between 0.05 and 10 mg mL−1. The total acquisition time of the setup can be adapted to fulfill the required sensitivity of the protein measurements and to ensure maximum flexibility for future applications. The presented setup combines high sensitivity, large optical path lengths, and short measurement times and thus outperforms previous research type EC-QCL setups as well as commercially available instruments. This opens a wide range of future applications including protein−ligand interaction studies as well as qualitative and quantitative analyses of proteins in complex matrices such as those found in up- and downstream bioprocess monitoring and similar challenging applications which can not be readily met by conventional FT-IR spectroscopy.","author":[{"dropping-particle":"","family":"Akhgar","given":"Christopher K","non-dropping-particle":"","parse-names":false,"suffix":""},{"dropping-particle":"","family":"Ramer","given":"Georg","non-dropping-particle":"","parse-names":false,"suffix":""},{"dropping-particle":"","family":"Żbik","given":"Mateusz","non-dropping-particle":"","parse-names":false,"suffix":""},{"dropping-particle":"","family":"Trajnerowicz","given":"Artur","non-dropping-particle":"","parse-names":false,"suffix":""},{"dropping-particle":"","family":"Pawluczyk","given":"Jarosław","non-dropping-particle":"","parse-names":false,"suffix":""},{"dropping-particle":"","family":"Schwaighofer","given":"Andreas","non-dropping-particle":"","parse-names":false,"suffix":""},{"dropping-particle":"","family":"Lendl","given":"Bernhard","non-dropping-particle":"","parse-names":false,"suffix":""}],"container-title":"Analytical Chemistry","id":"ITEM-1","issue":"14","issued":{"date-parts":[["2020"]]},"page":"9901-9907","title":"The Next Generation of IR Spectroscopy: EC-QCL-Based Mid-IR Transmission Spectroscopy of Proteins with Balanced Detection","type":"article-journal","volume":"92"},"uris":["http://www.mendeley.com/documents/?uuid=6c56e2e5-67d0-417a-83a3-87f88922eefb"]}],"mendeley":{"formattedCitation":"&lt;sup&gt;12&lt;/sup&gt;","plainTextFormattedCitation":"12","previouslyFormattedCitation":"&lt;sup&gt;12&lt;/sup&gt;"},"properties":{"noteIndex":0},"schema":"https://github.com/citation-style-language/schema/raw/master/csl-citation.json"}</w:instrText>
      </w:r>
      <w:r w:rsidRPr="00D177CD">
        <w:fldChar w:fldCharType="separate"/>
      </w:r>
      <w:r w:rsidR="00CB7374" w:rsidRPr="00CB7374">
        <w:rPr>
          <w:noProof/>
          <w:vertAlign w:val="superscript"/>
        </w:rPr>
        <w:t>12</w:t>
      </w:r>
      <w:r w:rsidRPr="00D177CD">
        <w:fldChar w:fldCharType="end"/>
      </w:r>
      <w:r w:rsidR="005C7CA6" w:rsidRPr="00DD2106">
        <w:t xml:space="preserve"> </w:t>
      </w:r>
      <w:r w:rsidR="0056707B" w:rsidRPr="00DD2106">
        <w:t xml:space="preserve">To avoid </w:t>
      </w:r>
      <w:r w:rsidR="00A22701" w:rsidRPr="00DD2106">
        <w:t>the saturation at the amide II region, they selectively lowered the laser intensity</w:t>
      </w:r>
      <w:r w:rsidR="005C7CA6" w:rsidRPr="00DD2106">
        <w:t xml:space="preserve"> </w:t>
      </w:r>
      <w:r w:rsidR="00DD5598" w:rsidRPr="00DD2106">
        <w:t>using</w:t>
      </w:r>
      <w:r w:rsidR="00011285" w:rsidRPr="00DD2106">
        <w:t xml:space="preserve"> a set of </w:t>
      </w:r>
      <w:r w:rsidR="00F87C10" w:rsidRPr="00DD2106">
        <w:t xml:space="preserve">short-pass and </w:t>
      </w:r>
      <w:r w:rsidR="00E733A0" w:rsidRPr="00DD2106">
        <w:t>long-</w:t>
      </w:r>
      <w:r w:rsidR="00E733A0" w:rsidRPr="00DD2106">
        <w:lastRenderedPageBreak/>
        <w:t xml:space="preserve">pass </w:t>
      </w:r>
      <w:r w:rsidR="00011285" w:rsidRPr="00DD2106">
        <w:t>color filters</w:t>
      </w:r>
      <w:r w:rsidR="00EE0417" w:rsidRPr="00DD2106">
        <w:t>.</w:t>
      </w:r>
      <w:r w:rsidR="00934A00" w:rsidRPr="00DD2106">
        <w:t xml:space="preserve"> </w:t>
      </w:r>
      <w:r w:rsidR="002E1578" w:rsidRPr="00DD2106">
        <w:t xml:space="preserve">However, </w:t>
      </w:r>
      <w:r w:rsidR="00E13809" w:rsidRPr="00DD2106">
        <w:t>t</w:t>
      </w:r>
      <w:r w:rsidR="00934A00" w:rsidRPr="00DD2106">
        <w:t>he</w:t>
      </w:r>
      <w:r w:rsidR="002E1578" w:rsidRPr="00DD2106">
        <w:t xml:space="preserve"> </w:t>
      </w:r>
      <w:r w:rsidR="00934A00" w:rsidRPr="00DD2106">
        <w:t xml:space="preserve">transmission </w:t>
      </w:r>
      <w:r w:rsidR="00E13809" w:rsidRPr="00DD2106">
        <w:t xml:space="preserve">spectrum </w:t>
      </w:r>
      <w:r w:rsidR="00793EC3" w:rsidRPr="00DD2106">
        <w:t>of the color filter</w:t>
      </w:r>
      <w:r w:rsidR="002E1578" w:rsidRPr="00DD2106">
        <w:t xml:space="preserve">s </w:t>
      </w:r>
      <w:r w:rsidR="00E13809" w:rsidRPr="00DD2106">
        <w:t xml:space="preserve">is not easily adjustable </w:t>
      </w:r>
      <w:r w:rsidR="00AA58BC" w:rsidRPr="00DD2106">
        <w:t xml:space="preserve">for </w:t>
      </w:r>
      <w:r w:rsidR="00326B10" w:rsidRPr="00DD2106">
        <w:t xml:space="preserve">various </w:t>
      </w:r>
      <w:r w:rsidR="00F17C65" w:rsidRPr="00DD2106">
        <w:t>sample conditions</w:t>
      </w:r>
      <w:r w:rsidR="00AC1A0A" w:rsidRPr="00DD2106">
        <w:t xml:space="preserve"> or a broader spectral </w:t>
      </w:r>
      <w:r w:rsidR="00475228" w:rsidRPr="00DD2106">
        <w:t>range.</w:t>
      </w:r>
      <w:r w:rsidR="008B1F29" w:rsidRPr="00DD2106">
        <w:t xml:space="preserve"> Also</w:t>
      </w:r>
      <w:r w:rsidR="00007B90" w:rsidRPr="00DD2106">
        <w:t xml:space="preserve">, </w:t>
      </w:r>
      <w:r w:rsidR="00C56B06" w:rsidRPr="00DD2106">
        <w:t>employing m</w:t>
      </w:r>
      <w:r w:rsidR="005022F2" w:rsidRPr="00DD2106">
        <w:t xml:space="preserve">ultiple color filters </w:t>
      </w:r>
      <w:r w:rsidR="007D2AFC" w:rsidRPr="00DD2106">
        <w:t>can</w:t>
      </w:r>
      <w:r w:rsidR="00C02A7B" w:rsidRPr="00DD2106">
        <w:t xml:space="preserve"> result in </w:t>
      </w:r>
      <w:r w:rsidR="0090376E">
        <w:t xml:space="preserve">a </w:t>
      </w:r>
      <w:r w:rsidR="0005336F" w:rsidRPr="00DD2106">
        <w:t>significant reduction in light intensity</w:t>
      </w:r>
      <w:r w:rsidR="009D5302" w:rsidRPr="00DD2106">
        <w:t xml:space="preserve"> arriving at the detector</w:t>
      </w:r>
      <w:r w:rsidR="0005336F" w:rsidRPr="00DD2106">
        <w:t>.</w:t>
      </w:r>
    </w:p>
    <w:p w14:paraId="7FE823AB" w14:textId="5826E8E6" w:rsidR="00C24986" w:rsidRDefault="005850CF" w:rsidP="00C24986">
      <w:pPr>
        <w:pStyle w:val="TAMainText"/>
      </w:pPr>
      <w:r w:rsidRPr="009D1652">
        <w:t>Here</w:t>
      </w:r>
      <w:r w:rsidR="00006EEC" w:rsidRPr="009D1652">
        <w:t xml:space="preserve">, we </w:t>
      </w:r>
      <w:r w:rsidR="00876CA7" w:rsidRPr="009D1652">
        <w:t>introduce</w:t>
      </w:r>
      <w:r w:rsidR="000739A8" w:rsidRPr="009D1652">
        <w:t xml:space="preserve"> </w:t>
      </w:r>
      <w:r w:rsidR="00656285">
        <w:t xml:space="preserve">a new approach to </w:t>
      </w:r>
      <w:r w:rsidR="00E84C17">
        <w:t>use</w:t>
      </w:r>
      <w:r w:rsidR="00BD39CA">
        <w:t xml:space="preserve"> the maximu</w:t>
      </w:r>
      <w:r w:rsidR="00E84C17">
        <w:t xml:space="preserve">m dynamic range of the detection system of </w:t>
      </w:r>
      <w:r w:rsidR="006343BA">
        <w:t>QCL-IR spectroscopy</w:t>
      </w:r>
      <w:r w:rsidR="00C708AE">
        <w:t xml:space="preserve"> </w:t>
      </w:r>
      <w:r w:rsidR="006343BA">
        <w:t xml:space="preserve">over a broader spectral range with </w:t>
      </w:r>
      <w:r w:rsidR="00CA14F6">
        <w:t>a significantly enhanced signal-to-noise ratio (SNR)</w:t>
      </w:r>
      <w:r w:rsidR="006343BA">
        <w:t xml:space="preserve">. Our approach is based on a </w:t>
      </w:r>
      <w:r w:rsidR="008E71D1" w:rsidRPr="009D1652">
        <w:t xml:space="preserve">conceptually simple </w:t>
      </w:r>
      <w:r w:rsidR="0034654F" w:rsidRPr="009D1652">
        <w:t xml:space="preserve">but </w:t>
      </w:r>
      <w:r w:rsidR="008E71D1" w:rsidRPr="009D1652">
        <w:t>optically advanced technique</w:t>
      </w:r>
      <w:r w:rsidR="000739A8" w:rsidRPr="009D1652">
        <w:t xml:space="preserve"> </w:t>
      </w:r>
      <w:r w:rsidR="006343BA">
        <w:t>that</w:t>
      </w:r>
      <w:r w:rsidR="0003341F" w:rsidRPr="009D1652">
        <w:t xml:space="preserve"> </w:t>
      </w:r>
      <w:r w:rsidR="007F2FEE">
        <w:t xml:space="preserve">pre-compensates </w:t>
      </w:r>
      <w:r w:rsidR="00373826">
        <w:t xml:space="preserve">the solvent </w:t>
      </w:r>
      <w:r w:rsidR="007F2FEE">
        <w:t>absorption</w:t>
      </w:r>
      <w:r w:rsidR="00442F9C">
        <w:t xml:space="preserve"> </w:t>
      </w:r>
      <w:r w:rsidR="008E71D1" w:rsidRPr="009D1652">
        <w:t xml:space="preserve">by </w:t>
      </w:r>
      <w:r w:rsidR="00BD6779">
        <w:t>adaptively</w:t>
      </w:r>
      <w:r w:rsidR="00BD6779" w:rsidRPr="009D1652">
        <w:t xml:space="preserve"> </w:t>
      </w:r>
      <w:r w:rsidR="00783591">
        <w:t>adjusti</w:t>
      </w:r>
      <w:r w:rsidR="00783591" w:rsidRPr="009D1652">
        <w:t xml:space="preserve">ng </w:t>
      </w:r>
      <w:r w:rsidR="008E71D1" w:rsidRPr="009D1652">
        <w:t>the incident light intensity</w:t>
      </w:r>
      <w:r w:rsidR="006343BA">
        <w:t xml:space="preserve"> during</w:t>
      </w:r>
      <w:r w:rsidR="000153B4" w:rsidRPr="009D1652">
        <w:t xml:space="preserve"> </w:t>
      </w:r>
      <w:r w:rsidR="00382E7A">
        <w:t xml:space="preserve">wavelength </w:t>
      </w:r>
      <w:r w:rsidR="0096465E">
        <w:t>scan</w:t>
      </w:r>
      <w:r w:rsidR="006343BA">
        <w:t>ning</w:t>
      </w:r>
      <w:r w:rsidR="0034654F" w:rsidRPr="009D1652">
        <w:t xml:space="preserve">. </w:t>
      </w:r>
      <w:r w:rsidR="008E71D1" w:rsidRPr="009D1652">
        <w:t>Using this</w:t>
      </w:r>
      <w:r w:rsidR="004C42B3">
        <w:t xml:space="preserve"> </w:t>
      </w:r>
      <w:r w:rsidR="004C42B3" w:rsidRPr="00776C0D">
        <w:rPr>
          <w:i/>
          <w:iCs/>
        </w:rPr>
        <w:t>adaptive</w:t>
      </w:r>
      <w:r w:rsidR="008E71D1" w:rsidRPr="009D1652">
        <w:t xml:space="preserve"> </w:t>
      </w:r>
      <w:r w:rsidR="00222B46" w:rsidRPr="00776C0D">
        <w:t>solvent</w:t>
      </w:r>
      <w:r w:rsidR="00A77584" w:rsidRPr="00776C0D">
        <w:t xml:space="preserve"> </w:t>
      </w:r>
      <w:r w:rsidR="00C33185" w:rsidRPr="00776C0D">
        <w:t xml:space="preserve">absorption </w:t>
      </w:r>
      <w:r w:rsidR="004966D7" w:rsidRPr="00776C0D">
        <w:t>compensat</w:t>
      </w:r>
      <w:r w:rsidR="008D0BEE" w:rsidRPr="00776C0D">
        <w:t>ion</w:t>
      </w:r>
      <w:r w:rsidR="004966D7" w:rsidRPr="00776C0D">
        <w:t xml:space="preserve"> </w:t>
      </w:r>
      <w:r w:rsidR="00783591" w:rsidRPr="00776C0D">
        <w:t>(</w:t>
      </w:r>
      <w:r w:rsidR="004966D7" w:rsidRPr="00776C0D">
        <w:t>S</w:t>
      </w:r>
      <w:r w:rsidR="00C33185" w:rsidRPr="00776C0D">
        <w:t>A</w:t>
      </w:r>
      <w:r w:rsidR="004966D7" w:rsidRPr="00776C0D">
        <w:t>C</w:t>
      </w:r>
      <w:r w:rsidR="00783591" w:rsidRPr="00776C0D">
        <w:t>)</w:t>
      </w:r>
      <w:r w:rsidR="000153B4" w:rsidRPr="009D1652">
        <w:t xml:space="preserve"> technique,</w:t>
      </w:r>
      <w:r w:rsidR="0034654F" w:rsidRPr="009D1652">
        <w:t xml:space="preserve"> we </w:t>
      </w:r>
      <w:r w:rsidR="00482B08">
        <w:t>can</w:t>
      </w:r>
      <w:r w:rsidR="000153B4" w:rsidRPr="009D1652">
        <w:t xml:space="preserve"> use the full dynamic range of the detection system </w:t>
      </w:r>
      <w:r w:rsidR="00F24DED">
        <w:t>at each wavelength</w:t>
      </w:r>
      <w:r w:rsidR="00CF6792">
        <w:t xml:space="preserve">. </w:t>
      </w:r>
      <w:r w:rsidR="00B7327D">
        <w:t xml:space="preserve">This </w:t>
      </w:r>
      <w:r w:rsidR="0097628F">
        <w:t xml:space="preserve">adaptive spectral adjustment </w:t>
      </w:r>
      <w:r w:rsidR="00B7327D">
        <w:t xml:space="preserve">technique </w:t>
      </w:r>
      <w:r w:rsidR="00BD7585">
        <w:t xml:space="preserve">can be used </w:t>
      </w:r>
      <w:r w:rsidR="00386D37">
        <w:t xml:space="preserve">for various sample conditions with </w:t>
      </w:r>
      <w:r w:rsidR="000E685D">
        <w:t>various path length</w:t>
      </w:r>
      <w:r w:rsidR="00386D37">
        <w:t>s</w:t>
      </w:r>
      <w:r w:rsidR="00D90FF0">
        <w:t xml:space="preserve"> and even various solvents. The ava</w:t>
      </w:r>
      <w:r w:rsidR="008B1D22">
        <w:t xml:space="preserve">ilable </w:t>
      </w:r>
      <w:r w:rsidR="00D90FF0">
        <w:t>frequency range can be extended as wide as the laser and the detector allow</w:t>
      </w:r>
      <w:r w:rsidR="00D90FF0" w:rsidRPr="009D1652">
        <w:t>.</w:t>
      </w:r>
      <w:r w:rsidR="008B1D22">
        <w:t xml:space="preserve"> </w:t>
      </w:r>
      <w:r w:rsidR="00746A7D">
        <w:t xml:space="preserve">This new technique can be </w:t>
      </w:r>
      <w:r w:rsidR="005540BC">
        <w:t xml:space="preserve">easily </w:t>
      </w:r>
      <w:r w:rsidR="00746A7D">
        <w:t>combined with the other QCL-based IR spectroscopy methods</w:t>
      </w:r>
      <w:r w:rsidR="005540BC">
        <w:t xml:space="preserve"> by simply inserting </w:t>
      </w:r>
      <w:r w:rsidR="007D222E">
        <w:t>a spectrum adjusting</w:t>
      </w:r>
      <w:r w:rsidR="005540BC">
        <w:t xml:space="preserve"> unit into the incident beam path</w:t>
      </w:r>
      <w:r w:rsidR="00746A7D">
        <w:t xml:space="preserve">. </w:t>
      </w:r>
      <w:r w:rsidR="00ED4D39">
        <w:t>Our</w:t>
      </w:r>
      <w:r w:rsidR="00E5720B" w:rsidRPr="009D1652">
        <w:t xml:space="preserve"> </w:t>
      </w:r>
      <w:r w:rsidR="00ED4D39">
        <w:t xml:space="preserve">presented </w:t>
      </w:r>
      <w:r w:rsidR="007D222E">
        <w:t>SAC</w:t>
      </w:r>
      <w:r w:rsidR="005A7444">
        <w:t xml:space="preserve">-IR </w:t>
      </w:r>
      <w:r w:rsidR="00E5720B" w:rsidRPr="009D1652">
        <w:t xml:space="preserve">spectra </w:t>
      </w:r>
      <w:r w:rsidR="00B9392E" w:rsidRPr="009D1652">
        <w:t>of protein solutions between 1350 cm</w:t>
      </w:r>
      <w:r w:rsidR="00B9392E" w:rsidRPr="00F667CE">
        <w:rPr>
          <w:vertAlign w:val="superscript"/>
        </w:rPr>
        <w:t>-1</w:t>
      </w:r>
      <w:r w:rsidR="00B9392E" w:rsidRPr="009D1652">
        <w:t xml:space="preserve"> and 1770 cm</w:t>
      </w:r>
      <w:r w:rsidR="00B9392E" w:rsidRPr="00F667CE">
        <w:rPr>
          <w:vertAlign w:val="superscript"/>
        </w:rPr>
        <w:t>-1</w:t>
      </w:r>
      <w:r w:rsidR="00B9392E">
        <w:t xml:space="preserve"> </w:t>
      </w:r>
      <w:r w:rsidR="00E5720B" w:rsidRPr="009D1652">
        <w:t>show good linearity over three order</w:t>
      </w:r>
      <w:r w:rsidR="000153B4" w:rsidRPr="009D1652">
        <w:t>s</w:t>
      </w:r>
      <w:r w:rsidR="00E5720B" w:rsidRPr="009D1652">
        <w:t xml:space="preserve"> of magnitude </w:t>
      </w:r>
      <w:r w:rsidR="00DA3BEA">
        <w:t xml:space="preserve">in </w:t>
      </w:r>
      <w:r w:rsidR="00E5720B" w:rsidRPr="009D1652">
        <w:t xml:space="preserve">concentration </w:t>
      </w:r>
      <w:r w:rsidR="00DA3BEA">
        <w:t>with a lower limit of</w:t>
      </w:r>
      <w:r w:rsidR="00E5720B" w:rsidRPr="009D1652">
        <w:t xml:space="preserve"> 0.1 mg/mL,</w:t>
      </w:r>
      <w:r w:rsidR="0034654F" w:rsidRPr="009D1652">
        <w:t xml:space="preserve"> which is </w:t>
      </w:r>
      <w:r w:rsidR="00D82B0D">
        <w:t xml:space="preserve">&gt;100 times </w:t>
      </w:r>
      <w:r w:rsidR="00D177CD">
        <w:t>greater SNR</w:t>
      </w:r>
      <w:r w:rsidR="00945BA6">
        <w:t xml:space="preserve"> than non-</w:t>
      </w:r>
      <w:r w:rsidR="007D222E">
        <w:t>SAC</w:t>
      </w:r>
      <w:r w:rsidR="004D48EA">
        <w:t xml:space="preserve"> </w:t>
      </w:r>
      <w:r w:rsidR="00945BA6">
        <w:t>methods</w:t>
      </w:r>
      <w:r w:rsidR="00DA3EB5">
        <w:t xml:space="preserve"> for </w:t>
      </w:r>
      <w:r w:rsidR="00AE7975">
        <w:t>the wide wavelength range</w:t>
      </w:r>
      <w:r w:rsidR="00497BDE">
        <w:t>.</w:t>
      </w:r>
    </w:p>
    <w:p w14:paraId="02616BF2" w14:textId="1B0CA91F" w:rsidR="00835984" w:rsidRPr="0000383A" w:rsidRDefault="00876CA7" w:rsidP="003F0922">
      <w:pPr>
        <w:pStyle w:val="TAMainText"/>
      </w:pPr>
      <w:r w:rsidRPr="0000383A">
        <w:t xml:space="preserve">Using this high-sensitivity optical method, we study the </w:t>
      </w:r>
      <w:r w:rsidR="00A22169" w:rsidRPr="00E4350F">
        <w:rPr>
          <w:i/>
          <w:iCs/>
        </w:rPr>
        <w:t>in-situ</w:t>
      </w:r>
      <w:r w:rsidR="00A22169">
        <w:t xml:space="preserve"> </w:t>
      </w:r>
      <w:r w:rsidRPr="0000383A">
        <w:t xml:space="preserve">isothermal kinetics of a </w:t>
      </w:r>
      <w:r w:rsidR="004A00A2" w:rsidRPr="00F667CE">
        <w:t>protein</w:t>
      </w:r>
      <w:r w:rsidR="004A00A2" w:rsidRPr="0000383A">
        <w:t xml:space="preserve"> </w:t>
      </w:r>
      <w:r w:rsidRPr="0000383A">
        <w:t>fibrillation reaction, which is known to accompany dramatic changes in secondary structure</w:t>
      </w:r>
      <w:r w:rsidR="00203168">
        <w:t>.</w:t>
      </w:r>
      <w:r w:rsidR="008E041D">
        <w:fldChar w:fldCharType="begin" w:fldLock="1"/>
      </w:r>
      <w:r w:rsidR="00CB7374">
        <w:instrText>ADDIN CSL_CITATION {"citationItems":[{"id":"ITEM-1","itemData":{"DOI":"10.1074/jbc.M314141200","ISBN":"2163683419","ISSN":"00219258","abstract":"Insulin undergoes aggregation-coupled misfolding to form a cross-β assembly. Such fibrillation has long complicated its manufacture and use in the therapy of diabetes mellitus. Of interest as a model for disease-associated amyloids, insulin fibrillation is proposed to occur via partial unfolding of a monomeric intermediate. Here, we describe the solution structure of human insulin under amyloidogenic conditions (pH 2.4 and 60 °C). Use of an enhanced sensitivity cryogenic probe at high magnetic field avoids onset of fibrillation during spectral acquisition. A novel partial fold is observed in which the N-terminal segments of the A- and B-chains detach from the core. Unfolding of the N-terminal α-helix of the A-chain exposes a hydrophobic surface formed by native-like packing of the remaining a-helices. The C-terminal segment of the B-chain, although not well ordered, remains tethered to this partial helical core. We propose that detachment of N-terminal segments makes possible aberrant protein-protein interactions in an amyloidogenic nucleus. Non-cooperative unfolding of the N-terminal A-chain α-helix resembles that observed in models of proinsulin folding intermediates and foreshadows the extensive α → β transition characteristic of mature fibrils.","author":[{"dropping-particle":"","family":"Hua","given":"Qing Xin","non-dropping-particle":"","parse-names":false,"suffix":""},{"dropping-particle":"","family":"Weiss","given":"Michael A.","non-dropping-particle":"","parse-names":false,"suffix":""}],"container-title":"Journal of Biological Chemistry","id":"ITEM-1","issue":"20","issued":{"date-parts":[["2004"]]},"page":"21449-21460","title":"Mechanism of insulin fibrillation: The structure of insulin under amyloidogenic conditions resembles a protein-folding intermediate","type":"article-journal","volume":"279"},"uris":["http://www.mendeley.com/documents/?uuid=8f057a10-98d6-41db-9976-75fe145e9b39"]}],"mendeley":{"formattedCitation":"&lt;sup&gt;13&lt;/sup&gt;","plainTextFormattedCitation":"13","previouslyFormattedCitation":"&lt;sup&gt;13&lt;/sup&gt;"},"properties":{"noteIndex":0},"schema":"https://github.com/citation-style-language/schema/raw/master/csl-citation.json"}</w:instrText>
      </w:r>
      <w:r w:rsidR="008E041D">
        <w:fldChar w:fldCharType="separate"/>
      </w:r>
      <w:r w:rsidR="00CB7374" w:rsidRPr="00CB7374">
        <w:rPr>
          <w:noProof/>
          <w:vertAlign w:val="superscript"/>
        </w:rPr>
        <w:t>13</w:t>
      </w:r>
      <w:r w:rsidR="008E041D">
        <w:fldChar w:fldCharType="end"/>
      </w:r>
      <w:r w:rsidRPr="0000383A">
        <w:t xml:space="preserve"> </w:t>
      </w:r>
      <w:r w:rsidR="004A00A2" w:rsidRPr="00F667CE">
        <w:t>Protein</w:t>
      </w:r>
      <w:r w:rsidR="004A00A2" w:rsidRPr="0000383A">
        <w:t xml:space="preserve"> </w:t>
      </w:r>
      <w:r w:rsidR="000153B4" w:rsidRPr="0000383A">
        <w:t>fibrillation</w:t>
      </w:r>
      <w:r w:rsidR="00835984" w:rsidRPr="0000383A">
        <w:t xml:space="preserve"> </w:t>
      </w:r>
      <w:r w:rsidRPr="0000383A">
        <w:t xml:space="preserve">has been studied </w:t>
      </w:r>
      <w:r w:rsidR="00C76414" w:rsidRPr="0000383A">
        <w:t xml:space="preserve">by various </w:t>
      </w:r>
      <w:r w:rsidRPr="0000383A">
        <w:t>analytical methods</w:t>
      </w:r>
      <w:r w:rsidR="006A43AC" w:rsidRPr="0000383A">
        <w:t>. E</w:t>
      </w:r>
      <w:r w:rsidRPr="0000383A">
        <w:t>lectron microscopy</w:t>
      </w:r>
      <w:r w:rsidR="006A43AC" w:rsidRPr="0000383A">
        <w:t xml:space="preserve"> </w:t>
      </w:r>
      <w:r w:rsidR="00236886" w:rsidRPr="0000383A">
        <w:t xml:space="preserve">or atomic force microscopy </w:t>
      </w:r>
      <w:r w:rsidR="006A43AC" w:rsidRPr="0000383A">
        <w:t xml:space="preserve">can observe individual fibrils and provide the actual </w:t>
      </w:r>
      <w:r w:rsidR="00236886" w:rsidRPr="0000383A">
        <w:t xml:space="preserve">shape </w:t>
      </w:r>
      <w:r w:rsidR="006A43AC" w:rsidRPr="0000383A">
        <w:t xml:space="preserve">and </w:t>
      </w:r>
      <w:r w:rsidR="00236886" w:rsidRPr="0000383A">
        <w:t xml:space="preserve">size </w:t>
      </w:r>
      <w:r w:rsidR="006A43AC" w:rsidRPr="0000383A">
        <w:t>distributions, but it cannot monitor the fibril</w:t>
      </w:r>
      <w:r w:rsidR="00673F5F">
        <w:t>lation</w:t>
      </w:r>
      <w:r w:rsidR="006A43AC" w:rsidRPr="0000383A">
        <w:t xml:space="preserve"> occurring</w:t>
      </w:r>
      <w:r w:rsidR="00673F5F">
        <w:t xml:space="preserve"> in the solution phase</w:t>
      </w:r>
      <w:r w:rsidR="00092B68">
        <w:t>.</w:t>
      </w:r>
      <w:r w:rsidR="006A43AC" w:rsidRPr="0000383A">
        <w:t xml:space="preserve"> D</w:t>
      </w:r>
      <w:r w:rsidR="00785722" w:rsidRPr="0000383A">
        <w:t>ifferential scanning calorimetry</w:t>
      </w:r>
      <w:r w:rsidR="001652FC" w:rsidRPr="0000383A">
        <w:t xml:space="preserve"> </w:t>
      </w:r>
      <w:r w:rsidR="00785722" w:rsidRPr="0000383A">
        <w:t>measur</w:t>
      </w:r>
      <w:r w:rsidR="0041256A">
        <w:t>es</w:t>
      </w:r>
      <w:r w:rsidR="00785722" w:rsidRPr="0000383A">
        <w:t xml:space="preserve"> the transition temperatures and the</w:t>
      </w:r>
      <w:r w:rsidR="00F568FF" w:rsidRPr="0000383A">
        <w:t>ir</w:t>
      </w:r>
      <w:r w:rsidR="00785722" w:rsidRPr="0000383A">
        <w:t xml:space="preserve"> </w:t>
      </w:r>
      <w:r w:rsidR="00F568FF" w:rsidRPr="0000383A">
        <w:t xml:space="preserve">corresponding </w:t>
      </w:r>
      <w:r w:rsidR="00785722" w:rsidRPr="0000383A">
        <w:t xml:space="preserve">heat </w:t>
      </w:r>
      <w:r w:rsidR="001D5EE2" w:rsidRPr="0000383A">
        <w:t>exchange</w:t>
      </w:r>
      <w:r w:rsidR="0041256A" w:rsidRPr="0041256A">
        <w:t xml:space="preserve"> </w:t>
      </w:r>
      <w:r w:rsidR="0041256A">
        <w:t xml:space="preserve">during </w:t>
      </w:r>
      <w:r w:rsidR="0041256A" w:rsidRPr="0000383A">
        <w:t>fibrillation</w:t>
      </w:r>
      <w:r w:rsidR="001D5EE2" w:rsidRPr="0000383A">
        <w:t>,</w:t>
      </w:r>
      <w:r w:rsidR="00785722" w:rsidRPr="0000383A">
        <w:t xml:space="preserve"> but it does not provide any direct information on structur</w:t>
      </w:r>
      <w:r w:rsidR="00F568FF" w:rsidRPr="0000383A">
        <w:t>al changes</w:t>
      </w:r>
      <w:r w:rsidR="00203168">
        <w:t>.</w:t>
      </w:r>
      <w:r w:rsidR="000827E3">
        <w:fldChar w:fldCharType="begin" w:fldLock="1"/>
      </w:r>
      <w:r w:rsidR="00CB7374">
        <w:instrText>ADDIN CSL_CITATION {"citationItems":[{"id":"ITEM-1","itemData":{"DOI":"10.1016/S0006-3495(92)81899-4","ISSN":"00063495","abstract":"A theoretical analysis of several protein denaturation models (Lumry-Eyring models) that include a rate-limited step leading to an irreversibly denatured state of the protein (the final state) has been carried out. The differential scanning calorimetry transitions predicted for these models can be broadly classified into four groups: situations A, B, C, and C′. (A) The transition is calorimetrically irreversible but the rate-limited, irreversible step takes place with significant rate only at temperatures slightly above those corresponding to the transition. Equilibrium thermodynamics analysis is permissible. (B) The transition is distorted by the occurrence of the rate-limited step; nevertheless, it contains thermodynamic information about the reversible unfolding of the protein, which could be obtained upon the appropriate data treatment. (C) The heat absorption is entirely determined by the kinetics of formation of the final state and no thermodynamic information can be extracted from the calorimetric transition; the rate-determining step is the irreversible process itself. (C′) same as C, but, in this case, the rate-determining step is a previous step in the unfolding pathway. It is shown that ligand and protein concentration effects on transitions corresponding to situation C (strongly rate-limited transitions) are similar to those predicted by equilibrium thermodynamics for simple reversible unfolding models. It has been widely held in recent literature that experimentally observed ligand and protein concentration effects support the applicability of equilibrium thermodynamics to irreversible protein denaturation. The theoretical analysis reported here disfavors this claim. © 1992, The Biophysical Society. All rights reserved.","author":[{"dropping-particle":"","family":"Sanchez-Ruiz","given":"Jose M.","non-dropping-particle":"","parse-names":false,"suffix":""}],"container-title":"Biophysical Journal","id":"ITEM-1","issue":"4","issued":{"date-parts":[["1992"]]},"page":"921-935","publisher":"Elsevier","title":"Theoretical analysis of Lumry-Eyring models in differential scanning calorimetry","type":"article-journal","volume":"61"},"uris":["http://www.mendeley.com/documents/?uuid=e2218e28-01b0-40a3-9f91-2baf4a012744"]}],"mendeley":{"formattedCitation":"&lt;sup&gt;14&lt;/sup&gt;","plainTextFormattedCitation":"14","previouslyFormattedCitation":"&lt;sup&gt;14&lt;/sup&gt;"},"properties":{"noteIndex":0},"schema":"https://github.com/citation-style-language/schema/raw/master/csl-citation.json"}</w:instrText>
      </w:r>
      <w:r w:rsidR="000827E3">
        <w:fldChar w:fldCharType="separate"/>
      </w:r>
      <w:r w:rsidR="00CB7374" w:rsidRPr="00CB7374">
        <w:rPr>
          <w:noProof/>
          <w:vertAlign w:val="superscript"/>
        </w:rPr>
        <w:t>14</w:t>
      </w:r>
      <w:r w:rsidR="000827E3">
        <w:fldChar w:fldCharType="end"/>
      </w:r>
      <w:r w:rsidR="00D46F7C" w:rsidRPr="0000383A">
        <w:t xml:space="preserve"> </w:t>
      </w:r>
      <w:r w:rsidR="00835984" w:rsidRPr="0000383A">
        <w:t>Far-</w:t>
      </w:r>
      <w:r w:rsidR="004C77E4">
        <w:t>ultra</w:t>
      </w:r>
      <w:r w:rsidR="006E365D">
        <w:t>v</w:t>
      </w:r>
      <w:r w:rsidR="004C77E4">
        <w:t>iolet</w:t>
      </w:r>
      <w:r w:rsidR="00835984" w:rsidRPr="0000383A">
        <w:t xml:space="preserve"> </w:t>
      </w:r>
      <w:r w:rsidR="00D46F7C" w:rsidRPr="00F667CE">
        <w:t>circular dichroism (</w:t>
      </w:r>
      <w:r w:rsidR="00CD48BD">
        <w:t>far-</w:t>
      </w:r>
      <w:r w:rsidR="004C77E4">
        <w:t>UV-</w:t>
      </w:r>
      <w:r w:rsidR="00835984" w:rsidRPr="0000383A">
        <w:t>CD</w:t>
      </w:r>
      <w:r w:rsidR="00D46F7C" w:rsidRPr="0000383A">
        <w:t>) is a spectroscopic method that has been used</w:t>
      </w:r>
      <w:r w:rsidR="00151B3C">
        <w:t xml:space="preserve"> </w:t>
      </w:r>
      <w:r w:rsidR="00151B3C" w:rsidRPr="0000383A">
        <w:t>often</w:t>
      </w:r>
      <w:r w:rsidR="00D46F7C" w:rsidRPr="0000383A">
        <w:t xml:space="preserve"> </w:t>
      </w:r>
      <w:r w:rsidR="00482B08" w:rsidRPr="0000383A">
        <w:t>for</w:t>
      </w:r>
      <w:r w:rsidR="00D46F7C" w:rsidRPr="0000383A">
        <w:t xml:space="preserve"> </w:t>
      </w:r>
      <w:r w:rsidR="000C0823">
        <w:t xml:space="preserve">the </w:t>
      </w:r>
      <w:r w:rsidR="00CA5D45" w:rsidRPr="0000383A">
        <w:t xml:space="preserve">identification </w:t>
      </w:r>
      <w:r w:rsidR="00CA5D45">
        <w:t xml:space="preserve">of </w:t>
      </w:r>
      <w:r w:rsidR="00D46F7C" w:rsidRPr="0000383A">
        <w:t xml:space="preserve">the </w:t>
      </w:r>
      <w:r w:rsidR="00835984" w:rsidRPr="0000383A">
        <w:t>secondary structure</w:t>
      </w:r>
      <w:r w:rsidR="00203168">
        <w:t>.</w:t>
      </w:r>
      <w:r w:rsidR="00DE78AD">
        <w:fldChar w:fldCharType="begin" w:fldLock="1"/>
      </w:r>
      <w:r w:rsidR="00CB7374">
        <w:instrText>ADDIN CSL_CITATION {"citationItems":[{"id":"ITEM-1","itemData":{"DOI":"10.1038/nprot.2006.202","ISSN":"17542189","PMID":"17406547","abstract":"Circular dichroism (CD) is an excellent tool for rapid determination of the secondary structure and folding properties of proteins that have been obtained using recombinant techniques or purified from tissues. The most widely used applications of protein CD are to determine whether an expressed, purified protein is folded, or if a mutation affects its conformation or stability. In addition, it can be used to study protein interactions. This protocol details the basic steps of obtaining and interpreting CD data, and methods for analyzing spectra to estimate the secondary structural composition of proteins. CD has the advantage that measurements may be made on multiple samples containing ≤20 μg of proteins in physiological buffers in a few hours. However, it does not give the residue-specific information that can be obtained by x-ray crystallography or NMR.","author":[{"dropping-particle":"","family":"Greenfield","given":"Norma J.","non-dropping-particle":"","parse-names":false,"suffix":""}],"container-title":"Nature Protocols","id":"ITEM-1","issue":"6","issued":{"date-parts":[["2007","1"]]},"page":"2876-2890","title":"Using circular dichroism spectra to estimate protein secondary structure","type":"article-journal","volume":"1"},"uris":["http://www.mendeley.com/documents/?uuid=3761cf14-1704-3c96-ae74-d40ba02f524d"]}],"mendeley":{"formattedCitation":"&lt;sup&gt;15&lt;/sup&gt;","plainTextFormattedCitation":"15","previouslyFormattedCitation":"&lt;sup&gt;15&lt;/sup&gt;"},"properties":{"noteIndex":0},"schema":"https://github.com/citation-style-language/schema/raw/master/csl-citation.json"}</w:instrText>
      </w:r>
      <w:r w:rsidR="00DE78AD">
        <w:fldChar w:fldCharType="separate"/>
      </w:r>
      <w:r w:rsidR="00CB7374" w:rsidRPr="00CB7374">
        <w:rPr>
          <w:noProof/>
          <w:vertAlign w:val="superscript"/>
        </w:rPr>
        <w:t>15</w:t>
      </w:r>
      <w:r w:rsidR="00DE78AD">
        <w:fldChar w:fldCharType="end"/>
      </w:r>
      <w:r w:rsidR="00D46F7C" w:rsidRPr="0000383A">
        <w:t xml:space="preserve"> However, it </w:t>
      </w:r>
      <w:r w:rsidR="00835984" w:rsidRPr="0000383A">
        <w:t xml:space="preserve">requires buffer exchange </w:t>
      </w:r>
      <w:r w:rsidR="00D46F7C" w:rsidRPr="0000383A">
        <w:t xml:space="preserve">in case of </w:t>
      </w:r>
      <w:r w:rsidR="00482B08" w:rsidRPr="0000383A">
        <w:t xml:space="preserve">the </w:t>
      </w:r>
      <w:r w:rsidR="00D46F7C" w:rsidRPr="0000383A">
        <w:t xml:space="preserve">presence of optically active excipients in the </w:t>
      </w:r>
      <w:r w:rsidR="00835984" w:rsidRPr="0000383A">
        <w:t>original formulation</w:t>
      </w:r>
      <w:r w:rsidR="00D46F7C" w:rsidRPr="0000383A">
        <w:t>.</w:t>
      </w:r>
      <w:r w:rsidR="00835984" w:rsidRPr="0000383A">
        <w:t xml:space="preserve"> </w:t>
      </w:r>
      <w:r w:rsidR="00D46F7C" w:rsidRPr="0000383A">
        <w:t xml:space="preserve">Also, due to its strong </w:t>
      </w:r>
      <w:r w:rsidR="00541FF3">
        <w:t>electronic</w:t>
      </w:r>
      <w:r w:rsidR="0006606A" w:rsidRPr="00F667CE">
        <w:t xml:space="preserve"> </w:t>
      </w:r>
      <w:r w:rsidR="00541FF3">
        <w:t xml:space="preserve">transitions </w:t>
      </w:r>
      <w:r w:rsidR="0006606A" w:rsidRPr="00F667CE">
        <w:t xml:space="preserve">of the </w:t>
      </w:r>
      <w:r w:rsidR="00D46F7C" w:rsidRPr="0000383A">
        <w:t xml:space="preserve">protein in the far-UV region, </w:t>
      </w:r>
      <w:r w:rsidR="009851FA">
        <w:t xml:space="preserve">researchers </w:t>
      </w:r>
      <w:r w:rsidR="00C63745" w:rsidRPr="0000383A">
        <w:t xml:space="preserve">often </w:t>
      </w:r>
      <w:r w:rsidR="00915478">
        <w:t>need</w:t>
      </w:r>
      <w:r w:rsidR="003577A6">
        <w:t xml:space="preserve"> to</w:t>
      </w:r>
      <w:r w:rsidR="00C63745" w:rsidRPr="0000383A">
        <w:t xml:space="preserve"> </w:t>
      </w:r>
      <w:r w:rsidR="00D46F7C" w:rsidRPr="0000383A">
        <w:t>dilut</w:t>
      </w:r>
      <w:r w:rsidR="003577A6">
        <w:t>e</w:t>
      </w:r>
      <w:r w:rsidR="00D46F7C" w:rsidRPr="009D1652">
        <w:t xml:space="preserve"> </w:t>
      </w:r>
      <w:r w:rsidR="00307DB0">
        <w:t>a</w:t>
      </w:r>
      <w:r w:rsidR="001C5239">
        <w:t xml:space="preserve"> solution </w:t>
      </w:r>
      <w:r w:rsidR="00D46F7C" w:rsidRPr="009D1652">
        <w:t xml:space="preserve">below </w:t>
      </w:r>
      <w:r w:rsidR="00835984" w:rsidRPr="009D1652">
        <w:t>1 mg/mL</w:t>
      </w:r>
      <w:r w:rsidR="00BC6DA1">
        <w:t xml:space="preserve"> for stable measurement</w:t>
      </w:r>
      <w:r w:rsidR="001C5239">
        <w:t>.</w:t>
      </w:r>
      <w:r w:rsidR="00D46F7C" w:rsidRPr="009D1652">
        <w:t xml:space="preserve"> Both buffer exchange and </w:t>
      </w:r>
      <w:r w:rsidR="00C63745" w:rsidRPr="009D1652">
        <w:t xml:space="preserve">solution </w:t>
      </w:r>
      <w:r w:rsidR="00D46F7C" w:rsidRPr="009D1652">
        <w:t xml:space="preserve">dilution can significantly alter the overall kinetics </w:t>
      </w:r>
      <w:r w:rsidR="00C63745" w:rsidRPr="009D1652">
        <w:t>of peptide aggregation reactions, which are quite often affected by peptide concentration</w:t>
      </w:r>
      <w:r w:rsidR="00203168">
        <w:t>.</w:t>
      </w:r>
      <w:r w:rsidR="000827E3">
        <w:fldChar w:fldCharType="begin" w:fldLock="1"/>
      </w:r>
      <w:r w:rsidR="00CB7374">
        <w:instrText>ADDIN CSL_CITATION {"citationItems":[{"id":"ITEM-1","itemData":{"DOI":"10.1038/nprot.2006.202","ISSN":"17542189","PMID":"17406547","abstract":"Circular dichroism (CD) is an excellent tool for rapid determination of the secondary structure and folding properties of proteins that have been obtained using recombinant techniques or purified from tissues. The most widely used applications of protein CD are to determine whether an expressed, purified protein is folded, or if a mutation affects its conformation or stability. In addition, it can be used to study protein interactions. This protocol details the basic steps of obtaining and interpreting CD data, and methods for analyzing spectra to estimate the secondary structural composition of proteins. CD has the advantage that measurements may be made on multiple samples containing ≤20 μg of proteins in physiological buffers in a few hours. However, it does not give the residue-specific information that can be obtained by x-ray crystallography or NMR.","author":[{"dropping-particle":"","family":"Greenfield","given":"Norma J.","non-dropping-particle":"","parse-names":false,"suffix":""}],"container-title":"Nature Protocols","id":"ITEM-1","issue":"6","issued":{"date-parts":[["2007","1"]]},"page":"2876-2890","title":"Using circular dichroism spectra to estimate protein secondary structure","type":"article-journal","volume":"1"},"uris":["http://www.mendeley.com/documents/?uuid=3761cf14-1704-3c96-ae74-d40ba02f524d"]}],"mendeley":{"formattedCitation":"&lt;sup&gt;15&lt;/sup&gt;","plainTextFormattedCitation":"15","previouslyFormattedCitation":"&lt;sup&gt;15&lt;/sup&gt;"},"properties":{"noteIndex":0},"schema":"https://github.com/citation-style-language/schema/raw/master/csl-citation.json"}</w:instrText>
      </w:r>
      <w:r w:rsidR="000827E3">
        <w:fldChar w:fldCharType="separate"/>
      </w:r>
      <w:r w:rsidR="00CB7374" w:rsidRPr="00CB7374">
        <w:rPr>
          <w:noProof/>
          <w:vertAlign w:val="superscript"/>
        </w:rPr>
        <w:t>15</w:t>
      </w:r>
      <w:r w:rsidR="000827E3">
        <w:fldChar w:fldCharType="end"/>
      </w:r>
      <w:r w:rsidR="00C63745" w:rsidRPr="009D1652">
        <w:t xml:space="preserve"> </w:t>
      </w:r>
      <w:r w:rsidR="00151B3C">
        <w:t>Alternatively</w:t>
      </w:r>
      <w:r w:rsidR="00C63745" w:rsidRPr="009D1652">
        <w:t xml:space="preserve">, </w:t>
      </w:r>
      <w:r w:rsidR="00236886" w:rsidRPr="009D1652">
        <w:t xml:space="preserve">the </w:t>
      </w:r>
      <w:r w:rsidR="00673F5F">
        <w:t>t</w:t>
      </w:r>
      <w:r w:rsidR="00236886" w:rsidRPr="009D1652">
        <w:t>hioflavin T (</w:t>
      </w:r>
      <w:r w:rsidR="00835984" w:rsidRPr="009D1652">
        <w:t>ThT</w:t>
      </w:r>
      <w:r w:rsidR="00236886" w:rsidRPr="009D1652">
        <w:t xml:space="preserve">) fluorescence method has been widely used to </w:t>
      </w:r>
      <w:r w:rsidR="00835984" w:rsidRPr="009D1652">
        <w:t xml:space="preserve">monitor </w:t>
      </w:r>
      <w:r w:rsidR="00151B3C" w:rsidRPr="00F667CE">
        <w:rPr>
          <w:i/>
          <w:iCs/>
        </w:rPr>
        <w:t>in-situ</w:t>
      </w:r>
      <w:r w:rsidR="00151B3C" w:rsidRPr="009D1652">
        <w:t xml:space="preserve"> </w:t>
      </w:r>
      <w:r w:rsidR="00835984" w:rsidRPr="009D1652">
        <w:t xml:space="preserve">the </w:t>
      </w:r>
      <w:r w:rsidR="00236886" w:rsidRPr="009D1652">
        <w:t xml:space="preserve">progress of amyloid fibrillation </w:t>
      </w:r>
      <w:r w:rsidR="00B73B6B" w:rsidRPr="009D1652">
        <w:t>by taking advantage of the property of fluorescence quantum yield increase of ThT</w:t>
      </w:r>
      <w:r w:rsidR="000F1639" w:rsidRPr="009D1652">
        <w:t xml:space="preserve"> upon binding to rigid amyloid fibrils</w:t>
      </w:r>
      <w:r w:rsidR="00203168">
        <w:t>.</w:t>
      </w:r>
      <w:r w:rsidR="007D597A">
        <w:fldChar w:fldCharType="begin" w:fldLock="1"/>
      </w:r>
      <w:r w:rsidR="00CB7374">
        <w:instrText>ADDIN CSL_CITATION {"citationItems":[{"id":"ITEM-1","itemData":{"DOI":"10.1098/rsos.160696","ISSN":"20545703","PMID":"28280572","abstract":"Formation of amyloid fibrils underlies a wide range of human disorders, including Alzheimer’s and prion diseases. The amyloid fibrils can be readily detected thanks to thioflavin T (ThT), a small molecule that gives strong fluorescence upon binding to amyloids. Using the amyloid fibrils of Aβ40 and Aβ42 involved in Alzheimer’s disease, and of yeast prion protein Ure2, here we study three aspects of ThT binding to amyloids: quantification of amyloid fibrils using ThT, the optimal ThT concentration for monitoring amyloid formation and the effect of ThT on aggregation kinetics.We show that ThT fluorescence correlates linearly with amyloid concentration over ThT concentrations ranging from 0.2 to 500 μM. At a given amyloid concentration, the plot of ThT fluorescence versus ThT concentration exhibits a bell-shaped curve. The maximal fluorescence signal depends mostly on the total ThT concentration, rather than amyloid to ThT ratio. For the three proteins investigated, the maximal fluorescence is observed at ThT concentrations of 20-50 μM. Aggregation kinetics experiments in the presence of different ThT concentrations show that ThT has little effect on aggregation at concentrations of 20 μM or lower. ThT at concentrations of 50 μM or more could affect the shape of the aggregation curves, but this effect is protein-dependent and not universal.","author":[{"dropping-particle":"","family":"Xue","given":"Christine","non-dropping-particle":"","parse-names":false,"suffix":""},{"dropping-particle":"","family":"Lin","given":"Tiffany Yuwen","non-dropping-particle":"","parse-names":false,"suffix":""},{"dropping-particle":"","family":"Chang","given":"Dennis","non-dropping-particle":"","parse-names":false,"suffix":""},{"dropping-particle":"","family":"Guo","given":"Zhefeng","non-dropping-particle":"","parse-names":false,"suffix":""}],"container-title":"Royal Society Open Science","id":"ITEM-1","issue":"1","issued":{"date-parts":[["2017"]]},"page":"160696","title":"Thioflavin T as an amyloid dye: Fibril quantification, optimal concentration and effect on aggregation","type":"article-journal","volume":"4"},"uris":["http://www.mendeley.com/documents/?uuid=7f4dd3d1-f102-435c-b570-704377e48a62","http://www.mendeley.com/documents/?uuid=7b3e4cf5-0161-481c-b76f-9ec71938c709"]}],"mendeley":{"formattedCitation":"&lt;sup&gt;16&lt;/sup&gt;","plainTextFormattedCitation":"16","previouslyFormattedCitation":"&lt;sup&gt;16&lt;/sup&gt;"},"properties":{"noteIndex":0},"schema":"https://github.com/citation-style-language/schema/raw/master/csl-citation.json"}</w:instrText>
      </w:r>
      <w:r w:rsidR="007D597A">
        <w:fldChar w:fldCharType="separate"/>
      </w:r>
      <w:r w:rsidR="00CB7374" w:rsidRPr="00CB7374">
        <w:rPr>
          <w:noProof/>
          <w:vertAlign w:val="superscript"/>
        </w:rPr>
        <w:t>16</w:t>
      </w:r>
      <w:r w:rsidR="007D597A">
        <w:fldChar w:fldCharType="end"/>
      </w:r>
      <w:r w:rsidR="000F1639" w:rsidRPr="009D1652">
        <w:t xml:space="preserve"> </w:t>
      </w:r>
      <w:r w:rsidR="00B73B6B" w:rsidRPr="009D1652">
        <w:t>The ThT method, which does not require buffer exchange or dilution, ha</w:t>
      </w:r>
      <w:r w:rsidR="00D15782">
        <w:t>s</w:t>
      </w:r>
      <w:r w:rsidR="00B73B6B" w:rsidRPr="009D1652">
        <w:t xml:space="preserve"> been performed in numerous kinetics studies and </w:t>
      </w:r>
      <w:r w:rsidR="00B73B6B" w:rsidRPr="006B759D">
        <w:rPr>
          <w:i/>
          <w:iCs/>
        </w:rPr>
        <w:t>in-vivo</w:t>
      </w:r>
      <w:r w:rsidR="00B73B6B" w:rsidRPr="009D1652">
        <w:t xml:space="preserve"> imaging and diagnostics. However, </w:t>
      </w:r>
      <w:r w:rsidR="00D07C47">
        <w:t>the</w:t>
      </w:r>
      <w:r w:rsidR="00D07C47" w:rsidRPr="009D1652">
        <w:t xml:space="preserve"> ThT measurements only report the amount of the final structure </w:t>
      </w:r>
      <w:r w:rsidR="00D07C47">
        <w:t>that is</w:t>
      </w:r>
      <w:r w:rsidR="00D07C47" w:rsidRPr="009D1652">
        <w:t xml:space="preserve"> </w:t>
      </w:r>
      <w:r w:rsidR="00D07C47">
        <w:t xml:space="preserve">in the </w:t>
      </w:r>
      <w:r w:rsidR="00D07C47" w:rsidRPr="009D1652">
        <w:t>amyloid</w:t>
      </w:r>
      <w:r w:rsidR="00D07C47">
        <w:t xml:space="preserve"> form</w:t>
      </w:r>
      <w:r w:rsidR="00D07C47" w:rsidRPr="0000383A">
        <w:t>,</w:t>
      </w:r>
      <w:r w:rsidR="00D07C47">
        <w:t xml:space="preserve"> so</w:t>
      </w:r>
      <w:r w:rsidR="00D07C47" w:rsidRPr="0000383A">
        <w:t xml:space="preserve"> any </w:t>
      </w:r>
      <w:r w:rsidR="00D07C47">
        <w:t xml:space="preserve">structural </w:t>
      </w:r>
      <w:r w:rsidR="00D07C47" w:rsidRPr="0000383A">
        <w:t>information on the initial or intermediate species is not available.</w:t>
      </w:r>
      <w:r w:rsidR="00D07C47">
        <w:t xml:space="preserve"> </w:t>
      </w:r>
      <w:r w:rsidR="00E01073">
        <w:t xml:space="preserve">Also, </w:t>
      </w:r>
      <w:r w:rsidR="00B73B6B" w:rsidRPr="009D1652">
        <w:t xml:space="preserve">the </w:t>
      </w:r>
      <w:r w:rsidR="004F76CD">
        <w:t>technique</w:t>
      </w:r>
      <w:r w:rsidR="004F76CD" w:rsidRPr="009D1652">
        <w:t xml:space="preserve"> </w:t>
      </w:r>
      <w:r w:rsidR="00B73B6B" w:rsidRPr="009D1652">
        <w:t xml:space="preserve">has rarely </w:t>
      </w:r>
      <w:r w:rsidR="00F639C1">
        <w:t xml:space="preserve">been </w:t>
      </w:r>
      <w:r w:rsidR="00B73B6B" w:rsidRPr="009D1652">
        <w:t xml:space="preserve">used to quantify the absolute amount of amyloid fibrils because of variability in </w:t>
      </w:r>
      <w:r w:rsidR="00EB5E40" w:rsidRPr="009D1652">
        <w:t xml:space="preserve">labeling efficiency </w:t>
      </w:r>
      <w:r w:rsidR="00623AE6" w:rsidRPr="009D1652">
        <w:t>depending on</w:t>
      </w:r>
      <w:r w:rsidR="00EB5E40" w:rsidRPr="009D1652">
        <w:t xml:space="preserve"> peptide solution conditions</w:t>
      </w:r>
      <w:r w:rsidR="00092B68">
        <w:t>.</w:t>
      </w:r>
    </w:p>
    <w:p w14:paraId="2B1510C1" w14:textId="6F493EF1" w:rsidR="00735531" w:rsidRDefault="00FA70B2" w:rsidP="009D1652">
      <w:pPr>
        <w:pStyle w:val="TAMainText"/>
      </w:pPr>
      <w:r>
        <w:t>On the other hand</w:t>
      </w:r>
      <w:r w:rsidR="00A53976" w:rsidRPr="0000383A">
        <w:t xml:space="preserve">, </w:t>
      </w:r>
      <w:r w:rsidR="00127879" w:rsidRPr="0000383A">
        <w:t xml:space="preserve">IR </w:t>
      </w:r>
      <w:r w:rsidR="003F0C4A" w:rsidRPr="00F667CE">
        <w:t xml:space="preserve">absorption </w:t>
      </w:r>
      <w:r w:rsidR="00127879" w:rsidRPr="0000383A">
        <w:t xml:space="preserve">spectroscopy </w:t>
      </w:r>
      <w:r w:rsidR="003F0C4A" w:rsidRPr="0000383A">
        <w:t>can</w:t>
      </w:r>
      <w:r w:rsidR="00127879" w:rsidRPr="0000383A">
        <w:t xml:space="preserve"> quanti</w:t>
      </w:r>
      <w:r w:rsidR="003F0C4A" w:rsidRPr="0000383A">
        <w:t>fy</w:t>
      </w:r>
      <w:r w:rsidR="00127879" w:rsidRPr="0000383A">
        <w:t xml:space="preserve"> </w:t>
      </w:r>
      <w:r w:rsidR="00EC2D98" w:rsidRPr="0000383A">
        <w:t xml:space="preserve">the amounts of </w:t>
      </w:r>
      <w:r w:rsidR="003F0C4A" w:rsidRPr="0000383A">
        <w:t xml:space="preserve">multiple </w:t>
      </w:r>
      <w:r w:rsidR="008E71D1" w:rsidRPr="0000383A">
        <w:t>mixed</w:t>
      </w:r>
      <w:r w:rsidR="00127879" w:rsidRPr="0000383A">
        <w:t xml:space="preserve"> secondary structures</w:t>
      </w:r>
      <w:r w:rsidR="00A53976" w:rsidRPr="0000383A">
        <w:t xml:space="preserve"> of the </w:t>
      </w:r>
      <w:r w:rsidR="005C06AE">
        <w:t>native</w:t>
      </w:r>
      <w:r w:rsidR="00A53976" w:rsidRPr="0000383A">
        <w:t xml:space="preserve"> and </w:t>
      </w:r>
      <w:r w:rsidR="005C06AE">
        <w:t>amyloid</w:t>
      </w:r>
      <w:r w:rsidR="00A53976" w:rsidRPr="0000383A">
        <w:t xml:space="preserve"> species</w:t>
      </w:r>
      <w:r w:rsidR="003F0C4A" w:rsidRPr="0000383A">
        <w:t xml:space="preserve"> during </w:t>
      </w:r>
      <w:r w:rsidR="00C521DC">
        <w:t>protein</w:t>
      </w:r>
      <w:r w:rsidR="00C521DC" w:rsidRPr="0000383A">
        <w:t xml:space="preserve"> </w:t>
      </w:r>
      <w:r w:rsidR="003F0C4A" w:rsidRPr="0000383A">
        <w:t>fibrillation</w:t>
      </w:r>
      <w:r w:rsidR="008E71D1" w:rsidRPr="0000383A">
        <w:t xml:space="preserve">. However, </w:t>
      </w:r>
      <w:r w:rsidR="003F0C4A" w:rsidRPr="0000383A">
        <w:t xml:space="preserve">as mentioned earlier, </w:t>
      </w:r>
      <w:r w:rsidR="0075688E" w:rsidRPr="0000383A">
        <w:t xml:space="preserve">because of </w:t>
      </w:r>
      <w:r w:rsidR="00F639C1">
        <w:t>the</w:t>
      </w:r>
      <w:r w:rsidR="00AC43CC">
        <w:t xml:space="preserve"> </w:t>
      </w:r>
      <w:r w:rsidR="0075688E" w:rsidRPr="0000383A">
        <w:t>limited sensitivity of peptides</w:t>
      </w:r>
      <w:r w:rsidR="008E71D1" w:rsidRPr="0000383A">
        <w:t xml:space="preserve"> </w:t>
      </w:r>
      <w:r w:rsidR="0075688E" w:rsidRPr="0000383A">
        <w:t xml:space="preserve">in aqueous solutions, </w:t>
      </w:r>
      <w:r w:rsidR="00A91348">
        <w:t xml:space="preserve">the </w:t>
      </w:r>
      <w:r w:rsidR="003F0C4A" w:rsidRPr="0000383A">
        <w:t xml:space="preserve">conventional </w:t>
      </w:r>
      <w:r w:rsidR="00B177E4" w:rsidRPr="0000383A">
        <w:t xml:space="preserve">FT-IR </w:t>
      </w:r>
      <w:r w:rsidR="00A53976" w:rsidRPr="0000383A">
        <w:t>approach</w:t>
      </w:r>
      <w:r w:rsidR="00B177E4" w:rsidRPr="0000383A">
        <w:t xml:space="preserve"> </w:t>
      </w:r>
      <w:r w:rsidR="0075688E" w:rsidRPr="0000383A">
        <w:t>ha</w:t>
      </w:r>
      <w:r w:rsidR="00A53976" w:rsidRPr="0000383A">
        <w:t>s</w:t>
      </w:r>
      <w:r w:rsidR="0075688E" w:rsidRPr="0000383A">
        <w:t xml:space="preserve"> not been widely used to study fibrillation mechanisms. </w:t>
      </w:r>
      <w:r w:rsidR="00EC2D98" w:rsidRPr="0000383A">
        <w:t>R</w:t>
      </w:r>
      <w:r w:rsidR="00B177E4" w:rsidRPr="0000383A">
        <w:t>ecently</w:t>
      </w:r>
      <w:r w:rsidR="00F568FF" w:rsidRPr="0000383A">
        <w:t xml:space="preserve">, </w:t>
      </w:r>
      <w:r w:rsidR="00B177E4" w:rsidRPr="0000383A">
        <w:t xml:space="preserve">QCL-IR spectroscopy </w:t>
      </w:r>
      <w:r w:rsidR="00A53976" w:rsidRPr="0000383A">
        <w:t xml:space="preserve">has </w:t>
      </w:r>
      <w:r w:rsidR="009A30D1">
        <w:t>shown</w:t>
      </w:r>
      <w:r w:rsidR="003B6D77">
        <w:t xml:space="preserve"> that</w:t>
      </w:r>
      <w:r w:rsidR="00A151F6">
        <w:t xml:space="preserve"> secondary conformations of </w:t>
      </w:r>
      <w:r w:rsidR="008C697B" w:rsidRPr="0000383A">
        <w:t xml:space="preserve">polypeptide and protein </w:t>
      </w:r>
      <w:r w:rsidR="00A151F6">
        <w:t xml:space="preserve">are </w:t>
      </w:r>
      <w:r w:rsidR="00A53976" w:rsidRPr="0000383A">
        <w:t xml:space="preserve">affected by </w:t>
      </w:r>
      <w:r w:rsidR="008C697B" w:rsidRPr="0000383A">
        <w:t xml:space="preserve">temperature, pH, and </w:t>
      </w:r>
      <w:r w:rsidR="008C697B" w:rsidRPr="001255C0">
        <w:t>concentration</w:t>
      </w:r>
      <w:r w:rsidR="00203168">
        <w:t>.</w:t>
      </w:r>
      <w:r w:rsidR="00A155F4" w:rsidRPr="00E4350F">
        <w:fldChar w:fldCharType="begin" w:fldLock="1"/>
      </w:r>
      <w:r w:rsidR="00CB7374">
        <w:instrText>ADDIN CSL_CITATION {"citationItems":[{"id":"ITEM-1","itemData":{"DOI":"10.1038/srep33556","ISSN":"2045-2322","abstract":"Fourier transform infrared (FTIR) and circular dichroism (CD) spectroscopy are analytical techniques employed for the analysis of protein secondary structure. The use of CD spectroscopy is limited to low protein concentrations (&lt;2 mg ml−1), while FTIR spectroscopy is commonly used in a higher concentration range (&gt;5 mg ml−1). Here we introduce a quantum cascade laser (QCL)-based IR transmission setup for analysis of protein and polypeptide secondary structure at concentrations as low as 0.25 mg ml−1 in deuterated buffer solution. We present dynamic QCL-IR spectra of the temperature-induced α-helix to β-sheet transition of poly-L-lysine. The concentration dependence of the α-β transition temperature between 0.25 and 10 mg ml−1 was investigated by QCL-IR, FTIR and CD spectroscopy. By using QCL-IR spectroscopy it is possible to perform IR spectroscopic analysis in the same concentration range as CD spectroscopy, thus enabling a combined analysis of biomolecules secondary structure by CD and IR spectroscopy.","author":[{"dropping-particle":"","family":"Schwaighofer","given":"Andreas","non-dropping-particle":"","parse-names":false,"suffix":""},{"dropping-particle":"","family":"Alcaráz","given":"Mirta R.","non-dropping-particle":"","parse-names":false,"suffix":""},{"dropping-particle":"","family":"Araman","given":"Can","non-dropping-particle":"","parse-names":false,"suffix":""},{"dropping-particle":"","family":"Goicoechea","given":"Héctor","non-dropping-particle":"","parse-names":false,"suffix":""},{"dropping-particle":"","family":"Lendl","given":"Bernhard","non-dropping-particle":"","parse-names":false,"suffix":""}],"container-title":"Scientific Reports","id":"ITEM-1","issue":"April","issued":{"date-parts":[["2016"]]},"page":"33556","publisher":"Nature Publishing Group","title":"External cavity-quantum cascade laser infrared spectroscopy for secondary structure analysis of proteins at low concentrations","type":"article-journal","volume":"6"},"uris":["http://www.mendeley.com/documents/?uuid=773c4263-d0f8-4d9c-ac25-281f642282e3"]},{"id":"ITEM-2","itemData":{"DOI":"10.1016/j.saa.2019.117636","ISSN":"13861425","abstract":"A novel external cavity-quantum cascade laser (EC-QCL)-based setup for mid-IR transmission spectroscopy in the amide I and amide II region was employed for monitoring pH-induced changes of protein secondary structure. pH titration of β-lactoglobulin revealed unfolding of the native β-sheet secondary structure occurring at basic pH. Chemometric analysis of the dynamic IR spectra was performed by multivariate curve resolution-alternating least squares (MCR-ALS). Using this approach, spectral and abundance distribution profiles of the conformational transition were obtained. A proper post-processing procedure was implemented allowing to extract information about pure protein spectra and spurious signals that may interfere in the interpretation of the system. This work demonstrates the potential and versatility of the EC-QCL-based IR transmission setup for flow-through applications, benefitting from the high available optical path length.","author":[{"dropping-particle":"","family":"Schwaighofer","given":"Andreas","non-dropping-particle":"","parse-names":false,"suffix":""},{"dropping-particle":"","family":"Alcaraz","given":"Mirta R.","non-dropping-particle":"","parse-names":false,"suffix":""},{"dropping-particle":"","family":"Lux","given":"Laurin","non-dropping-particle":"","parse-names":false,"suffix":""},{"dropping-particle":"","family":"Lendl","given":"Bernhard","non-dropping-particle":"","parse-names":false,"suffix":""}],"container-title":"Spectrochimica Acta - Part A: Molecular and Biomolecular Spectroscopy","id":"ITEM-2","issued":{"date-parts":[["2020"]]},"page":"117636","publisher":"Elsevier B.V.","title":"pH titration of β-lactoglobulin monitored by laser-based Mid-IR transmission spectroscopy coupled to chemometric analysis","type":"article-journal","volume":"226"},"uris":["http://www.mendeley.com/documents/?uuid=d47b7aea-4b2a-44b4-9a5e-4e5971f5768d"]}],"mendeley":{"formattedCitation":"&lt;sup&gt;17,18&lt;/sup&gt;","plainTextFormattedCitation":"17,18","previouslyFormattedCitation":"&lt;sup&gt;17,18&lt;/sup&gt;"},"properties":{"noteIndex":0},"schema":"https://github.com/citation-style-language/schema/raw/master/csl-citation.json"}</w:instrText>
      </w:r>
      <w:r w:rsidR="00A155F4" w:rsidRPr="00E4350F">
        <w:fldChar w:fldCharType="separate"/>
      </w:r>
      <w:r w:rsidR="00CB7374" w:rsidRPr="00CB7374">
        <w:rPr>
          <w:noProof/>
          <w:vertAlign w:val="superscript"/>
        </w:rPr>
        <w:t>17,18</w:t>
      </w:r>
      <w:r w:rsidR="00A155F4" w:rsidRPr="00E4350F">
        <w:fldChar w:fldCharType="end"/>
      </w:r>
      <w:r w:rsidR="004C6848" w:rsidRPr="00175779">
        <w:t xml:space="preserve"> </w:t>
      </w:r>
      <w:r w:rsidR="00F568FF" w:rsidRPr="0000383A">
        <w:t xml:space="preserve">However, </w:t>
      </w:r>
      <w:r w:rsidR="00AC43CC">
        <w:t>to</w:t>
      </w:r>
      <w:r w:rsidR="00C623C0" w:rsidRPr="0000383A">
        <w:t xml:space="preserve"> our knowledge, no report</w:t>
      </w:r>
      <w:r w:rsidR="004C6848" w:rsidRPr="0000383A">
        <w:t xml:space="preserve">s have been published </w:t>
      </w:r>
      <w:r w:rsidR="00AC43CC">
        <w:t>demonstrating</w:t>
      </w:r>
      <w:r w:rsidR="004C6848" w:rsidRPr="0000383A">
        <w:t xml:space="preserve"> </w:t>
      </w:r>
      <w:r w:rsidR="004C6848" w:rsidRPr="00F667CE">
        <w:rPr>
          <w:i/>
          <w:iCs/>
        </w:rPr>
        <w:t>in-situ</w:t>
      </w:r>
      <w:r w:rsidR="004C6848" w:rsidRPr="0000383A">
        <w:t xml:space="preserve"> </w:t>
      </w:r>
      <w:r w:rsidR="00BC7130" w:rsidRPr="0000383A">
        <w:t>measurements</w:t>
      </w:r>
      <w:r w:rsidR="00BC7130" w:rsidRPr="009D1652">
        <w:t xml:space="preserve"> of </w:t>
      </w:r>
      <w:r w:rsidR="004C6848" w:rsidRPr="009D1652">
        <w:t>isothermal kinetics of amyloid fibrillation</w:t>
      </w:r>
      <w:r w:rsidR="00BC7130" w:rsidRPr="009D1652">
        <w:t xml:space="preserve"> in an aqueous solution</w:t>
      </w:r>
      <w:r w:rsidR="004517E4">
        <w:t xml:space="preserve"> at elevated temperature</w:t>
      </w:r>
      <w:r w:rsidR="00BC7130" w:rsidRPr="009D1652">
        <w:t xml:space="preserve">. </w:t>
      </w:r>
      <w:r w:rsidR="00B25647" w:rsidRPr="009D1652">
        <w:t>It is a</w:t>
      </w:r>
      <w:r w:rsidR="00886360">
        <w:t xml:space="preserve"> significant</w:t>
      </w:r>
      <w:r w:rsidR="00B25647" w:rsidRPr="009D1652">
        <w:t xml:space="preserve"> e</w:t>
      </w:r>
      <w:r w:rsidR="00BC7130" w:rsidRPr="009D1652">
        <w:t>xperimental</w:t>
      </w:r>
      <w:r w:rsidR="00B25647" w:rsidRPr="009D1652">
        <w:t xml:space="preserve"> challenge</w:t>
      </w:r>
      <w:r w:rsidR="00BC7130" w:rsidRPr="009D1652">
        <w:t xml:space="preserve"> to perform </w:t>
      </w:r>
      <w:r w:rsidR="00F62743">
        <w:t>stable</w:t>
      </w:r>
      <w:r w:rsidR="00BC7130" w:rsidRPr="009D1652">
        <w:t xml:space="preserve"> </w:t>
      </w:r>
      <w:r w:rsidR="00B25647" w:rsidRPr="00F667CE">
        <w:rPr>
          <w:i/>
          <w:iCs/>
        </w:rPr>
        <w:t>in-situ</w:t>
      </w:r>
      <w:r w:rsidR="00B25647" w:rsidRPr="009D1652">
        <w:t xml:space="preserve"> </w:t>
      </w:r>
      <w:r w:rsidR="000E02C2">
        <w:t xml:space="preserve">absorption </w:t>
      </w:r>
      <w:r w:rsidR="00BC7130" w:rsidRPr="009D1652">
        <w:t>measurement</w:t>
      </w:r>
      <w:r w:rsidR="00E90C1B">
        <w:t>s</w:t>
      </w:r>
      <w:r w:rsidR="00BC7130" w:rsidRPr="009D1652">
        <w:t xml:space="preserve"> </w:t>
      </w:r>
      <w:r w:rsidR="000E02C2">
        <w:t>through</w:t>
      </w:r>
      <w:r w:rsidR="00A14635">
        <w:t xml:space="preserve"> a</w:t>
      </w:r>
      <w:r w:rsidR="001101E7">
        <w:t xml:space="preserve"> </w:t>
      </w:r>
      <w:r w:rsidR="00D459C0">
        <w:t xml:space="preserve">heated </w:t>
      </w:r>
      <w:r w:rsidR="00A14635">
        <w:t>transmission cell</w:t>
      </w:r>
      <w:r w:rsidR="00BC7130" w:rsidRPr="009D1652">
        <w:t xml:space="preserve"> </w:t>
      </w:r>
      <w:r w:rsidR="00B25647" w:rsidRPr="009D1652">
        <w:t xml:space="preserve">for </w:t>
      </w:r>
      <w:r w:rsidR="00D459C0">
        <w:t xml:space="preserve">longer than </w:t>
      </w:r>
      <w:r w:rsidR="00B25647" w:rsidRPr="009D1652">
        <w:t>several hours</w:t>
      </w:r>
      <w:r w:rsidR="007A5D5E">
        <w:t xml:space="preserve"> </w:t>
      </w:r>
      <w:r w:rsidR="00BC7130" w:rsidRPr="009D1652">
        <w:t>because</w:t>
      </w:r>
      <w:r w:rsidR="007A5D5E">
        <w:t xml:space="preserve"> </w:t>
      </w:r>
      <w:r w:rsidR="00FE1538">
        <w:t xml:space="preserve">even </w:t>
      </w:r>
      <w:r w:rsidR="00E17013">
        <w:t>slight</w:t>
      </w:r>
      <w:r w:rsidR="00B16101">
        <w:t xml:space="preserve"> </w:t>
      </w:r>
      <w:r w:rsidR="002E1D0E">
        <w:t xml:space="preserve">thermal expansion of the </w:t>
      </w:r>
      <w:r w:rsidR="00B16101">
        <w:t xml:space="preserve">sample </w:t>
      </w:r>
      <w:r w:rsidR="002E1D0E">
        <w:t>cell</w:t>
      </w:r>
      <w:r w:rsidR="008269DE">
        <w:t xml:space="preserve"> </w:t>
      </w:r>
      <w:r w:rsidR="00E17013">
        <w:t xml:space="preserve">can be significant </w:t>
      </w:r>
      <w:r w:rsidR="00A726D2">
        <w:t>compar</w:t>
      </w:r>
      <w:r w:rsidR="000A2B3C">
        <w:t>ed</w:t>
      </w:r>
      <w:r w:rsidR="00A726D2">
        <w:t xml:space="preserve"> to</w:t>
      </w:r>
      <w:r w:rsidR="008068C6">
        <w:t xml:space="preserve"> </w:t>
      </w:r>
      <w:r w:rsidR="0011700A">
        <w:t>the path length</w:t>
      </w:r>
      <w:r w:rsidR="008068C6">
        <w:t xml:space="preserve"> </w:t>
      </w:r>
      <w:r w:rsidR="006A10CF">
        <w:t>for conventional FT-IR</w:t>
      </w:r>
      <w:r w:rsidR="0012419B">
        <w:t>.</w:t>
      </w:r>
      <w:r w:rsidR="006A10CF">
        <w:t xml:space="preserve"> </w:t>
      </w:r>
      <w:r w:rsidR="0047581D">
        <w:t>Although t</w:t>
      </w:r>
      <w:r w:rsidR="001457C7">
        <w:t xml:space="preserve">he </w:t>
      </w:r>
      <w:r w:rsidR="00D27B86">
        <w:t xml:space="preserve">longer path length </w:t>
      </w:r>
      <w:r w:rsidR="007A5D5E">
        <w:t xml:space="preserve">used </w:t>
      </w:r>
      <w:r w:rsidR="00D27B86">
        <w:t xml:space="preserve">in </w:t>
      </w:r>
      <w:r w:rsidR="00A46C7B">
        <w:t xml:space="preserve">QCL-IR </w:t>
      </w:r>
      <w:r w:rsidR="002A5D0F">
        <w:t>spectroscopy</w:t>
      </w:r>
      <w:r w:rsidR="003D79C5">
        <w:t xml:space="preserve"> </w:t>
      </w:r>
      <w:r w:rsidR="007A5D5E">
        <w:t>ameliorates thermal expansion effects</w:t>
      </w:r>
      <w:r w:rsidR="00A0752D">
        <w:t xml:space="preserve">, temperature-associated </w:t>
      </w:r>
      <w:r w:rsidR="009E6B14">
        <w:t>fluctuation</w:t>
      </w:r>
      <w:r w:rsidR="007A5D5E">
        <w:t>s</w:t>
      </w:r>
      <w:r w:rsidR="009E6B14">
        <w:t xml:space="preserve"> in the enclosure and possible formation of </w:t>
      </w:r>
      <w:r w:rsidR="00C7031B">
        <w:t xml:space="preserve">microbubbles </w:t>
      </w:r>
      <w:r w:rsidR="009C25E5">
        <w:t xml:space="preserve">make </w:t>
      </w:r>
      <w:r w:rsidR="005567D4">
        <w:t xml:space="preserve">it </w:t>
      </w:r>
      <w:r w:rsidR="009C25E5">
        <w:t xml:space="preserve">challenging to </w:t>
      </w:r>
      <w:r w:rsidR="00240207">
        <w:t xml:space="preserve">acquire absorption spectra </w:t>
      </w:r>
      <w:r w:rsidR="007A5D5E">
        <w:t xml:space="preserve">for several hours as is required </w:t>
      </w:r>
      <w:r w:rsidR="00ED393B">
        <w:t>for</w:t>
      </w:r>
      <w:r w:rsidR="00240207">
        <w:t xml:space="preserve"> </w:t>
      </w:r>
      <w:r w:rsidR="005567D4">
        <w:t xml:space="preserve">a </w:t>
      </w:r>
      <w:r w:rsidR="00B25647" w:rsidRPr="009D1652">
        <w:t>low-concentration solution.</w:t>
      </w:r>
    </w:p>
    <w:p w14:paraId="03FE8CB2" w14:textId="1E9B895F" w:rsidR="00321A5D" w:rsidRDefault="00B25647" w:rsidP="009D1652">
      <w:pPr>
        <w:pStyle w:val="TAMainText"/>
      </w:pPr>
      <w:r w:rsidRPr="009D1652">
        <w:t>In this paper, w</w:t>
      </w:r>
      <w:r w:rsidR="005850CF" w:rsidRPr="009D1652">
        <w:t xml:space="preserve">e </w:t>
      </w:r>
      <w:r w:rsidRPr="009D1652">
        <w:t xml:space="preserve">demonstrate that </w:t>
      </w:r>
      <w:r w:rsidR="005850CF" w:rsidRPr="009D1652">
        <w:t>t</w:t>
      </w:r>
      <w:r w:rsidR="008E6127" w:rsidRPr="009D1652">
        <w:t>h</w:t>
      </w:r>
      <w:r w:rsidR="000A536E" w:rsidRPr="009D1652">
        <w:t xml:space="preserve">e </w:t>
      </w:r>
      <w:r w:rsidR="00FE12A5">
        <w:t>SAC</w:t>
      </w:r>
      <w:r w:rsidR="00386D3F">
        <w:t>-</w:t>
      </w:r>
      <w:r w:rsidR="000A536E" w:rsidRPr="009D1652">
        <w:t xml:space="preserve">IR </w:t>
      </w:r>
      <w:r w:rsidR="005C6521">
        <w:t xml:space="preserve">spectroscopy </w:t>
      </w:r>
      <w:r w:rsidR="00BF5800">
        <w:t>can</w:t>
      </w:r>
      <w:r w:rsidRPr="009D1652">
        <w:t xml:space="preserve"> </w:t>
      </w:r>
      <w:r w:rsidR="00F13064" w:rsidRPr="009D1652">
        <w:t xml:space="preserve">monitor </w:t>
      </w:r>
      <w:r w:rsidRPr="009D1652">
        <w:rPr>
          <w:i/>
          <w:iCs/>
        </w:rPr>
        <w:t>in-situ</w:t>
      </w:r>
      <w:r w:rsidRPr="009D1652">
        <w:t xml:space="preserve"> </w:t>
      </w:r>
      <w:r w:rsidR="008D124E" w:rsidRPr="009D1652">
        <w:t xml:space="preserve">isothermal kinetics of </w:t>
      </w:r>
      <w:r w:rsidR="00123A0D" w:rsidRPr="009D1652">
        <w:t>fibril formation in insulin solutions prepared at two clinically relevant concentrations of 3.5 mg/mL and 17.5 mg/mL</w:t>
      </w:r>
      <w:r w:rsidR="00203168">
        <w:t>.</w:t>
      </w:r>
      <w:r w:rsidR="006A172E" w:rsidRPr="00C129B3">
        <w:fldChar w:fldCharType="begin" w:fldLock="1"/>
      </w:r>
      <w:r w:rsidR="00206647">
        <w:instrText>ADDIN CSL_CITATION {"citationItems":[{"id":"ITEM-1","itemData":{"DOI":"10.1177/1932296814557860","ISSN":"19322968","PMID":"25385945","abstract":"Practitioners need to prepare for a rapid expansion of new concentrated insulins. For many years, the treatment regimens for patients have been limited to 2 concentrations (100 units/mL and 500 units/mL), which pose challenges to both patients and providers. As the new concentrated insulins are at various stages of development, this manuscript reviews the available information on the new concentrated products. This information was obtained from publications, poster presentations, abstracts, and the manufacturers for the products in earlier stages of development. To have a basis for comparison, it is important to understand the activity profile and the challenges with use of the currently available concentrated insulin, regular insulin 500 units/mL (U500R). We also examine how the newer products may assist clinicians and patients with the difficulties faced with the use of U500R.","author":[{"dropping-particle":"","family":"Segal","given":"Alissa R.","non-dropping-particle":"","parse-names":false,"suffix":""},{"dropping-particle":"El","family":"Sayed","given":"Nuha","non-dropping-particle":"","parse-names":false,"suffix":""}],"container-title":"Journal of Diabetes Science and Technology","id":"ITEM-1","issue":"2","issued":{"date-parts":[["2015","3","1"]]},"page":"331-338","publisher":"SAGE Publications Inc.","title":"Are you ready for more insulin concentrations?","type":"article-journal","volume":"9"},"uris":["http://www.mendeley.com/documents/?uuid=e648f721-55b8-34f6-a342-90acafb86a74"]}],"mendeley":{"formattedCitation":"&lt;sup&gt;19&lt;/sup&gt;","plainTextFormattedCitation":"19","previouslyFormattedCitation":"&lt;sup&gt;19&lt;/sup&gt;"},"properties":{"noteIndex":0},"schema":"https://github.com/citation-style-language/schema/raw/master/csl-citation.json"}</w:instrText>
      </w:r>
      <w:r w:rsidR="006A172E" w:rsidRPr="00C129B3">
        <w:fldChar w:fldCharType="separate"/>
      </w:r>
      <w:r w:rsidR="00CB7374" w:rsidRPr="00CB7374">
        <w:rPr>
          <w:noProof/>
          <w:vertAlign w:val="superscript"/>
        </w:rPr>
        <w:t>19</w:t>
      </w:r>
      <w:r w:rsidR="006A172E" w:rsidRPr="00C129B3">
        <w:fldChar w:fldCharType="end"/>
      </w:r>
      <w:r w:rsidR="008E6127" w:rsidRPr="009D1652">
        <w:t xml:space="preserve"> </w:t>
      </w:r>
      <w:r w:rsidR="00130E12" w:rsidRPr="009D1652">
        <w:t>I</w:t>
      </w:r>
      <w:r w:rsidR="00130E12" w:rsidRPr="00CC13ED">
        <w:t>nsulin</w:t>
      </w:r>
      <w:r w:rsidR="00F13064" w:rsidRPr="009D1652">
        <w:t xml:space="preserve">, a peptide hormone </w:t>
      </w:r>
      <w:r w:rsidR="00ED393B">
        <w:t>that</w:t>
      </w:r>
      <w:r w:rsidR="00F13064" w:rsidRPr="009D1652">
        <w:t xml:space="preserve"> regulate</w:t>
      </w:r>
      <w:r w:rsidR="00ED393B">
        <w:t>s</w:t>
      </w:r>
      <w:r w:rsidR="00F13064" w:rsidRPr="009D1652">
        <w:t xml:space="preserve"> blood sugar level</w:t>
      </w:r>
      <w:r w:rsidR="00186643">
        <w:t>s</w:t>
      </w:r>
      <w:r w:rsidR="00F13064" w:rsidRPr="009D1652">
        <w:t xml:space="preserve">, has been </w:t>
      </w:r>
      <w:r w:rsidR="00130E12" w:rsidRPr="009D1652">
        <w:t xml:space="preserve">used to treat diabetes </w:t>
      </w:r>
      <w:r w:rsidR="00123A0D" w:rsidRPr="009D1652">
        <w:t>for several decades</w:t>
      </w:r>
      <w:r w:rsidR="00092B68">
        <w:t>.</w:t>
      </w:r>
      <w:r w:rsidR="00ED393B">
        <w:rPr>
          <w:rStyle w:val="CommentReference"/>
        </w:rPr>
        <w:t xml:space="preserve"> </w:t>
      </w:r>
      <w:r w:rsidR="00ED393B">
        <w:t xml:space="preserve">Insulin </w:t>
      </w:r>
      <w:r w:rsidR="00123A0D" w:rsidRPr="009D1652">
        <w:t xml:space="preserve">amyloid </w:t>
      </w:r>
      <w:r w:rsidR="005369D3">
        <w:t>formation is still</w:t>
      </w:r>
      <w:r w:rsidR="0096462A">
        <w:t xml:space="preserve"> one of </w:t>
      </w:r>
      <w:r w:rsidR="00F639C1">
        <w:t xml:space="preserve">the </w:t>
      </w:r>
      <w:r w:rsidR="00F36968">
        <w:t xml:space="preserve">pharmaceutical </w:t>
      </w:r>
      <w:r w:rsidR="00ED393B">
        <w:t>challenges</w:t>
      </w:r>
      <w:r w:rsidR="005567D4">
        <w:t>,</w:t>
      </w:r>
      <w:r w:rsidR="00ED393B">
        <w:t xml:space="preserve"> including</w:t>
      </w:r>
      <w:r w:rsidR="00123A0D" w:rsidRPr="009D1652">
        <w:t xml:space="preserve"> </w:t>
      </w:r>
      <w:r w:rsidR="003E0FAA">
        <w:t xml:space="preserve">adverse health effects, </w:t>
      </w:r>
      <w:r w:rsidR="002D0EA1" w:rsidRPr="009D1652">
        <w:t>reduced efficacy</w:t>
      </w:r>
      <w:r w:rsidR="00123A0D" w:rsidRPr="009D1652">
        <w:t xml:space="preserve">, </w:t>
      </w:r>
      <w:r w:rsidR="007D2822" w:rsidRPr="009D1652">
        <w:t>short</w:t>
      </w:r>
      <w:r w:rsidR="00ED393B">
        <w:t>ened</w:t>
      </w:r>
      <w:r w:rsidR="007D2822" w:rsidRPr="009D1652">
        <w:t xml:space="preserve"> storage time,</w:t>
      </w:r>
      <w:r w:rsidR="00ED393B">
        <w:t xml:space="preserve"> and</w:t>
      </w:r>
      <w:r w:rsidR="007D2822" w:rsidRPr="009D1652">
        <w:t xml:space="preserve"> limited drug delivery options</w:t>
      </w:r>
      <w:r w:rsidR="00203168">
        <w:t>.</w:t>
      </w:r>
      <w:r w:rsidR="00B3256D">
        <w:fldChar w:fldCharType="begin" w:fldLock="1"/>
      </w:r>
      <w:r w:rsidR="00CB7374">
        <w:instrText>ADDIN CSL_CITATION {"citationItems":[{"id":"ITEM-1","itemData":{"DOI":"10.2174/138920309789352038","ISSN":"13892037","abstract":"The therapeutic importance of gaining a thorough knowledge on insulin fibrillation in relation to type I diabetes has lead to six decades of studies focusing on its formation kinetics and structural characteristics. Insulin fibrils feature characteristics common to amyloid fibrils such as an elongated morphology, characteristic cross-beta diffraction pattern, Thioflavin T fluorescence, and Congo Red birefringence. A full understanding of the fibrillation process requires structural elucidation of every species and determination of the kinetics of interconversion between species on the reaction pathway. Therefore, describing the underlying mechanism is complicated and different mechanisms have been proposed. In the recent years increased knowledge has been obtained on the importance of prefibrillar oligomeric species present during the process. A solution structure of such a species and also low-resolution structures of mature insulin fibrils have been obtained as well as high-resolution structures of two insulin hexa-peptide segments forming cross-beta sheet structures. However, it still remains to be elucidated whether these cross-beta structures corresponds to the structure in the fibril formed from the full-length protein. Different morphologies of insulin fibrils are observed depending on the arrangement of the protofilament, and even circular amyloids and spherulites composed of a core with many fibrils extending from it have been observed. This review will mainly focus on the structure of the species present during the insulin fibrillation process such as the partially unfolded monomeric intermediate, prefibrillar oligomeric species, and the insulin fibrils. Furthermore, it will address the formation mechanism and potential inhibition of the fibrillation process.","author":[{"dropping-particle":"","family":"Groenning","given":"M.","non-dropping-particle":"","parse-names":false,"suffix":""},{"dropping-particle":"","family":"Frokjaer","given":"S.","non-dropping-particle":"","parse-names":false,"suffix":""},{"dropping-particle":"","family":"Vestergaard","given":"B.","non-dropping-particle":"","parse-names":false,"suffix":""}],"container-title":"Current Protein &amp; Peptide Science","id":"ITEM-1","issue":"5","issued":{"date-parts":[["2009"]]},"page":"509-528","title":"Formation Mechanism of Insulin Fibrils and Structural Aspects of the Insulin Fibrillation Process","type":"article-journal","volume":"10"},"uris":["http://www.mendeley.com/documents/?uuid=186f037d-11ed-4135-830b-a40508f91ff9"]}],"mendeley":{"formattedCitation":"&lt;sup&gt;20&lt;/sup&gt;","plainTextFormattedCitation":"20","previouslyFormattedCitation":"&lt;sup&gt;20&lt;/sup&gt;"},"properties":{"noteIndex":0},"schema":"https://github.com/citation-style-language/schema/raw/master/csl-citation.json"}</w:instrText>
      </w:r>
      <w:r w:rsidR="00B3256D">
        <w:fldChar w:fldCharType="separate"/>
      </w:r>
      <w:r w:rsidR="00CB7374" w:rsidRPr="00CB7374">
        <w:rPr>
          <w:noProof/>
          <w:vertAlign w:val="superscript"/>
        </w:rPr>
        <w:t>20</w:t>
      </w:r>
      <w:r w:rsidR="00B3256D">
        <w:fldChar w:fldCharType="end"/>
      </w:r>
      <w:r w:rsidR="007D2822" w:rsidRPr="009D1652">
        <w:t xml:space="preserve"> </w:t>
      </w:r>
      <w:r w:rsidR="009558B3">
        <w:t>Using the</w:t>
      </w:r>
      <w:r w:rsidR="00930258">
        <w:t xml:space="preserve"> observed</w:t>
      </w:r>
      <w:r w:rsidR="009558B3">
        <w:t xml:space="preserve"> </w:t>
      </w:r>
      <w:r w:rsidR="00E45E4D" w:rsidRPr="006B759D">
        <w:rPr>
          <w:i/>
          <w:iCs/>
        </w:rPr>
        <w:t>in-situ</w:t>
      </w:r>
      <w:r w:rsidR="00E45E4D">
        <w:t xml:space="preserve"> IR results, </w:t>
      </w:r>
      <w:r w:rsidR="007E7B0A">
        <w:t xml:space="preserve">we </w:t>
      </w:r>
      <w:r w:rsidR="007D2822" w:rsidRPr="009D1652">
        <w:t xml:space="preserve">discuss kinetic models of </w:t>
      </w:r>
      <w:r w:rsidR="007E7B0A" w:rsidRPr="009D1652">
        <w:t xml:space="preserve">isothermal </w:t>
      </w:r>
      <w:r w:rsidR="007D2822" w:rsidRPr="009D1652">
        <w:t xml:space="preserve">insulin </w:t>
      </w:r>
      <w:r w:rsidR="003439BD">
        <w:t>fibrillation</w:t>
      </w:r>
      <w:r w:rsidR="003439BD" w:rsidRPr="009D1652" w:rsidDel="003439BD">
        <w:t xml:space="preserve"> </w:t>
      </w:r>
      <w:r w:rsidR="007D2822" w:rsidRPr="009D1652">
        <w:t>using time-resolved amounts of native form and f</w:t>
      </w:r>
      <w:r w:rsidR="007E7B0A">
        <w:t>ibril</w:t>
      </w:r>
      <w:r w:rsidR="00C16C9C">
        <w:t>s</w:t>
      </w:r>
      <w:r w:rsidR="007D2822" w:rsidRPr="009D1652">
        <w:t xml:space="preserve"> </w:t>
      </w:r>
      <w:r w:rsidR="00EC6AD3">
        <w:t>for</w:t>
      </w:r>
      <w:r w:rsidR="007D2822" w:rsidRPr="009D1652">
        <w:t xml:space="preserve"> two different</w:t>
      </w:r>
      <w:r w:rsidR="007E7B0A">
        <w:t xml:space="preserve"> insulin</w:t>
      </w:r>
      <w:r w:rsidR="007D2822" w:rsidRPr="009D1652">
        <w:t xml:space="preserve"> concentrations.</w:t>
      </w:r>
      <w:r w:rsidR="00735531">
        <w:t xml:space="preserve"> </w:t>
      </w:r>
      <w:r w:rsidR="007A18E8">
        <w:t>In the Discussion section, w</w:t>
      </w:r>
      <w:r w:rsidR="00735531">
        <w:t xml:space="preserve">e </w:t>
      </w:r>
      <w:r w:rsidR="00E747F4">
        <w:t>present</w:t>
      </w:r>
      <w:r w:rsidR="00735531">
        <w:t xml:space="preserve"> the </w:t>
      </w:r>
      <w:r w:rsidR="001F2047">
        <w:t>SNR</w:t>
      </w:r>
      <w:r w:rsidR="00E16FF9">
        <w:t xml:space="preserve"> </w:t>
      </w:r>
      <w:r w:rsidR="001F2047">
        <w:t xml:space="preserve">analysis </w:t>
      </w:r>
      <w:r w:rsidR="00260FE5">
        <w:t>for</w:t>
      </w:r>
      <w:r w:rsidR="00E16FF9">
        <w:t xml:space="preserve"> </w:t>
      </w:r>
      <w:r w:rsidR="00260FE5">
        <w:t>various noise sources</w:t>
      </w:r>
      <w:r w:rsidR="005E77E0">
        <w:t xml:space="preserve"> to understand </w:t>
      </w:r>
      <w:r w:rsidR="00A534E6">
        <w:t>how</w:t>
      </w:r>
      <w:r w:rsidR="005E77E0">
        <w:t xml:space="preserve"> the </w:t>
      </w:r>
      <w:r w:rsidR="00FE12A5">
        <w:t>SAC</w:t>
      </w:r>
      <w:r w:rsidR="005E77E0">
        <w:t xml:space="preserve">-IR spectroscopy </w:t>
      </w:r>
      <w:r w:rsidR="00EF4EA5">
        <w:t xml:space="preserve">can </w:t>
      </w:r>
      <w:r w:rsidR="00A534E6">
        <w:t xml:space="preserve">enhance </w:t>
      </w:r>
      <w:r w:rsidR="001F2047">
        <w:t xml:space="preserve">the SNR and </w:t>
      </w:r>
      <w:r w:rsidR="00A534E6">
        <w:t>the sensitivity</w:t>
      </w:r>
      <w:r w:rsidR="00EF4EA5">
        <w:t>.</w:t>
      </w:r>
      <w:bookmarkEnd w:id="7"/>
    </w:p>
    <w:p w14:paraId="5C59261E" w14:textId="2389A8AF" w:rsidR="007A7101" w:rsidRDefault="007A7101">
      <w:pPr>
        <w:spacing w:after="160" w:line="259" w:lineRule="auto"/>
        <w:jc w:val="left"/>
        <w:rPr>
          <w:b/>
        </w:rPr>
      </w:pPr>
    </w:p>
    <w:p w14:paraId="2454ADA8" w14:textId="77777777" w:rsidR="00B146C3" w:rsidRDefault="00B146C3" w:rsidP="00B146C3">
      <w:pPr>
        <w:pStyle w:val="TAMainText"/>
        <w:ind w:firstLine="0"/>
      </w:pPr>
      <w:r>
        <w:rPr>
          <w:b/>
        </w:rPr>
        <w:t>EXPERIMENTAL DETAILS</w:t>
      </w:r>
      <w:r w:rsidRPr="00054451">
        <w:t xml:space="preserve"> </w:t>
      </w:r>
    </w:p>
    <w:p w14:paraId="5F96D408" w14:textId="77777777" w:rsidR="00B146C3" w:rsidRDefault="00B146C3" w:rsidP="00B146C3">
      <w:pPr>
        <w:pStyle w:val="TAMainText"/>
      </w:pPr>
      <w:r w:rsidRPr="00054451">
        <w:t xml:space="preserve">Bovine </w:t>
      </w:r>
      <w:r>
        <w:t>s</w:t>
      </w:r>
      <w:r w:rsidRPr="00054451">
        <w:t xml:space="preserve">erum </w:t>
      </w:r>
      <w:r>
        <w:t>a</w:t>
      </w:r>
      <w:r w:rsidRPr="00054451">
        <w:t>lbumin</w:t>
      </w:r>
      <w:r>
        <w:t xml:space="preserve"> (BSA, &gt;96 %, </w:t>
      </w:r>
      <w:r w:rsidRPr="00054451">
        <w:t>Sigma-Aldrich</w:t>
      </w:r>
      <w:r>
        <w:t xml:space="preserve">) and </w:t>
      </w:r>
      <w:r w:rsidRPr="00054451">
        <w:t xml:space="preserve">Dulbecco’s </w:t>
      </w:r>
      <w:r>
        <w:t>p</w:t>
      </w:r>
      <w:r w:rsidRPr="00054451">
        <w:t>hosphate-</w:t>
      </w:r>
      <w:r>
        <w:t>b</w:t>
      </w:r>
      <w:r w:rsidRPr="00054451">
        <w:t xml:space="preserve">uffered </w:t>
      </w:r>
      <w:r>
        <w:t>s</w:t>
      </w:r>
      <w:r w:rsidRPr="00054451">
        <w:t xml:space="preserve">aline </w:t>
      </w:r>
      <w:r>
        <w:t>(</w:t>
      </w:r>
      <w:r w:rsidRPr="00054451">
        <w:t>DPBS</w:t>
      </w:r>
      <w:r>
        <w:t>,</w:t>
      </w:r>
      <w:r w:rsidRPr="00054451">
        <w:t xml:space="preserve"> Thermo-Fisher Scientific</w:t>
      </w:r>
      <w:r>
        <w:t>) were used as received</w:t>
      </w:r>
      <w:r w:rsidRPr="00054451">
        <w:t xml:space="preserve">. </w:t>
      </w:r>
      <w:r>
        <w:t>A stock solution of BSA in DPBS was prepared at a 100 mg/mL concentration. Different BSA solution concentrations were prepared by diluting the BSA stock solution into DPBS to the desired concentration. The NISTmAb reference material (RM 8671), at a protein concentration of 10 mg/mL in 12.5 mmol L</w:t>
      </w:r>
      <w:r w:rsidRPr="00E4350F">
        <w:rPr>
          <w:vertAlign w:val="superscript"/>
        </w:rPr>
        <w:t>-1</w:t>
      </w:r>
      <w:r>
        <w:t xml:space="preserve"> L-histidine and 12.5 mmol L</w:t>
      </w:r>
      <w:r w:rsidRPr="003F6BCC">
        <w:rPr>
          <w:vertAlign w:val="superscript"/>
        </w:rPr>
        <w:t>-1</w:t>
      </w:r>
      <w:r>
        <w:t xml:space="preserve"> L-histidine HCl (pH = 6), was used as received.  Stock solutions </w:t>
      </w:r>
      <w:r w:rsidRPr="00AB19AD">
        <w:t>of BSA and NISTmAb</w:t>
      </w:r>
      <w:r>
        <w:t xml:space="preserve"> in the same histidine buffer were prepared and mixed to create (BSA:NISTmAb) mass ratios from 0 % to 100 % in 20 % increments. The total protein concentration of each mixture was 2 mg/mL.</w:t>
      </w:r>
    </w:p>
    <w:p w14:paraId="3851141E" w14:textId="77777777" w:rsidR="00B146C3" w:rsidRDefault="00B146C3" w:rsidP="00B146C3">
      <w:pPr>
        <w:pStyle w:val="TAMainText"/>
      </w:pPr>
      <w:r w:rsidRPr="0000383A">
        <w:t xml:space="preserve">Human recombinant insulin powder (Sigma-Aldrich) </w:t>
      </w:r>
      <w:r>
        <w:t xml:space="preserve">was used as received. The insulin </w:t>
      </w:r>
      <w:r w:rsidRPr="0000383A">
        <w:t>was dissolved in hydrochloric acid solution</w:t>
      </w:r>
      <w:r>
        <w:t xml:space="preserve"> (pH = 2) at 3.5 mg/mL and 17.5 mg/mL concentration, which are equivalent to clinically available insulin solutions labeled as U-100 and U-500, respectively.</w:t>
      </w:r>
    </w:p>
    <w:p w14:paraId="197D9B3E" w14:textId="77777777" w:rsidR="00B146C3" w:rsidRDefault="00B146C3" w:rsidP="00B146C3">
      <w:pPr>
        <w:pStyle w:val="TAMainText"/>
        <w:rPr>
          <w:rStyle w:val="TCTableBodyChar"/>
          <w:rFonts w:ascii="Times" w:hAnsi="Times"/>
          <w:kern w:val="0"/>
          <w:sz w:val="24"/>
        </w:rPr>
      </w:pPr>
      <w:r>
        <w:rPr>
          <w:rStyle w:val="TCTableBodyChar"/>
          <w:rFonts w:ascii="Times" w:hAnsi="Times"/>
          <w:kern w:val="0"/>
          <w:sz w:val="24"/>
        </w:rPr>
        <w:t>An</w:t>
      </w:r>
      <w:r w:rsidRPr="00290E82">
        <w:rPr>
          <w:rStyle w:val="TCTableBodyChar"/>
          <w:rFonts w:ascii="Times" w:hAnsi="Times"/>
          <w:kern w:val="0"/>
          <w:sz w:val="24"/>
        </w:rPr>
        <w:t xml:space="preserve"> </w:t>
      </w:r>
      <w:r>
        <w:rPr>
          <w:rStyle w:val="TCTableBodyChar"/>
          <w:rFonts w:ascii="Times" w:hAnsi="Times"/>
          <w:kern w:val="0"/>
          <w:sz w:val="24"/>
        </w:rPr>
        <w:t>EC-QCL</w:t>
      </w:r>
      <w:r w:rsidRPr="00290E82">
        <w:rPr>
          <w:rStyle w:val="TCTableBodyChar"/>
          <w:rFonts w:ascii="Times" w:hAnsi="Times"/>
          <w:kern w:val="0"/>
          <w:sz w:val="24"/>
        </w:rPr>
        <w:t xml:space="preserve"> (MIRcat, </w:t>
      </w:r>
      <w:r>
        <w:rPr>
          <w:rStyle w:val="TCTableBodyChar"/>
          <w:rFonts w:ascii="Times" w:hAnsi="Times"/>
          <w:kern w:val="0"/>
          <w:sz w:val="24"/>
        </w:rPr>
        <w:t xml:space="preserve">DRS </w:t>
      </w:r>
      <w:r w:rsidRPr="00290E82">
        <w:rPr>
          <w:rStyle w:val="TCTableBodyChar"/>
          <w:rFonts w:ascii="Times" w:hAnsi="Times"/>
          <w:kern w:val="0"/>
          <w:sz w:val="24"/>
        </w:rPr>
        <w:t xml:space="preserve">Daylight </w:t>
      </w:r>
      <w:r>
        <w:rPr>
          <w:rStyle w:val="TCTableBodyChar"/>
          <w:rFonts w:ascii="Times" w:hAnsi="Times"/>
          <w:kern w:val="0"/>
          <w:sz w:val="24"/>
        </w:rPr>
        <w:t>S</w:t>
      </w:r>
      <w:r w:rsidRPr="00290E82">
        <w:rPr>
          <w:rStyle w:val="TCTableBodyChar"/>
          <w:rFonts w:ascii="Times" w:hAnsi="Times"/>
          <w:kern w:val="0"/>
          <w:sz w:val="24"/>
        </w:rPr>
        <w:t>olutions) was operat</w:t>
      </w:r>
      <w:r>
        <w:rPr>
          <w:rStyle w:val="TCTableBodyChar"/>
          <w:rFonts w:ascii="Times" w:hAnsi="Times"/>
          <w:kern w:val="0"/>
          <w:sz w:val="24"/>
        </w:rPr>
        <w:t>ed</w:t>
      </w:r>
      <w:r w:rsidRPr="00290E82">
        <w:rPr>
          <w:rStyle w:val="TCTableBodyChar"/>
          <w:rFonts w:ascii="Times" w:hAnsi="Times"/>
          <w:kern w:val="0"/>
          <w:sz w:val="24"/>
        </w:rPr>
        <w:t xml:space="preserve"> at </w:t>
      </w:r>
      <w:r>
        <w:rPr>
          <w:rStyle w:val="TCTableBodyChar"/>
          <w:rFonts w:ascii="Times" w:hAnsi="Times"/>
          <w:kern w:val="0"/>
          <w:sz w:val="24"/>
        </w:rPr>
        <w:t xml:space="preserve">a </w:t>
      </w:r>
      <w:r w:rsidRPr="00290E82">
        <w:rPr>
          <w:rStyle w:val="TCTableBodyChar"/>
          <w:rFonts w:ascii="Times" w:hAnsi="Times"/>
          <w:kern w:val="0"/>
          <w:sz w:val="24"/>
        </w:rPr>
        <w:t>repetition rate of 20 kHz</w:t>
      </w:r>
      <w:r>
        <w:rPr>
          <w:rStyle w:val="TCTableBodyChar"/>
          <w:rFonts w:ascii="Times" w:hAnsi="Times"/>
          <w:kern w:val="0"/>
          <w:sz w:val="24"/>
        </w:rPr>
        <w:t xml:space="preserve"> with a</w:t>
      </w:r>
      <w:r w:rsidRPr="00290E82">
        <w:rPr>
          <w:rStyle w:val="TCTableBodyChar"/>
          <w:rFonts w:ascii="Times" w:hAnsi="Times"/>
          <w:kern w:val="0"/>
          <w:sz w:val="24"/>
        </w:rPr>
        <w:t xml:space="preserve"> pulse width of 1 </w:t>
      </w:r>
      <w:r w:rsidRPr="00F667CE">
        <w:rPr>
          <w:rStyle w:val="TCTableBodyChar"/>
          <w:rFonts w:ascii="Symbol" w:hAnsi="Symbol"/>
          <w:kern w:val="0"/>
          <w:sz w:val="24"/>
        </w:rPr>
        <w:t></w:t>
      </w:r>
      <w:r w:rsidRPr="00F667CE">
        <w:rPr>
          <w:rStyle w:val="TCTableBodyChar"/>
          <w:rFonts w:ascii="Times" w:hAnsi="Times"/>
          <w:kern w:val="0"/>
          <w:sz w:val="24"/>
        </w:rPr>
        <w:t>s</w:t>
      </w:r>
      <w:r>
        <w:rPr>
          <w:rStyle w:val="TCTableBodyChar"/>
          <w:rFonts w:ascii="Times" w:hAnsi="Times"/>
          <w:kern w:val="0"/>
          <w:sz w:val="24"/>
        </w:rPr>
        <w:t xml:space="preserve">, corresponding to the </w:t>
      </w:r>
      <w:r w:rsidRPr="00F667CE">
        <w:rPr>
          <w:rStyle w:val="TCTableBodyChar"/>
          <w:rFonts w:ascii="Times" w:hAnsi="Times"/>
          <w:kern w:val="0"/>
          <w:sz w:val="24"/>
        </w:rPr>
        <w:t>duty cycle of 2</w:t>
      </w:r>
      <w:r>
        <w:rPr>
          <w:rStyle w:val="TCTableBodyChar"/>
          <w:rFonts w:ascii="Times" w:hAnsi="Times"/>
          <w:kern w:val="0"/>
          <w:sz w:val="24"/>
        </w:rPr>
        <w:t xml:space="preserve"> </w:t>
      </w:r>
      <w:r w:rsidRPr="00F667CE">
        <w:rPr>
          <w:rStyle w:val="TCTableBodyChar"/>
          <w:rFonts w:ascii="Times" w:hAnsi="Times"/>
          <w:kern w:val="0"/>
          <w:sz w:val="24"/>
        </w:rPr>
        <w:t>%.</w:t>
      </w:r>
      <w:r w:rsidRPr="00290E82">
        <w:rPr>
          <w:rStyle w:val="TCTableBodyChar"/>
          <w:rFonts w:ascii="Times" w:hAnsi="Times"/>
          <w:kern w:val="0"/>
          <w:sz w:val="24"/>
        </w:rPr>
        <w:t xml:space="preserve"> The QCL head was thermo-electric</w:t>
      </w:r>
      <w:r>
        <w:rPr>
          <w:rStyle w:val="TCTableBodyChar"/>
          <w:rFonts w:ascii="Times" w:hAnsi="Times"/>
          <w:kern w:val="0"/>
          <w:sz w:val="24"/>
        </w:rPr>
        <w:t>ally</w:t>
      </w:r>
      <w:r w:rsidRPr="00290E82">
        <w:rPr>
          <w:rStyle w:val="TCTableBodyChar"/>
          <w:rFonts w:ascii="Times" w:hAnsi="Times"/>
          <w:kern w:val="0"/>
          <w:sz w:val="24"/>
        </w:rPr>
        <w:t xml:space="preserve"> cool</w:t>
      </w:r>
      <w:r>
        <w:rPr>
          <w:rStyle w:val="TCTableBodyChar"/>
          <w:rFonts w:ascii="Times" w:hAnsi="Times"/>
          <w:kern w:val="0"/>
          <w:sz w:val="24"/>
        </w:rPr>
        <w:t xml:space="preserve">ed with </w:t>
      </w:r>
      <w:r w:rsidRPr="00290E82">
        <w:rPr>
          <w:rStyle w:val="TCTableBodyChar"/>
          <w:rFonts w:ascii="Times" w:hAnsi="Times"/>
          <w:kern w:val="0"/>
          <w:sz w:val="24"/>
        </w:rPr>
        <w:t xml:space="preserve">additional </w:t>
      </w:r>
      <w:r>
        <w:rPr>
          <w:rStyle w:val="TCTableBodyChar"/>
          <w:rFonts w:ascii="Times" w:hAnsi="Times"/>
          <w:kern w:val="0"/>
          <w:sz w:val="24"/>
        </w:rPr>
        <w:t>cooling provided by an external chiller</w:t>
      </w:r>
      <w:r w:rsidRPr="00290E82">
        <w:rPr>
          <w:rStyle w:val="TCTableBodyChar"/>
          <w:rFonts w:ascii="Times" w:hAnsi="Times"/>
          <w:kern w:val="0"/>
          <w:sz w:val="24"/>
        </w:rPr>
        <w:t xml:space="preserve">. </w:t>
      </w:r>
      <w:r>
        <w:rPr>
          <w:rStyle w:val="TCTableBodyChar"/>
          <w:rFonts w:ascii="Times" w:hAnsi="Times"/>
          <w:kern w:val="0"/>
          <w:sz w:val="24"/>
        </w:rPr>
        <w:t>The laser wavelength was scanned from</w:t>
      </w:r>
      <w:r w:rsidRPr="00290E82">
        <w:rPr>
          <w:rStyle w:val="TCTableBodyChar"/>
          <w:rFonts w:ascii="Times" w:hAnsi="Times"/>
          <w:kern w:val="0"/>
          <w:sz w:val="24"/>
        </w:rPr>
        <w:t xml:space="preserve"> 1420 cm</w:t>
      </w:r>
      <w:r w:rsidRPr="00936A65">
        <w:rPr>
          <w:rStyle w:val="TCTableBodyChar"/>
          <w:rFonts w:ascii="Times" w:hAnsi="Times"/>
          <w:kern w:val="0"/>
          <w:sz w:val="24"/>
          <w:vertAlign w:val="superscript"/>
        </w:rPr>
        <w:t>-1</w:t>
      </w:r>
      <w:r w:rsidRPr="00290E82">
        <w:rPr>
          <w:rStyle w:val="TCTableBodyChar"/>
          <w:rFonts w:ascii="Times" w:hAnsi="Times"/>
          <w:kern w:val="0"/>
          <w:sz w:val="24"/>
        </w:rPr>
        <w:t xml:space="preserve"> to 1750 cm</w:t>
      </w:r>
      <w:r w:rsidRPr="00936A65">
        <w:rPr>
          <w:rStyle w:val="TCTableBodyChar"/>
          <w:rFonts w:ascii="Times" w:hAnsi="Times"/>
          <w:kern w:val="0"/>
          <w:sz w:val="24"/>
          <w:vertAlign w:val="superscript"/>
        </w:rPr>
        <w:t>-1</w:t>
      </w:r>
      <w:r>
        <w:rPr>
          <w:rStyle w:val="TCTableBodyChar"/>
          <w:rFonts w:ascii="Times" w:hAnsi="Times"/>
          <w:kern w:val="0"/>
          <w:sz w:val="24"/>
        </w:rPr>
        <w:t xml:space="preserve"> in </w:t>
      </w:r>
      <w:r w:rsidRPr="00290E82">
        <w:rPr>
          <w:rStyle w:val="TCTableBodyChar"/>
          <w:rFonts w:ascii="Times" w:hAnsi="Times"/>
          <w:kern w:val="0"/>
          <w:sz w:val="24"/>
        </w:rPr>
        <w:t>2 cm</w:t>
      </w:r>
      <w:r w:rsidRPr="00936A65">
        <w:rPr>
          <w:rStyle w:val="TCTableBodyChar"/>
          <w:rFonts w:ascii="Times" w:hAnsi="Times"/>
          <w:kern w:val="0"/>
          <w:sz w:val="24"/>
          <w:vertAlign w:val="superscript"/>
        </w:rPr>
        <w:t>-1</w:t>
      </w:r>
      <w:r>
        <w:rPr>
          <w:rStyle w:val="TCTableBodyChar"/>
          <w:rFonts w:ascii="Times" w:hAnsi="Times"/>
          <w:kern w:val="0"/>
          <w:sz w:val="24"/>
        </w:rPr>
        <w:t xml:space="preserve"> steps.  </w:t>
      </w:r>
      <w:r>
        <w:t>For the spectrum adjuster unit, two acousto-optic modulators (AOM,</w:t>
      </w:r>
      <w:r w:rsidRPr="006B32A9">
        <w:rPr>
          <w:rStyle w:val="TCTableBodyChar"/>
          <w:rFonts w:ascii="Times" w:hAnsi="Times"/>
          <w:kern w:val="0"/>
          <w:sz w:val="24"/>
        </w:rPr>
        <w:t xml:space="preserve"> </w:t>
      </w:r>
      <w:r w:rsidRPr="00290E82">
        <w:rPr>
          <w:rStyle w:val="TCTableBodyChar"/>
          <w:rFonts w:ascii="Times" w:hAnsi="Times"/>
          <w:kern w:val="0"/>
          <w:sz w:val="24"/>
        </w:rPr>
        <w:t>Brimrose Corp.</w:t>
      </w:r>
      <w:r>
        <w:t xml:space="preserve">) were used in tandem to increase the intensity range of the incident light. </w:t>
      </w:r>
      <w:r>
        <w:rPr>
          <w:rStyle w:val="TCTableBodyChar"/>
          <w:rFonts w:ascii="Times" w:hAnsi="Times"/>
          <w:kern w:val="0"/>
          <w:sz w:val="24"/>
        </w:rPr>
        <w:t xml:space="preserve">The diffracted beam of the order of </w:t>
      </w:r>
      <w:r w:rsidRPr="00BC429F">
        <w:rPr>
          <w:rStyle w:val="TCTableBodyChar"/>
          <w:rFonts w:ascii="Times" w:hAnsi="Times"/>
          <w:i/>
          <w:iCs/>
          <w:kern w:val="0"/>
          <w:sz w:val="24"/>
        </w:rPr>
        <w:t>n</w:t>
      </w:r>
      <w:r>
        <w:rPr>
          <w:rStyle w:val="TCTableBodyChar"/>
          <w:rFonts w:ascii="Times" w:hAnsi="Times"/>
          <w:kern w:val="0"/>
          <w:sz w:val="24"/>
        </w:rPr>
        <w:t xml:space="preserve"> = 1 from the first AOM was diffracted again by the second AOM but at the diffraction order of </w:t>
      </w:r>
      <w:r w:rsidRPr="00CB7EEC">
        <w:rPr>
          <w:rStyle w:val="TCTableBodyChar"/>
          <w:rFonts w:ascii="Times" w:hAnsi="Times"/>
          <w:i/>
          <w:iCs/>
          <w:kern w:val="0"/>
          <w:sz w:val="24"/>
        </w:rPr>
        <w:t>n</w:t>
      </w:r>
      <w:r>
        <w:rPr>
          <w:rStyle w:val="TCTableBodyChar"/>
          <w:rFonts w:ascii="Times" w:hAnsi="Times"/>
          <w:kern w:val="0"/>
          <w:sz w:val="24"/>
        </w:rPr>
        <w:t xml:space="preserve"> = –1. The opposite diffraction orders of the two AOMs compensate for the wavelength-dependent Bragg diffraction of a single AOM.</w:t>
      </w:r>
      <w:r w:rsidRPr="006B32A9">
        <w:t xml:space="preserve"> </w:t>
      </w:r>
      <w:r>
        <w:t>The fast response time (&gt; 1</w:t>
      </w:r>
      <w:r w:rsidRPr="00DD441D">
        <w:rPr>
          <w:rFonts w:ascii="Symbol" w:hAnsi="Symbol"/>
        </w:rPr>
        <w:t></w:t>
      </w:r>
      <w:r>
        <w:t xml:space="preserve">s) of AOMs allows the spectrum adjuster to respond to wavelength changes even at the rapid scanning speed of an EC-QCL. The diffraction efficiency of the AOMs was controlled by a computer via </w:t>
      </w:r>
      <w:r>
        <w:rPr>
          <w:rStyle w:val="TCTableBodyChar"/>
          <w:rFonts w:ascii="Times" w:hAnsi="Times"/>
          <w:kern w:val="0"/>
          <w:sz w:val="24"/>
        </w:rPr>
        <w:t xml:space="preserve">a </w:t>
      </w:r>
      <w:r w:rsidRPr="00290E82">
        <w:rPr>
          <w:rStyle w:val="TCTableBodyChar"/>
          <w:rFonts w:ascii="Times" w:hAnsi="Times"/>
          <w:kern w:val="0"/>
          <w:sz w:val="24"/>
        </w:rPr>
        <w:t>16-bit DAC multifunction I/O device (PCIe-6374, National Instruments)</w:t>
      </w:r>
      <w:r>
        <w:rPr>
          <w:rStyle w:val="TCTableBodyChar"/>
          <w:rFonts w:ascii="Times" w:hAnsi="Times"/>
          <w:kern w:val="0"/>
          <w:sz w:val="24"/>
        </w:rPr>
        <w:t>.</w:t>
      </w:r>
    </w:p>
    <w:p w14:paraId="02B952EC" w14:textId="1AF8AEE3" w:rsidR="00B146C3" w:rsidRPr="005D7AC7" w:rsidRDefault="00B146C3" w:rsidP="00B146C3">
      <w:pPr>
        <w:pStyle w:val="TAMainText"/>
      </w:pPr>
      <w:r w:rsidRPr="00CD0874">
        <w:t xml:space="preserve">The </w:t>
      </w:r>
      <w:r>
        <w:t>transmission spectrum</w:t>
      </w:r>
      <w:r w:rsidRPr="00CD0874">
        <w:t xml:space="preserve"> of </w:t>
      </w:r>
      <w:r>
        <w:t xml:space="preserve">the </w:t>
      </w:r>
      <w:r w:rsidRPr="00CD0874">
        <w:t xml:space="preserve">QCL </w:t>
      </w:r>
      <w:r>
        <w:t>output</w:t>
      </w:r>
      <w:r w:rsidRPr="00CD0874">
        <w:t xml:space="preserve"> </w:t>
      </w:r>
      <w:r>
        <w:t xml:space="preserve">at full laser power and maximum diffraction efficiency of the tandem AOMs was measured with a sample cell filled with water. The detection system parameters were optimized to maximize signal at wavenumbers producing minimum transmitted light intensity. The transmission efficiency, </w:t>
      </w:r>
      <w:r w:rsidRPr="0015785C">
        <w:rPr>
          <w:i/>
        </w:rPr>
        <w:t>i.e.,</w:t>
      </w:r>
      <w:r>
        <w:t xml:space="preserve"> the diffraction efficiency of the tandem AOMs, was programmed so that the light intensity reaching the detector was uniform over all wavelengths. The transmission efficiency was controlled by two AOM controllers connected to the</w:t>
      </w:r>
      <w:r w:rsidRPr="00290E82">
        <w:rPr>
          <w:rStyle w:val="TCTableBodyChar"/>
          <w:rFonts w:ascii="Times" w:hAnsi="Times"/>
          <w:kern w:val="0"/>
          <w:sz w:val="24"/>
        </w:rPr>
        <w:t xml:space="preserve"> DAC </w:t>
      </w:r>
      <w:r>
        <w:t xml:space="preserve">card in the operating computer. </w:t>
      </w:r>
      <w:r w:rsidRPr="00CD0874">
        <w:t xml:space="preserve">The </w:t>
      </w:r>
      <w:r>
        <w:t xml:space="preserve">light </w:t>
      </w:r>
      <w:r w:rsidRPr="005D7AC7">
        <w:t xml:space="preserve">was attenuated </w:t>
      </w:r>
      <w:r w:rsidR="00F47129" w:rsidRPr="005D7AC7">
        <w:t xml:space="preserve">by a ratio from 1:1 </w:t>
      </w:r>
      <w:r w:rsidRPr="005D7AC7">
        <w:t>to 1:3200, where water absorbance is minimal.</w:t>
      </w:r>
      <w:r w:rsidR="00DE7077" w:rsidRPr="005D7AC7">
        <w:t xml:space="preserve"> </w:t>
      </w:r>
      <w:bookmarkStart w:id="10" w:name="_Hlk56540655"/>
      <w:bookmarkStart w:id="11" w:name="_Hlk56502041"/>
      <w:r w:rsidR="00F47129" w:rsidRPr="005D7AC7">
        <w:t xml:space="preserve">A single AOM calibration was </w:t>
      </w:r>
      <w:r w:rsidR="00B6566F" w:rsidRPr="005D7AC7">
        <w:t xml:space="preserve">sufficient for multiple measurements as long as </w:t>
      </w:r>
      <w:r w:rsidR="009261DB" w:rsidRPr="005D7AC7">
        <w:t xml:space="preserve">measurements were performed with </w:t>
      </w:r>
      <w:r w:rsidR="00B6566F" w:rsidRPr="005D7AC7">
        <w:t>the sample cell and the solvent</w:t>
      </w:r>
      <w:bookmarkEnd w:id="10"/>
      <w:r w:rsidR="00B6566F" w:rsidRPr="005D7AC7">
        <w:t>.</w:t>
      </w:r>
      <w:bookmarkEnd w:id="11"/>
    </w:p>
    <w:p w14:paraId="1AAEE075" w14:textId="6D9840FA" w:rsidR="00B146C3" w:rsidRDefault="00B146C3" w:rsidP="00B146C3">
      <w:pPr>
        <w:pStyle w:val="TAMainText"/>
      </w:pPr>
      <w:r>
        <w:rPr>
          <w:rStyle w:val="TCTableBodyChar"/>
          <w:rFonts w:ascii="Times" w:hAnsi="Times"/>
          <w:kern w:val="0"/>
          <w:sz w:val="24"/>
        </w:rPr>
        <w:t xml:space="preserve">The spectrum-adjusted beam was split into two beams by a 50:50 beam splitter: one beam </w:t>
      </w:r>
      <w:r>
        <w:t xml:space="preserve">(signal) </w:t>
      </w:r>
      <w:r>
        <w:rPr>
          <w:rStyle w:val="TCTableBodyChar"/>
          <w:rFonts w:ascii="Times" w:hAnsi="Times"/>
          <w:kern w:val="0"/>
          <w:sz w:val="24"/>
        </w:rPr>
        <w:t xml:space="preserve">was directed through a microfluidic flow cell containing a protein solution or a solution blank, and the other beam </w:t>
      </w:r>
      <w:r>
        <w:t xml:space="preserve">(reference) </w:t>
      </w:r>
      <w:r>
        <w:rPr>
          <w:rStyle w:val="TCTableBodyChar"/>
          <w:rFonts w:ascii="Times" w:hAnsi="Times"/>
          <w:kern w:val="0"/>
          <w:sz w:val="24"/>
        </w:rPr>
        <w:t xml:space="preserve">was directed through a microfluidic flow cell containing only the solvent blank. The dynamically adjusted intensity of the incident light entering each liquid cell varied </w:t>
      </w:r>
      <w:r w:rsidRPr="00E4350F">
        <w:rPr>
          <w:rStyle w:val="TCTableBodyChar"/>
          <w:rFonts w:ascii="Times" w:hAnsi="Times"/>
          <w:kern w:val="0"/>
          <w:sz w:val="24"/>
        </w:rPr>
        <w:t>from 1 mW to</w:t>
      </w:r>
      <w:r>
        <w:rPr>
          <w:rStyle w:val="TCTableBodyChar"/>
          <w:rFonts w:ascii="Times" w:hAnsi="Times"/>
          <w:kern w:val="0"/>
          <w:sz w:val="24"/>
        </w:rPr>
        <w:t xml:space="preserve"> </w:t>
      </w:r>
      <w:r w:rsidRPr="00E4350F">
        <w:rPr>
          <w:rStyle w:val="TCTableBodyChar"/>
          <w:rFonts w:ascii="Times" w:hAnsi="Times"/>
          <w:kern w:val="0"/>
          <w:sz w:val="24"/>
        </w:rPr>
        <w:t xml:space="preserve">1 </w:t>
      </w:r>
      <w:r w:rsidRPr="00E4350F">
        <w:rPr>
          <w:rStyle w:val="TCTableBodyChar"/>
          <w:rFonts w:ascii="Symbol" w:hAnsi="Symbol"/>
          <w:kern w:val="0"/>
          <w:sz w:val="24"/>
        </w:rPr>
        <w:t></w:t>
      </w:r>
      <w:r w:rsidRPr="00E4350F">
        <w:rPr>
          <w:rStyle w:val="TCTableBodyChar"/>
          <w:rFonts w:ascii="Times" w:hAnsi="Times"/>
          <w:kern w:val="0"/>
          <w:sz w:val="24"/>
        </w:rPr>
        <w:t>W</w:t>
      </w:r>
      <w:r w:rsidRPr="00B82834">
        <w:rPr>
          <w:rStyle w:val="TCTableBodyChar"/>
          <w:rFonts w:ascii="Times" w:hAnsi="Times"/>
          <w:kern w:val="0"/>
          <w:sz w:val="24"/>
        </w:rPr>
        <w:t xml:space="preserve"> </w:t>
      </w:r>
      <w:r>
        <w:rPr>
          <w:rStyle w:val="TCTableBodyChar"/>
          <w:rFonts w:ascii="Times" w:hAnsi="Times"/>
          <w:kern w:val="0"/>
          <w:sz w:val="24"/>
        </w:rPr>
        <w:t xml:space="preserve">depending on wavelength. Both liquid cells in the signal and reference paths were non-demountable flow cells </w:t>
      </w:r>
      <w:r w:rsidRPr="00290E82">
        <w:rPr>
          <w:rStyle w:val="TCTableBodyChar"/>
          <w:rFonts w:ascii="Times" w:hAnsi="Times"/>
          <w:kern w:val="0"/>
          <w:sz w:val="24"/>
        </w:rPr>
        <w:t>(</w:t>
      </w:r>
      <w:r>
        <w:rPr>
          <w:rStyle w:val="TCTableBodyChar"/>
          <w:rFonts w:ascii="Times" w:hAnsi="Times"/>
          <w:kern w:val="0"/>
          <w:sz w:val="24"/>
        </w:rPr>
        <w:t xml:space="preserve">GS20572, </w:t>
      </w:r>
      <w:r w:rsidRPr="00290E82">
        <w:rPr>
          <w:rStyle w:val="TCTableBodyChar"/>
          <w:rFonts w:ascii="Times" w:hAnsi="Times"/>
          <w:kern w:val="0"/>
          <w:sz w:val="24"/>
        </w:rPr>
        <w:t>Spec</w:t>
      </w:r>
      <w:r>
        <w:rPr>
          <w:rStyle w:val="TCTableBodyChar"/>
          <w:rFonts w:ascii="Times" w:hAnsi="Times"/>
          <w:kern w:val="0"/>
          <w:sz w:val="24"/>
        </w:rPr>
        <w:t>ac</w:t>
      </w:r>
      <w:r w:rsidRPr="00290E82">
        <w:rPr>
          <w:rStyle w:val="TCTableBodyChar"/>
          <w:rFonts w:ascii="Times" w:hAnsi="Times"/>
          <w:kern w:val="0"/>
          <w:sz w:val="24"/>
        </w:rPr>
        <w:t>)</w:t>
      </w:r>
      <w:r>
        <w:rPr>
          <w:rStyle w:val="TCTableBodyChar"/>
          <w:rFonts w:ascii="Times" w:hAnsi="Times"/>
          <w:kern w:val="0"/>
          <w:sz w:val="24"/>
        </w:rPr>
        <w:t>, which have</w:t>
      </w:r>
      <w:r w:rsidRPr="00290E82">
        <w:rPr>
          <w:rStyle w:val="TCTableBodyChar"/>
          <w:rFonts w:ascii="Times" w:hAnsi="Times"/>
          <w:kern w:val="0"/>
          <w:sz w:val="24"/>
        </w:rPr>
        <w:t xml:space="preserve"> </w:t>
      </w:r>
      <w:r>
        <w:rPr>
          <w:rStyle w:val="TCTableBodyChar"/>
          <w:rFonts w:ascii="Times" w:hAnsi="Times"/>
          <w:kern w:val="0"/>
          <w:sz w:val="24"/>
        </w:rPr>
        <w:t xml:space="preserve">a </w:t>
      </w:r>
      <w:r w:rsidRPr="00290E82">
        <w:rPr>
          <w:rStyle w:val="TCTableBodyChar"/>
          <w:rFonts w:ascii="Times" w:hAnsi="Times"/>
          <w:kern w:val="0"/>
          <w:sz w:val="24"/>
        </w:rPr>
        <w:t>2</w:t>
      </w:r>
      <w:r>
        <w:rPr>
          <w:rStyle w:val="TCTableBodyChar"/>
          <w:rFonts w:ascii="Times" w:hAnsi="Times"/>
          <w:kern w:val="0"/>
          <w:sz w:val="24"/>
        </w:rPr>
        <w:t>6</w:t>
      </w:r>
      <w:r w:rsidRPr="00290E82">
        <w:rPr>
          <w:rStyle w:val="TCTableBodyChar"/>
          <w:rFonts w:ascii="Times" w:hAnsi="Times"/>
          <w:kern w:val="0"/>
          <w:sz w:val="24"/>
        </w:rPr>
        <w:t xml:space="preserve"> </w:t>
      </w:r>
      <w:r w:rsidRPr="00936A65">
        <w:rPr>
          <w:rStyle w:val="TCTableBodyChar"/>
          <w:rFonts w:ascii="Symbol" w:hAnsi="Symbol"/>
          <w:kern w:val="0"/>
          <w:sz w:val="24"/>
        </w:rPr>
        <w:t></w:t>
      </w:r>
      <w:r w:rsidRPr="00290E82">
        <w:rPr>
          <w:rStyle w:val="TCTableBodyChar"/>
          <w:rFonts w:ascii="Times" w:hAnsi="Times"/>
          <w:kern w:val="0"/>
          <w:sz w:val="24"/>
        </w:rPr>
        <w:t xml:space="preserve">m lead spacer </w:t>
      </w:r>
      <w:r>
        <w:rPr>
          <w:rStyle w:val="TCTableBodyChar"/>
          <w:rFonts w:ascii="Times" w:hAnsi="Times"/>
          <w:kern w:val="0"/>
          <w:sz w:val="24"/>
        </w:rPr>
        <w:t xml:space="preserve">between </w:t>
      </w:r>
      <w:r w:rsidRPr="00290E82">
        <w:rPr>
          <w:rStyle w:val="TCTableBodyChar"/>
          <w:rFonts w:ascii="Times" w:hAnsi="Times"/>
          <w:kern w:val="0"/>
          <w:sz w:val="24"/>
        </w:rPr>
        <w:t>two 3 mm</w:t>
      </w:r>
      <w:r>
        <w:rPr>
          <w:rStyle w:val="TCTableBodyChar"/>
          <w:rFonts w:ascii="Times" w:hAnsi="Times"/>
          <w:kern w:val="0"/>
          <w:sz w:val="24"/>
        </w:rPr>
        <w:t xml:space="preserve"> thick </w:t>
      </w:r>
      <w:r w:rsidRPr="00290E82">
        <w:rPr>
          <w:rStyle w:val="TCTableBodyChar"/>
          <w:rFonts w:ascii="Times" w:hAnsi="Times"/>
          <w:kern w:val="0"/>
          <w:sz w:val="24"/>
        </w:rPr>
        <w:t>CaF</w:t>
      </w:r>
      <w:r w:rsidRPr="00AB0D2A">
        <w:rPr>
          <w:rStyle w:val="TCTableBodyChar"/>
          <w:rFonts w:ascii="Times" w:hAnsi="Times"/>
          <w:kern w:val="0"/>
          <w:sz w:val="24"/>
          <w:vertAlign w:val="subscript"/>
        </w:rPr>
        <w:t>2</w:t>
      </w:r>
      <w:r w:rsidRPr="00290E82">
        <w:rPr>
          <w:rStyle w:val="TCTableBodyChar"/>
          <w:rFonts w:ascii="Times" w:hAnsi="Times"/>
          <w:kern w:val="0"/>
          <w:sz w:val="24"/>
        </w:rPr>
        <w:t xml:space="preserve"> windows</w:t>
      </w:r>
      <w:r>
        <w:rPr>
          <w:rStyle w:val="TCTableBodyChar"/>
          <w:rFonts w:ascii="Times" w:hAnsi="Times"/>
          <w:kern w:val="0"/>
          <w:sz w:val="24"/>
        </w:rPr>
        <w:t xml:space="preserve">. </w:t>
      </w:r>
      <w:r w:rsidRPr="00290E82">
        <w:rPr>
          <w:rStyle w:val="TCTableBodyChar"/>
          <w:rFonts w:ascii="Times" w:hAnsi="Times"/>
          <w:kern w:val="0"/>
          <w:sz w:val="24"/>
        </w:rPr>
        <w:t xml:space="preserve">The </w:t>
      </w:r>
      <w:r>
        <w:rPr>
          <w:rStyle w:val="TCTableBodyChar"/>
          <w:rFonts w:ascii="Times" w:hAnsi="Times"/>
          <w:kern w:val="0"/>
          <w:sz w:val="24"/>
        </w:rPr>
        <w:t>beams transmitted through the sample cell and the reference cell were</w:t>
      </w:r>
      <w:r w:rsidRPr="00290E82">
        <w:rPr>
          <w:rStyle w:val="TCTableBodyChar"/>
          <w:rFonts w:ascii="Times" w:hAnsi="Times"/>
          <w:kern w:val="0"/>
          <w:sz w:val="24"/>
        </w:rPr>
        <w:t xml:space="preserve"> </w:t>
      </w:r>
      <w:r>
        <w:rPr>
          <w:rStyle w:val="TCTableBodyChar"/>
          <w:rFonts w:ascii="Times" w:hAnsi="Times"/>
          <w:kern w:val="0"/>
          <w:sz w:val="24"/>
        </w:rPr>
        <w:t xml:space="preserve">independently </w:t>
      </w:r>
      <w:r w:rsidRPr="00290E82">
        <w:rPr>
          <w:rStyle w:val="TCTableBodyChar"/>
          <w:rFonts w:ascii="Times" w:hAnsi="Times"/>
          <w:kern w:val="0"/>
          <w:sz w:val="24"/>
        </w:rPr>
        <w:t xml:space="preserve">focused </w:t>
      </w:r>
      <w:r>
        <w:rPr>
          <w:rStyle w:val="TCTableBodyChar"/>
          <w:rFonts w:ascii="Times" w:hAnsi="Times"/>
          <w:kern w:val="0"/>
          <w:sz w:val="24"/>
        </w:rPr>
        <w:t xml:space="preserve">by 10 cm focal-length lenses </w:t>
      </w:r>
      <w:r w:rsidRPr="00290E82">
        <w:rPr>
          <w:rStyle w:val="TCTableBodyChar"/>
          <w:rFonts w:ascii="Times" w:hAnsi="Times"/>
          <w:kern w:val="0"/>
          <w:sz w:val="24"/>
        </w:rPr>
        <w:t xml:space="preserve">on </w:t>
      </w:r>
      <w:r>
        <w:rPr>
          <w:rStyle w:val="TCTableBodyChar"/>
          <w:rFonts w:ascii="Times" w:hAnsi="Times"/>
          <w:kern w:val="0"/>
          <w:sz w:val="24"/>
        </w:rPr>
        <w:t>two</w:t>
      </w:r>
      <w:r w:rsidRPr="00290E82">
        <w:rPr>
          <w:rStyle w:val="TCTableBodyChar"/>
          <w:rFonts w:ascii="Times" w:hAnsi="Times"/>
          <w:kern w:val="0"/>
          <w:sz w:val="24"/>
        </w:rPr>
        <w:t xml:space="preserve"> </w:t>
      </w:r>
      <w:r>
        <w:rPr>
          <w:rStyle w:val="TCTableBodyChar"/>
          <w:rFonts w:ascii="Times" w:hAnsi="Times"/>
          <w:kern w:val="0"/>
          <w:sz w:val="24"/>
        </w:rPr>
        <w:t>thermoelectrically cooled</w:t>
      </w:r>
      <w:r w:rsidRPr="00290E82">
        <w:rPr>
          <w:rStyle w:val="TCTableBodyChar"/>
          <w:rFonts w:ascii="Times" w:hAnsi="Times"/>
          <w:kern w:val="0"/>
          <w:sz w:val="24"/>
        </w:rPr>
        <w:t xml:space="preserve"> </w:t>
      </w:r>
      <w:r>
        <w:rPr>
          <w:rStyle w:val="TCTableBodyChar"/>
          <w:rFonts w:ascii="Times" w:hAnsi="Times"/>
          <w:kern w:val="0"/>
          <w:sz w:val="24"/>
        </w:rPr>
        <w:t>m</w:t>
      </w:r>
      <w:r w:rsidRPr="00290E82">
        <w:rPr>
          <w:rStyle w:val="TCTableBodyChar"/>
          <w:rFonts w:ascii="Times" w:hAnsi="Times"/>
          <w:kern w:val="0"/>
          <w:sz w:val="24"/>
        </w:rPr>
        <w:t xml:space="preserve">ercury </w:t>
      </w:r>
      <w:r>
        <w:rPr>
          <w:rStyle w:val="TCTableBodyChar"/>
          <w:rFonts w:ascii="Times" w:hAnsi="Times"/>
          <w:kern w:val="0"/>
          <w:sz w:val="24"/>
        </w:rPr>
        <w:t>c</w:t>
      </w:r>
      <w:r w:rsidRPr="00290E82">
        <w:rPr>
          <w:rStyle w:val="TCTableBodyChar"/>
          <w:rFonts w:ascii="Times" w:hAnsi="Times"/>
          <w:kern w:val="0"/>
          <w:sz w:val="24"/>
        </w:rPr>
        <w:t xml:space="preserve">admium </w:t>
      </w:r>
      <w:r>
        <w:rPr>
          <w:rStyle w:val="TCTableBodyChar"/>
          <w:rFonts w:ascii="Times" w:hAnsi="Times"/>
          <w:kern w:val="0"/>
          <w:sz w:val="24"/>
        </w:rPr>
        <w:t>t</w:t>
      </w:r>
      <w:r w:rsidRPr="00290E82">
        <w:rPr>
          <w:rStyle w:val="TCTableBodyChar"/>
          <w:rFonts w:ascii="Times" w:hAnsi="Times"/>
          <w:kern w:val="0"/>
          <w:sz w:val="24"/>
        </w:rPr>
        <w:t>elluride</w:t>
      </w:r>
      <w:r w:rsidRPr="005A5C24">
        <w:rPr>
          <w:rStyle w:val="TCTableBodyChar"/>
          <w:rFonts w:ascii="Times" w:hAnsi="Times"/>
          <w:kern w:val="0"/>
          <w:sz w:val="24"/>
        </w:rPr>
        <w:t xml:space="preserve"> </w:t>
      </w:r>
      <w:r>
        <w:rPr>
          <w:rStyle w:val="TCTableBodyChar"/>
          <w:rFonts w:ascii="Times" w:hAnsi="Times"/>
          <w:kern w:val="0"/>
          <w:sz w:val="24"/>
        </w:rPr>
        <w:t>(</w:t>
      </w:r>
      <w:r w:rsidRPr="00290E82">
        <w:rPr>
          <w:rStyle w:val="TCTableBodyChar"/>
          <w:rFonts w:ascii="Times" w:hAnsi="Times"/>
          <w:kern w:val="0"/>
          <w:sz w:val="24"/>
        </w:rPr>
        <w:t>MCT) detector</w:t>
      </w:r>
      <w:r>
        <w:rPr>
          <w:rStyle w:val="TCTableBodyChar"/>
          <w:rFonts w:ascii="Times" w:hAnsi="Times"/>
          <w:kern w:val="0"/>
          <w:sz w:val="24"/>
        </w:rPr>
        <w:t xml:space="preserve">s (MCT-7-TE4, </w:t>
      </w:r>
      <w:r w:rsidRPr="00290E82">
        <w:rPr>
          <w:rStyle w:val="TCTableBodyChar"/>
          <w:rFonts w:ascii="Times" w:hAnsi="Times"/>
          <w:kern w:val="0"/>
          <w:sz w:val="24"/>
        </w:rPr>
        <w:t>Infrared Associate</w:t>
      </w:r>
      <w:r>
        <w:rPr>
          <w:rStyle w:val="TCTableBodyChar"/>
          <w:rFonts w:ascii="Times" w:hAnsi="Times"/>
          <w:kern w:val="0"/>
          <w:sz w:val="24"/>
        </w:rPr>
        <w:t>s), which have an</w:t>
      </w:r>
      <w:r w:rsidRPr="00290E82">
        <w:rPr>
          <w:rStyle w:val="TCTableBodyChar"/>
          <w:rFonts w:ascii="Times" w:hAnsi="Times"/>
          <w:kern w:val="0"/>
          <w:sz w:val="24"/>
        </w:rPr>
        <w:t xml:space="preserve"> </w:t>
      </w:r>
      <w:r>
        <w:rPr>
          <w:rStyle w:val="TCTableBodyChar"/>
          <w:rFonts w:ascii="Times" w:hAnsi="Times"/>
          <w:kern w:val="0"/>
          <w:sz w:val="24"/>
        </w:rPr>
        <w:t xml:space="preserve">element with an area of 1 mm </w:t>
      </w:r>
      <w:r>
        <w:rPr>
          <w:rStyle w:val="TCTableBodyChar"/>
          <w:rFonts w:ascii="Times" w:hAnsi="Times" w:cs="Times"/>
          <w:kern w:val="0"/>
          <w:sz w:val="24"/>
        </w:rPr>
        <w:t>×</w:t>
      </w:r>
      <w:r>
        <w:rPr>
          <w:rStyle w:val="TCTableBodyChar"/>
          <w:rFonts w:ascii="Times" w:hAnsi="Times"/>
          <w:kern w:val="0"/>
          <w:sz w:val="24"/>
        </w:rPr>
        <w:t xml:space="preserve"> 1 mm. For the dual-beam detection mode, </w:t>
      </w:r>
      <w:r w:rsidRPr="00290E82">
        <w:rPr>
          <w:rStyle w:val="TCTableBodyChar"/>
          <w:rFonts w:ascii="Times" w:hAnsi="Times"/>
          <w:kern w:val="0"/>
          <w:sz w:val="24"/>
        </w:rPr>
        <w:t xml:space="preserve">two </w:t>
      </w:r>
      <w:r>
        <w:rPr>
          <w:rStyle w:val="TCTableBodyChar"/>
          <w:rFonts w:ascii="Times" w:hAnsi="Times"/>
          <w:kern w:val="0"/>
          <w:sz w:val="24"/>
        </w:rPr>
        <w:t xml:space="preserve">identically configured </w:t>
      </w:r>
      <w:r w:rsidRPr="00290E82">
        <w:rPr>
          <w:rStyle w:val="TCTableBodyChar"/>
          <w:rFonts w:ascii="Times" w:hAnsi="Times"/>
          <w:kern w:val="0"/>
          <w:sz w:val="24"/>
        </w:rPr>
        <w:t>boxcar integrator</w:t>
      </w:r>
      <w:r>
        <w:rPr>
          <w:rStyle w:val="TCTableBodyChar"/>
          <w:rFonts w:ascii="Times" w:hAnsi="Times"/>
          <w:kern w:val="0"/>
          <w:sz w:val="24"/>
        </w:rPr>
        <w:t>s</w:t>
      </w:r>
      <w:r w:rsidRPr="00290E82">
        <w:rPr>
          <w:rStyle w:val="TCTableBodyChar"/>
          <w:rFonts w:ascii="Times" w:hAnsi="Times"/>
          <w:kern w:val="0"/>
          <w:sz w:val="24"/>
        </w:rPr>
        <w:t xml:space="preserve"> (SR200, Stanford Research</w:t>
      </w:r>
      <w:r>
        <w:rPr>
          <w:rStyle w:val="TCTableBodyChar"/>
          <w:rFonts w:ascii="Times" w:hAnsi="Times"/>
          <w:kern w:val="0"/>
          <w:sz w:val="24"/>
        </w:rPr>
        <w:t xml:space="preserve"> Systems)</w:t>
      </w:r>
      <w:r w:rsidRPr="00290E82">
        <w:rPr>
          <w:rStyle w:val="TCTableBodyChar"/>
          <w:rFonts w:ascii="Times" w:hAnsi="Times"/>
          <w:kern w:val="0"/>
          <w:sz w:val="24"/>
        </w:rPr>
        <w:t xml:space="preserve"> </w:t>
      </w:r>
      <w:r>
        <w:rPr>
          <w:rStyle w:val="TCTableBodyChar"/>
          <w:rFonts w:ascii="Times" w:hAnsi="Times"/>
          <w:kern w:val="0"/>
          <w:sz w:val="24"/>
        </w:rPr>
        <w:t xml:space="preserve">were used to detect the signals acquired from the two </w:t>
      </w:r>
      <w:r w:rsidRPr="00290E82">
        <w:rPr>
          <w:rStyle w:val="TCTableBodyChar"/>
          <w:rFonts w:ascii="Times" w:hAnsi="Times"/>
          <w:kern w:val="0"/>
          <w:sz w:val="24"/>
        </w:rPr>
        <w:t>MCT detector</w:t>
      </w:r>
      <w:r>
        <w:rPr>
          <w:rStyle w:val="TCTableBodyChar"/>
          <w:rFonts w:ascii="Times" w:hAnsi="Times"/>
          <w:kern w:val="0"/>
          <w:sz w:val="24"/>
        </w:rPr>
        <w:t>s</w:t>
      </w:r>
      <w:r w:rsidRPr="00F4599E">
        <w:rPr>
          <w:rStyle w:val="TCTableBodyChar"/>
          <w:rFonts w:ascii="Times" w:hAnsi="Times"/>
          <w:kern w:val="0"/>
          <w:sz w:val="24"/>
        </w:rPr>
        <w:t xml:space="preserve"> </w:t>
      </w:r>
      <w:r>
        <w:rPr>
          <w:rStyle w:val="TCTableBodyChar"/>
          <w:rFonts w:ascii="Times" w:hAnsi="Times"/>
          <w:kern w:val="0"/>
          <w:sz w:val="24"/>
        </w:rPr>
        <w:t>simultaneously</w:t>
      </w:r>
      <w:r w:rsidRPr="00290E82">
        <w:rPr>
          <w:rStyle w:val="TCTableBodyChar"/>
          <w:rFonts w:ascii="Times" w:hAnsi="Times"/>
          <w:kern w:val="0"/>
          <w:sz w:val="24"/>
        </w:rPr>
        <w:t xml:space="preserve">. </w:t>
      </w:r>
      <w:bookmarkStart w:id="12" w:name="_Hlk56439409"/>
      <w:r>
        <w:rPr>
          <w:rStyle w:val="TCTableBodyChar"/>
          <w:rFonts w:ascii="Times" w:hAnsi="Times"/>
          <w:kern w:val="0"/>
          <w:sz w:val="24"/>
        </w:rPr>
        <w:t>T</w:t>
      </w:r>
      <w:r w:rsidRPr="00290E82">
        <w:rPr>
          <w:rStyle w:val="TCTableBodyChar"/>
          <w:rFonts w:ascii="Times" w:hAnsi="Times"/>
          <w:kern w:val="0"/>
          <w:sz w:val="24"/>
        </w:rPr>
        <w:t xml:space="preserve">he data acquisition time </w:t>
      </w:r>
      <w:r>
        <w:rPr>
          <w:rStyle w:val="TCTableBodyChar"/>
          <w:rFonts w:ascii="Times" w:hAnsi="Times"/>
          <w:kern w:val="0"/>
          <w:sz w:val="24"/>
        </w:rPr>
        <w:t>wa</w:t>
      </w:r>
      <w:r w:rsidRPr="00290E82">
        <w:rPr>
          <w:rStyle w:val="TCTableBodyChar"/>
          <w:rFonts w:ascii="Times" w:hAnsi="Times"/>
          <w:kern w:val="0"/>
          <w:sz w:val="24"/>
        </w:rPr>
        <w:t>s 500 ms</w:t>
      </w:r>
      <w:r w:rsidDel="000E6596">
        <w:rPr>
          <w:rStyle w:val="TCTableBodyChar"/>
          <w:rFonts w:ascii="Times" w:hAnsi="Times"/>
          <w:kern w:val="0"/>
          <w:sz w:val="24"/>
        </w:rPr>
        <w:t xml:space="preserve"> </w:t>
      </w:r>
      <w:r>
        <w:rPr>
          <w:rStyle w:val="TCTableBodyChar"/>
          <w:rFonts w:ascii="Times" w:hAnsi="Times"/>
          <w:kern w:val="0"/>
          <w:sz w:val="24"/>
        </w:rPr>
        <w:t>at each wavenumber step</w:t>
      </w:r>
      <w:r w:rsidR="00BC1B96">
        <w:rPr>
          <w:rStyle w:val="TCTableBodyChar"/>
          <w:rFonts w:ascii="Times" w:hAnsi="Times"/>
          <w:kern w:val="0"/>
          <w:sz w:val="24"/>
        </w:rPr>
        <w:t>, which corresponds to</w:t>
      </w:r>
      <w:r w:rsidRPr="00290E82">
        <w:rPr>
          <w:rStyle w:val="TCTableBodyChar"/>
          <w:rFonts w:ascii="Times" w:hAnsi="Times"/>
          <w:kern w:val="0"/>
          <w:sz w:val="24"/>
        </w:rPr>
        <w:t xml:space="preserve"> </w:t>
      </w:r>
      <w:r w:rsidR="00BC1B96">
        <w:rPr>
          <w:rStyle w:val="TCTableBodyChar"/>
          <w:rFonts w:ascii="Times" w:hAnsi="Times"/>
          <w:kern w:val="0"/>
          <w:sz w:val="24"/>
        </w:rPr>
        <w:t>t</w:t>
      </w:r>
      <w:r w:rsidR="00BC1B96" w:rsidRPr="00BC1B96">
        <w:rPr>
          <w:rStyle w:val="TCTableBodyChar"/>
          <w:rFonts w:ascii="Times" w:hAnsi="Times"/>
          <w:kern w:val="0"/>
          <w:sz w:val="24"/>
        </w:rPr>
        <w:t>he</w:t>
      </w:r>
      <w:r w:rsidR="00BC1B96">
        <w:rPr>
          <w:rStyle w:val="TCTableBodyChar"/>
          <w:rFonts w:ascii="Times" w:hAnsi="Times"/>
          <w:kern w:val="0"/>
          <w:sz w:val="24"/>
        </w:rPr>
        <w:t xml:space="preserve"> total</w:t>
      </w:r>
      <w:r w:rsidR="00BC1B96" w:rsidRPr="00BC1B96">
        <w:rPr>
          <w:rStyle w:val="TCTableBodyChar"/>
          <w:rFonts w:ascii="Times" w:hAnsi="Times"/>
          <w:kern w:val="0"/>
          <w:sz w:val="24"/>
        </w:rPr>
        <w:t xml:space="preserve"> acquisition time </w:t>
      </w:r>
      <w:r w:rsidR="00BC1B96">
        <w:rPr>
          <w:rStyle w:val="TCTableBodyChar"/>
          <w:rFonts w:ascii="Times" w:hAnsi="Times"/>
          <w:kern w:val="0"/>
          <w:sz w:val="24"/>
        </w:rPr>
        <w:t>of</w:t>
      </w:r>
      <w:r w:rsidR="00BC1B96" w:rsidRPr="00BC1B96">
        <w:rPr>
          <w:rStyle w:val="TCTableBodyChar"/>
          <w:rFonts w:ascii="Times" w:hAnsi="Times"/>
          <w:kern w:val="0"/>
          <w:sz w:val="24"/>
        </w:rPr>
        <w:t xml:space="preserve"> 3.3 min for </w:t>
      </w:r>
      <w:r w:rsidR="00BC1B96">
        <w:rPr>
          <w:rStyle w:val="TCTableBodyChar"/>
          <w:rFonts w:ascii="Times" w:hAnsi="Times"/>
          <w:kern w:val="0"/>
          <w:sz w:val="24"/>
        </w:rPr>
        <w:t>a</w:t>
      </w:r>
      <w:r w:rsidR="00BC1B96" w:rsidRPr="00BC1B96">
        <w:rPr>
          <w:rStyle w:val="TCTableBodyChar"/>
          <w:rFonts w:ascii="Times" w:hAnsi="Times"/>
          <w:kern w:val="0"/>
          <w:sz w:val="24"/>
        </w:rPr>
        <w:t xml:space="preserve"> spectrum over 400 cm</w:t>
      </w:r>
      <w:r w:rsidR="00BC1B96" w:rsidRPr="005D7AC7">
        <w:rPr>
          <w:rStyle w:val="TCTableBodyChar"/>
          <w:rFonts w:ascii="Times" w:hAnsi="Times"/>
          <w:kern w:val="0"/>
          <w:sz w:val="24"/>
          <w:vertAlign w:val="superscript"/>
        </w:rPr>
        <w:t>-1</w:t>
      </w:r>
      <w:r w:rsidR="00BC1B96" w:rsidRPr="00BC1B96">
        <w:rPr>
          <w:rStyle w:val="TCTableBodyChar"/>
          <w:rFonts w:ascii="Times" w:hAnsi="Times"/>
          <w:kern w:val="0"/>
          <w:sz w:val="24"/>
        </w:rPr>
        <w:t xml:space="preserve"> with a 2 cm</w:t>
      </w:r>
      <w:r w:rsidR="00BC1B96" w:rsidRPr="005D7AC7">
        <w:rPr>
          <w:rStyle w:val="TCTableBodyChar"/>
          <w:rFonts w:ascii="Times" w:hAnsi="Times"/>
          <w:kern w:val="0"/>
          <w:sz w:val="24"/>
          <w:vertAlign w:val="superscript"/>
        </w:rPr>
        <w:t>-1</w:t>
      </w:r>
      <w:r w:rsidR="00BC1B96" w:rsidRPr="00BC1B96">
        <w:rPr>
          <w:rStyle w:val="TCTableBodyChar"/>
          <w:rFonts w:ascii="Times" w:hAnsi="Times"/>
          <w:kern w:val="0"/>
          <w:sz w:val="24"/>
        </w:rPr>
        <w:t xml:space="preserve"> increment.</w:t>
      </w:r>
      <w:bookmarkEnd w:id="12"/>
      <w:r w:rsidR="00BC1B96">
        <w:rPr>
          <w:rStyle w:val="TCTableBodyChar"/>
          <w:rFonts w:ascii="Times" w:hAnsi="Times"/>
          <w:kern w:val="0"/>
          <w:sz w:val="24"/>
        </w:rPr>
        <w:t xml:space="preserve"> </w:t>
      </w:r>
      <w:r>
        <w:rPr>
          <w:rStyle w:val="TCTableBodyChar"/>
          <w:rFonts w:ascii="Times" w:hAnsi="Times"/>
          <w:kern w:val="0"/>
          <w:sz w:val="24"/>
        </w:rPr>
        <w:t xml:space="preserve">For the isothermal </w:t>
      </w:r>
      <w:r w:rsidRPr="00F4472F">
        <w:rPr>
          <w:rStyle w:val="TCTableBodyChar"/>
          <w:rFonts w:ascii="Times" w:hAnsi="Times"/>
          <w:kern w:val="0"/>
          <w:sz w:val="24"/>
        </w:rPr>
        <w:t>measurement of the insulin solutions, two identical</w:t>
      </w:r>
      <w:r>
        <w:rPr>
          <w:rStyle w:val="TCTableBodyChar"/>
          <w:rFonts w:ascii="Times" w:hAnsi="Times"/>
          <w:kern w:val="0"/>
          <w:sz w:val="24"/>
        </w:rPr>
        <w:t>ly configured</w:t>
      </w:r>
      <w:r w:rsidRPr="00F4472F">
        <w:rPr>
          <w:rStyle w:val="TCTableBodyChar"/>
          <w:rFonts w:ascii="Times" w:hAnsi="Times"/>
          <w:kern w:val="0"/>
          <w:sz w:val="24"/>
        </w:rPr>
        <w:t xml:space="preserve"> lock-in amplifiers (SR</w:t>
      </w:r>
      <w:r>
        <w:rPr>
          <w:rStyle w:val="TCTableBodyChar"/>
          <w:rFonts w:ascii="Times" w:hAnsi="Times"/>
          <w:kern w:val="0"/>
          <w:sz w:val="24"/>
        </w:rPr>
        <w:t xml:space="preserve">830, </w:t>
      </w:r>
      <w:r w:rsidRPr="00290E82">
        <w:rPr>
          <w:rStyle w:val="TCTableBodyChar"/>
          <w:rFonts w:ascii="Times" w:hAnsi="Times"/>
          <w:kern w:val="0"/>
          <w:sz w:val="24"/>
        </w:rPr>
        <w:t>Stanford Research</w:t>
      </w:r>
      <w:r>
        <w:rPr>
          <w:rStyle w:val="TCTableBodyChar"/>
          <w:rFonts w:ascii="Times" w:hAnsi="Times"/>
          <w:kern w:val="0"/>
          <w:sz w:val="24"/>
        </w:rPr>
        <w:t xml:space="preserve"> Systems</w:t>
      </w:r>
      <w:r w:rsidRPr="00F4472F">
        <w:rPr>
          <w:rStyle w:val="TCTableBodyChar"/>
          <w:rFonts w:ascii="Times" w:hAnsi="Times"/>
          <w:kern w:val="0"/>
          <w:sz w:val="24"/>
        </w:rPr>
        <w:t>)</w:t>
      </w:r>
      <w:r w:rsidRPr="00BC429F">
        <w:rPr>
          <w:rStyle w:val="TCTableBodyChar"/>
          <w:rFonts w:ascii="Times" w:hAnsi="Times"/>
          <w:kern w:val="0"/>
          <w:sz w:val="24"/>
        </w:rPr>
        <w:t xml:space="preserve"> were used </w:t>
      </w:r>
      <w:r>
        <w:rPr>
          <w:rStyle w:val="TCTableBodyChar"/>
          <w:rFonts w:ascii="Times" w:hAnsi="Times"/>
          <w:kern w:val="0"/>
          <w:sz w:val="24"/>
        </w:rPr>
        <w:t>in place</w:t>
      </w:r>
      <w:r w:rsidRPr="00BC429F">
        <w:rPr>
          <w:rStyle w:val="TCTableBodyChar"/>
          <w:rFonts w:ascii="Times" w:hAnsi="Times"/>
          <w:kern w:val="0"/>
          <w:sz w:val="24"/>
        </w:rPr>
        <w:t xml:space="preserve"> of the boxcar integrators. </w:t>
      </w:r>
      <w:r>
        <w:rPr>
          <w:rStyle w:val="TCTableBodyChar"/>
          <w:rFonts w:ascii="Times" w:hAnsi="Times"/>
          <w:kern w:val="0"/>
          <w:sz w:val="24"/>
        </w:rPr>
        <w:t xml:space="preserve">A 16-bit multifunction I/O device (PCIe 6374, National Instruments) simultaneously transferred the signal from the boxcars or the lock-in amplifiers to the computer. </w:t>
      </w:r>
      <w:r w:rsidRPr="00BC429F">
        <w:rPr>
          <w:rStyle w:val="TCTableBodyChar"/>
          <w:rFonts w:ascii="Times" w:hAnsi="Times"/>
          <w:kern w:val="0"/>
          <w:sz w:val="24"/>
        </w:rPr>
        <w:t xml:space="preserve">The noise characteristics of the boxcar and the lock-in systems were </w:t>
      </w:r>
      <w:r>
        <w:rPr>
          <w:rStyle w:val="TCTableBodyChar"/>
          <w:rFonts w:ascii="Times" w:hAnsi="Times"/>
          <w:kern w:val="0"/>
          <w:sz w:val="24"/>
        </w:rPr>
        <w:t>in</w:t>
      </w:r>
      <w:r w:rsidRPr="00BC429F">
        <w:rPr>
          <w:rStyle w:val="TCTableBodyChar"/>
          <w:rFonts w:ascii="Times" w:hAnsi="Times"/>
          <w:kern w:val="0"/>
          <w:sz w:val="24"/>
        </w:rPr>
        <w:t>distinguishable in the current acquisition configuration</w:t>
      </w:r>
      <w:r w:rsidRPr="00F4472F">
        <w:rPr>
          <w:rStyle w:val="TCTableBodyChar"/>
          <w:rFonts w:ascii="Times" w:hAnsi="Times"/>
          <w:kern w:val="0"/>
          <w:sz w:val="24"/>
        </w:rPr>
        <w:t>.</w:t>
      </w:r>
    </w:p>
    <w:p w14:paraId="73191557" w14:textId="15EE9027" w:rsidR="00B146C3" w:rsidRDefault="00B146C3" w:rsidP="00B146C3">
      <w:pPr>
        <w:spacing w:after="160" w:line="480" w:lineRule="auto"/>
        <w:ind w:firstLine="360"/>
        <w:rPr>
          <w:rStyle w:val="TCTableBodyChar"/>
          <w:rFonts w:ascii="Times" w:hAnsi="Times"/>
          <w:kern w:val="0"/>
          <w:sz w:val="24"/>
        </w:rPr>
      </w:pPr>
      <w:r w:rsidRPr="00290E82">
        <w:rPr>
          <w:rStyle w:val="TCTableBodyChar"/>
          <w:rFonts w:ascii="Times" w:hAnsi="Times"/>
          <w:kern w:val="0"/>
          <w:sz w:val="24"/>
        </w:rPr>
        <w:t xml:space="preserve">The entire system was placed in </w:t>
      </w:r>
      <w:r>
        <w:rPr>
          <w:rStyle w:val="TCTableBodyChar"/>
          <w:rFonts w:ascii="Times" w:hAnsi="Times"/>
          <w:kern w:val="0"/>
          <w:sz w:val="24"/>
        </w:rPr>
        <w:t xml:space="preserve">an </w:t>
      </w:r>
      <w:r w:rsidRPr="00290E82">
        <w:rPr>
          <w:rStyle w:val="TCTableBodyChar"/>
          <w:rFonts w:ascii="Times" w:hAnsi="Times"/>
          <w:kern w:val="0"/>
          <w:sz w:val="24"/>
        </w:rPr>
        <w:t xml:space="preserve">enclosure and constantly purged with dry air </w:t>
      </w:r>
      <w:r>
        <w:rPr>
          <w:rStyle w:val="TCTableBodyChar"/>
          <w:rFonts w:ascii="Times" w:hAnsi="Times"/>
          <w:kern w:val="0"/>
          <w:sz w:val="24"/>
        </w:rPr>
        <w:t>to reduce the humidity in the box</w:t>
      </w:r>
      <w:r w:rsidRPr="00290E82">
        <w:rPr>
          <w:rStyle w:val="TCTableBodyChar"/>
          <w:rFonts w:ascii="Times" w:hAnsi="Times"/>
          <w:kern w:val="0"/>
          <w:sz w:val="24"/>
        </w:rPr>
        <w:t xml:space="preserve">. </w:t>
      </w:r>
      <w:r>
        <w:rPr>
          <w:rStyle w:val="TCTableBodyChar"/>
          <w:rFonts w:ascii="Times" w:hAnsi="Times"/>
          <w:kern w:val="0"/>
          <w:sz w:val="24"/>
        </w:rPr>
        <w:t>Water circulated from a temperature-controlled through a</w:t>
      </w:r>
      <w:r w:rsidRPr="00290E82">
        <w:rPr>
          <w:rStyle w:val="TCTableBodyChar"/>
          <w:rFonts w:ascii="Times" w:hAnsi="Times"/>
          <w:kern w:val="0"/>
          <w:sz w:val="24"/>
        </w:rPr>
        <w:t xml:space="preserve"> heating jacket </w:t>
      </w:r>
      <w:r>
        <w:rPr>
          <w:rStyle w:val="TCTableBodyChar"/>
          <w:rFonts w:ascii="Times" w:hAnsi="Times"/>
          <w:kern w:val="0"/>
          <w:sz w:val="24"/>
        </w:rPr>
        <w:t xml:space="preserve">surrounding </w:t>
      </w:r>
      <w:r w:rsidRPr="00290E82">
        <w:rPr>
          <w:rStyle w:val="TCTableBodyChar"/>
          <w:rFonts w:ascii="Times" w:hAnsi="Times"/>
          <w:kern w:val="0"/>
          <w:sz w:val="24"/>
        </w:rPr>
        <w:t>the sample cell</w:t>
      </w:r>
      <w:r>
        <w:rPr>
          <w:rStyle w:val="TCTableBodyChar"/>
          <w:rFonts w:ascii="Times" w:hAnsi="Times"/>
          <w:kern w:val="0"/>
          <w:sz w:val="24"/>
        </w:rPr>
        <w:t xml:space="preserve"> controlled the temperature. For measurements of BSA and NISTmAb solutions, the bath temperature was set to </w:t>
      </w:r>
      <w:r w:rsidRPr="00290E82">
        <w:rPr>
          <w:rStyle w:val="TCTableBodyChar"/>
          <w:rFonts w:ascii="Times" w:hAnsi="Times"/>
          <w:kern w:val="0"/>
          <w:sz w:val="24"/>
        </w:rPr>
        <w:t>2</w:t>
      </w:r>
      <w:r>
        <w:rPr>
          <w:rStyle w:val="TCTableBodyChar"/>
          <w:rFonts w:ascii="Times" w:hAnsi="Times"/>
          <w:kern w:val="0"/>
          <w:sz w:val="24"/>
        </w:rPr>
        <w:t>0</w:t>
      </w:r>
      <w:r w:rsidRPr="00290E82">
        <w:rPr>
          <w:rStyle w:val="TCTableBodyChar"/>
          <w:rFonts w:ascii="Times" w:hAnsi="Times"/>
          <w:kern w:val="0"/>
          <w:sz w:val="24"/>
        </w:rPr>
        <w:t xml:space="preserve"> </w:t>
      </w:r>
      <w:r>
        <w:rPr>
          <w:rStyle w:val="TCTableBodyChar"/>
          <w:rFonts w:ascii="Times" w:hAnsi="Times" w:cs="Times"/>
          <w:kern w:val="0"/>
          <w:sz w:val="24"/>
        </w:rPr>
        <w:t>º</w:t>
      </w:r>
      <w:r w:rsidRPr="00290E82">
        <w:rPr>
          <w:rStyle w:val="TCTableBodyChar"/>
          <w:rFonts w:ascii="Times" w:hAnsi="Times"/>
          <w:kern w:val="0"/>
          <w:sz w:val="24"/>
        </w:rPr>
        <w:t>C</w:t>
      </w:r>
      <w:r>
        <w:rPr>
          <w:rStyle w:val="TCTableBodyChar"/>
          <w:rFonts w:ascii="Times" w:hAnsi="Times"/>
          <w:kern w:val="0"/>
          <w:sz w:val="24"/>
        </w:rPr>
        <w:t xml:space="preserve">. For the isothermal measurements of insulin solutions, the bath temperature was set to </w:t>
      </w:r>
      <w:r w:rsidRPr="00290E82">
        <w:rPr>
          <w:rStyle w:val="TCTableBodyChar"/>
          <w:rFonts w:ascii="Times" w:hAnsi="Times"/>
          <w:kern w:val="0"/>
          <w:sz w:val="24"/>
        </w:rPr>
        <w:t xml:space="preserve">80 </w:t>
      </w:r>
      <w:r>
        <w:rPr>
          <w:rStyle w:val="TCTableBodyChar"/>
          <w:rFonts w:ascii="Times" w:hAnsi="Times" w:cs="Times"/>
          <w:kern w:val="0"/>
          <w:sz w:val="24"/>
        </w:rPr>
        <w:t>º</w:t>
      </w:r>
      <w:r w:rsidRPr="00290E82">
        <w:rPr>
          <w:rStyle w:val="TCTableBodyChar"/>
          <w:rFonts w:ascii="Times" w:hAnsi="Times"/>
          <w:kern w:val="0"/>
          <w:sz w:val="24"/>
        </w:rPr>
        <w:t>C</w:t>
      </w:r>
      <w:r>
        <w:rPr>
          <w:rStyle w:val="TCTableBodyChar"/>
          <w:rFonts w:ascii="Times" w:hAnsi="Times"/>
          <w:kern w:val="0"/>
          <w:sz w:val="24"/>
        </w:rPr>
        <w:t xml:space="preserve">, with </w:t>
      </w:r>
      <w:r w:rsidR="009261DB">
        <w:rPr>
          <w:rStyle w:val="TCTableBodyChar"/>
          <w:rFonts w:ascii="Times" w:hAnsi="Times"/>
          <w:kern w:val="0"/>
          <w:sz w:val="24"/>
        </w:rPr>
        <w:t xml:space="preserve">a </w:t>
      </w:r>
      <w:r>
        <w:rPr>
          <w:rStyle w:val="TCTableBodyChar"/>
          <w:rFonts w:ascii="Times" w:hAnsi="Times"/>
          <w:kern w:val="0"/>
          <w:sz w:val="24"/>
        </w:rPr>
        <w:t>fluctuation of &lt; 0.2</w:t>
      </w:r>
      <w:r w:rsidRPr="00370D50">
        <w:rPr>
          <w:rStyle w:val="TCTableBodyChar"/>
          <w:rFonts w:ascii="Times" w:hAnsi="Times" w:cs="Times"/>
          <w:kern w:val="0"/>
          <w:sz w:val="24"/>
        </w:rPr>
        <w:t xml:space="preserve"> </w:t>
      </w:r>
      <w:r>
        <w:rPr>
          <w:rStyle w:val="TCTableBodyChar"/>
          <w:rFonts w:ascii="Times" w:hAnsi="Times" w:cs="Times"/>
          <w:kern w:val="0"/>
          <w:sz w:val="24"/>
        </w:rPr>
        <w:t>º</w:t>
      </w:r>
      <w:r w:rsidRPr="00290E82">
        <w:rPr>
          <w:rStyle w:val="TCTableBodyChar"/>
          <w:rFonts w:ascii="Times" w:hAnsi="Times"/>
          <w:kern w:val="0"/>
          <w:sz w:val="24"/>
        </w:rPr>
        <w:t>C</w:t>
      </w:r>
      <w:r>
        <w:rPr>
          <w:rStyle w:val="TCTableBodyChar"/>
          <w:rFonts w:ascii="Times" w:hAnsi="Times"/>
          <w:kern w:val="0"/>
          <w:sz w:val="24"/>
        </w:rPr>
        <w:t xml:space="preserve">. This resulted in sample cell temperatures of 22 </w:t>
      </w:r>
      <w:r>
        <w:rPr>
          <w:rStyle w:val="TCTableBodyChar"/>
          <w:rFonts w:ascii="Times" w:hAnsi="Times" w:cs="Times"/>
          <w:kern w:val="0"/>
          <w:sz w:val="24"/>
        </w:rPr>
        <w:t>º</w:t>
      </w:r>
      <w:r w:rsidRPr="00290E82">
        <w:rPr>
          <w:rStyle w:val="TCTableBodyChar"/>
          <w:rFonts w:ascii="Times" w:hAnsi="Times"/>
          <w:kern w:val="0"/>
          <w:sz w:val="24"/>
        </w:rPr>
        <w:t>C</w:t>
      </w:r>
      <w:r>
        <w:rPr>
          <w:rStyle w:val="TCTableBodyChar"/>
          <w:rFonts w:ascii="Times" w:hAnsi="Times"/>
          <w:kern w:val="0"/>
          <w:sz w:val="24"/>
        </w:rPr>
        <w:t xml:space="preserve"> and 74</w:t>
      </w:r>
      <w:r w:rsidRPr="004F5F31">
        <w:rPr>
          <w:rStyle w:val="TCTableBodyChar"/>
          <w:rFonts w:ascii="Times" w:hAnsi="Times" w:cs="Times"/>
          <w:kern w:val="0"/>
          <w:sz w:val="24"/>
        </w:rPr>
        <w:t xml:space="preserve"> </w:t>
      </w:r>
      <w:r>
        <w:rPr>
          <w:rStyle w:val="TCTableBodyChar"/>
          <w:rFonts w:ascii="Times" w:hAnsi="Times" w:cs="Times"/>
          <w:kern w:val="0"/>
          <w:sz w:val="24"/>
        </w:rPr>
        <w:t>º</w:t>
      </w:r>
      <w:r w:rsidRPr="00290E82">
        <w:rPr>
          <w:rStyle w:val="TCTableBodyChar"/>
          <w:rFonts w:ascii="Times" w:hAnsi="Times"/>
          <w:kern w:val="0"/>
          <w:sz w:val="24"/>
        </w:rPr>
        <w:t>C</w:t>
      </w:r>
      <w:r w:rsidR="009261DB">
        <w:rPr>
          <w:rStyle w:val="TCTableBodyChar"/>
          <w:rFonts w:ascii="Times" w:hAnsi="Times"/>
          <w:kern w:val="0"/>
          <w:sz w:val="24"/>
        </w:rPr>
        <w:t>,</w:t>
      </w:r>
      <w:r>
        <w:rPr>
          <w:rStyle w:val="TCTableBodyChar"/>
          <w:rFonts w:ascii="Times" w:hAnsi="Times"/>
          <w:kern w:val="0"/>
          <w:sz w:val="24"/>
        </w:rPr>
        <w:t xml:space="preserve"> respectively, for the two protein solutions.</w:t>
      </w:r>
    </w:p>
    <w:p w14:paraId="631824CA" w14:textId="3F84D1A5" w:rsidR="00101716" w:rsidRDefault="00101716" w:rsidP="00BA559B">
      <w:pPr>
        <w:pStyle w:val="TAMainText"/>
        <w:ind w:firstLine="0"/>
        <w:rPr>
          <w:b/>
        </w:rPr>
      </w:pPr>
      <w:bookmarkStart w:id="13" w:name="_Hlk51171126"/>
      <w:r w:rsidRPr="00A64CE4">
        <w:rPr>
          <w:b/>
        </w:rPr>
        <w:t>RESULTS</w:t>
      </w:r>
    </w:p>
    <w:p w14:paraId="304835B2" w14:textId="70D128A4" w:rsidR="00163C3D" w:rsidRPr="00D54EE3" w:rsidRDefault="007311C6" w:rsidP="00163C3D">
      <w:pPr>
        <w:pStyle w:val="TAMainText"/>
        <w:rPr>
          <w:b/>
        </w:rPr>
      </w:pPr>
      <w:r>
        <w:rPr>
          <w:b/>
        </w:rPr>
        <w:t>Solvent absorption</w:t>
      </w:r>
      <w:r w:rsidR="00163C3D" w:rsidRPr="00C5482B">
        <w:rPr>
          <w:b/>
        </w:rPr>
        <w:t xml:space="preserve"> </w:t>
      </w:r>
      <w:r w:rsidR="003409CF">
        <w:rPr>
          <w:b/>
        </w:rPr>
        <w:t>compensat</w:t>
      </w:r>
      <w:r w:rsidR="008D0BEE">
        <w:rPr>
          <w:b/>
        </w:rPr>
        <w:t>ion</w:t>
      </w:r>
      <w:r w:rsidR="004B7F14">
        <w:rPr>
          <w:b/>
        </w:rPr>
        <w:t xml:space="preserve"> (S</w:t>
      </w:r>
      <w:r w:rsidR="00A0444B">
        <w:rPr>
          <w:b/>
        </w:rPr>
        <w:t>A</w:t>
      </w:r>
      <w:r w:rsidR="003409CF">
        <w:rPr>
          <w:b/>
        </w:rPr>
        <w:t>C</w:t>
      </w:r>
      <w:r w:rsidR="004B7F14">
        <w:rPr>
          <w:b/>
        </w:rPr>
        <w:t>)</w:t>
      </w:r>
      <w:r w:rsidR="00C80ABA">
        <w:rPr>
          <w:b/>
        </w:rPr>
        <w:t xml:space="preserve"> </w:t>
      </w:r>
      <w:r>
        <w:rPr>
          <w:b/>
        </w:rPr>
        <w:t>approach to</w:t>
      </w:r>
      <w:r w:rsidR="00C80ABA">
        <w:rPr>
          <w:b/>
        </w:rPr>
        <w:t xml:space="preserve"> IR spectroscopy</w:t>
      </w:r>
    </w:p>
    <w:p w14:paraId="5D40BF1C" w14:textId="6C5BE35C" w:rsidR="0020481C" w:rsidRDefault="00EE6863" w:rsidP="00163C3D">
      <w:pPr>
        <w:pStyle w:val="TAMainText"/>
      </w:pPr>
      <w:r>
        <w:t>Figure</w:t>
      </w:r>
      <w:r w:rsidR="00163C3D">
        <w:t xml:space="preserve"> 1a shows the experimental scheme of the </w:t>
      </w:r>
      <w:r w:rsidR="007311C6">
        <w:t>SAC</w:t>
      </w:r>
      <w:r w:rsidR="00420BE3">
        <w:t>-</w:t>
      </w:r>
      <w:r w:rsidR="00163C3D">
        <w:t>IR spectroscopy s</w:t>
      </w:r>
      <w:r w:rsidR="006451FC">
        <w:t>ystem</w:t>
      </w:r>
      <w:r w:rsidR="00163C3D">
        <w:t xml:space="preserve"> </w:t>
      </w:r>
      <w:r w:rsidR="006451FC">
        <w:t>implementing</w:t>
      </w:r>
      <w:r w:rsidR="00163C3D">
        <w:t xml:space="preserve"> a conventional dual-beam absorption spectroscopy setup</w:t>
      </w:r>
      <w:r w:rsidR="009C6CC7">
        <w:t>.</w:t>
      </w:r>
      <w:r w:rsidR="00163C3D">
        <w:t xml:space="preserve"> </w:t>
      </w:r>
      <w:r w:rsidR="005161F3">
        <w:t>A</w:t>
      </w:r>
      <w:r w:rsidR="007327F7">
        <w:t>n</w:t>
      </w:r>
      <w:r w:rsidR="005161F3">
        <w:t xml:space="preserve"> </w:t>
      </w:r>
      <w:r w:rsidR="00776C0D">
        <w:t xml:space="preserve">adaptive </w:t>
      </w:r>
      <w:r w:rsidR="007327F7">
        <w:t>SAC</w:t>
      </w:r>
      <w:r w:rsidR="005161F3">
        <w:t xml:space="preserve"> unit, consisting of t</w:t>
      </w:r>
      <w:r w:rsidR="00EF6F08">
        <w:t>wo</w:t>
      </w:r>
      <w:r w:rsidR="001673B3">
        <w:t xml:space="preserve"> </w:t>
      </w:r>
      <w:r w:rsidR="00867246">
        <w:t xml:space="preserve">tandem </w:t>
      </w:r>
      <w:r w:rsidR="001673B3">
        <w:t>acousto-optic modulator</w:t>
      </w:r>
      <w:r w:rsidR="00B44B35">
        <w:t>s</w:t>
      </w:r>
      <w:r w:rsidR="005161F3">
        <w:t>,</w:t>
      </w:r>
      <w:r w:rsidR="00B44B35">
        <w:t xml:space="preserve"> </w:t>
      </w:r>
      <w:r w:rsidR="005161F3">
        <w:t>is</w:t>
      </w:r>
      <w:r w:rsidR="00163C3D">
        <w:t xml:space="preserve"> inserted into the incident beam path to </w:t>
      </w:r>
      <w:r w:rsidR="00863D82">
        <w:t xml:space="preserve">dynamically </w:t>
      </w:r>
      <w:r w:rsidR="00163C3D">
        <w:t xml:space="preserve">adjust the </w:t>
      </w:r>
      <w:r w:rsidR="005D1DF8">
        <w:t xml:space="preserve">fraction of the </w:t>
      </w:r>
      <w:r w:rsidR="00163C3D">
        <w:t xml:space="preserve">light intensity </w:t>
      </w:r>
      <w:r w:rsidR="005D1DF8">
        <w:t xml:space="preserve">passed </w:t>
      </w:r>
      <w:r w:rsidR="00163C3D">
        <w:t xml:space="preserve">while the wavelength of the EC-QCL is scanned. The rationale for the </w:t>
      </w:r>
      <w:r w:rsidR="00B44910">
        <w:t xml:space="preserve">SAC </w:t>
      </w:r>
      <w:r w:rsidR="00163C3D">
        <w:t>and its impact</w:t>
      </w:r>
      <w:r w:rsidR="004957D2">
        <w:t>s</w:t>
      </w:r>
      <w:r w:rsidR="00163C3D">
        <w:t xml:space="preserve"> on an absorption spectrum are presented </w:t>
      </w:r>
      <w:r w:rsidR="0073317C">
        <w:t xml:space="preserve">in </w:t>
      </w:r>
      <w:r>
        <w:t>Figures</w:t>
      </w:r>
      <w:r w:rsidR="0073317C">
        <w:t xml:space="preserve"> 1</w:t>
      </w:r>
      <w:r w:rsidR="00176B2E">
        <w:t>b–1g</w:t>
      </w:r>
      <w:r w:rsidR="008D65C9">
        <w:t xml:space="preserve">. </w:t>
      </w:r>
      <w:r w:rsidR="0020481C">
        <w:t xml:space="preserve">The absorption spectra are acquired with and without applying the </w:t>
      </w:r>
      <w:r w:rsidR="008D0BEE">
        <w:t xml:space="preserve">SAC </w:t>
      </w:r>
      <w:r w:rsidR="0020481C">
        <w:t>for an identical aqueous solution of bovine serum albumin (BSA) at a concentration of 10 mg/mL.</w:t>
      </w:r>
      <w:r w:rsidR="00163C3D">
        <w:t xml:space="preserve"> </w:t>
      </w:r>
      <w:r w:rsidR="0073317C">
        <w:t>I</w:t>
      </w:r>
      <w:r w:rsidR="00163C3D">
        <w:t xml:space="preserve">n conventional absorption spectroscopy, </w:t>
      </w:r>
      <w:r w:rsidR="0073317C">
        <w:t xml:space="preserve">the spectrum of the light transmitted </w:t>
      </w:r>
      <w:r w:rsidR="00163C3D">
        <w:t xml:space="preserve">through a sample cell filled with water </w:t>
      </w:r>
      <w:r w:rsidR="00176B2E">
        <w:t>(</w:t>
      </w:r>
      <w:r>
        <w:t>Figure</w:t>
      </w:r>
      <w:r w:rsidR="00176B2E">
        <w:t xml:space="preserve"> 1c) </w:t>
      </w:r>
      <w:r w:rsidR="0073317C">
        <w:t xml:space="preserve">shows </w:t>
      </w:r>
      <w:r w:rsidR="00346D0A">
        <w:t xml:space="preserve">&gt;3000 times </w:t>
      </w:r>
      <w:r w:rsidR="00FB344D">
        <w:t xml:space="preserve">intensity </w:t>
      </w:r>
      <w:r w:rsidR="00621A08">
        <w:t>reduction</w:t>
      </w:r>
      <w:r w:rsidR="00176B2E">
        <w:t xml:space="preserve"> </w:t>
      </w:r>
      <w:r w:rsidR="0073317C">
        <w:t>at 1644 cm</w:t>
      </w:r>
      <w:r w:rsidR="0073317C" w:rsidRPr="00F344C3">
        <w:rPr>
          <w:vertAlign w:val="superscript"/>
        </w:rPr>
        <w:t>-1</w:t>
      </w:r>
      <w:r w:rsidR="000434BB" w:rsidRPr="007731D8">
        <w:t>,</w:t>
      </w:r>
      <w:r w:rsidR="0073317C">
        <w:t xml:space="preserve"> where the water bending mode is located.</w:t>
      </w:r>
      <w:r w:rsidR="00163C3D">
        <w:t xml:space="preserve"> </w:t>
      </w:r>
      <w:r w:rsidR="0016460E">
        <w:t xml:space="preserve">In </w:t>
      </w:r>
      <w:r>
        <w:t>Figure</w:t>
      </w:r>
      <w:r w:rsidR="0016460E">
        <w:t xml:space="preserve"> 1d, </w:t>
      </w:r>
      <w:r w:rsidR="00754B25">
        <w:t>the amide II band at 1550 cm</w:t>
      </w:r>
      <w:r w:rsidR="00754B25" w:rsidRPr="00F667CE">
        <w:rPr>
          <w:vertAlign w:val="superscript"/>
        </w:rPr>
        <w:t>-1</w:t>
      </w:r>
      <w:r w:rsidR="00754B25">
        <w:t xml:space="preserve"> shows a recognizable absorption peak</w:t>
      </w:r>
      <w:r w:rsidR="008B280D">
        <w:t>,</w:t>
      </w:r>
      <w:r w:rsidR="00754B25">
        <w:t xml:space="preserve"> </w:t>
      </w:r>
      <w:r w:rsidR="0016460E">
        <w:t xml:space="preserve">but </w:t>
      </w:r>
      <w:r w:rsidR="008B280D">
        <w:t>the amide I band near the 1644 cm</w:t>
      </w:r>
      <w:r w:rsidR="008B280D" w:rsidRPr="00F344C3">
        <w:rPr>
          <w:vertAlign w:val="superscript"/>
        </w:rPr>
        <w:t>-1</w:t>
      </w:r>
      <w:r w:rsidR="008B280D">
        <w:t xml:space="preserve"> region is dominated by the noise, which </w:t>
      </w:r>
      <w:r w:rsidR="00B4501A">
        <w:t>shows</w:t>
      </w:r>
      <w:r w:rsidR="008B280D">
        <w:t xml:space="preserve"> </w:t>
      </w:r>
      <w:r w:rsidR="00B4501A">
        <w:t>t</w:t>
      </w:r>
      <w:r w:rsidR="00176B2E">
        <w:t xml:space="preserve">he </w:t>
      </w:r>
      <w:r w:rsidR="00BC5C7D">
        <w:t xml:space="preserve">strong effect of </w:t>
      </w:r>
      <w:r w:rsidR="00176B2E">
        <w:t xml:space="preserve">light absorption by </w:t>
      </w:r>
      <w:r w:rsidR="00BC5C7D">
        <w:t>water</w:t>
      </w:r>
      <w:r w:rsidR="00E2136B">
        <w:t xml:space="preserve">. </w:t>
      </w:r>
      <w:r w:rsidR="002D5DB4">
        <w:t xml:space="preserve">This type of </w:t>
      </w:r>
      <w:r w:rsidR="000C0911">
        <w:t xml:space="preserve">dominating noise </w:t>
      </w:r>
      <w:r w:rsidR="009A1BA9">
        <w:t xml:space="preserve">for a weak signal </w:t>
      </w:r>
      <w:r w:rsidR="000C0911">
        <w:t xml:space="preserve">is considered to be unavoidable </w:t>
      </w:r>
      <w:r w:rsidR="000260AC">
        <w:t>in</w:t>
      </w:r>
      <w:r w:rsidR="000C0911">
        <w:t xml:space="preserve"> a </w:t>
      </w:r>
      <w:r w:rsidR="00260F65">
        <w:t>detection</w:t>
      </w:r>
      <w:r w:rsidR="000C0911">
        <w:t xml:space="preserve"> system</w:t>
      </w:r>
      <w:r w:rsidR="00260F65">
        <w:t xml:space="preserve"> that </w:t>
      </w:r>
      <w:r w:rsidR="003E6CF1">
        <w:t>cover</w:t>
      </w:r>
      <w:r w:rsidR="00CA15A8">
        <w:t>s</w:t>
      </w:r>
      <w:r w:rsidR="003E6CF1">
        <w:t xml:space="preserve"> both strong and weak signal</w:t>
      </w:r>
      <w:r w:rsidR="00A7008B">
        <w:t>s</w:t>
      </w:r>
      <w:r w:rsidR="003E6CF1">
        <w:t xml:space="preserve"> due to </w:t>
      </w:r>
      <w:r w:rsidR="00482B08">
        <w:t>the limited dynamic range</w:t>
      </w:r>
      <w:r w:rsidR="003E6CF1">
        <w:t>.</w:t>
      </w:r>
    </w:p>
    <w:p w14:paraId="17F08006" w14:textId="2ADD1922" w:rsidR="008D65C9" w:rsidRPr="005D7AC7" w:rsidRDefault="00D22CD3" w:rsidP="00163C3D">
      <w:pPr>
        <w:pStyle w:val="TAMainText"/>
      </w:pPr>
      <w:r>
        <w:t>In contrast</w:t>
      </w:r>
      <w:r w:rsidR="00176B2E">
        <w:t xml:space="preserve">, </w:t>
      </w:r>
      <w:r w:rsidR="00833E7D">
        <w:t xml:space="preserve">the </w:t>
      </w:r>
      <w:r w:rsidR="00B44910">
        <w:t>SAC</w:t>
      </w:r>
      <w:r w:rsidR="00435D6F">
        <w:t xml:space="preserve"> </w:t>
      </w:r>
      <w:r w:rsidR="00975E7D">
        <w:t>method</w:t>
      </w:r>
      <w:r w:rsidR="008D2789">
        <w:t xml:space="preserve"> </w:t>
      </w:r>
      <w:r w:rsidR="00501ACF">
        <w:t>pre-</w:t>
      </w:r>
      <w:r w:rsidR="00176B2E">
        <w:t>compensates the light</w:t>
      </w:r>
      <w:r w:rsidR="00501ACF">
        <w:t xml:space="preserve"> absorption</w:t>
      </w:r>
      <w:r w:rsidR="00176B2E">
        <w:t xml:space="preserve"> by </w:t>
      </w:r>
      <w:r w:rsidR="00501ACF">
        <w:t>water</w:t>
      </w:r>
      <w:r w:rsidR="00176B2E">
        <w:t xml:space="preserve"> </w:t>
      </w:r>
      <w:r w:rsidR="002F11A4">
        <w:t xml:space="preserve">by adjusting </w:t>
      </w:r>
      <w:r w:rsidR="007E78B1">
        <w:t xml:space="preserve">the transmittance </w:t>
      </w:r>
      <w:r w:rsidR="00A33FFD">
        <w:t>adaptively</w:t>
      </w:r>
      <w:r w:rsidR="007E78B1">
        <w:t xml:space="preserve"> at each frequency</w:t>
      </w:r>
      <w:r w:rsidR="00A341FD">
        <w:t xml:space="preserve">, </w:t>
      </w:r>
      <w:r w:rsidR="00090F40">
        <w:t xml:space="preserve">so the light intensity transmitted through the solvent is nearly constant over the scanned frequency range. </w:t>
      </w:r>
      <w:r w:rsidR="00470F54">
        <w:t xml:space="preserve">The </w:t>
      </w:r>
      <w:r w:rsidR="0011283A">
        <w:t>equalized</w:t>
      </w:r>
      <w:r w:rsidR="00470F54">
        <w:t xml:space="preserve"> light intensity arriving at the detector makes it possible for a detection system to resolve the absorption signal with the </w:t>
      </w:r>
      <w:r w:rsidR="00470F54" w:rsidRPr="00594C51">
        <w:t xml:space="preserve">maximum </w:t>
      </w:r>
      <w:r w:rsidR="00470F54">
        <w:t xml:space="preserve">dynamic range. </w:t>
      </w:r>
      <w:r w:rsidR="00EE6863">
        <w:t>Figure</w:t>
      </w:r>
      <w:r w:rsidR="00163C3D">
        <w:t xml:space="preserve"> 1</w:t>
      </w:r>
      <w:r w:rsidR="00501ACF">
        <w:t>e</w:t>
      </w:r>
      <w:r w:rsidR="00163C3D">
        <w:t xml:space="preserve"> shows the </w:t>
      </w:r>
      <w:r w:rsidR="00612427">
        <w:t>pre-compen</w:t>
      </w:r>
      <w:r w:rsidR="009C10F8">
        <w:t>sated</w:t>
      </w:r>
      <w:r w:rsidR="00501ACF">
        <w:t xml:space="preserve"> </w:t>
      </w:r>
      <w:r w:rsidR="00163C3D">
        <w:t xml:space="preserve">spectrum </w:t>
      </w:r>
      <w:r w:rsidR="00501ACF">
        <w:t>of the incident light before the sample</w:t>
      </w:r>
      <w:r w:rsidR="00944DAC">
        <w:t xml:space="preserve"> cell</w:t>
      </w:r>
      <w:r w:rsidR="00516C88">
        <w:t>,</w:t>
      </w:r>
      <w:r w:rsidR="00501ACF">
        <w:t xml:space="preserve"> while </w:t>
      </w:r>
      <w:r w:rsidR="00EE6863">
        <w:t>Figure</w:t>
      </w:r>
      <w:r w:rsidR="00501ACF">
        <w:t xml:space="preserve"> 1f shows the spectrum of the transmitted light </w:t>
      </w:r>
      <w:r w:rsidR="00163C3D">
        <w:t xml:space="preserve">through </w:t>
      </w:r>
      <w:r w:rsidR="00501ACF">
        <w:t xml:space="preserve">the sample </w:t>
      </w:r>
      <w:r w:rsidR="00944DAC">
        <w:t xml:space="preserve">cell </w:t>
      </w:r>
      <w:r w:rsidR="00501ACF">
        <w:t xml:space="preserve">filled with </w:t>
      </w:r>
      <w:r w:rsidR="00163C3D">
        <w:t xml:space="preserve">water. </w:t>
      </w:r>
      <w:r w:rsidR="00DD5D8D">
        <w:t xml:space="preserve">The resulting absorption spectrum in </w:t>
      </w:r>
      <w:r w:rsidR="00EE6863">
        <w:t>Figure</w:t>
      </w:r>
      <w:r w:rsidR="00DD5D8D">
        <w:t xml:space="preserve"> 1g shows that the </w:t>
      </w:r>
      <w:r w:rsidR="00FC057D">
        <w:t>SAC</w:t>
      </w:r>
      <w:r w:rsidR="00805F41">
        <w:t xml:space="preserve"> approach</w:t>
      </w:r>
      <w:r w:rsidR="00DD5D8D">
        <w:t xml:space="preserve"> improves the </w:t>
      </w:r>
      <w:r w:rsidR="00B6415A">
        <w:t xml:space="preserve">SNR </w:t>
      </w:r>
      <w:r w:rsidR="00DD5D8D">
        <w:t xml:space="preserve">not only in the amide I region but also </w:t>
      </w:r>
      <w:r w:rsidR="00F461FA">
        <w:t>over the entire</w:t>
      </w:r>
      <w:r w:rsidR="00DD5D8D">
        <w:t xml:space="preserve"> spectral range</w:t>
      </w:r>
      <w:r w:rsidR="00F461FA">
        <w:t xml:space="preserve"> scanned</w:t>
      </w:r>
      <w:r w:rsidR="00DD5D8D">
        <w:t xml:space="preserve">, compared to </w:t>
      </w:r>
      <w:r w:rsidR="00F639C1">
        <w:t xml:space="preserve">the </w:t>
      </w:r>
      <w:r w:rsidR="00C7649E">
        <w:t xml:space="preserve">data collected using </w:t>
      </w:r>
      <w:r w:rsidR="00DD5D8D">
        <w:t xml:space="preserve">the conventional </w:t>
      </w:r>
      <w:r w:rsidR="002E1DDD">
        <w:t>non-</w:t>
      </w:r>
      <w:r w:rsidR="00A0444B">
        <w:t>SAC</w:t>
      </w:r>
      <w:r w:rsidR="002E1DDD">
        <w:t xml:space="preserve"> </w:t>
      </w:r>
      <w:r w:rsidR="00F639C1">
        <w:t>method</w:t>
      </w:r>
      <w:r w:rsidR="00DD5D8D">
        <w:t xml:space="preserve"> in </w:t>
      </w:r>
      <w:r w:rsidR="00EE6863">
        <w:t>Figure</w:t>
      </w:r>
      <w:r w:rsidR="00DD5D8D">
        <w:t xml:space="preserve"> 1d.</w:t>
      </w:r>
      <w:bookmarkEnd w:id="13"/>
      <w:r w:rsidR="007327F7">
        <w:t xml:space="preserve"> </w:t>
      </w:r>
      <w:r w:rsidR="00CB7374">
        <w:t>By u</w:t>
      </w:r>
      <w:r w:rsidR="007327F7">
        <w:t xml:space="preserve">sing the fast responding (&lt; </w:t>
      </w:r>
      <w:r w:rsidR="007327F7" w:rsidRPr="007327F7">
        <w:rPr>
          <w:rFonts w:ascii="Symbol" w:hAnsi="Symbol"/>
        </w:rPr>
        <w:t>m</w:t>
      </w:r>
      <w:r w:rsidR="007327F7">
        <w:t>s) AOMs</w:t>
      </w:r>
      <w:r w:rsidR="00CB7374">
        <w:t>,</w:t>
      </w:r>
      <w:r w:rsidR="007327F7">
        <w:t xml:space="preserve"> th</w:t>
      </w:r>
      <w:r w:rsidR="00CB7374">
        <w:t>is</w:t>
      </w:r>
      <w:r w:rsidR="007327F7">
        <w:t xml:space="preserve"> </w:t>
      </w:r>
      <w:r w:rsidR="00CB7374">
        <w:t xml:space="preserve">SAC method can be applied to </w:t>
      </w:r>
      <w:r w:rsidR="007327F7">
        <w:t>fast scanning QCL-IR spectroscopy</w:t>
      </w:r>
      <w:r w:rsidR="00CB7374">
        <w:t xml:space="preserve"> </w:t>
      </w:r>
      <w:r w:rsidR="00CB7374" w:rsidRPr="005D7AC7">
        <w:t>methods</w:t>
      </w:r>
      <w:r w:rsidR="007327F7" w:rsidRPr="005D7AC7">
        <w:t xml:space="preserve"> demonstrated in other reports</w:t>
      </w:r>
      <w:r w:rsidR="00203168" w:rsidRPr="005D7AC7">
        <w:t>.</w:t>
      </w:r>
      <w:r w:rsidR="00CB7374" w:rsidRPr="005D7AC7">
        <w:fldChar w:fldCharType="begin" w:fldLock="1"/>
      </w:r>
      <w:r w:rsidR="00CB7374" w:rsidRPr="005D7AC7">
        <w:instrText>ADDIN CSL_CITATION {"citationItems":[{"id":"ITEM-1","itemData":{"DOI":"10.1021/acs.analchem.5b01738","ISSN":"0003-2700","abstract":"In this work, we report mid-IR transmission measurements of the protein amide I band in aqueous solution at large optical paths. A tunable external-cavity quantum cascade laser (EC-QCL) operated in pulsed mode at room temperature allowed one to apply a path length of up to 38 μm, which is four times larger than that applicable with conventional FT-IR spectrometers. To minimize temperature-induced variations caused by background absorption of the ν2-vibration of water (HOH-bending) overlapping with the amide I region, a highly stable temperature control unit with relative temperature stability within 0.005 °C was developed. An advanced data processing protocol was established to overcome fluctuations in the fine structure of the emission curve that are inherent to the employed EC-QCL due to its mechanical instabilities. To allow for wavenumber accuracy, a spectral calibration method has been elaborated to reference the acquired IR spectra to the absolute positions of the water vapor absorption bands. Employing this setup, characteristic spectral features of five well-studied proteins exhibiting different secondary structures could be measured at concentrations as low as 2.5 mg mL−1. This concentration range could previously only be accessed by IR measurements in D2O. Mathematical evaluation of the spectral overlap and comparison of second derivative spectra confirm excellent agreement of the QCL transmission measurements with protein spectra acquired by FT-IR spectroscopy. This proves the potential of the applied setup to monitor secondary structure changes of proteins in aqueous solution at extended optical path lengths, which allow experiments in flow through configuration","author":[{"dropping-particle":"","family":"Alcaráz","given":"Mirta R.","non-dropping-particle":"","parse-names":false,"suffix":""},{"dropping-particle":"","family":"Schwaighofer","given":"Andreas","non-dropping-particle":"","parse-names":false,"suffix":""},{"dropping-particle":"","family":"Kristament","given":"Christian","non-dropping-particle":"","parse-names":false,"suffix":""},{"dropping-particle":"","family":"Ramer","given":"Georg","non-dropping-particle":"","parse-names":false,"suffix":""},{"dropping-particle":"","family":"Brandstetter","given":"Markus","non-dropping-particle":"","parse-names":false,"suffix":""},{"dropping-particle":"","family":"Goicoechea","given":"Héctor","non-dropping-particle":"","parse-names":false,"suffix":""},{"dropping-particle":"","family":"Lendl","given":"Bernhard","non-dropping-particle":"","parse-names":false,"suffix":""}],"container-title":"Analytical Chemistry","id":"ITEM-1","issue":"13","issued":{"date-parts":[["2015"]]},"page":"6980-6987","title":"External-Cavity Quantum Cascade Laser Spectroscopy for Mid-IR Transmission Measurements of Proteins in Aqueous Solution","type":"article-journal","volume":"87"},"uris":["http://www.mendeley.com/documents/?uuid=2332a291-af6e-4f46-a82f-261c21c98580"]},{"id":"ITEM-2","itemData":{"DOI":"10.1021/acs.analchem.0c01406","ISSN":"0003-2700","abstract":"We report a mid-IR transmission setup for the analysis of the protein amide I and amide II band in aqueous solutions that achieves a limit of detection as low as 0.0025 mg mL−1 (outperforming our previous results and other state-of-the-art mid-IR-based techniques by almost an order of magnitude). This large improvement is made possible by combining the latest- generation external cavity-quantum cascade laser (EC-QCL) operated at room temperature with an optimized double-beam optical setup that adjusts the path length (26 μm) to ensure robust sample handling. For minimizing the noise introduced by the high- intensity laser light source, a thermoelectrically cooled mercury cadmium telluride balanced detection module was employed. In this way, noise levels better by a factor of up to 20 were achieved compared with single-channel measurements. Characteristic spectral features of proteins with different secondary structures were successfully identified at concentrations as low as 0.1 mg mL−1. Furthermore, a highly linear response was demonstrated for concentrations between 0.05 and 10 mg mL−1. The total acquisition time of the setup can be adapted to fulfill the required sensitivity of the protein measurements and to ensure maximum flexibility for future applications. The presented setup combines high sensitivity, large optical path lengths, and short measurement times and thus outperforms previous research type EC-QCL setups as well as commercially available instruments. This opens a wide range of future applications including protein−ligand interaction studies as well as qualitative and quantitative analyses of proteins in complex matrices such as those found in up- and downstream bioprocess monitoring and similar challenging applications which can not be readily met by conventional FT-IR spectroscopy.","author":[{"dropping-particle":"","family":"Akhgar","given":"Christopher K","non-dropping-particle":"","parse-names":false,"suffix":""},{"dropping-particle":"","family":"Ramer","given":"Georg","non-dropping-particle":"","parse-names":false,"suffix":""},{"dropping-particle":"","family":"Żbik","given":"Mateusz","non-dropping-particle":"","parse-names":false,"suffix":""},{"dropping-particle":"","family":"Trajnerowicz","given":"Artur","non-dropping-particle":"","parse-names":false,"suffix":""},{"dropping-particle":"","family":"Pawluczyk","given":"Jarosław","non-dropping-particle":"","parse-names":false,"suffix":""},{"dropping-particle":"","family":"Schwaighofer","given":"Andreas","non-dropping-particle":"","parse-names":false,"suffix":""},{"dropping-particle":"","family":"Lendl","given":"Bernhard","non-dropping-particle":"","parse-names":false,"suffix":""}],"container-title":"Analytical Chemistry","id":"ITEM-2","issue":"14","issued":{"date-parts":[["2020"]]},"page":"9901-9907","title":"The Next Generation of IR Spectroscopy: EC-QCL-Based Mid-IR Transmission Spectroscopy of Proteins with Balanced Detection","type":"article-journal","volume":"92"},"uris":["http://www.mendeley.com/documents/?uuid=f43f937c-78a5-4592-b1f5-394edb858a64"]}],"mendeley":{"formattedCitation":"&lt;sup&gt;9,12&lt;/sup&gt;","plainTextFormattedCitation":"9,12","previouslyFormattedCitation":"&lt;sup&gt;9,12&lt;/sup&gt;"},"properties":{"noteIndex":0},"schema":"https://github.com/citation-style-language/schema/raw/master/csl-citation.json"}</w:instrText>
      </w:r>
      <w:r w:rsidR="00CB7374" w:rsidRPr="005D7AC7">
        <w:fldChar w:fldCharType="separate"/>
      </w:r>
      <w:r w:rsidR="00CB7374" w:rsidRPr="005D7AC7">
        <w:rPr>
          <w:noProof/>
          <w:vertAlign w:val="superscript"/>
        </w:rPr>
        <w:t>9,12</w:t>
      </w:r>
      <w:r w:rsidR="00CB7374" w:rsidRPr="005D7AC7">
        <w:fldChar w:fldCharType="end"/>
      </w:r>
      <w:r w:rsidR="00EB6507" w:rsidRPr="005D7AC7">
        <w:t xml:space="preserve"> </w:t>
      </w:r>
      <w:bookmarkStart w:id="14" w:name="_Hlk56508167"/>
      <w:r w:rsidR="00EB6507" w:rsidRPr="005D7AC7">
        <w:t>The AOMs unit can be replaced with other transmission controlling devices,</w:t>
      </w:r>
      <w:r w:rsidR="000C4007" w:rsidRPr="005D7AC7">
        <w:fldChar w:fldCharType="begin" w:fldLock="1"/>
      </w:r>
      <w:r w:rsidR="000C4007" w:rsidRPr="005D7AC7">
        <w:instrText>ADDIN CSL_CITATION {"citationItems":[{"id":"ITEM-1","itemData":{"DOI":"10.1016/j.saa.2017.01.010","ISSN":"13861425","PMID":"28110813","abstract":"We have developed a spectrometer based on tunable quantum cascade lasers (QCLs) for recording time-resolved absorption spectra of proteins in the mid-infrared range. We illustrate its performance by recording time-resolved difference spectra of bacteriorhodopsin in the carboxylic range (1800–1700 cm− 1) and on the CO rebinding reaction of myoglobin (1960–1840 cm− 1), at a spectral resolution of 1 cm− 1. The spectrometric setup covers the time range from 4 ns to nearly a second with a response time of 10–15 ns. Absorption changes as low as 1 × 10− 4 are detected in single-shot experiments at t &gt; 1 μs, and of 5 × 10− 6 in kinetics obtained after averaging 100 shots. While previous time-resolved IR experiments have mostly been conducted on hydrated films of proteins, we demonstrate here that the brilliance of tunable quantum cascade lasers is superior to perform ns time-resolved experiments even in aqueous solution (H2O).","author":[{"dropping-particle":"","family":"Schultz","given":"Bernd Joachim","non-dropping-particle":"","parse-names":false,"suffix":""},{"dropping-particle":"","family":"Mohrmann","given":"Hendrik","non-dropping-particle":"","parse-names":false,"suffix":""},{"dropping-particle":"","family":"Lorenz-Fonfria","given":"Victor A.","non-dropping-particle":"","parse-names":false,"suffix":""},{"dropping-particle":"","family":"Heberle","given":"Joachim","non-dropping-particle":"","parse-names":false,"suffix":""}],"container-title":"Spectrochimica Acta - Part A: Molecular and Biomolecular Spectroscopy","id":"ITEM-1","issued":{"date-parts":[["2018","1","5"]]},"page":"666-674","publisher":"Elsevier B.V.","title":"Protein dynamics observed by tunable mid-IR quantum cascade lasers across the time range from 10 ns to 1 s","type":"article-journal","volume":"188"},"uris":["http://www.mendeley.com/documents/?uuid=6eb512f5-9239-34a3-adda-b18cfdafabdc"]}],"mendeley":{"formattedCitation":"&lt;sup&gt;21&lt;/sup&gt;","plainTextFormattedCitation":"21"},"properties":{"noteIndex":0},"schema":"https://github.com/citation-style-language/schema/raw/master/csl-citation.json"}</w:instrText>
      </w:r>
      <w:r w:rsidR="000C4007" w:rsidRPr="005D7AC7">
        <w:fldChar w:fldCharType="separate"/>
      </w:r>
      <w:r w:rsidR="000C4007" w:rsidRPr="005D7AC7">
        <w:rPr>
          <w:noProof/>
          <w:vertAlign w:val="superscript"/>
        </w:rPr>
        <w:t>21</w:t>
      </w:r>
      <w:r w:rsidR="000C4007" w:rsidRPr="005D7AC7">
        <w:fldChar w:fldCharType="end"/>
      </w:r>
      <w:r w:rsidR="00EB6507" w:rsidRPr="005D7AC7">
        <w:t xml:space="preserve"> depending on the response time and the dynamic range of intensity attenuation.</w:t>
      </w:r>
    </w:p>
    <w:bookmarkEnd w:id="14"/>
    <w:p w14:paraId="006C1A69" w14:textId="77777777" w:rsidR="00BD7654" w:rsidRDefault="00BD7654" w:rsidP="00163C3D">
      <w:pPr>
        <w:pStyle w:val="TAMainText"/>
      </w:pPr>
    </w:p>
    <w:p w14:paraId="4E3DD269" w14:textId="7F3DD6EE" w:rsidR="00BD7654" w:rsidRDefault="00067C83" w:rsidP="00F667CE">
      <w:pPr>
        <w:pStyle w:val="TAMainText"/>
        <w:ind w:firstLine="0"/>
        <w:jc w:val="center"/>
      </w:pPr>
      <w:r>
        <w:rPr>
          <w:noProof/>
        </w:rPr>
        <w:drawing>
          <wp:inline distT="0" distB="0" distL="0" distR="0" wp14:anchorId="0D1E5139" wp14:editId="560B09D1">
            <wp:extent cx="5518205" cy="4355019"/>
            <wp:effectExtent l="0" t="0" r="6350" b="762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22360" cy="4358298"/>
                    </a:xfrm>
                    <a:prstGeom prst="rect">
                      <a:avLst/>
                    </a:prstGeom>
                  </pic:spPr>
                </pic:pic>
              </a:graphicData>
            </a:graphic>
          </wp:inline>
        </w:drawing>
      </w:r>
    </w:p>
    <w:p w14:paraId="1A9AD47F" w14:textId="0C03CA29" w:rsidR="00AA07BF" w:rsidRDefault="00BD7654" w:rsidP="006B759D">
      <w:pPr>
        <w:pStyle w:val="Caption"/>
        <w:spacing w:after="240" w:line="276" w:lineRule="auto"/>
        <w:rPr>
          <w:i w:val="0"/>
          <w:iCs w:val="0"/>
          <w:color w:val="auto"/>
          <w:sz w:val="24"/>
          <w:szCs w:val="24"/>
        </w:rPr>
      </w:pPr>
      <w:r w:rsidRPr="03066021">
        <w:rPr>
          <w:b/>
          <w:bCs/>
          <w:i w:val="0"/>
          <w:iCs w:val="0"/>
          <w:color w:val="auto"/>
          <w:sz w:val="24"/>
          <w:szCs w:val="24"/>
        </w:rPr>
        <w:t xml:space="preserve">Figure </w:t>
      </w:r>
      <w:r w:rsidRPr="03066021">
        <w:rPr>
          <w:b/>
          <w:bCs/>
          <w:i w:val="0"/>
          <w:iCs w:val="0"/>
          <w:color w:val="auto"/>
          <w:sz w:val="24"/>
          <w:szCs w:val="24"/>
        </w:rPr>
        <w:fldChar w:fldCharType="begin"/>
      </w:r>
      <w:r w:rsidRPr="03066021">
        <w:rPr>
          <w:b/>
          <w:bCs/>
          <w:i w:val="0"/>
          <w:iCs w:val="0"/>
          <w:color w:val="auto"/>
          <w:sz w:val="24"/>
          <w:szCs w:val="24"/>
        </w:rPr>
        <w:instrText xml:space="preserve"> SEQ Figure \* ARABIC </w:instrText>
      </w:r>
      <w:r w:rsidRPr="03066021">
        <w:rPr>
          <w:b/>
          <w:bCs/>
          <w:i w:val="0"/>
          <w:iCs w:val="0"/>
          <w:color w:val="auto"/>
          <w:sz w:val="24"/>
          <w:szCs w:val="24"/>
        </w:rPr>
        <w:fldChar w:fldCharType="separate"/>
      </w:r>
      <w:r w:rsidRPr="03066021">
        <w:rPr>
          <w:b/>
          <w:bCs/>
          <w:i w:val="0"/>
          <w:iCs w:val="0"/>
          <w:noProof/>
          <w:color w:val="auto"/>
          <w:sz w:val="24"/>
          <w:szCs w:val="24"/>
        </w:rPr>
        <w:t>1</w:t>
      </w:r>
      <w:r w:rsidRPr="03066021">
        <w:rPr>
          <w:b/>
          <w:bCs/>
          <w:i w:val="0"/>
          <w:iCs w:val="0"/>
          <w:noProof/>
          <w:color w:val="auto"/>
          <w:sz w:val="24"/>
          <w:szCs w:val="24"/>
        </w:rPr>
        <w:fldChar w:fldCharType="end"/>
      </w:r>
      <w:r w:rsidRPr="03066021">
        <w:rPr>
          <w:i w:val="0"/>
          <w:iCs w:val="0"/>
          <w:noProof/>
          <w:color w:val="auto"/>
          <w:sz w:val="24"/>
          <w:szCs w:val="24"/>
        </w:rPr>
        <w:t>.</w:t>
      </w:r>
      <w:r w:rsidRPr="03066021">
        <w:rPr>
          <w:i w:val="0"/>
          <w:iCs w:val="0"/>
          <w:color w:val="auto"/>
          <w:sz w:val="24"/>
          <w:szCs w:val="24"/>
        </w:rPr>
        <w:t xml:space="preserve"> (a) A dual-beam </w:t>
      </w:r>
      <w:r w:rsidR="005161F3">
        <w:rPr>
          <w:i w:val="0"/>
          <w:iCs w:val="0"/>
          <w:color w:val="auto"/>
          <w:sz w:val="24"/>
          <w:szCs w:val="24"/>
        </w:rPr>
        <w:t xml:space="preserve">absorption </w:t>
      </w:r>
      <w:r w:rsidR="002B27F8">
        <w:rPr>
          <w:i w:val="0"/>
          <w:iCs w:val="0"/>
          <w:color w:val="auto"/>
          <w:sz w:val="24"/>
          <w:szCs w:val="24"/>
        </w:rPr>
        <w:t>measurement</w:t>
      </w:r>
      <w:r w:rsidR="005161F3">
        <w:rPr>
          <w:i w:val="0"/>
          <w:iCs w:val="0"/>
          <w:color w:val="auto"/>
          <w:sz w:val="24"/>
          <w:szCs w:val="24"/>
        </w:rPr>
        <w:t xml:space="preserve"> </w:t>
      </w:r>
      <w:r w:rsidR="00B326A8">
        <w:rPr>
          <w:i w:val="0"/>
          <w:iCs w:val="0"/>
          <w:color w:val="auto"/>
          <w:sz w:val="24"/>
          <w:szCs w:val="24"/>
        </w:rPr>
        <w:t>setup</w:t>
      </w:r>
      <w:r w:rsidRPr="03066021">
        <w:rPr>
          <w:i w:val="0"/>
          <w:iCs w:val="0"/>
          <w:color w:val="auto"/>
          <w:sz w:val="24"/>
          <w:szCs w:val="24"/>
        </w:rPr>
        <w:t xml:space="preserve"> </w:t>
      </w:r>
      <w:r w:rsidR="001956A0">
        <w:rPr>
          <w:i w:val="0"/>
          <w:iCs w:val="0"/>
          <w:color w:val="auto"/>
          <w:sz w:val="24"/>
          <w:szCs w:val="24"/>
        </w:rPr>
        <w:t>for the</w:t>
      </w:r>
      <w:r w:rsidR="002B33F6">
        <w:rPr>
          <w:i w:val="0"/>
          <w:iCs w:val="0"/>
          <w:color w:val="auto"/>
          <w:sz w:val="24"/>
          <w:szCs w:val="24"/>
        </w:rPr>
        <w:t xml:space="preserve"> adaptive</w:t>
      </w:r>
      <w:r w:rsidR="001956A0">
        <w:rPr>
          <w:i w:val="0"/>
          <w:iCs w:val="0"/>
          <w:color w:val="auto"/>
          <w:sz w:val="24"/>
          <w:szCs w:val="24"/>
        </w:rPr>
        <w:t xml:space="preserve"> </w:t>
      </w:r>
      <w:r w:rsidR="0009418D">
        <w:rPr>
          <w:i w:val="0"/>
          <w:iCs w:val="0"/>
          <w:color w:val="auto"/>
          <w:sz w:val="24"/>
          <w:szCs w:val="24"/>
        </w:rPr>
        <w:t>solvent absorption compensation</w:t>
      </w:r>
      <w:r w:rsidR="00225140">
        <w:rPr>
          <w:i w:val="0"/>
          <w:iCs w:val="0"/>
          <w:color w:val="auto"/>
          <w:sz w:val="24"/>
          <w:szCs w:val="24"/>
        </w:rPr>
        <w:t xml:space="preserve"> (</w:t>
      </w:r>
      <w:r w:rsidR="001956A0">
        <w:rPr>
          <w:i w:val="0"/>
          <w:iCs w:val="0"/>
          <w:color w:val="auto"/>
          <w:sz w:val="24"/>
          <w:szCs w:val="24"/>
        </w:rPr>
        <w:t>SAC</w:t>
      </w:r>
      <w:r w:rsidR="00225140">
        <w:rPr>
          <w:i w:val="0"/>
          <w:iCs w:val="0"/>
          <w:color w:val="auto"/>
          <w:sz w:val="24"/>
          <w:szCs w:val="24"/>
        </w:rPr>
        <w:t>)</w:t>
      </w:r>
      <w:r w:rsidR="001956A0">
        <w:rPr>
          <w:i w:val="0"/>
          <w:iCs w:val="0"/>
          <w:color w:val="auto"/>
          <w:sz w:val="24"/>
          <w:szCs w:val="24"/>
        </w:rPr>
        <w:t>-IR</w:t>
      </w:r>
      <w:r w:rsidR="00FA78F1">
        <w:rPr>
          <w:i w:val="0"/>
          <w:iCs w:val="0"/>
          <w:color w:val="auto"/>
          <w:sz w:val="24"/>
          <w:szCs w:val="24"/>
        </w:rPr>
        <w:t xml:space="preserve"> spectroscopy</w:t>
      </w:r>
      <w:r w:rsidRPr="03066021">
        <w:rPr>
          <w:i w:val="0"/>
          <w:iCs w:val="0"/>
          <w:color w:val="auto"/>
          <w:sz w:val="24"/>
          <w:szCs w:val="24"/>
        </w:rPr>
        <w:t>.</w:t>
      </w:r>
      <w:r w:rsidR="009A69DF" w:rsidRPr="03066021">
        <w:rPr>
          <w:i w:val="0"/>
          <w:iCs w:val="0"/>
          <w:color w:val="auto"/>
          <w:sz w:val="24"/>
          <w:szCs w:val="24"/>
        </w:rPr>
        <w:t xml:space="preserve"> EC-QCL denotes external-cavity quantum cascade laser; AOM, acousto-optic modulator; BS, beam splitter; and TE-MCT, thermo-electric cooled mercury cadmium telluride</w:t>
      </w:r>
      <w:r w:rsidRPr="03066021">
        <w:rPr>
          <w:i w:val="0"/>
          <w:iCs w:val="0"/>
          <w:color w:val="auto"/>
          <w:sz w:val="24"/>
          <w:szCs w:val="24"/>
        </w:rPr>
        <w:t xml:space="preserve"> </w:t>
      </w:r>
      <w:r w:rsidR="009A69DF" w:rsidRPr="03066021">
        <w:rPr>
          <w:i w:val="0"/>
          <w:iCs w:val="0"/>
          <w:color w:val="auto"/>
          <w:sz w:val="24"/>
          <w:szCs w:val="24"/>
        </w:rPr>
        <w:t xml:space="preserve">detector. </w:t>
      </w:r>
      <w:r w:rsidR="0088509D" w:rsidRPr="03066021">
        <w:rPr>
          <w:i w:val="0"/>
          <w:iCs w:val="0"/>
          <w:color w:val="auto"/>
          <w:sz w:val="24"/>
          <w:szCs w:val="24"/>
        </w:rPr>
        <w:t xml:space="preserve">In a conventional approach, </w:t>
      </w:r>
      <w:r w:rsidRPr="03066021">
        <w:rPr>
          <w:i w:val="0"/>
          <w:iCs w:val="0"/>
          <w:color w:val="auto"/>
          <w:sz w:val="24"/>
          <w:szCs w:val="24"/>
        </w:rPr>
        <w:t xml:space="preserve">(b) </w:t>
      </w:r>
      <w:r w:rsidR="0088509D" w:rsidRPr="03066021">
        <w:rPr>
          <w:i w:val="0"/>
          <w:iCs w:val="0"/>
          <w:color w:val="auto"/>
          <w:sz w:val="24"/>
          <w:szCs w:val="24"/>
        </w:rPr>
        <w:t>t</w:t>
      </w:r>
      <w:r w:rsidRPr="03066021">
        <w:rPr>
          <w:i w:val="0"/>
          <w:iCs w:val="0"/>
          <w:color w:val="auto"/>
          <w:sz w:val="24"/>
          <w:szCs w:val="24"/>
        </w:rPr>
        <w:t>he spectrum of incident light before the sample cell</w:t>
      </w:r>
      <w:r w:rsidR="002A64D1" w:rsidRPr="03066021">
        <w:rPr>
          <w:i w:val="0"/>
          <w:iCs w:val="0"/>
          <w:color w:val="auto"/>
          <w:sz w:val="24"/>
          <w:szCs w:val="24"/>
        </w:rPr>
        <w:t xml:space="preserve"> </w:t>
      </w:r>
      <w:r w:rsidR="00125457" w:rsidRPr="03066021">
        <w:rPr>
          <w:i w:val="0"/>
          <w:iCs w:val="0"/>
          <w:color w:val="auto"/>
          <w:sz w:val="24"/>
          <w:szCs w:val="24"/>
        </w:rPr>
        <w:t xml:space="preserve">in the signal </w:t>
      </w:r>
      <w:r w:rsidR="006D1D44" w:rsidRPr="03066021">
        <w:rPr>
          <w:i w:val="0"/>
          <w:iCs w:val="0"/>
          <w:color w:val="auto"/>
          <w:sz w:val="24"/>
          <w:szCs w:val="24"/>
        </w:rPr>
        <w:t>beam</w:t>
      </w:r>
      <w:r w:rsidR="0088509D" w:rsidRPr="03066021">
        <w:rPr>
          <w:i w:val="0"/>
          <w:iCs w:val="0"/>
          <w:color w:val="auto"/>
          <w:sz w:val="24"/>
          <w:szCs w:val="24"/>
        </w:rPr>
        <w:t>;</w:t>
      </w:r>
      <w:r w:rsidRPr="03066021">
        <w:rPr>
          <w:i w:val="0"/>
          <w:iCs w:val="0"/>
          <w:color w:val="auto"/>
          <w:sz w:val="24"/>
          <w:szCs w:val="24"/>
        </w:rPr>
        <w:t xml:space="preserve"> (c) </w:t>
      </w:r>
      <w:r w:rsidR="002F4667" w:rsidRPr="03066021">
        <w:rPr>
          <w:i w:val="0"/>
          <w:iCs w:val="0"/>
          <w:color w:val="auto"/>
          <w:sz w:val="24"/>
          <w:szCs w:val="24"/>
        </w:rPr>
        <w:t>t</w:t>
      </w:r>
      <w:r w:rsidRPr="03066021">
        <w:rPr>
          <w:i w:val="0"/>
          <w:iCs w:val="0"/>
          <w:color w:val="auto"/>
          <w:sz w:val="24"/>
          <w:szCs w:val="24"/>
        </w:rPr>
        <w:t xml:space="preserve">he spectra of </w:t>
      </w:r>
      <w:r w:rsidR="0088509D" w:rsidRPr="03066021">
        <w:rPr>
          <w:i w:val="0"/>
          <w:iCs w:val="0"/>
          <w:color w:val="auto"/>
          <w:sz w:val="24"/>
          <w:szCs w:val="24"/>
        </w:rPr>
        <w:t>light t</w:t>
      </w:r>
      <w:r w:rsidRPr="03066021">
        <w:rPr>
          <w:i w:val="0"/>
          <w:iCs w:val="0"/>
          <w:color w:val="auto"/>
          <w:sz w:val="24"/>
          <w:szCs w:val="24"/>
        </w:rPr>
        <w:t xml:space="preserve">ransmitted </w:t>
      </w:r>
      <w:r w:rsidR="0088509D" w:rsidRPr="03066021">
        <w:rPr>
          <w:i w:val="0"/>
          <w:iCs w:val="0"/>
          <w:color w:val="auto"/>
          <w:sz w:val="24"/>
          <w:szCs w:val="24"/>
        </w:rPr>
        <w:t xml:space="preserve">through </w:t>
      </w:r>
      <w:r w:rsidR="002F4667" w:rsidRPr="03066021">
        <w:rPr>
          <w:i w:val="0"/>
          <w:iCs w:val="0"/>
          <w:color w:val="auto"/>
          <w:sz w:val="24"/>
          <w:szCs w:val="24"/>
        </w:rPr>
        <w:t>the</w:t>
      </w:r>
      <w:r w:rsidR="0088509D" w:rsidRPr="03066021">
        <w:rPr>
          <w:i w:val="0"/>
          <w:iCs w:val="0"/>
          <w:color w:val="auto"/>
          <w:sz w:val="24"/>
          <w:szCs w:val="24"/>
        </w:rPr>
        <w:t xml:space="preserve"> sample cell filled with </w:t>
      </w:r>
      <w:r w:rsidRPr="03066021">
        <w:rPr>
          <w:i w:val="0"/>
          <w:iCs w:val="0"/>
          <w:color w:val="auto"/>
          <w:sz w:val="24"/>
          <w:szCs w:val="24"/>
        </w:rPr>
        <w:t xml:space="preserve">PBS buffer and </w:t>
      </w:r>
      <w:r w:rsidR="0088509D" w:rsidRPr="03066021">
        <w:rPr>
          <w:i w:val="0"/>
          <w:iCs w:val="0"/>
          <w:color w:val="auto"/>
          <w:sz w:val="24"/>
          <w:szCs w:val="24"/>
        </w:rPr>
        <w:t xml:space="preserve">a </w:t>
      </w:r>
      <w:r w:rsidRPr="03066021">
        <w:rPr>
          <w:i w:val="0"/>
          <w:iCs w:val="0"/>
          <w:color w:val="auto"/>
          <w:sz w:val="24"/>
          <w:szCs w:val="24"/>
        </w:rPr>
        <w:t xml:space="preserve">BSA </w:t>
      </w:r>
      <w:r w:rsidR="0088509D" w:rsidRPr="03066021">
        <w:rPr>
          <w:i w:val="0"/>
          <w:iCs w:val="0"/>
          <w:color w:val="auto"/>
          <w:sz w:val="24"/>
          <w:szCs w:val="24"/>
        </w:rPr>
        <w:t>solution</w:t>
      </w:r>
      <w:r w:rsidRPr="03066021">
        <w:rPr>
          <w:i w:val="0"/>
          <w:iCs w:val="0"/>
          <w:color w:val="auto"/>
          <w:sz w:val="24"/>
          <w:szCs w:val="24"/>
        </w:rPr>
        <w:t xml:space="preserve"> </w:t>
      </w:r>
      <w:r w:rsidR="00CA5AEB" w:rsidRPr="03066021">
        <w:rPr>
          <w:i w:val="0"/>
          <w:iCs w:val="0"/>
          <w:color w:val="auto"/>
          <w:sz w:val="24"/>
          <w:szCs w:val="24"/>
        </w:rPr>
        <w:t xml:space="preserve">of 10 mg/mL </w:t>
      </w:r>
      <w:r w:rsidRPr="03066021">
        <w:rPr>
          <w:i w:val="0"/>
          <w:iCs w:val="0"/>
          <w:color w:val="auto"/>
          <w:sz w:val="24"/>
          <w:szCs w:val="24"/>
        </w:rPr>
        <w:t>in PBS</w:t>
      </w:r>
      <w:r w:rsidR="0088509D" w:rsidRPr="03066021">
        <w:rPr>
          <w:i w:val="0"/>
          <w:iCs w:val="0"/>
          <w:color w:val="auto"/>
          <w:sz w:val="24"/>
          <w:szCs w:val="24"/>
        </w:rPr>
        <w:t>;</w:t>
      </w:r>
      <w:r w:rsidRPr="03066021">
        <w:rPr>
          <w:i w:val="0"/>
          <w:iCs w:val="0"/>
          <w:color w:val="auto"/>
          <w:sz w:val="24"/>
          <w:szCs w:val="24"/>
        </w:rPr>
        <w:t xml:space="preserve"> </w:t>
      </w:r>
      <w:r w:rsidR="002F4667" w:rsidRPr="03066021">
        <w:rPr>
          <w:i w:val="0"/>
          <w:iCs w:val="0"/>
          <w:color w:val="auto"/>
          <w:sz w:val="24"/>
          <w:szCs w:val="24"/>
        </w:rPr>
        <w:t xml:space="preserve">and </w:t>
      </w:r>
      <w:r w:rsidRPr="03066021">
        <w:rPr>
          <w:i w:val="0"/>
          <w:iCs w:val="0"/>
          <w:color w:val="auto"/>
          <w:sz w:val="24"/>
          <w:szCs w:val="24"/>
        </w:rPr>
        <w:t xml:space="preserve">(d) </w:t>
      </w:r>
      <w:r w:rsidR="002F4667" w:rsidRPr="03066021">
        <w:rPr>
          <w:i w:val="0"/>
          <w:iCs w:val="0"/>
          <w:color w:val="auto"/>
          <w:sz w:val="24"/>
          <w:szCs w:val="24"/>
        </w:rPr>
        <w:t>t</w:t>
      </w:r>
      <w:r w:rsidR="0088509D" w:rsidRPr="03066021">
        <w:rPr>
          <w:i w:val="0"/>
          <w:iCs w:val="0"/>
          <w:color w:val="auto"/>
          <w:sz w:val="24"/>
          <w:szCs w:val="24"/>
        </w:rPr>
        <w:t xml:space="preserve">he </w:t>
      </w:r>
      <w:r w:rsidRPr="03066021">
        <w:rPr>
          <w:i w:val="0"/>
          <w:iCs w:val="0"/>
          <w:color w:val="auto"/>
          <w:sz w:val="24"/>
          <w:szCs w:val="24"/>
        </w:rPr>
        <w:t>absor</w:t>
      </w:r>
      <w:r w:rsidR="006D1D44" w:rsidRPr="03066021">
        <w:rPr>
          <w:i w:val="0"/>
          <w:iCs w:val="0"/>
          <w:color w:val="auto"/>
          <w:sz w:val="24"/>
          <w:szCs w:val="24"/>
        </w:rPr>
        <w:t>bance</w:t>
      </w:r>
      <w:r w:rsidRPr="03066021">
        <w:rPr>
          <w:i w:val="0"/>
          <w:iCs w:val="0"/>
          <w:color w:val="auto"/>
          <w:sz w:val="24"/>
          <w:szCs w:val="24"/>
        </w:rPr>
        <w:t xml:space="preserve"> spectrum </w:t>
      </w:r>
      <w:r w:rsidR="0088509D" w:rsidRPr="03066021">
        <w:rPr>
          <w:i w:val="0"/>
          <w:iCs w:val="0"/>
          <w:color w:val="auto"/>
          <w:sz w:val="24"/>
          <w:szCs w:val="24"/>
        </w:rPr>
        <w:t>of the BSA solution</w:t>
      </w:r>
      <w:r w:rsidRPr="03066021">
        <w:rPr>
          <w:i w:val="0"/>
          <w:iCs w:val="0"/>
          <w:color w:val="auto"/>
          <w:sz w:val="24"/>
          <w:szCs w:val="24"/>
        </w:rPr>
        <w:t xml:space="preserve">. </w:t>
      </w:r>
      <w:r w:rsidR="0088509D" w:rsidRPr="03066021">
        <w:rPr>
          <w:i w:val="0"/>
          <w:iCs w:val="0"/>
          <w:color w:val="auto"/>
          <w:sz w:val="24"/>
          <w:szCs w:val="24"/>
        </w:rPr>
        <w:t xml:space="preserve">In the </w:t>
      </w:r>
      <w:r w:rsidR="00965F83">
        <w:rPr>
          <w:i w:val="0"/>
          <w:iCs w:val="0"/>
          <w:color w:val="auto"/>
          <w:sz w:val="24"/>
          <w:szCs w:val="24"/>
        </w:rPr>
        <w:t>SAC</w:t>
      </w:r>
      <w:r w:rsidR="0088509D" w:rsidRPr="03066021">
        <w:rPr>
          <w:i w:val="0"/>
          <w:iCs w:val="0"/>
          <w:color w:val="auto"/>
          <w:sz w:val="24"/>
          <w:szCs w:val="24"/>
        </w:rPr>
        <w:t xml:space="preserve"> approach, </w:t>
      </w:r>
      <w:r w:rsidRPr="03066021">
        <w:rPr>
          <w:i w:val="0"/>
          <w:iCs w:val="0"/>
          <w:color w:val="auto"/>
          <w:sz w:val="24"/>
          <w:szCs w:val="24"/>
        </w:rPr>
        <w:t>(</w:t>
      </w:r>
      <w:r w:rsidR="0088509D" w:rsidRPr="03066021">
        <w:rPr>
          <w:i w:val="0"/>
          <w:iCs w:val="0"/>
          <w:color w:val="auto"/>
          <w:sz w:val="24"/>
          <w:szCs w:val="24"/>
        </w:rPr>
        <w:t>e</w:t>
      </w:r>
      <w:r w:rsidRPr="03066021">
        <w:rPr>
          <w:i w:val="0"/>
          <w:iCs w:val="0"/>
          <w:color w:val="auto"/>
          <w:sz w:val="24"/>
          <w:szCs w:val="24"/>
        </w:rPr>
        <w:t xml:space="preserve">) </w:t>
      </w:r>
      <w:r w:rsidR="0088509D" w:rsidRPr="03066021">
        <w:rPr>
          <w:i w:val="0"/>
          <w:iCs w:val="0"/>
          <w:color w:val="auto"/>
          <w:sz w:val="24"/>
          <w:szCs w:val="24"/>
        </w:rPr>
        <w:t>the spectrum of the adjusted incident light before the sample</w:t>
      </w:r>
      <w:r w:rsidR="002F4667" w:rsidRPr="03066021">
        <w:rPr>
          <w:i w:val="0"/>
          <w:iCs w:val="0"/>
          <w:color w:val="auto"/>
          <w:sz w:val="24"/>
          <w:szCs w:val="24"/>
        </w:rPr>
        <w:t xml:space="preserve">; (f) the spectra of light transmitted through the sample cell filled with the </w:t>
      </w:r>
      <w:r w:rsidR="00025339" w:rsidRPr="03066021">
        <w:rPr>
          <w:i w:val="0"/>
          <w:iCs w:val="0"/>
          <w:color w:val="auto"/>
          <w:sz w:val="24"/>
          <w:szCs w:val="24"/>
        </w:rPr>
        <w:t xml:space="preserve">same </w:t>
      </w:r>
      <w:r w:rsidR="002F4667" w:rsidRPr="03066021">
        <w:rPr>
          <w:i w:val="0"/>
          <w:iCs w:val="0"/>
          <w:color w:val="auto"/>
          <w:sz w:val="24"/>
          <w:szCs w:val="24"/>
        </w:rPr>
        <w:t xml:space="preserve">solvent and </w:t>
      </w:r>
      <w:r w:rsidR="00025339" w:rsidRPr="03066021">
        <w:rPr>
          <w:i w:val="0"/>
          <w:iCs w:val="0"/>
          <w:color w:val="auto"/>
          <w:sz w:val="24"/>
          <w:szCs w:val="24"/>
        </w:rPr>
        <w:t>so</w:t>
      </w:r>
      <w:r w:rsidR="002F4667" w:rsidRPr="03066021">
        <w:rPr>
          <w:i w:val="0"/>
          <w:iCs w:val="0"/>
          <w:color w:val="auto"/>
          <w:sz w:val="24"/>
          <w:szCs w:val="24"/>
        </w:rPr>
        <w:t>lution</w:t>
      </w:r>
      <w:r w:rsidR="00025339" w:rsidRPr="03066021">
        <w:rPr>
          <w:i w:val="0"/>
          <w:iCs w:val="0"/>
          <w:color w:val="auto"/>
          <w:sz w:val="24"/>
          <w:szCs w:val="24"/>
        </w:rPr>
        <w:t xml:space="preserve"> as (c)</w:t>
      </w:r>
      <w:r w:rsidR="002F4667" w:rsidRPr="03066021">
        <w:rPr>
          <w:i w:val="0"/>
          <w:iCs w:val="0"/>
          <w:color w:val="auto"/>
          <w:sz w:val="24"/>
          <w:szCs w:val="24"/>
        </w:rPr>
        <w:t xml:space="preserve">; and </w:t>
      </w:r>
      <w:r w:rsidRPr="03066021">
        <w:rPr>
          <w:i w:val="0"/>
          <w:iCs w:val="0"/>
          <w:color w:val="auto"/>
          <w:sz w:val="24"/>
          <w:szCs w:val="24"/>
        </w:rPr>
        <w:t>(</w:t>
      </w:r>
      <w:r w:rsidR="00A84470" w:rsidRPr="03066021">
        <w:rPr>
          <w:i w:val="0"/>
          <w:iCs w:val="0"/>
          <w:color w:val="auto"/>
          <w:sz w:val="24"/>
          <w:szCs w:val="24"/>
        </w:rPr>
        <w:t>g</w:t>
      </w:r>
      <w:r w:rsidRPr="03066021">
        <w:rPr>
          <w:i w:val="0"/>
          <w:iCs w:val="0"/>
          <w:color w:val="auto"/>
          <w:sz w:val="24"/>
          <w:szCs w:val="24"/>
        </w:rPr>
        <w:t xml:space="preserve">) </w:t>
      </w:r>
      <w:r w:rsidR="002F4667" w:rsidRPr="03066021">
        <w:rPr>
          <w:i w:val="0"/>
          <w:iCs w:val="0"/>
          <w:color w:val="auto"/>
          <w:sz w:val="24"/>
          <w:szCs w:val="24"/>
        </w:rPr>
        <w:t xml:space="preserve">the </w:t>
      </w:r>
      <w:r w:rsidR="00A84470" w:rsidRPr="03066021">
        <w:rPr>
          <w:i w:val="0"/>
          <w:iCs w:val="0"/>
          <w:color w:val="auto"/>
          <w:sz w:val="24"/>
          <w:szCs w:val="24"/>
        </w:rPr>
        <w:t>absorbance spectrum</w:t>
      </w:r>
      <w:r w:rsidR="008978DE" w:rsidRPr="03066021">
        <w:rPr>
          <w:i w:val="0"/>
          <w:iCs w:val="0"/>
          <w:color w:val="auto"/>
          <w:sz w:val="24"/>
          <w:szCs w:val="24"/>
        </w:rPr>
        <w:t xml:space="preserve"> of the</w:t>
      </w:r>
      <w:r w:rsidR="00A84470" w:rsidRPr="03066021">
        <w:rPr>
          <w:i w:val="0"/>
          <w:iCs w:val="0"/>
          <w:color w:val="auto"/>
          <w:sz w:val="24"/>
          <w:szCs w:val="24"/>
        </w:rPr>
        <w:t xml:space="preserve"> </w:t>
      </w:r>
      <w:r w:rsidR="008978DE" w:rsidRPr="03066021">
        <w:rPr>
          <w:i w:val="0"/>
          <w:iCs w:val="0"/>
          <w:color w:val="auto"/>
          <w:sz w:val="24"/>
          <w:szCs w:val="24"/>
        </w:rPr>
        <w:t>BSA solution from (f)</w:t>
      </w:r>
      <w:r w:rsidRPr="03066021">
        <w:rPr>
          <w:i w:val="0"/>
          <w:iCs w:val="0"/>
          <w:color w:val="auto"/>
          <w:sz w:val="24"/>
          <w:szCs w:val="24"/>
        </w:rPr>
        <w:t>.</w:t>
      </w:r>
      <w:r w:rsidR="00B1249B" w:rsidRPr="03066021">
        <w:rPr>
          <w:i w:val="0"/>
          <w:iCs w:val="0"/>
          <w:color w:val="auto"/>
          <w:sz w:val="24"/>
          <w:szCs w:val="24"/>
        </w:rPr>
        <w:t xml:space="preserve"> </w:t>
      </w:r>
      <w:r w:rsidR="00630697" w:rsidRPr="03066021">
        <w:rPr>
          <w:i w:val="0"/>
          <w:iCs w:val="0"/>
          <w:color w:val="auto"/>
          <w:sz w:val="24"/>
          <w:szCs w:val="24"/>
        </w:rPr>
        <w:t>T</w:t>
      </w:r>
      <w:r w:rsidR="00B1249B" w:rsidRPr="03066021">
        <w:rPr>
          <w:i w:val="0"/>
          <w:iCs w:val="0"/>
          <w:color w:val="auto"/>
          <w:sz w:val="24"/>
          <w:szCs w:val="24"/>
        </w:rPr>
        <w:t xml:space="preserve">he laser and the detection configuration are optimized to </w:t>
      </w:r>
      <w:r w:rsidR="00630697" w:rsidRPr="03066021">
        <w:rPr>
          <w:i w:val="0"/>
          <w:iCs w:val="0"/>
          <w:color w:val="auto"/>
          <w:sz w:val="24"/>
          <w:szCs w:val="24"/>
        </w:rPr>
        <w:t xml:space="preserve">(f), and </w:t>
      </w:r>
      <w:r w:rsidR="001A1C24" w:rsidRPr="03066021">
        <w:rPr>
          <w:i w:val="0"/>
          <w:iCs w:val="0"/>
          <w:color w:val="auto"/>
          <w:sz w:val="24"/>
          <w:szCs w:val="24"/>
        </w:rPr>
        <w:t xml:space="preserve">a neutral density filter </w:t>
      </w:r>
      <w:r w:rsidR="00254101">
        <w:rPr>
          <w:i w:val="0"/>
          <w:iCs w:val="0"/>
          <w:color w:val="auto"/>
          <w:sz w:val="24"/>
          <w:szCs w:val="24"/>
        </w:rPr>
        <w:t>(optical density = 3)</w:t>
      </w:r>
      <w:r w:rsidR="006265A2" w:rsidRPr="03066021">
        <w:rPr>
          <w:i w:val="0"/>
          <w:iCs w:val="0"/>
          <w:color w:val="auto"/>
          <w:sz w:val="24"/>
          <w:szCs w:val="24"/>
        </w:rPr>
        <w:t xml:space="preserve"> </w:t>
      </w:r>
      <w:r w:rsidR="005976DE" w:rsidRPr="03066021">
        <w:rPr>
          <w:i w:val="0"/>
          <w:iCs w:val="0"/>
          <w:color w:val="auto"/>
          <w:sz w:val="24"/>
          <w:szCs w:val="24"/>
        </w:rPr>
        <w:t xml:space="preserve">is used </w:t>
      </w:r>
      <w:r w:rsidR="00630697" w:rsidRPr="03066021">
        <w:rPr>
          <w:i w:val="0"/>
          <w:iCs w:val="0"/>
          <w:color w:val="auto"/>
          <w:sz w:val="24"/>
          <w:szCs w:val="24"/>
        </w:rPr>
        <w:t xml:space="preserve">for the </w:t>
      </w:r>
      <w:r w:rsidR="001A1C24" w:rsidRPr="03066021">
        <w:rPr>
          <w:i w:val="0"/>
          <w:iCs w:val="0"/>
          <w:color w:val="auto"/>
          <w:sz w:val="24"/>
          <w:szCs w:val="24"/>
        </w:rPr>
        <w:t>measurement of (b</w:t>
      </w:r>
      <w:r w:rsidR="003732EA">
        <w:rPr>
          <w:i w:val="0"/>
          <w:iCs w:val="0"/>
          <w:color w:val="auto"/>
          <w:sz w:val="24"/>
          <w:szCs w:val="24"/>
        </w:rPr>
        <w:t>)</w:t>
      </w:r>
      <w:r w:rsidR="001A1C24" w:rsidRPr="03066021">
        <w:rPr>
          <w:i w:val="0"/>
          <w:iCs w:val="0"/>
          <w:color w:val="auto"/>
          <w:sz w:val="24"/>
          <w:szCs w:val="24"/>
        </w:rPr>
        <w:t>,</w:t>
      </w:r>
      <w:r w:rsidR="003732EA">
        <w:rPr>
          <w:i w:val="0"/>
          <w:iCs w:val="0"/>
          <w:color w:val="auto"/>
          <w:sz w:val="24"/>
          <w:szCs w:val="24"/>
        </w:rPr>
        <w:t xml:space="preserve"> (</w:t>
      </w:r>
      <w:r w:rsidR="001A1C24" w:rsidRPr="03066021">
        <w:rPr>
          <w:i w:val="0"/>
          <w:iCs w:val="0"/>
          <w:color w:val="auto"/>
          <w:sz w:val="24"/>
          <w:szCs w:val="24"/>
        </w:rPr>
        <w:t>c</w:t>
      </w:r>
      <w:r w:rsidR="003732EA">
        <w:rPr>
          <w:i w:val="0"/>
          <w:iCs w:val="0"/>
          <w:color w:val="auto"/>
          <w:sz w:val="24"/>
          <w:szCs w:val="24"/>
        </w:rPr>
        <w:t>)</w:t>
      </w:r>
      <w:r w:rsidR="001A1C24" w:rsidRPr="03066021">
        <w:rPr>
          <w:i w:val="0"/>
          <w:iCs w:val="0"/>
          <w:color w:val="auto"/>
          <w:sz w:val="24"/>
          <w:szCs w:val="24"/>
        </w:rPr>
        <w:t>,</w:t>
      </w:r>
      <w:r w:rsidR="005976DE" w:rsidRPr="03066021">
        <w:rPr>
          <w:i w:val="0"/>
          <w:iCs w:val="0"/>
          <w:color w:val="auto"/>
          <w:sz w:val="24"/>
          <w:szCs w:val="24"/>
        </w:rPr>
        <w:t xml:space="preserve"> and </w:t>
      </w:r>
      <w:r w:rsidR="003732EA">
        <w:rPr>
          <w:i w:val="0"/>
          <w:iCs w:val="0"/>
          <w:color w:val="auto"/>
          <w:sz w:val="24"/>
          <w:szCs w:val="24"/>
        </w:rPr>
        <w:t>(</w:t>
      </w:r>
      <w:r w:rsidR="001A1C24" w:rsidRPr="03066021">
        <w:rPr>
          <w:i w:val="0"/>
          <w:iCs w:val="0"/>
          <w:color w:val="auto"/>
          <w:sz w:val="24"/>
          <w:szCs w:val="24"/>
        </w:rPr>
        <w:t>e)</w:t>
      </w:r>
      <w:r w:rsidR="005976DE" w:rsidRPr="03066021">
        <w:rPr>
          <w:i w:val="0"/>
          <w:iCs w:val="0"/>
          <w:color w:val="auto"/>
          <w:sz w:val="24"/>
          <w:szCs w:val="24"/>
        </w:rPr>
        <w:t>.</w:t>
      </w:r>
      <w:r w:rsidR="00630697" w:rsidRPr="03066021">
        <w:rPr>
          <w:i w:val="0"/>
          <w:iCs w:val="0"/>
          <w:color w:val="auto"/>
          <w:sz w:val="24"/>
          <w:szCs w:val="24"/>
        </w:rPr>
        <w:t xml:space="preserve"> </w:t>
      </w:r>
      <w:r w:rsidR="002204BF">
        <w:rPr>
          <w:i w:val="0"/>
          <w:iCs w:val="0"/>
          <w:color w:val="auto"/>
          <w:sz w:val="24"/>
          <w:szCs w:val="24"/>
        </w:rPr>
        <w:t>The path</w:t>
      </w:r>
      <w:r w:rsidR="00763064">
        <w:rPr>
          <w:i w:val="0"/>
          <w:iCs w:val="0"/>
          <w:color w:val="auto"/>
          <w:sz w:val="24"/>
          <w:szCs w:val="24"/>
        </w:rPr>
        <w:t xml:space="preserve"> length is 26 </w:t>
      </w:r>
      <w:r w:rsidR="00763064" w:rsidRPr="006B759D">
        <w:rPr>
          <w:rFonts w:ascii="Symbol" w:hAnsi="Symbol"/>
          <w:i w:val="0"/>
          <w:iCs w:val="0"/>
          <w:color w:val="auto"/>
          <w:sz w:val="24"/>
          <w:szCs w:val="24"/>
        </w:rPr>
        <w:t>m</w:t>
      </w:r>
      <w:r w:rsidR="00763064">
        <w:rPr>
          <w:i w:val="0"/>
          <w:iCs w:val="0"/>
          <w:color w:val="auto"/>
          <w:sz w:val="24"/>
          <w:szCs w:val="24"/>
        </w:rPr>
        <w:t xml:space="preserve">m for both the sample </w:t>
      </w:r>
      <w:r w:rsidR="00446C68">
        <w:rPr>
          <w:i w:val="0"/>
          <w:iCs w:val="0"/>
          <w:color w:val="auto"/>
          <w:sz w:val="24"/>
          <w:szCs w:val="24"/>
        </w:rPr>
        <w:t xml:space="preserve">cell </w:t>
      </w:r>
      <w:r w:rsidR="00763064">
        <w:rPr>
          <w:i w:val="0"/>
          <w:iCs w:val="0"/>
          <w:color w:val="auto"/>
          <w:sz w:val="24"/>
          <w:szCs w:val="24"/>
        </w:rPr>
        <w:t xml:space="preserve">and the reference cell. </w:t>
      </w:r>
      <w:r w:rsidR="002F4667" w:rsidRPr="03066021">
        <w:rPr>
          <w:i w:val="0"/>
          <w:iCs w:val="0"/>
          <w:color w:val="auto"/>
          <w:sz w:val="24"/>
          <w:szCs w:val="24"/>
        </w:rPr>
        <w:t xml:space="preserve">The acquisition time </w:t>
      </w:r>
      <w:r w:rsidR="00FC7D39" w:rsidRPr="03066021">
        <w:rPr>
          <w:i w:val="0"/>
          <w:iCs w:val="0"/>
          <w:color w:val="auto"/>
          <w:sz w:val="24"/>
          <w:szCs w:val="24"/>
        </w:rPr>
        <w:t xml:space="preserve">is 3.3 min </w:t>
      </w:r>
      <w:r w:rsidR="009A69DF" w:rsidRPr="03066021">
        <w:rPr>
          <w:i w:val="0"/>
          <w:iCs w:val="0"/>
          <w:color w:val="auto"/>
          <w:sz w:val="24"/>
          <w:szCs w:val="24"/>
        </w:rPr>
        <w:t xml:space="preserve">for </w:t>
      </w:r>
      <w:r w:rsidR="00FC7D39" w:rsidRPr="03066021">
        <w:rPr>
          <w:i w:val="0"/>
          <w:iCs w:val="0"/>
          <w:color w:val="auto"/>
          <w:sz w:val="24"/>
          <w:szCs w:val="24"/>
        </w:rPr>
        <w:t>each</w:t>
      </w:r>
      <w:r w:rsidR="009A69DF" w:rsidRPr="03066021">
        <w:rPr>
          <w:i w:val="0"/>
          <w:iCs w:val="0"/>
          <w:color w:val="auto"/>
          <w:sz w:val="24"/>
          <w:szCs w:val="24"/>
        </w:rPr>
        <w:t xml:space="preserve"> spectrum </w:t>
      </w:r>
      <w:r w:rsidR="00BA4358" w:rsidRPr="03066021">
        <w:rPr>
          <w:i w:val="0"/>
          <w:iCs w:val="0"/>
          <w:color w:val="auto"/>
          <w:sz w:val="24"/>
          <w:szCs w:val="24"/>
        </w:rPr>
        <w:t>over</w:t>
      </w:r>
      <w:r w:rsidR="009A69DF" w:rsidRPr="03066021">
        <w:rPr>
          <w:i w:val="0"/>
          <w:iCs w:val="0"/>
          <w:color w:val="auto"/>
          <w:sz w:val="24"/>
          <w:szCs w:val="24"/>
        </w:rPr>
        <w:t xml:space="preserve"> </w:t>
      </w:r>
      <w:r w:rsidR="00F17E2F">
        <w:rPr>
          <w:i w:val="0"/>
          <w:iCs w:val="0"/>
          <w:color w:val="auto"/>
          <w:sz w:val="24"/>
          <w:szCs w:val="24"/>
        </w:rPr>
        <w:t>4</w:t>
      </w:r>
      <w:r w:rsidR="009A69DF" w:rsidRPr="03066021">
        <w:rPr>
          <w:i w:val="0"/>
          <w:iCs w:val="0"/>
          <w:color w:val="auto"/>
          <w:sz w:val="24"/>
          <w:szCs w:val="24"/>
        </w:rPr>
        <w:t xml:space="preserve">00 </w:t>
      </w:r>
      <w:r w:rsidR="00F17E2F" w:rsidRPr="03066021">
        <w:rPr>
          <w:i w:val="0"/>
          <w:iCs w:val="0"/>
          <w:color w:val="auto"/>
          <w:sz w:val="24"/>
          <w:szCs w:val="24"/>
        </w:rPr>
        <w:t>cm</w:t>
      </w:r>
      <w:r w:rsidR="00F17E2F" w:rsidRPr="03066021">
        <w:rPr>
          <w:i w:val="0"/>
          <w:iCs w:val="0"/>
          <w:color w:val="auto"/>
          <w:sz w:val="24"/>
          <w:szCs w:val="24"/>
          <w:vertAlign w:val="superscript"/>
        </w:rPr>
        <w:t>-1</w:t>
      </w:r>
      <w:r w:rsidR="00F17E2F" w:rsidRPr="03066021">
        <w:rPr>
          <w:i w:val="0"/>
          <w:iCs w:val="0"/>
          <w:color w:val="auto"/>
          <w:sz w:val="24"/>
          <w:szCs w:val="24"/>
        </w:rPr>
        <w:t xml:space="preserve"> </w:t>
      </w:r>
      <w:r w:rsidR="00BA4358" w:rsidRPr="03066021">
        <w:rPr>
          <w:i w:val="0"/>
          <w:iCs w:val="0"/>
          <w:color w:val="auto"/>
          <w:sz w:val="24"/>
          <w:szCs w:val="24"/>
        </w:rPr>
        <w:t xml:space="preserve">with </w:t>
      </w:r>
      <w:r w:rsidR="00482B08" w:rsidRPr="03066021">
        <w:rPr>
          <w:i w:val="0"/>
          <w:iCs w:val="0"/>
          <w:color w:val="auto"/>
          <w:sz w:val="24"/>
          <w:szCs w:val="24"/>
        </w:rPr>
        <w:t xml:space="preserve">a </w:t>
      </w:r>
      <w:r w:rsidR="00FC7D39" w:rsidRPr="03066021">
        <w:rPr>
          <w:i w:val="0"/>
          <w:iCs w:val="0"/>
          <w:color w:val="auto"/>
          <w:sz w:val="24"/>
          <w:szCs w:val="24"/>
        </w:rPr>
        <w:t>2 cm</w:t>
      </w:r>
      <w:r w:rsidR="00FC7D39" w:rsidRPr="03066021">
        <w:rPr>
          <w:i w:val="0"/>
          <w:iCs w:val="0"/>
          <w:color w:val="auto"/>
          <w:sz w:val="24"/>
          <w:szCs w:val="24"/>
          <w:vertAlign w:val="superscript"/>
        </w:rPr>
        <w:t>-1</w:t>
      </w:r>
      <w:r w:rsidR="00FC7D39" w:rsidRPr="03066021">
        <w:rPr>
          <w:i w:val="0"/>
          <w:iCs w:val="0"/>
          <w:color w:val="auto"/>
          <w:sz w:val="24"/>
          <w:szCs w:val="24"/>
        </w:rPr>
        <w:t xml:space="preserve"> increment</w:t>
      </w:r>
      <w:r w:rsidR="009A69DF" w:rsidRPr="03066021">
        <w:rPr>
          <w:i w:val="0"/>
          <w:iCs w:val="0"/>
          <w:color w:val="auto"/>
          <w:sz w:val="24"/>
          <w:szCs w:val="24"/>
        </w:rPr>
        <w:t>.</w:t>
      </w:r>
    </w:p>
    <w:p w14:paraId="6CFB27F2" w14:textId="77777777" w:rsidR="00D71B15" w:rsidRPr="00DE78AD" w:rsidRDefault="00D71B15" w:rsidP="00DE78AD"/>
    <w:p w14:paraId="00880C27" w14:textId="2C618E58" w:rsidR="00AA07BF" w:rsidRPr="00A64CE4" w:rsidRDefault="00C80ABA" w:rsidP="03066021">
      <w:pPr>
        <w:pStyle w:val="TAMainText"/>
        <w:rPr>
          <w:b/>
          <w:bCs/>
        </w:rPr>
      </w:pPr>
      <w:bookmarkStart w:id="15" w:name="_Hlk51171184"/>
      <w:r w:rsidRPr="03066021">
        <w:rPr>
          <w:b/>
          <w:bCs/>
        </w:rPr>
        <w:t xml:space="preserve">Improved </w:t>
      </w:r>
      <w:r w:rsidR="00345092">
        <w:rPr>
          <w:b/>
          <w:bCs/>
        </w:rPr>
        <w:t>sensi</w:t>
      </w:r>
      <w:r w:rsidR="00B133A5">
        <w:rPr>
          <w:b/>
          <w:bCs/>
        </w:rPr>
        <w:t>tivity</w:t>
      </w:r>
      <w:r w:rsidR="00AA07BF" w:rsidRPr="03066021">
        <w:rPr>
          <w:b/>
          <w:bCs/>
        </w:rPr>
        <w:t xml:space="preserve"> </w:t>
      </w:r>
      <w:r w:rsidR="00BE44F1">
        <w:rPr>
          <w:b/>
          <w:bCs/>
        </w:rPr>
        <w:t>for protein in aqueous solutions</w:t>
      </w:r>
    </w:p>
    <w:p w14:paraId="347AA508" w14:textId="59B0E69F" w:rsidR="00AA07BF" w:rsidRPr="00695DA8" w:rsidRDefault="00EE6863" w:rsidP="00AA07BF">
      <w:pPr>
        <w:pStyle w:val="TAMainText"/>
        <w:rPr>
          <w:b/>
          <w:bCs/>
        </w:rPr>
      </w:pPr>
      <w:r>
        <w:t>Figures</w:t>
      </w:r>
      <w:r w:rsidR="00AA07BF">
        <w:t xml:space="preserve"> 2a and 2b show </w:t>
      </w:r>
      <w:r w:rsidR="00613AA8">
        <w:t>S</w:t>
      </w:r>
      <w:r w:rsidR="00345092">
        <w:t>A</w:t>
      </w:r>
      <w:r w:rsidR="00613AA8">
        <w:t>C</w:t>
      </w:r>
      <w:r w:rsidR="00AA07BF">
        <w:t>-</w:t>
      </w:r>
      <w:r w:rsidR="00613AA8">
        <w:t xml:space="preserve">IR </w:t>
      </w:r>
      <w:r w:rsidR="00AA07BF">
        <w:t xml:space="preserve">absorption spectra </w:t>
      </w:r>
      <w:r w:rsidR="009261DB">
        <w:t>of</w:t>
      </w:r>
      <w:r w:rsidR="00AA07BF">
        <w:t xml:space="preserve"> BSA solutions at ten different concentrations</w:t>
      </w:r>
      <w:r w:rsidR="009261DB">
        <w:t>, spanning</w:t>
      </w:r>
      <w:r w:rsidR="00AA07BF">
        <w:t xml:space="preserve"> three orders of magnitude from 100 mg/mL to 0.1 mg/mL. The presented absorption spectra are directly calculated from the measured transmitted spectra of the PBS buffer and the BSA solutions </w:t>
      </w:r>
      <w:r w:rsidR="00AA07BF" w:rsidRPr="0059376D">
        <w:rPr>
          <w:i/>
          <w:iCs/>
        </w:rPr>
        <w:t>without any post-processing methods</w:t>
      </w:r>
      <w:r w:rsidR="00AA07BF">
        <w:t xml:space="preserve">, such as baseline-detrending, filtering, and smoothing, which are </w:t>
      </w:r>
      <w:r w:rsidR="00FC570C">
        <w:t>often implemented</w:t>
      </w:r>
      <w:r w:rsidR="00AA07BF">
        <w:t xml:space="preserve"> for both FT-IR measurements</w:t>
      </w:r>
      <w:r w:rsidR="00096D6A" w:rsidRPr="006B759D">
        <w:fldChar w:fldCharType="begin" w:fldLock="1"/>
      </w:r>
      <w:r w:rsidR="00CB7374">
        <w:instrText>ADDIN CSL_CITATION {"citationItems":[{"id":"ITEM-1","itemData":{"DOI":"10.1038/nprot.2015.024","ISSN":"17502799","abstract":"Fourier transform IR (FTIR) spectroscopy is a nondestructive technique for structural characterization of proteins and polypeptides. The IR spectral data of polymers are usually interpreted in terms of the vibrations of a structural repeat. The repeat units in proteins give rise to nine characteristic IR absorption bands (amides A, B and I-VII). Amide I bands (1,700-1,600 cm -1) are the most prominent and sensitive vibrational bands of the protein backbone, and they relate to protein secondary structural components. In this protocol, we have detailed the principles that underlie the determination of protein secondary structure by FTIR spectroscopy, as well as the basic steps involved in protein sample preparation, instrument operation, FTIR spectra collection and spectra analysis in order to estimate protein secondary-structural components in aqueous (both H 2 O and deuterium oxide (D 2 O)) solution using algorithms, such as second-derivative, deconvolution and curve fitting. Small amounts of high-purity (&gt;95%) proteins at high concentrations (&gt;3 mg ml -1) are needed in this protocol; typically, the procedure can be completed in 1-2 d.","author":[{"dropping-particle":"","family":"Yang","given":"Huayan","non-dropping-particle":"","parse-names":false,"suffix":""},{"dropping-particle":"","family":"Yang","given":"Shouning","non-dropping-particle":"","parse-names":false,"suffix":""},{"dropping-particle":"","family":"Kong","given":"Jilie","non-dropping-particle":"","parse-names":false,"suffix":""},{"dropping-particle":"","family":"Dong","given":"Aichun","non-dropping-particle":"","parse-names":false,"suffix":""},{"dropping-particle":"","family":"Yu","given":"Shaoning","non-dropping-particle":"","parse-names":false,"suffix":""}],"container-title":"Nature Protocols","id":"ITEM-1","issue":"3","issued":{"date-parts":[["2015","3","2"]]},"page":"382-396","publisher":"Nature Publishing Group","title":"Obtaining information about protein secondary structures in aqueous solution using Fourier transform IR spectroscopy","type":"article-journal","volume":"10"},"uris":["http://www.mendeley.com/documents/?uuid=0d525243-eee6-4c2f-805f-4be28cb6393d"]}],"mendeley":{"formattedCitation":"&lt;sup&gt;3&lt;/sup&gt;","plainTextFormattedCitation":"3","previouslyFormattedCitation":"&lt;sup&gt;3&lt;/sup&gt;"},"properties":{"noteIndex":0},"schema":"https://github.com/citation-style-language/schema/raw/master/csl-citation.json"}</w:instrText>
      </w:r>
      <w:r w:rsidR="00096D6A" w:rsidRPr="006B759D">
        <w:fldChar w:fldCharType="separate"/>
      </w:r>
      <w:r w:rsidR="00CB7374" w:rsidRPr="00CB7374">
        <w:rPr>
          <w:noProof/>
          <w:vertAlign w:val="superscript"/>
        </w:rPr>
        <w:t>3</w:t>
      </w:r>
      <w:r w:rsidR="00096D6A" w:rsidRPr="006B759D">
        <w:fldChar w:fldCharType="end"/>
      </w:r>
      <w:r w:rsidR="00AA07BF">
        <w:t xml:space="preserve"> and QCL-IR measurements</w:t>
      </w:r>
      <w:r w:rsidR="00203168">
        <w:t>.</w:t>
      </w:r>
      <w:r w:rsidR="00AA07BF" w:rsidRPr="00873831">
        <w:fldChar w:fldCharType="begin" w:fldLock="1"/>
      </w:r>
      <w:r w:rsidR="00CB7374">
        <w:instrText>ADDIN CSL_CITATION {"citationItems":[{"id":"ITEM-1","itemData":{"DOI":"10.1038/srep33556","ISSN":"2045-2322","abstract":"Fourier transform infrared (FTIR) and circular dichroism (CD) spectroscopy are analytical techniques employed for the analysis of protein secondary structure. The use of CD spectroscopy is limited to low protein concentrations (&lt;2 mg ml−1), while FTIR spectroscopy is commonly used in a higher concentration range (&gt;5 mg ml−1). Here we introduce a quantum cascade laser (QCL)-based IR transmission setup for analysis of protein and polypeptide secondary structure at concentrations as low as 0.25 mg ml−1 in deuterated buffer solution. We present dynamic QCL-IR spectra of the temperature-induced α-helix to β-sheet transition of poly-L-lysine. The concentration dependence of the α-β transition temperature between 0.25 and 10 mg ml−1 was investigated by QCL-IR, FTIR and CD spectroscopy. By using QCL-IR spectroscopy it is possible to perform IR spectroscopic analysis in the same concentration range as CD spectroscopy, thus enabling a combined analysis of biomolecules secondary structure by CD and IR spectroscopy.","author":[{"dropping-particle":"","family":"Schwaighofer","given":"Andreas","non-dropping-particle":"","parse-names":false,"suffix":""},{"dropping-particle":"","family":"Alcaráz","given":"Mirta R.","non-dropping-particle":"","parse-names":false,"suffix":""},{"dropping-particle":"","family":"Araman","given":"Can","non-dropping-particle":"","parse-names":false,"suffix":""},{"dropping-particle":"","family":"Goicoechea","given":"Héctor","non-dropping-particle":"","parse-names":false,"suffix":""},{"dropping-particle":"","family":"Lendl","given":"Bernhard","non-dropping-particle":"","parse-names":false,"suffix":""}],"container-title":"Scientific Reports","id":"ITEM-1","issue":"April","issued":{"date-parts":[["2016"]]},"page":"33556","publisher":"Nature Publishing Group","title":"External cavity-quantum cascade laser infrared spectroscopy for secondary structure analysis of proteins at low concentrations","type":"article-journal","volume":"6"},"uris":["http://www.mendeley.com/documents/?uuid=773c4263-d0f8-4d9c-ac25-281f642282e3"]},{"id":"ITEM-2","itemData":{"DOI":"10.1021/acs.analchem.0c01406","ISSN":"0003-2700","abstract":"We report a mid-IR transmission setup for the analysis of the protein amide I and amide II band in aqueous solutions that achieves a limit of detection as low as 0.0025 mg mL−1 (outperforming our previous results and other state-of-the-art mid-IR-based techniques by almost an order of magnitude). This large improvement is made possible by combining the latest- generation external cavity-quantum cascade laser (EC-QCL) operated at room temperature with an optimized double-beam optical setup that adjusts the path length (26 μm) to ensure robust sample handling. For minimizing the noise introduced by the high- intensity laser light source, a thermoelectrically cooled mercury cadmium telluride balanced detection module was employed. In this way, noise levels better by a factor of up to 20 were achieved compared with single-channel measurements. Characteristic spectral features of proteins with different secondary structures were successfully identified at concentrations as low as 0.1 mg mL−1. Furthermore, a highly linear response was demonstrated for concentrations between 0.05 and 10 mg mL−1. The total acquisition time of the setup can be adapted to fulfill the required sensitivity of the protein measurements and to ensure maximum flexibility for future applications. The presented setup combines high sensitivity, large optical path lengths, and short measurement times and thus outperforms previous research type EC-QCL setups as well as commercially available instruments. This opens a wide range of future applications including protein−ligand interaction studies as well as qualitative and quantitative analyses of proteins in complex matrices such as those found in up- and downstream bioprocess monitoring and similar challenging applications which can not be readily met by conventional FT-IR spectroscopy.","author":[{"dropping-particle":"","family":"Akhgar","given":"Christopher K","non-dropping-particle":"","parse-names":false,"suffix":""},{"dropping-particle":"","family":"Ramer","given":"Georg","non-dropping-particle":"","parse-names":false,"suffix":""},{"dropping-particle":"","family":"Żbik","given":"Mateusz","non-dropping-particle":"","parse-names":false,"suffix":""},{"dropping-particle":"","family":"Trajnerowicz","given":"Artur","non-dropping-particle":"","parse-names":false,"suffix":""},{"dropping-particle":"","family":"Pawluczyk","given":"Jarosław","non-dropping-particle":"","parse-names":false,"suffix":""},{"dropping-particle":"","family":"Schwaighofer","given":"Andreas","non-dropping-particle":"","parse-names":false,"suffix":""},{"dropping-particle":"","family":"Lendl","given":"Bernhard","non-dropping-particle":"","parse-names":false,"suffix":""}],"container-title":"Analytical Chemistry","id":"ITEM-2","issue":"14","issued":{"date-parts":[["2020"]]},"page":"9901-9907","title":"The Next Generation of IR Spectroscopy: EC-QCL-Based Mid-IR Transmission Spectroscopy of Proteins with Balanced Detection","type":"article-journal","volume":"92"},"uris":["http://www.mendeley.com/documents/?uuid=6c56e2e5-67d0-417a-83a3-87f88922eefb"]}],"mendeley":{"formattedCitation":"&lt;sup&gt;12,17&lt;/sup&gt;","plainTextFormattedCitation":"12,17","previouslyFormattedCitation":"&lt;sup&gt;12,17&lt;/sup&gt;"},"properties":{"noteIndex":0},"schema":"https://github.com/citation-style-language/schema/raw/master/csl-citation.json"}</w:instrText>
      </w:r>
      <w:r w:rsidR="00AA07BF" w:rsidRPr="00873831">
        <w:fldChar w:fldCharType="separate"/>
      </w:r>
      <w:r w:rsidR="00CB7374" w:rsidRPr="00CB7374">
        <w:rPr>
          <w:noProof/>
          <w:vertAlign w:val="superscript"/>
        </w:rPr>
        <w:t>12,17</w:t>
      </w:r>
      <w:r w:rsidR="00AA07BF" w:rsidRPr="00873831">
        <w:fldChar w:fldCharType="end"/>
      </w:r>
      <w:r w:rsidR="00FC570C">
        <w:t xml:space="preserve"> </w:t>
      </w:r>
      <w:r>
        <w:t>Figure</w:t>
      </w:r>
      <w:r w:rsidR="00F16AFB">
        <w:t xml:space="preserve"> 5</w:t>
      </w:r>
      <w:r w:rsidR="00F639C1">
        <w:t>c</w:t>
      </w:r>
      <w:r w:rsidR="00F16AFB">
        <w:t xml:space="preserve"> </w:t>
      </w:r>
      <w:r w:rsidR="006F3683">
        <w:t>shows the molar absorption coefficient (</w:t>
      </w:r>
      <w:r w:rsidR="006F3683" w:rsidRPr="009B4415">
        <w:rPr>
          <w:rFonts w:ascii="Symbol" w:hAnsi="Symbol"/>
          <w:i/>
          <w:iCs/>
        </w:rPr>
        <w:t></w:t>
      </w:r>
      <w:r w:rsidR="006F3683">
        <w:t xml:space="preserve">) spectra, which is calculated by the Beer–Lambert law, </w:t>
      </w:r>
      <w:r w:rsidR="006F3683" w:rsidRPr="0059376D">
        <w:rPr>
          <w:rFonts w:ascii="Symbol" w:hAnsi="Symbol"/>
          <w:i/>
          <w:iCs/>
        </w:rPr>
        <w:t></w:t>
      </w:r>
      <w:r w:rsidR="006F3683">
        <w:t xml:space="preserve"> = </w:t>
      </w:r>
      <w:r w:rsidR="006F3683" w:rsidRPr="0059376D">
        <w:rPr>
          <w:i/>
          <w:iCs/>
        </w:rPr>
        <w:t>A</w:t>
      </w:r>
      <w:r w:rsidR="006F3683">
        <w:t>/</w:t>
      </w:r>
      <w:r w:rsidR="006F3683" w:rsidRPr="0059376D">
        <w:rPr>
          <w:i/>
          <w:iCs/>
        </w:rPr>
        <w:t>cL</w:t>
      </w:r>
      <w:r w:rsidR="006F3683">
        <w:t xml:space="preserve">, where </w:t>
      </w:r>
      <w:r w:rsidR="006F3683" w:rsidRPr="007731D8">
        <w:rPr>
          <w:i/>
          <w:iCs/>
        </w:rPr>
        <w:t>A</w:t>
      </w:r>
      <w:r w:rsidR="006F3683">
        <w:t xml:space="preserve">, </w:t>
      </w:r>
      <w:r w:rsidR="006F3683" w:rsidRPr="0059376D">
        <w:rPr>
          <w:i/>
          <w:iCs/>
        </w:rPr>
        <w:t>c</w:t>
      </w:r>
      <w:r w:rsidR="006F3683">
        <w:t xml:space="preserve">, and </w:t>
      </w:r>
      <w:r w:rsidR="006F3683" w:rsidRPr="0059376D">
        <w:rPr>
          <w:i/>
          <w:iCs/>
        </w:rPr>
        <w:t>L</w:t>
      </w:r>
      <w:r w:rsidR="006F3683">
        <w:t xml:space="preserve"> are absorbance, concentration, and </w:t>
      </w:r>
      <w:r w:rsidR="006F3683" w:rsidRPr="0000383A">
        <w:t>path</w:t>
      </w:r>
      <w:r w:rsidR="006F3683">
        <w:t xml:space="preserve"> </w:t>
      </w:r>
      <w:r w:rsidR="006F3683" w:rsidRPr="0000383A">
        <w:t>length</w:t>
      </w:r>
      <w:r w:rsidR="006F3683">
        <w:t xml:space="preserve">, respectively. </w:t>
      </w:r>
      <w:r w:rsidR="00B73018">
        <w:t xml:space="preserve">The </w:t>
      </w:r>
      <w:r w:rsidR="00F16303">
        <w:t xml:space="preserve">overlapping </w:t>
      </w:r>
      <w:r w:rsidR="00F16303" w:rsidRPr="009B4415">
        <w:rPr>
          <w:rFonts w:ascii="Symbol" w:hAnsi="Symbol"/>
          <w:i/>
          <w:iCs/>
        </w:rPr>
        <w:t></w:t>
      </w:r>
      <w:r w:rsidR="00F16303">
        <w:t xml:space="preserve"> </w:t>
      </w:r>
      <w:r w:rsidR="00633B65">
        <w:t xml:space="preserve">of </w:t>
      </w:r>
      <w:r w:rsidR="00F123F1">
        <w:t>different solutions confirms</w:t>
      </w:r>
      <w:r w:rsidR="00F16303">
        <w:t xml:space="preserve"> </w:t>
      </w:r>
      <w:r w:rsidR="00F123F1">
        <w:t>t</w:t>
      </w:r>
      <w:r w:rsidR="00E31121">
        <w:t xml:space="preserve">he </w:t>
      </w:r>
      <w:r w:rsidR="007F112B">
        <w:t xml:space="preserve">absorbance </w:t>
      </w:r>
      <w:r w:rsidR="00E31121">
        <w:t xml:space="preserve">linearity </w:t>
      </w:r>
      <w:r w:rsidR="007F112B">
        <w:t>in</w:t>
      </w:r>
      <w:r w:rsidR="006D138F">
        <w:t xml:space="preserve"> the</w:t>
      </w:r>
      <w:r w:rsidR="00F123F1">
        <w:t xml:space="preserve"> </w:t>
      </w:r>
      <w:r w:rsidR="00851163">
        <w:t xml:space="preserve">wide </w:t>
      </w:r>
      <w:r w:rsidR="006D138F">
        <w:t>concentration range</w:t>
      </w:r>
      <w:r w:rsidR="00AA07BF">
        <w:t xml:space="preserve">. </w:t>
      </w:r>
      <w:r w:rsidR="00F639C1">
        <w:t xml:space="preserve">In </w:t>
      </w:r>
      <w:r>
        <w:t>Figure</w:t>
      </w:r>
      <w:r w:rsidR="00F639C1">
        <w:t xml:space="preserve"> 2d, the absorbance values measured at two different frequencies show good linearity to concentration in both linear–linear and log–log plots. </w:t>
      </w:r>
      <w:r w:rsidR="000A7436">
        <w:t xml:space="preserve">The observed linearity </w:t>
      </w:r>
      <w:r w:rsidR="00AA07BF">
        <w:t xml:space="preserve">demonstrates </w:t>
      </w:r>
      <w:r w:rsidR="00442EF8">
        <w:t xml:space="preserve">the </w:t>
      </w:r>
      <w:r w:rsidR="001E130B">
        <w:t xml:space="preserve">robustness of </w:t>
      </w:r>
      <w:r w:rsidR="00AA07BF">
        <w:t>th</w:t>
      </w:r>
      <w:r w:rsidR="001E130B">
        <w:t xml:space="preserve">is </w:t>
      </w:r>
      <w:r w:rsidR="007D222E">
        <w:t>SAC</w:t>
      </w:r>
      <w:r w:rsidR="001E130B">
        <w:t>-IR</w:t>
      </w:r>
      <w:r w:rsidR="00AA07BF">
        <w:t xml:space="preserve"> </w:t>
      </w:r>
      <w:r w:rsidR="00E23B00">
        <w:t xml:space="preserve">spectroscopy </w:t>
      </w:r>
      <w:r w:rsidR="00CB34F3">
        <w:t>for</w:t>
      </w:r>
      <w:r w:rsidR="00AA07BF">
        <w:t xml:space="preserve"> the wide concentration range </w:t>
      </w:r>
      <w:r w:rsidR="007308B6">
        <w:t>(</w:t>
      </w:r>
      <w:r w:rsidR="007308B6">
        <w:rPr>
          <w:rFonts w:ascii="Arial" w:hAnsi="Arial" w:cs="Arial"/>
        </w:rPr>
        <w:t>≈</w:t>
      </w:r>
      <w:r w:rsidR="00316352">
        <w:rPr>
          <w:rFonts w:ascii="Arial" w:hAnsi="Arial" w:cs="Arial"/>
        </w:rPr>
        <w:t xml:space="preserve"> </w:t>
      </w:r>
      <w:r w:rsidR="00AA07BF">
        <w:t>three orders of magnitude</w:t>
      </w:r>
      <w:r w:rsidR="007308B6">
        <w:t>)</w:t>
      </w:r>
      <w:r w:rsidR="00AA07BF">
        <w:t xml:space="preserve"> </w:t>
      </w:r>
      <w:r w:rsidR="00687151">
        <w:t>and the wide frequency range (</w:t>
      </w:r>
      <w:r w:rsidR="000E02D9">
        <w:t>&gt;</w:t>
      </w:r>
      <w:r w:rsidR="00316352">
        <w:t xml:space="preserve"> </w:t>
      </w:r>
      <w:r w:rsidR="000E02D9">
        <w:t>330 cm</w:t>
      </w:r>
      <w:r w:rsidR="00CB34F3" w:rsidRPr="007731D8">
        <w:rPr>
          <w:vertAlign w:val="superscript"/>
        </w:rPr>
        <w:t>-1</w:t>
      </w:r>
      <w:r w:rsidR="000E02D9">
        <w:t xml:space="preserve">) </w:t>
      </w:r>
      <w:r w:rsidR="00AA07BF">
        <w:t xml:space="preserve">without </w:t>
      </w:r>
      <w:r w:rsidR="00C82A50">
        <w:t>any post</w:t>
      </w:r>
      <w:r w:rsidR="00A17F4C">
        <w:t>-</w:t>
      </w:r>
      <w:r w:rsidR="00C82A50">
        <w:t>processing</w:t>
      </w:r>
      <w:r w:rsidR="00AA07BF">
        <w:t>.</w:t>
      </w:r>
      <w:bookmarkEnd w:id="15"/>
    </w:p>
    <w:p w14:paraId="5E3A0687" w14:textId="026B5A82" w:rsidR="00633DB4" w:rsidRPr="00724992" w:rsidRDefault="00067C83" w:rsidP="00F667CE">
      <w:pPr>
        <w:keepNext/>
        <w:spacing w:after="160" w:line="259" w:lineRule="auto"/>
        <w:jc w:val="center"/>
        <w:rPr>
          <w:szCs w:val="24"/>
        </w:rPr>
      </w:pPr>
      <w:r>
        <w:rPr>
          <w:noProof/>
          <w:szCs w:val="24"/>
        </w:rPr>
        <w:drawing>
          <wp:inline distT="0" distB="0" distL="0" distR="0" wp14:anchorId="49370184" wp14:editId="64DF40E2">
            <wp:extent cx="4110824" cy="3365519"/>
            <wp:effectExtent l="0" t="0" r="4445" b="6350"/>
            <wp:docPr id="7" name="Picture 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15192" cy="3369095"/>
                    </a:xfrm>
                    <a:prstGeom prst="rect">
                      <a:avLst/>
                    </a:prstGeom>
                  </pic:spPr>
                </pic:pic>
              </a:graphicData>
            </a:graphic>
          </wp:inline>
        </w:drawing>
      </w:r>
    </w:p>
    <w:p w14:paraId="2F9FB64E" w14:textId="79F57BD3" w:rsidR="00862A8C" w:rsidRDefault="00633DB4" w:rsidP="006B759D">
      <w:pPr>
        <w:pStyle w:val="Caption"/>
        <w:spacing w:after="240" w:line="276" w:lineRule="auto"/>
      </w:pPr>
      <w:r w:rsidRPr="03066021">
        <w:rPr>
          <w:b/>
          <w:bCs/>
          <w:i w:val="0"/>
          <w:iCs w:val="0"/>
          <w:color w:val="auto"/>
          <w:sz w:val="24"/>
          <w:szCs w:val="24"/>
        </w:rPr>
        <w:t xml:space="preserve">Figure </w:t>
      </w:r>
      <w:r w:rsidR="00E67A1E" w:rsidRPr="03066021">
        <w:rPr>
          <w:b/>
          <w:bCs/>
          <w:i w:val="0"/>
          <w:iCs w:val="0"/>
          <w:color w:val="auto"/>
          <w:sz w:val="24"/>
          <w:szCs w:val="24"/>
        </w:rPr>
        <w:t>2</w:t>
      </w:r>
      <w:r w:rsidRPr="03066021">
        <w:rPr>
          <w:b/>
          <w:bCs/>
          <w:i w:val="0"/>
          <w:iCs w:val="0"/>
          <w:color w:val="auto"/>
          <w:sz w:val="24"/>
          <w:szCs w:val="24"/>
        </w:rPr>
        <w:t>.</w:t>
      </w:r>
      <w:r w:rsidRPr="03066021">
        <w:rPr>
          <w:i w:val="0"/>
          <w:iCs w:val="0"/>
          <w:color w:val="auto"/>
          <w:sz w:val="24"/>
          <w:szCs w:val="24"/>
        </w:rPr>
        <w:t xml:space="preserve"> (a</w:t>
      </w:r>
      <w:r w:rsidR="006D69FD" w:rsidRPr="03066021">
        <w:rPr>
          <w:i w:val="0"/>
          <w:iCs w:val="0"/>
          <w:color w:val="auto"/>
          <w:sz w:val="24"/>
          <w:szCs w:val="24"/>
        </w:rPr>
        <w:t>,</w:t>
      </w:r>
      <w:r w:rsidR="00962751">
        <w:rPr>
          <w:i w:val="0"/>
          <w:iCs w:val="0"/>
          <w:color w:val="auto"/>
          <w:sz w:val="24"/>
          <w:szCs w:val="24"/>
        </w:rPr>
        <w:t xml:space="preserve"> </w:t>
      </w:r>
      <w:r w:rsidRPr="03066021">
        <w:rPr>
          <w:i w:val="0"/>
          <w:iCs w:val="0"/>
          <w:color w:val="auto"/>
          <w:sz w:val="24"/>
          <w:szCs w:val="24"/>
        </w:rPr>
        <w:t>b) Absorption spectra of BSA solutions at various concentrations</w:t>
      </w:r>
      <w:r w:rsidR="00A27582">
        <w:rPr>
          <w:i w:val="0"/>
          <w:iCs w:val="0"/>
          <w:color w:val="auto"/>
          <w:sz w:val="24"/>
          <w:szCs w:val="24"/>
        </w:rPr>
        <w:t xml:space="preserve"> acquired by the </w:t>
      </w:r>
      <w:r w:rsidR="00FC7A96">
        <w:rPr>
          <w:i w:val="0"/>
          <w:iCs w:val="0"/>
          <w:color w:val="auto"/>
          <w:sz w:val="24"/>
          <w:szCs w:val="24"/>
        </w:rPr>
        <w:t>S</w:t>
      </w:r>
      <w:r w:rsidR="007E094E">
        <w:rPr>
          <w:i w:val="0"/>
          <w:iCs w:val="0"/>
          <w:color w:val="auto"/>
          <w:sz w:val="24"/>
          <w:szCs w:val="24"/>
        </w:rPr>
        <w:t>A</w:t>
      </w:r>
      <w:r w:rsidR="00FC7A96">
        <w:rPr>
          <w:i w:val="0"/>
          <w:iCs w:val="0"/>
          <w:color w:val="auto"/>
          <w:sz w:val="24"/>
          <w:szCs w:val="24"/>
        </w:rPr>
        <w:t>C</w:t>
      </w:r>
      <w:r w:rsidR="00A27582">
        <w:rPr>
          <w:i w:val="0"/>
          <w:iCs w:val="0"/>
          <w:color w:val="auto"/>
          <w:sz w:val="24"/>
          <w:szCs w:val="24"/>
        </w:rPr>
        <w:t>-IR spectroscopy</w:t>
      </w:r>
      <w:r w:rsidR="00E6676A">
        <w:rPr>
          <w:i w:val="0"/>
          <w:iCs w:val="0"/>
          <w:color w:val="auto"/>
          <w:sz w:val="24"/>
          <w:szCs w:val="24"/>
        </w:rPr>
        <w:t xml:space="preserve"> without any post</w:t>
      </w:r>
      <w:r w:rsidR="009B1E80">
        <w:rPr>
          <w:i w:val="0"/>
          <w:iCs w:val="0"/>
          <w:color w:val="auto"/>
          <w:sz w:val="24"/>
          <w:szCs w:val="24"/>
        </w:rPr>
        <w:t xml:space="preserve"> data process</w:t>
      </w:r>
      <w:r w:rsidR="00FC7A96">
        <w:rPr>
          <w:i w:val="0"/>
          <w:iCs w:val="0"/>
          <w:color w:val="auto"/>
          <w:sz w:val="24"/>
          <w:szCs w:val="24"/>
        </w:rPr>
        <w:t>ing</w:t>
      </w:r>
      <w:r w:rsidRPr="03066021">
        <w:rPr>
          <w:i w:val="0"/>
          <w:iCs w:val="0"/>
          <w:color w:val="auto"/>
          <w:sz w:val="24"/>
          <w:szCs w:val="24"/>
        </w:rPr>
        <w:t xml:space="preserve">. </w:t>
      </w:r>
      <w:r w:rsidR="0033317B" w:rsidRPr="03066021">
        <w:rPr>
          <w:i w:val="0"/>
          <w:iCs w:val="0"/>
          <w:color w:val="auto"/>
          <w:sz w:val="24"/>
          <w:szCs w:val="24"/>
        </w:rPr>
        <w:t>(</w:t>
      </w:r>
      <w:r w:rsidR="00A27582">
        <w:rPr>
          <w:i w:val="0"/>
          <w:iCs w:val="0"/>
          <w:color w:val="auto"/>
          <w:sz w:val="24"/>
          <w:szCs w:val="24"/>
        </w:rPr>
        <w:t>c</w:t>
      </w:r>
      <w:r w:rsidR="0033317B" w:rsidRPr="03066021">
        <w:rPr>
          <w:i w:val="0"/>
          <w:iCs w:val="0"/>
          <w:color w:val="auto"/>
          <w:sz w:val="24"/>
          <w:szCs w:val="24"/>
        </w:rPr>
        <w:t xml:space="preserve">) </w:t>
      </w:r>
      <w:r w:rsidR="00C918F6">
        <w:rPr>
          <w:i w:val="0"/>
          <w:iCs w:val="0"/>
          <w:color w:val="auto"/>
          <w:sz w:val="24"/>
          <w:szCs w:val="24"/>
        </w:rPr>
        <w:t>M</w:t>
      </w:r>
      <w:r w:rsidR="00BD4FB9">
        <w:rPr>
          <w:i w:val="0"/>
          <w:iCs w:val="0"/>
          <w:color w:val="auto"/>
          <w:sz w:val="24"/>
          <w:szCs w:val="24"/>
        </w:rPr>
        <w:t xml:space="preserve">olar </w:t>
      </w:r>
      <w:r w:rsidR="00BD4FB9" w:rsidRPr="03066021">
        <w:rPr>
          <w:i w:val="0"/>
          <w:iCs w:val="0"/>
          <w:color w:val="auto"/>
          <w:sz w:val="24"/>
          <w:szCs w:val="24"/>
        </w:rPr>
        <w:t>absorption</w:t>
      </w:r>
      <w:r w:rsidR="00BD4FB9">
        <w:rPr>
          <w:i w:val="0"/>
          <w:iCs w:val="0"/>
          <w:color w:val="auto"/>
          <w:sz w:val="24"/>
          <w:szCs w:val="24"/>
        </w:rPr>
        <w:t xml:space="preserve"> </w:t>
      </w:r>
      <w:r w:rsidR="00BD4FB9" w:rsidRPr="03066021">
        <w:rPr>
          <w:i w:val="0"/>
          <w:iCs w:val="0"/>
          <w:color w:val="auto"/>
          <w:sz w:val="24"/>
          <w:szCs w:val="24"/>
        </w:rPr>
        <w:t>coefficient</w:t>
      </w:r>
      <w:r w:rsidR="00BD4FB9">
        <w:rPr>
          <w:i w:val="0"/>
          <w:iCs w:val="0"/>
          <w:color w:val="auto"/>
          <w:sz w:val="24"/>
          <w:szCs w:val="24"/>
        </w:rPr>
        <w:t xml:space="preserve"> spectra</w:t>
      </w:r>
      <w:r w:rsidR="00BD4FB9" w:rsidRPr="03066021">
        <w:rPr>
          <w:i w:val="0"/>
          <w:iCs w:val="0"/>
          <w:color w:val="auto"/>
          <w:sz w:val="24"/>
          <w:szCs w:val="24"/>
        </w:rPr>
        <w:t xml:space="preserve"> at three representative </w:t>
      </w:r>
      <w:r w:rsidR="00BD4FB9">
        <w:rPr>
          <w:i w:val="0"/>
          <w:iCs w:val="0"/>
          <w:color w:val="auto"/>
          <w:sz w:val="24"/>
          <w:szCs w:val="24"/>
        </w:rPr>
        <w:t xml:space="preserve">BSA </w:t>
      </w:r>
      <w:r w:rsidR="00BD4FB9" w:rsidRPr="03066021">
        <w:rPr>
          <w:i w:val="0"/>
          <w:iCs w:val="0"/>
          <w:color w:val="auto"/>
          <w:sz w:val="24"/>
          <w:szCs w:val="24"/>
        </w:rPr>
        <w:t>concentrations</w:t>
      </w:r>
      <w:r w:rsidR="00BD4FB9">
        <w:rPr>
          <w:i w:val="0"/>
          <w:iCs w:val="0"/>
          <w:color w:val="auto"/>
          <w:sz w:val="24"/>
          <w:szCs w:val="24"/>
        </w:rPr>
        <w:t xml:space="preserve"> in (a, b)</w:t>
      </w:r>
      <w:r w:rsidR="00BD4FB9" w:rsidRPr="03066021">
        <w:rPr>
          <w:i w:val="0"/>
          <w:iCs w:val="0"/>
          <w:color w:val="auto"/>
          <w:sz w:val="24"/>
          <w:szCs w:val="24"/>
        </w:rPr>
        <w:t>.</w:t>
      </w:r>
      <w:r w:rsidR="00300593">
        <w:rPr>
          <w:i w:val="0"/>
          <w:iCs w:val="0"/>
          <w:color w:val="auto"/>
          <w:sz w:val="24"/>
          <w:szCs w:val="24"/>
        </w:rPr>
        <w:t xml:space="preserve"> (</w:t>
      </w:r>
      <w:r w:rsidR="00A27582">
        <w:rPr>
          <w:i w:val="0"/>
          <w:iCs w:val="0"/>
          <w:color w:val="auto"/>
          <w:sz w:val="24"/>
          <w:szCs w:val="24"/>
        </w:rPr>
        <w:t>d</w:t>
      </w:r>
      <w:r w:rsidR="00300593">
        <w:rPr>
          <w:i w:val="0"/>
          <w:iCs w:val="0"/>
          <w:color w:val="auto"/>
          <w:sz w:val="24"/>
          <w:szCs w:val="24"/>
        </w:rPr>
        <w:t xml:space="preserve">) </w:t>
      </w:r>
      <w:r w:rsidR="00C72461">
        <w:rPr>
          <w:i w:val="0"/>
          <w:iCs w:val="0"/>
          <w:color w:val="auto"/>
          <w:sz w:val="24"/>
          <w:szCs w:val="24"/>
        </w:rPr>
        <w:t>L</w:t>
      </w:r>
      <w:r w:rsidR="00300593">
        <w:rPr>
          <w:i w:val="0"/>
          <w:iCs w:val="0"/>
          <w:color w:val="auto"/>
          <w:sz w:val="24"/>
          <w:szCs w:val="24"/>
        </w:rPr>
        <w:t>og</w:t>
      </w:r>
      <w:r w:rsidR="00E02334">
        <w:rPr>
          <w:i w:val="0"/>
          <w:iCs w:val="0"/>
          <w:color w:val="auto"/>
          <w:sz w:val="24"/>
          <w:szCs w:val="24"/>
        </w:rPr>
        <w:t>–</w:t>
      </w:r>
      <w:r w:rsidR="00300593">
        <w:rPr>
          <w:i w:val="0"/>
          <w:iCs w:val="0"/>
          <w:color w:val="auto"/>
          <w:sz w:val="24"/>
          <w:szCs w:val="24"/>
        </w:rPr>
        <w:t xml:space="preserve">log plots </w:t>
      </w:r>
      <w:r w:rsidR="005F62BE" w:rsidRPr="03066021">
        <w:rPr>
          <w:i w:val="0"/>
          <w:iCs w:val="0"/>
          <w:color w:val="auto"/>
          <w:sz w:val="24"/>
          <w:szCs w:val="24"/>
        </w:rPr>
        <w:t>of absorbance</w:t>
      </w:r>
      <w:r w:rsidR="00406AA9">
        <w:rPr>
          <w:i w:val="0"/>
          <w:iCs w:val="0"/>
          <w:color w:val="auto"/>
          <w:sz w:val="24"/>
          <w:szCs w:val="24"/>
        </w:rPr>
        <w:t xml:space="preserve"> v</w:t>
      </w:r>
      <w:r w:rsidR="007E094E">
        <w:rPr>
          <w:i w:val="0"/>
          <w:iCs w:val="0"/>
          <w:color w:val="auto"/>
          <w:sz w:val="24"/>
          <w:szCs w:val="24"/>
        </w:rPr>
        <w:t>ersu</w:t>
      </w:r>
      <w:r w:rsidR="00406AA9">
        <w:rPr>
          <w:i w:val="0"/>
          <w:iCs w:val="0"/>
          <w:color w:val="auto"/>
          <w:sz w:val="24"/>
          <w:szCs w:val="24"/>
        </w:rPr>
        <w:t>s BSA concentration</w:t>
      </w:r>
      <w:r w:rsidR="005F62BE" w:rsidRPr="03066021">
        <w:rPr>
          <w:i w:val="0"/>
          <w:iCs w:val="0"/>
          <w:color w:val="auto"/>
          <w:sz w:val="24"/>
          <w:szCs w:val="24"/>
        </w:rPr>
        <w:t xml:space="preserve"> at the </w:t>
      </w:r>
      <w:r w:rsidR="00300593">
        <w:rPr>
          <w:i w:val="0"/>
          <w:iCs w:val="0"/>
          <w:color w:val="auto"/>
          <w:sz w:val="24"/>
          <w:szCs w:val="24"/>
        </w:rPr>
        <w:t>single</w:t>
      </w:r>
      <w:r w:rsidR="005F62BE" w:rsidRPr="03066021">
        <w:rPr>
          <w:i w:val="0"/>
          <w:iCs w:val="0"/>
          <w:color w:val="auto"/>
          <w:sz w:val="24"/>
          <w:szCs w:val="24"/>
        </w:rPr>
        <w:t xml:space="preserve"> frequenc</w:t>
      </w:r>
      <w:r w:rsidR="00DA38E0" w:rsidRPr="03066021">
        <w:rPr>
          <w:i w:val="0"/>
          <w:iCs w:val="0"/>
          <w:color w:val="auto"/>
          <w:sz w:val="24"/>
          <w:szCs w:val="24"/>
        </w:rPr>
        <w:t>ies</w:t>
      </w:r>
      <w:r w:rsidR="005F62BE" w:rsidRPr="03066021">
        <w:rPr>
          <w:i w:val="0"/>
          <w:iCs w:val="0"/>
          <w:color w:val="auto"/>
          <w:sz w:val="24"/>
          <w:szCs w:val="24"/>
        </w:rPr>
        <w:t xml:space="preserve"> </w:t>
      </w:r>
      <w:r w:rsidR="00FC320D">
        <w:rPr>
          <w:i w:val="0"/>
          <w:iCs w:val="0"/>
          <w:color w:val="auto"/>
          <w:sz w:val="24"/>
          <w:szCs w:val="24"/>
        </w:rPr>
        <w:t>corresponding to</w:t>
      </w:r>
      <w:r w:rsidR="00FC320D" w:rsidRPr="03066021">
        <w:rPr>
          <w:i w:val="0"/>
          <w:iCs w:val="0"/>
          <w:color w:val="auto"/>
          <w:sz w:val="24"/>
          <w:szCs w:val="24"/>
        </w:rPr>
        <w:t xml:space="preserve"> </w:t>
      </w:r>
      <w:r w:rsidR="005F62BE" w:rsidRPr="03066021">
        <w:rPr>
          <w:i w:val="0"/>
          <w:iCs w:val="0"/>
          <w:color w:val="auto"/>
          <w:sz w:val="24"/>
          <w:szCs w:val="24"/>
        </w:rPr>
        <w:t xml:space="preserve">the amide I </w:t>
      </w:r>
      <w:r w:rsidR="00AC435C">
        <w:rPr>
          <w:i w:val="0"/>
          <w:iCs w:val="0"/>
          <w:color w:val="auto"/>
          <w:sz w:val="24"/>
          <w:szCs w:val="24"/>
        </w:rPr>
        <w:t>(1656 cm</w:t>
      </w:r>
      <w:r w:rsidR="00AC435C" w:rsidRPr="006B759D">
        <w:rPr>
          <w:i w:val="0"/>
          <w:iCs w:val="0"/>
          <w:color w:val="auto"/>
          <w:sz w:val="24"/>
          <w:szCs w:val="24"/>
          <w:vertAlign w:val="superscript"/>
        </w:rPr>
        <w:t>-1</w:t>
      </w:r>
      <w:r w:rsidR="00AC435C">
        <w:rPr>
          <w:i w:val="0"/>
          <w:iCs w:val="0"/>
          <w:color w:val="auto"/>
          <w:sz w:val="24"/>
          <w:szCs w:val="24"/>
        </w:rPr>
        <w:t xml:space="preserve">) </w:t>
      </w:r>
      <w:r w:rsidR="00DC0502" w:rsidRPr="03066021">
        <w:rPr>
          <w:i w:val="0"/>
          <w:iCs w:val="0"/>
          <w:color w:val="auto"/>
          <w:sz w:val="24"/>
          <w:szCs w:val="24"/>
        </w:rPr>
        <w:t xml:space="preserve">and amide II </w:t>
      </w:r>
      <w:r w:rsidR="00300593">
        <w:rPr>
          <w:i w:val="0"/>
          <w:iCs w:val="0"/>
          <w:color w:val="auto"/>
          <w:sz w:val="24"/>
          <w:szCs w:val="24"/>
        </w:rPr>
        <w:t>peaks</w:t>
      </w:r>
      <w:r w:rsidR="00AC435C">
        <w:rPr>
          <w:i w:val="0"/>
          <w:iCs w:val="0"/>
          <w:color w:val="auto"/>
          <w:sz w:val="24"/>
          <w:szCs w:val="24"/>
        </w:rPr>
        <w:t xml:space="preserve"> (1548 cm</w:t>
      </w:r>
      <w:r w:rsidR="00AC435C" w:rsidRPr="006B759D">
        <w:rPr>
          <w:i w:val="0"/>
          <w:iCs w:val="0"/>
          <w:color w:val="auto"/>
          <w:sz w:val="24"/>
          <w:szCs w:val="24"/>
          <w:vertAlign w:val="superscript"/>
        </w:rPr>
        <w:t>-1</w:t>
      </w:r>
      <w:r w:rsidR="00AC435C">
        <w:rPr>
          <w:i w:val="0"/>
          <w:iCs w:val="0"/>
          <w:color w:val="auto"/>
          <w:sz w:val="24"/>
          <w:szCs w:val="24"/>
        </w:rPr>
        <w:t>)</w:t>
      </w:r>
      <w:r w:rsidR="005F62BE" w:rsidRPr="03066021">
        <w:rPr>
          <w:i w:val="0"/>
          <w:iCs w:val="0"/>
          <w:color w:val="auto"/>
          <w:sz w:val="24"/>
          <w:szCs w:val="24"/>
        </w:rPr>
        <w:t>.</w:t>
      </w:r>
      <w:r w:rsidR="00944875">
        <w:rPr>
          <w:i w:val="0"/>
          <w:iCs w:val="0"/>
          <w:color w:val="auto"/>
          <w:sz w:val="24"/>
          <w:szCs w:val="24"/>
        </w:rPr>
        <w:t xml:space="preserve"> </w:t>
      </w:r>
      <w:r w:rsidR="00317E13">
        <w:rPr>
          <w:i w:val="0"/>
          <w:iCs w:val="0"/>
          <w:color w:val="auto"/>
          <w:sz w:val="24"/>
          <w:szCs w:val="24"/>
        </w:rPr>
        <w:t xml:space="preserve">The identical </w:t>
      </w:r>
      <w:r w:rsidR="00010869">
        <w:rPr>
          <w:i w:val="0"/>
          <w:iCs w:val="0"/>
          <w:color w:val="auto"/>
          <w:sz w:val="24"/>
          <w:szCs w:val="24"/>
        </w:rPr>
        <w:t xml:space="preserve">data are displayed </w:t>
      </w:r>
      <w:r w:rsidR="008E7107">
        <w:rPr>
          <w:i w:val="0"/>
          <w:iCs w:val="0"/>
          <w:color w:val="auto"/>
          <w:sz w:val="24"/>
          <w:szCs w:val="24"/>
        </w:rPr>
        <w:t xml:space="preserve">as </w:t>
      </w:r>
      <w:r w:rsidR="00317E13">
        <w:rPr>
          <w:i w:val="0"/>
          <w:iCs w:val="0"/>
          <w:color w:val="auto"/>
          <w:sz w:val="24"/>
          <w:szCs w:val="24"/>
        </w:rPr>
        <w:t>linear–linear plot</w:t>
      </w:r>
      <w:r w:rsidR="008E7107">
        <w:rPr>
          <w:i w:val="0"/>
          <w:iCs w:val="0"/>
          <w:color w:val="auto"/>
          <w:sz w:val="24"/>
          <w:szCs w:val="24"/>
        </w:rPr>
        <w:t>s in the inset.</w:t>
      </w:r>
      <w:r w:rsidR="00317E13">
        <w:rPr>
          <w:i w:val="0"/>
          <w:iCs w:val="0"/>
          <w:color w:val="auto"/>
          <w:sz w:val="24"/>
          <w:szCs w:val="24"/>
        </w:rPr>
        <w:t xml:space="preserve"> </w:t>
      </w:r>
      <w:r w:rsidR="00117ACB">
        <w:rPr>
          <w:i w:val="0"/>
          <w:iCs w:val="0"/>
          <w:color w:val="auto"/>
          <w:sz w:val="24"/>
          <w:szCs w:val="24"/>
        </w:rPr>
        <w:t>The straight lines are linear fits of the scatter data</w:t>
      </w:r>
      <w:r w:rsidR="00671355">
        <w:rPr>
          <w:i w:val="0"/>
          <w:iCs w:val="0"/>
          <w:color w:val="auto"/>
          <w:sz w:val="24"/>
          <w:szCs w:val="24"/>
        </w:rPr>
        <w:t xml:space="preserve"> with</w:t>
      </w:r>
      <w:r w:rsidR="00997F45">
        <w:rPr>
          <w:i w:val="0"/>
          <w:iCs w:val="0"/>
          <w:color w:val="auto"/>
          <w:sz w:val="24"/>
          <w:szCs w:val="24"/>
        </w:rPr>
        <w:t xml:space="preserve"> </w:t>
      </w:r>
      <w:r w:rsidR="00E72070">
        <w:rPr>
          <w:i w:val="0"/>
          <w:iCs w:val="0"/>
          <w:color w:val="auto"/>
          <w:sz w:val="24"/>
          <w:szCs w:val="24"/>
        </w:rPr>
        <w:t>the Beer–Lambert law</w:t>
      </w:r>
      <w:r w:rsidR="00B86C2A">
        <w:rPr>
          <w:i w:val="0"/>
          <w:iCs w:val="0"/>
          <w:color w:val="auto"/>
          <w:sz w:val="24"/>
          <w:szCs w:val="24"/>
        </w:rPr>
        <w:t xml:space="preserve">. </w:t>
      </w:r>
      <w:r w:rsidR="000A3F33" w:rsidRPr="03066021">
        <w:rPr>
          <w:i w:val="0"/>
          <w:iCs w:val="0"/>
          <w:color w:val="auto"/>
          <w:sz w:val="24"/>
          <w:szCs w:val="24"/>
        </w:rPr>
        <w:t xml:space="preserve">The </w:t>
      </w:r>
      <w:r w:rsidR="004331F8" w:rsidRPr="03066021">
        <w:rPr>
          <w:i w:val="0"/>
          <w:iCs w:val="0"/>
          <w:color w:val="auto"/>
          <w:sz w:val="24"/>
          <w:szCs w:val="24"/>
        </w:rPr>
        <w:t>gr</w:t>
      </w:r>
      <w:r w:rsidR="001E09BE" w:rsidRPr="03066021">
        <w:rPr>
          <w:i w:val="0"/>
          <w:iCs w:val="0"/>
          <w:color w:val="auto"/>
          <w:sz w:val="24"/>
          <w:szCs w:val="24"/>
        </w:rPr>
        <w:t>a</w:t>
      </w:r>
      <w:r w:rsidR="004331F8" w:rsidRPr="03066021">
        <w:rPr>
          <w:i w:val="0"/>
          <w:iCs w:val="0"/>
          <w:color w:val="auto"/>
          <w:sz w:val="24"/>
          <w:szCs w:val="24"/>
        </w:rPr>
        <w:t>y arrows</w:t>
      </w:r>
      <w:r w:rsidR="001E09BE" w:rsidRPr="03066021">
        <w:rPr>
          <w:i w:val="0"/>
          <w:iCs w:val="0"/>
          <w:color w:val="auto"/>
          <w:sz w:val="24"/>
          <w:szCs w:val="24"/>
        </w:rPr>
        <w:t xml:space="preserve"> indicate </w:t>
      </w:r>
      <w:r w:rsidR="00A46727" w:rsidRPr="03066021">
        <w:rPr>
          <w:i w:val="0"/>
          <w:iCs w:val="0"/>
          <w:color w:val="auto"/>
          <w:sz w:val="24"/>
          <w:szCs w:val="24"/>
        </w:rPr>
        <w:t>the detection ranges of the protein amide I band</w:t>
      </w:r>
      <w:r w:rsidR="004331F8" w:rsidRPr="03066021">
        <w:rPr>
          <w:i w:val="0"/>
          <w:iCs w:val="0"/>
          <w:color w:val="auto"/>
          <w:sz w:val="24"/>
          <w:szCs w:val="24"/>
        </w:rPr>
        <w:t xml:space="preserve"> </w:t>
      </w:r>
      <w:r w:rsidR="00A46727" w:rsidRPr="03066021">
        <w:rPr>
          <w:i w:val="0"/>
          <w:iCs w:val="0"/>
          <w:color w:val="auto"/>
          <w:sz w:val="24"/>
          <w:szCs w:val="24"/>
        </w:rPr>
        <w:t>of the conventional FT-IR</w:t>
      </w:r>
      <w:r w:rsidR="005A2CFA" w:rsidRPr="03066021">
        <w:rPr>
          <w:i w:val="0"/>
          <w:iCs w:val="0"/>
          <w:color w:val="auto"/>
          <w:sz w:val="24"/>
          <w:szCs w:val="24"/>
        </w:rPr>
        <w:t xml:space="preserve"> method and the new </w:t>
      </w:r>
      <w:r w:rsidR="00FC320D">
        <w:rPr>
          <w:i w:val="0"/>
          <w:iCs w:val="0"/>
          <w:color w:val="auto"/>
          <w:sz w:val="24"/>
          <w:szCs w:val="24"/>
        </w:rPr>
        <w:t>SAC</w:t>
      </w:r>
      <w:r w:rsidR="005A2CFA" w:rsidRPr="03066021">
        <w:rPr>
          <w:i w:val="0"/>
          <w:iCs w:val="0"/>
          <w:color w:val="auto"/>
          <w:sz w:val="24"/>
          <w:szCs w:val="24"/>
        </w:rPr>
        <w:t>-IR method.</w:t>
      </w:r>
    </w:p>
    <w:p w14:paraId="256A6022" w14:textId="77777777" w:rsidR="00D71B15" w:rsidRPr="00DE78AD" w:rsidRDefault="00D71B15" w:rsidP="00DE78AD"/>
    <w:p w14:paraId="0D2BAC12" w14:textId="68177BB0" w:rsidR="000B648B" w:rsidRDefault="007B4749" w:rsidP="000B648B">
      <w:pPr>
        <w:pStyle w:val="TAMainText"/>
      </w:pPr>
      <w:bookmarkStart w:id="16" w:name="_Hlk51171227"/>
      <w:r>
        <w:t xml:space="preserve">The error bars indicated at each </w:t>
      </w:r>
      <w:r w:rsidR="00E655BC">
        <w:t>concentration</w:t>
      </w:r>
      <w:r>
        <w:t xml:space="preserve"> </w:t>
      </w:r>
      <w:r w:rsidR="00B4537B">
        <w:t>correspond to</w:t>
      </w:r>
      <w:r>
        <w:t xml:space="preserve"> the standard deviation </w:t>
      </w:r>
      <w:r w:rsidR="00B4537B">
        <w:t xml:space="preserve">calculated </w:t>
      </w:r>
      <w:r w:rsidR="00C50910">
        <w:t xml:space="preserve">at single frequencies </w:t>
      </w:r>
      <w:r w:rsidR="00B4537B">
        <w:t>from</w:t>
      </w:r>
      <w:r>
        <w:t xml:space="preserve"> three </w:t>
      </w:r>
      <w:r w:rsidR="00C50910">
        <w:t xml:space="preserve">or four </w:t>
      </w:r>
      <w:r>
        <w:t xml:space="preserve">consecutive measurements. At </w:t>
      </w:r>
      <w:r w:rsidR="00B4537B">
        <w:t xml:space="preserve">all </w:t>
      </w:r>
      <w:r>
        <w:t>concentration</w:t>
      </w:r>
      <w:r w:rsidR="00B4537B">
        <w:t>s</w:t>
      </w:r>
      <w:r>
        <w:t xml:space="preserve">, </w:t>
      </w:r>
      <w:r w:rsidR="00B4537B">
        <w:t>the standard deviation</w:t>
      </w:r>
      <w:r w:rsidR="00482B08">
        <w:t>s</w:t>
      </w:r>
      <w:r w:rsidR="00B4537B">
        <w:t xml:space="preserve"> at both frequencies are </w:t>
      </w:r>
      <w:r w:rsidR="00B4537B">
        <w:rPr>
          <w:rFonts w:ascii="Arial" w:hAnsi="Arial" w:cs="Arial"/>
        </w:rPr>
        <w:t>≈</w:t>
      </w:r>
      <w:r w:rsidR="00B4537B">
        <w:t xml:space="preserve"> 0.3 mOD, </w:t>
      </w:r>
      <w:r w:rsidR="008873D5">
        <w:t xml:space="preserve">as </w:t>
      </w:r>
      <w:r w:rsidR="002E725C">
        <w:t xml:space="preserve">displayed </w:t>
      </w:r>
      <w:r w:rsidR="00B4537B">
        <w:t xml:space="preserve">in </w:t>
      </w:r>
      <w:r w:rsidR="00EE6863">
        <w:t>Figure</w:t>
      </w:r>
      <w:r w:rsidR="00B4537B">
        <w:t xml:space="preserve"> 1</w:t>
      </w:r>
      <w:r w:rsidR="002E725C">
        <w:t>d</w:t>
      </w:r>
      <w:r w:rsidR="00B4537B">
        <w:t>.</w:t>
      </w:r>
      <w:r w:rsidR="00CF23CA" w:rsidRPr="00870950">
        <w:t xml:space="preserve"> </w:t>
      </w:r>
      <w:r w:rsidR="00C50910">
        <w:t xml:space="preserve">Thus, </w:t>
      </w:r>
      <w:r w:rsidR="00E655BC">
        <w:t xml:space="preserve">the </w:t>
      </w:r>
      <w:r w:rsidR="00DA02F6">
        <w:t>SNR</w:t>
      </w:r>
      <w:r w:rsidR="00F639C1">
        <w:t xml:space="preserve"> values</w:t>
      </w:r>
      <w:r w:rsidR="00C50910">
        <w:t xml:space="preserve"> of both bands </w:t>
      </w:r>
      <w:r w:rsidR="00FF327C">
        <w:t>turn out to be</w:t>
      </w:r>
      <w:r w:rsidR="008873D5">
        <w:t xml:space="preserve"> </w:t>
      </w:r>
      <w:r w:rsidR="00FF327C">
        <w:rPr>
          <w:rFonts w:ascii="Arial" w:hAnsi="Arial" w:cs="Arial"/>
        </w:rPr>
        <w:t xml:space="preserve">≈ </w:t>
      </w:r>
      <w:r w:rsidR="00FF327C">
        <w:t>2 for a solution of 0.1 mg/mL</w:t>
      </w:r>
      <w:r w:rsidR="00EB03EF">
        <w:t>.</w:t>
      </w:r>
      <w:r w:rsidR="001D7DB1">
        <w:t xml:space="preserve"> </w:t>
      </w:r>
      <w:r w:rsidR="00C50910">
        <w:t xml:space="preserve">We also calculate </w:t>
      </w:r>
      <w:r w:rsidR="00DA02F6">
        <w:t>SNR</w:t>
      </w:r>
      <w:r w:rsidR="00C50910">
        <w:t xml:space="preserve"> using </w:t>
      </w:r>
      <w:r w:rsidR="008324A2">
        <w:t xml:space="preserve">the </w:t>
      </w:r>
      <w:r w:rsidR="00FF327C">
        <w:t xml:space="preserve">area of </w:t>
      </w:r>
      <w:r w:rsidR="0027068C">
        <w:t>the</w:t>
      </w:r>
      <w:r w:rsidR="00FF327C">
        <w:t xml:space="preserve"> band</w:t>
      </w:r>
      <w:r w:rsidR="0027068C">
        <w:t>s</w:t>
      </w:r>
      <w:r w:rsidR="00FF327C">
        <w:t>.</w:t>
      </w:r>
      <w:r w:rsidR="00FF327C" w:rsidRPr="0000383A">
        <w:t xml:space="preserve"> </w:t>
      </w:r>
      <w:bookmarkStart w:id="17" w:name="_Hlk59615321"/>
      <w:bookmarkStart w:id="18" w:name="_Hlk59615111"/>
      <w:r w:rsidR="004B788F">
        <w:t>A</w:t>
      </w:r>
      <w:r w:rsidR="00FF327C" w:rsidRPr="0000383A">
        <w:t>verag</w:t>
      </w:r>
      <w:r w:rsidR="004B788F">
        <w:t>ing</w:t>
      </w:r>
      <w:r w:rsidR="00FF327C" w:rsidRPr="0000383A">
        <w:t xml:space="preserve"> absorbance</w:t>
      </w:r>
      <w:r w:rsidR="00FF327C">
        <w:t xml:space="preserve"> over</w:t>
      </w:r>
      <w:r w:rsidR="001D7DB1">
        <w:t xml:space="preserve"> </w:t>
      </w:r>
      <w:r w:rsidR="00FF327C">
        <w:t>30 cm</w:t>
      </w:r>
      <w:r w:rsidR="00FF327C" w:rsidRPr="008215E5">
        <w:rPr>
          <w:vertAlign w:val="superscript"/>
        </w:rPr>
        <w:t>-1</w:t>
      </w:r>
      <w:r w:rsidR="00C50910">
        <w:t xml:space="preserve">, which corresponds to </w:t>
      </w:r>
      <w:r w:rsidR="00C75E08">
        <w:t>t</w:t>
      </w:r>
      <w:r w:rsidR="001E38B4">
        <w:t xml:space="preserve">he full-width-half-maximum (FWHM) </w:t>
      </w:r>
      <w:r w:rsidR="00FF327C">
        <w:t>of</w:t>
      </w:r>
      <w:r w:rsidR="00FF327C" w:rsidRPr="00FF327C">
        <w:t xml:space="preserve"> </w:t>
      </w:r>
      <w:r w:rsidR="00FF327C">
        <w:t>the amide I and II bands</w:t>
      </w:r>
      <w:r w:rsidR="00C50910">
        <w:t>,</w:t>
      </w:r>
      <w:r w:rsidR="00FF327C">
        <w:t xml:space="preserve"> produce</w:t>
      </w:r>
      <w:r w:rsidR="004B788F">
        <w:t>s</w:t>
      </w:r>
      <w:r w:rsidR="00FF327C">
        <w:t xml:space="preserve"> </w:t>
      </w:r>
      <w:r w:rsidR="00DA02F6">
        <w:t>SNR</w:t>
      </w:r>
      <w:r w:rsidR="00FF327C">
        <w:t xml:space="preserve"> of 6 and 5 </w:t>
      </w:r>
      <w:r w:rsidR="004B788F">
        <w:t>for the amide I and II bands, respectively, from</w:t>
      </w:r>
      <w:r w:rsidR="00FF327C">
        <w:t xml:space="preserve"> </w:t>
      </w:r>
      <w:r w:rsidR="004B788F">
        <w:t xml:space="preserve">the 0.1 mg/mL BSA solution, which meets </w:t>
      </w:r>
      <w:bookmarkStart w:id="19" w:name="_Hlk59615204"/>
      <w:r w:rsidR="004B788F">
        <w:t xml:space="preserve">the criterion for the limit of detection (SNR </w:t>
      </w:r>
      <w:r w:rsidR="004B788F">
        <w:rPr>
          <w:rFonts w:cs="Times"/>
        </w:rPr>
        <w:t>≥ 3)</w:t>
      </w:r>
      <w:bookmarkEnd w:id="19"/>
      <w:bookmarkEnd w:id="17"/>
      <w:r w:rsidR="00FF327C">
        <w:t>.</w:t>
      </w:r>
      <w:bookmarkEnd w:id="18"/>
      <w:r w:rsidR="00FF327C">
        <w:t xml:space="preserve"> </w:t>
      </w:r>
      <w:r w:rsidR="00B31765">
        <w:t xml:space="preserve">The </w:t>
      </w:r>
      <w:r w:rsidR="000908C1">
        <w:t>lowest concentration</w:t>
      </w:r>
      <w:r w:rsidR="00BD4B12">
        <w:t xml:space="preserve"> </w:t>
      </w:r>
      <w:r w:rsidR="00047188">
        <w:t xml:space="preserve">demonstrated </w:t>
      </w:r>
      <w:r w:rsidR="00BD4B12">
        <w:t xml:space="preserve">by the </w:t>
      </w:r>
      <w:r w:rsidR="00DA02F6">
        <w:t>S</w:t>
      </w:r>
      <w:r w:rsidR="00CC0305">
        <w:t>A</w:t>
      </w:r>
      <w:r w:rsidR="00DA02F6">
        <w:t>C</w:t>
      </w:r>
      <w:r w:rsidR="00907125">
        <w:t xml:space="preserve"> </w:t>
      </w:r>
      <w:r w:rsidR="00DA02F6">
        <w:t xml:space="preserve">approach </w:t>
      </w:r>
      <w:r w:rsidR="00907125">
        <w:t>is</w:t>
      </w:r>
      <w:r w:rsidR="000908C1">
        <w:t xml:space="preserve"> considered as </w:t>
      </w:r>
      <w:r w:rsidR="000B648B">
        <w:t xml:space="preserve">100 times </w:t>
      </w:r>
      <w:r w:rsidR="00047188">
        <w:t xml:space="preserve">lower </w:t>
      </w:r>
      <w:r w:rsidR="000B648B">
        <w:t xml:space="preserve">than the </w:t>
      </w:r>
      <w:r w:rsidR="00C93F49">
        <w:t xml:space="preserve">practical </w:t>
      </w:r>
      <w:r w:rsidR="000B648B">
        <w:t>detection limit of conventional FT-IR measurements</w:t>
      </w:r>
      <w:r w:rsidR="007039A9">
        <w:t>. However</w:t>
      </w:r>
      <w:r w:rsidR="00047188">
        <w:t xml:space="preserve">, </w:t>
      </w:r>
      <w:r w:rsidR="00436DD7">
        <w:t xml:space="preserve">it </w:t>
      </w:r>
      <w:r w:rsidR="00E21B42">
        <w:t xml:space="preserve">is difficult to make </w:t>
      </w:r>
      <w:r w:rsidR="00B24994">
        <w:t xml:space="preserve">a </w:t>
      </w:r>
      <w:r w:rsidR="00E21B42">
        <w:t xml:space="preserve">fair comparison </w:t>
      </w:r>
      <w:r w:rsidR="00DA02F6">
        <w:t xml:space="preserve">of the detection limit </w:t>
      </w:r>
      <w:r w:rsidR="00E21B42">
        <w:t xml:space="preserve">between the two spectroscopy approaches because </w:t>
      </w:r>
      <w:r w:rsidR="00B61455">
        <w:t>of inherent difference</w:t>
      </w:r>
      <w:r w:rsidR="00B24994">
        <w:t>s</w:t>
      </w:r>
      <w:r w:rsidR="00B61455">
        <w:t xml:space="preserve"> in</w:t>
      </w:r>
      <w:r w:rsidR="00436DD7">
        <w:t xml:space="preserve"> </w:t>
      </w:r>
      <w:r w:rsidR="00DA02F6">
        <w:t xml:space="preserve">the observed frequency range, </w:t>
      </w:r>
      <w:r w:rsidR="00436DD7">
        <w:t xml:space="preserve">the </w:t>
      </w:r>
      <w:r w:rsidR="004921E2">
        <w:t>signal collection</w:t>
      </w:r>
      <w:r w:rsidR="00436DD7">
        <w:t>/</w:t>
      </w:r>
      <w:r w:rsidR="004921E2">
        <w:t>process</w:t>
      </w:r>
      <w:r w:rsidR="00DA02F6">
        <w:t>,</w:t>
      </w:r>
      <w:r w:rsidR="004921E2">
        <w:t xml:space="preserve"> </w:t>
      </w:r>
      <w:r w:rsidR="00436DD7">
        <w:t xml:space="preserve">and </w:t>
      </w:r>
      <w:r w:rsidR="00C93F49">
        <w:t>the</w:t>
      </w:r>
      <w:r w:rsidR="00C67338">
        <w:t xml:space="preserve"> nature of associated</w:t>
      </w:r>
      <w:r w:rsidR="00C93F49">
        <w:t xml:space="preserve"> noise sources</w:t>
      </w:r>
      <w:r w:rsidR="004921E2">
        <w:t>.</w:t>
      </w:r>
      <w:r w:rsidR="00DA02F6">
        <w:t xml:space="preserve"> </w:t>
      </w:r>
      <w:r w:rsidR="00E73A1E">
        <w:t xml:space="preserve">Even </w:t>
      </w:r>
      <w:r w:rsidR="00FC5921">
        <w:t xml:space="preserve">among the QCL-based laser scanning methods, </w:t>
      </w:r>
      <w:r w:rsidR="00DA02F6">
        <w:t>a fair comparison</w:t>
      </w:r>
      <w:r w:rsidR="00FC5921">
        <w:t xml:space="preserve"> in the detection limit can be made only after the equivalent frequency range with equivalent post data processing.</w:t>
      </w:r>
      <w:r w:rsidR="00DA02F6">
        <w:t xml:space="preserve"> </w:t>
      </w:r>
      <w:r w:rsidR="00FC5921">
        <w:t>W</w:t>
      </w:r>
      <w:r w:rsidR="00DA02F6">
        <w:t xml:space="preserve">e compare </w:t>
      </w:r>
      <w:r w:rsidR="00FC5921">
        <w:t xml:space="preserve">results of </w:t>
      </w:r>
      <w:r w:rsidR="006B1B72">
        <w:t>SAC</w:t>
      </w:r>
      <w:r w:rsidR="00FC5921">
        <w:t xml:space="preserve"> and non</w:t>
      </w:r>
      <w:r w:rsidR="006B1B72">
        <w:t>-SAC</w:t>
      </w:r>
      <w:r w:rsidR="00FC5921">
        <w:t xml:space="preserve"> measurements using the identical system. While the amide I band observed </w:t>
      </w:r>
      <w:r w:rsidR="00E36F7D">
        <w:t>by the non-</w:t>
      </w:r>
      <w:r w:rsidR="006B1B72">
        <w:t>SAC</w:t>
      </w:r>
      <w:r w:rsidR="00E36F7D">
        <w:t xml:space="preserve"> configuration </w:t>
      </w:r>
      <w:r w:rsidR="00FC5921">
        <w:t xml:space="preserve">shows SNR &lt; 1 in </w:t>
      </w:r>
      <w:r w:rsidR="00EE6863">
        <w:t>Figure</w:t>
      </w:r>
      <w:r w:rsidR="00FC5921">
        <w:t xml:space="preserve"> 1d, the amide I band </w:t>
      </w:r>
      <w:r w:rsidR="00E36F7D">
        <w:t xml:space="preserve">observed by the </w:t>
      </w:r>
      <w:r w:rsidR="006B1B72">
        <w:t>SAC</w:t>
      </w:r>
      <w:r w:rsidR="00E36F7D">
        <w:t xml:space="preserve"> method shows SNR &gt; 200 in </w:t>
      </w:r>
      <w:r w:rsidR="00EE6863">
        <w:t>Figure</w:t>
      </w:r>
      <w:r w:rsidR="00E36F7D">
        <w:t xml:space="preserve"> </w:t>
      </w:r>
      <w:r w:rsidR="00FC5921">
        <w:t>1g</w:t>
      </w:r>
      <w:r w:rsidR="00E36F7D">
        <w:t>.</w:t>
      </w:r>
      <w:r w:rsidR="00FC5921">
        <w:t xml:space="preserve"> </w:t>
      </w:r>
      <w:r w:rsidR="00E36F7D">
        <w:t xml:space="preserve">This significant enhancement in SNR can be explained by taking advantage of the maximum dynamic range at all wavelengths in the </w:t>
      </w:r>
      <w:r w:rsidR="006B1B72">
        <w:t>SAC</w:t>
      </w:r>
      <w:r w:rsidR="00E36F7D">
        <w:t xml:space="preserve"> approach, which will be discussed </w:t>
      </w:r>
      <w:r w:rsidR="006B1B72">
        <w:t xml:space="preserve">further </w:t>
      </w:r>
      <w:r w:rsidR="00E36F7D">
        <w:t xml:space="preserve">later in the </w:t>
      </w:r>
      <w:r w:rsidR="006B1B72">
        <w:t>Discussion</w:t>
      </w:r>
      <w:r w:rsidR="00E36F7D">
        <w:t xml:space="preserve"> section.</w:t>
      </w:r>
      <w:bookmarkEnd w:id="16"/>
    </w:p>
    <w:p w14:paraId="5F74DCFE" w14:textId="77777777" w:rsidR="000B648B" w:rsidRDefault="000B648B" w:rsidP="000B648B">
      <w:pPr>
        <w:pStyle w:val="TAMainText"/>
      </w:pPr>
    </w:p>
    <w:p w14:paraId="214EEDCB" w14:textId="6B7BCC05" w:rsidR="00380A6C" w:rsidRDefault="00067C83" w:rsidP="00F667CE">
      <w:pPr>
        <w:pStyle w:val="TAMainText"/>
        <w:ind w:firstLine="0"/>
        <w:jc w:val="center"/>
      </w:pPr>
      <w:r>
        <w:rPr>
          <w:noProof/>
        </w:rPr>
        <w:drawing>
          <wp:inline distT="0" distB="0" distL="0" distR="0" wp14:anchorId="3A12C47F" wp14:editId="4C0EE0BF">
            <wp:extent cx="4946578" cy="3905471"/>
            <wp:effectExtent l="0" t="0" r="6985" b="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3.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50372" cy="3908467"/>
                    </a:xfrm>
                    <a:prstGeom prst="rect">
                      <a:avLst/>
                    </a:prstGeom>
                  </pic:spPr>
                </pic:pic>
              </a:graphicData>
            </a:graphic>
          </wp:inline>
        </w:drawing>
      </w:r>
    </w:p>
    <w:p w14:paraId="6C053F56" w14:textId="7F7990FE" w:rsidR="00380A6C" w:rsidRPr="006714A1" w:rsidRDefault="00380A6C" w:rsidP="006B759D">
      <w:pPr>
        <w:pStyle w:val="Caption"/>
        <w:spacing w:after="240" w:line="276" w:lineRule="auto"/>
        <w:rPr>
          <w:i w:val="0"/>
          <w:color w:val="auto"/>
          <w:sz w:val="24"/>
          <w:szCs w:val="24"/>
        </w:rPr>
      </w:pPr>
      <w:r w:rsidRPr="0059376D">
        <w:rPr>
          <w:b/>
          <w:bCs/>
          <w:i w:val="0"/>
          <w:iCs w:val="0"/>
          <w:color w:val="auto"/>
          <w:sz w:val="24"/>
          <w:szCs w:val="24"/>
        </w:rPr>
        <w:t xml:space="preserve">Figure </w:t>
      </w:r>
      <w:r w:rsidR="00E67A1E">
        <w:rPr>
          <w:b/>
          <w:bCs/>
          <w:i w:val="0"/>
          <w:iCs w:val="0"/>
          <w:color w:val="auto"/>
          <w:sz w:val="24"/>
          <w:szCs w:val="24"/>
        </w:rPr>
        <w:t>3</w:t>
      </w:r>
      <w:r w:rsidRPr="0059376D">
        <w:rPr>
          <w:b/>
          <w:bCs/>
          <w:i w:val="0"/>
          <w:iCs w:val="0"/>
          <w:color w:val="auto"/>
          <w:sz w:val="24"/>
          <w:szCs w:val="24"/>
        </w:rPr>
        <w:t>.</w:t>
      </w:r>
      <w:r w:rsidRPr="009B4415">
        <w:rPr>
          <w:i w:val="0"/>
          <w:iCs w:val="0"/>
          <w:color w:val="auto"/>
          <w:sz w:val="24"/>
          <w:szCs w:val="24"/>
        </w:rPr>
        <w:t xml:space="preserve"> (a) IR spectra for mixture</w:t>
      </w:r>
      <w:r>
        <w:rPr>
          <w:i w:val="0"/>
          <w:iCs w:val="0"/>
          <w:color w:val="auto"/>
          <w:sz w:val="24"/>
          <w:szCs w:val="24"/>
        </w:rPr>
        <w:t xml:space="preserve"> solutions</w:t>
      </w:r>
      <w:r w:rsidRPr="009B4415">
        <w:rPr>
          <w:i w:val="0"/>
          <w:iCs w:val="0"/>
          <w:color w:val="auto"/>
          <w:sz w:val="24"/>
          <w:szCs w:val="24"/>
        </w:rPr>
        <w:t xml:space="preserve"> of BSA and NISTmAb</w:t>
      </w:r>
      <w:r>
        <w:rPr>
          <w:i w:val="0"/>
          <w:iCs w:val="0"/>
          <w:color w:val="auto"/>
          <w:sz w:val="24"/>
          <w:szCs w:val="24"/>
        </w:rPr>
        <w:t xml:space="preserve"> at </w:t>
      </w:r>
      <w:r w:rsidR="006D4C2E">
        <w:rPr>
          <w:i w:val="0"/>
          <w:iCs w:val="0"/>
          <w:color w:val="auto"/>
          <w:sz w:val="24"/>
          <w:szCs w:val="24"/>
        </w:rPr>
        <w:t xml:space="preserve">a </w:t>
      </w:r>
      <w:r>
        <w:rPr>
          <w:i w:val="0"/>
          <w:iCs w:val="0"/>
          <w:color w:val="auto"/>
          <w:sz w:val="24"/>
          <w:szCs w:val="24"/>
        </w:rPr>
        <w:t>total concentration of 2 mg/mL</w:t>
      </w:r>
      <w:r w:rsidRPr="009B4415">
        <w:rPr>
          <w:i w:val="0"/>
          <w:iCs w:val="0"/>
          <w:color w:val="auto"/>
          <w:sz w:val="24"/>
          <w:szCs w:val="24"/>
        </w:rPr>
        <w:t xml:space="preserve">. (b) </w:t>
      </w:r>
      <w:r w:rsidR="006D4C2E">
        <w:rPr>
          <w:i w:val="0"/>
          <w:iCs w:val="0"/>
          <w:color w:val="auto"/>
          <w:sz w:val="24"/>
          <w:szCs w:val="24"/>
        </w:rPr>
        <w:t>C</w:t>
      </w:r>
      <w:r w:rsidR="00E43F0C">
        <w:rPr>
          <w:i w:val="0"/>
          <w:iCs w:val="0"/>
          <w:color w:val="auto"/>
          <w:sz w:val="24"/>
          <w:szCs w:val="24"/>
        </w:rPr>
        <w:t xml:space="preserve">lassical least squares (CLS) </w:t>
      </w:r>
      <w:r w:rsidRPr="009B4415">
        <w:rPr>
          <w:i w:val="0"/>
          <w:iCs w:val="0"/>
          <w:color w:val="auto"/>
          <w:sz w:val="24"/>
          <w:szCs w:val="24"/>
        </w:rPr>
        <w:t xml:space="preserve">decomposition </w:t>
      </w:r>
      <w:r w:rsidR="00E43F0C">
        <w:rPr>
          <w:i w:val="0"/>
          <w:iCs w:val="0"/>
          <w:color w:val="auto"/>
          <w:sz w:val="24"/>
          <w:szCs w:val="24"/>
        </w:rPr>
        <w:t xml:space="preserve">of a </w:t>
      </w:r>
      <w:r w:rsidR="006D4C2E">
        <w:rPr>
          <w:i w:val="0"/>
          <w:iCs w:val="0"/>
          <w:color w:val="auto"/>
          <w:sz w:val="24"/>
          <w:szCs w:val="24"/>
        </w:rPr>
        <w:t xml:space="preserve">binary protein </w:t>
      </w:r>
      <w:r w:rsidR="00E43F0C">
        <w:rPr>
          <w:i w:val="0"/>
          <w:iCs w:val="0"/>
          <w:color w:val="auto"/>
          <w:sz w:val="24"/>
          <w:szCs w:val="24"/>
        </w:rPr>
        <w:t>mixture (0.4 mg/mL</w:t>
      </w:r>
      <w:r w:rsidR="00E43F0C" w:rsidRPr="009B4415">
        <w:rPr>
          <w:i w:val="0"/>
          <w:iCs w:val="0"/>
          <w:color w:val="auto"/>
          <w:sz w:val="24"/>
          <w:szCs w:val="24"/>
        </w:rPr>
        <w:t xml:space="preserve"> BSA </w:t>
      </w:r>
      <w:r w:rsidR="0028754D">
        <w:rPr>
          <w:i w:val="0"/>
          <w:iCs w:val="0"/>
          <w:color w:val="auto"/>
          <w:sz w:val="24"/>
          <w:szCs w:val="24"/>
        </w:rPr>
        <w:t>and</w:t>
      </w:r>
      <w:r w:rsidR="00E43F0C" w:rsidRPr="009B4415">
        <w:rPr>
          <w:i w:val="0"/>
          <w:iCs w:val="0"/>
          <w:color w:val="auto"/>
          <w:sz w:val="24"/>
          <w:szCs w:val="24"/>
        </w:rPr>
        <w:t xml:space="preserve"> </w:t>
      </w:r>
      <w:r w:rsidR="00E43F0C">
        <w:rPr>
          <w:i w:val="0"/>
          <w:iCs w:val="0"/>
          <w:color w:val="auto"/>
          <w:sz w:val="24"/>
          <w:szCs w:val="24"/>
        </w:rPr>
        <w:t>1.6 mg/mL</w:t>
      </w:r>
      <w:r w:rsidR="00E43F0C" w:rsidRPr="009B4415">
        <w:rPr>
          <w:i w:val="0"/>
          <w:iCs w:val="0"/>
          <w:color w:val="auto"/>
          <w:sz w:val="24"/>
          <w:szCs w:val="24"/>
        </w:rPr>
        <w:t xml:space="preserve"> NISTmAb</w:t>
      </w:r>
      <w:r w:rsidR="00E43F0C">
        <w:rPr>
          <w:i w:val="0"/>
          <w:iCs w:val="0"/>
          <w:color w:val="auto"/>
          <w:sz w:val="24"/>
          <w:szCs w:val="24"/>
        </w:rPr>
        <w:t xml:space="preserve">) using two absorption spectra of the pure BSA and NISTmAb solutions. The bottom plot is the residual of the mixture spectra after the CLS decomposition. (c) CLS analysis results of the mixture solutions. </w:t>
      </w:r>
      <w:r w:rsidR="00985A67">
        <w:rPr>
          <w:i w:val="0"/>
          <w:iCs w:val="0"/>
          <w:color w:val="auto"/>
          <w:sz w:val="24"/>
          <w:szCs w:val="24"/>
        </w:rPr>
        <w:t xml:space="preserve">The </w:t>
      </w:r>
      <w:r w:rsidR="008223E8">
        <w:rPr>
          <w:i w:val="0"/>
          <w:iCs w:val="0"/>
          <w:color w:val="auto"/>
          <w:sz w:val="24"/>
          <w:szCs w:val="24"/>
        </w:rPr>
        <w:t xml:space="preserve">closed circles denote </w:t>
      </w:r>
      <w:r w:rsidR="00D579E1">
        <w:rPr>
          <w:i w:val="0"/>
          <w:iCs w:val="0"/>
          <w:color w:val="auto"/>
          <w:sz w:val="24"/>
          <w:szCs w:val="24"/>
        </w:rPr>
        <w:t xml:space="preserve">the </w:t>
      </w:r>
      <w:r w:rsidR="008223E8">
        <w:rPr>
          <w:i w:val="0"/>
          <w:iCs w:val="0"/>
          <w:color w:val="auto"/>
          <w:sz w:val="24"/>
          <w:szCs w:val="24"/>
        </w:rPr>
        <w:t>predicted</w:t>
      </w:r>
      <w:r w:rsidR="00E74F91">
        <w:rPr>
          <w:i w:val="0"/>
          <w:iCs w:val="0"/>
          <w:color w:val="auto"/>
          <w:sz w:val="24"/>
          <w:szCs w:val="24"/>
        </w:rPr>
        <w:t xml:space="preserve"> concentration of NISTmAb, and the open </w:t>
      </w:r>
      <w:r w:rsidR="00B24994">
        <w:rPr>
          <w:i w:val="0"/>
          <w:iCs w:val="0"/>
          <w:color w:val="auto"/>
          <w:sz w:val="24"/>
          <w:szCs w:val="24"/>
        </w:rPr>
        <w:t xml:space="preserve">squares </w:t>
      </w:r>
      <w:r w:rsidR="00E74F91">
        <w:rPr>
          <w:i w:val="0"/>
          <w:iCs w:val="0"/>
          <w:color w:val="auto"/>
          <w:sz w:val="24"/>
          <w:szCs w:val="24"/>
        </w:rPr>
        <w:t xml:space="preserve">are the </w:t>
      </w:r>
      <w:r w:rsidR="00D579E1">
        <w:rPr>
          <w:i w:val="0"/>
          <w:iCs w:val="0"/>
          <w:color w:val="auto"/>
          <w:sz w:val="24"/>
          <w:szCs w:val="24"/>
        </w:rPr>
        <w:t>predicted concentration of BSA.</w:t>
      </w:r>
      <w:r w:rsidR="00E74F91">
        <w:rPr>
          <w:i w:val="0"/>
          <w:iCs w:val="0"/>
          <w:color w:val="auto"/>
          <w:sz w:val="24"/>
          <w:szCs w:val="24"/>
        </w:rPr>
        <w:t xml:space="preserve"> </w:t>
      </w:r>
      <w:r w:rsidR="00E43F0C">
        <w:rPr>
          <w:i w:val="0"/>
          <w:iCs w:val="0"/>
          <w:color w:val="auto"/>
          <w:sz w:val="24"/>
          <w:szCs w:val="24"/>
        </w:rPr>
        <w:t>The error bar</w:t>
      </w:r>
      <w:r w:rsidR="006D4C2E">
        <w:rPr>
          <w:i w:val="0"/>
          <w:iCs w:val="0"/>
          <w:color w:val="auto"/>
          <w:sz w:val="24"/>
          <w:szCs w:val="24"/>
        </w:rPr>
        <w:t>s</w:t>
      </w:r>
      <w:r w:rsidR="00E43F0C">
        <w:rPr>
          <w:i w:val="0"/>
          <w:iCs w:val="0"/>
          <w:color w:val="auto"/>
          <w:sz w:val="24"/>
          <w:szCs w:val="24"/>
        </w:rPr>
        <w:t xml:space="preserve"> indicate</w:t>
      </w:r>
      <w:r w:rsidR="006D4C2E">
        <w:rPr>
          <w:i w:val="0"/>
          <w:iCs w:val="0"/>
          <w:color w:val="auto"/>
          <w:sz w:val="24"/>
          <w:szCs w:val="24"/>
        </w:rPr>
        <w:t xml:space="preserve"> </w:t>
      </w:r>
      <w:r w:rsidR="00E43F0C">
        <w:rPr>
          <w:i w:val="0"/>
          <w:iCs w:val="0"/>
          <w:color w:val="auto"/>
          <w:sz w:val="24"/>
          <w:szCs w:val="24"/>
        </w:rPr>
        <w:t xml:space="preserve">the standard deviation of three consecutive measurements </w:t>
      </w:r>
      <w:r w:rsidR="006D4C2E">
        <w:rPr>
          <w:i w:val="0"/>
          <w:iCs w:val="0"/>
          <w:color w:val="auto"/>
          <w:sz w:val="24"/>
          <w:szCs w:val="24"/>
        </w:rPr>
        <w:t>for</w:t>
      </w:r>
      <w:r w:rsidR="00E43F0C">
        <w:rPr>
          <w:i w:val="0"/>
          <w:iCs w:val="0"/>
          <w:color w:val="auto"/>
          <w:sz w:val="24"/>
          <w:szCs w:val="24"/>
        </w:rPr>
        <w:t xml:space="preserve"> each analyte solution. </w:t>
      </w:r>
      <w:r w:rsidRPr="009B4415">
        <w:rPr>
          <w:i w:val="0"/>
          <w:iCs w:val="0"/>
          <w:color w:val="auto"/>
          <w:sz w:val="24"/>
          <w:szCs w:val="24"/>
        </w:rPr>
        <w:t xml:space="preserve">The dotted </w:t>
      </w:r>
      <w:r w:rsidR="00862A8C">
        <w:rPr>
          <w:i w:val="0"/>
          <w:iCs w:val="0"/>
          <w:color w:val="auto"/>
          <w:sz w:val="24"/>
          <w:szCs w:val="24"/>
        </w:rPr>
        <w:t xml:space="preserve">straight </w:t>
      </w:r>
      <w:r w:rsidRPr="009B4415">
        <w:rPr>
          <w:i w:val="0"/>
          <w:iCs w:val="0"/>
          <w:color w:val="auto"/>
          <w:sz w:val="24"/>
          <w:szCs w:val="24"/>
        </w:rPr>
        <w:t>line</w:t>
      </w:r>
      <w:r w:rsidRPr="006714A1">
        <w:rPr>
          <w:i w:val="0"/>
          <w:color w:val="auto"/>
          <w:sz w:val="24"/>
          <w:szCs w:val="24"/>
        </w:rPr>
        <w:t xml:space="preserve">s are for </w:t>
      </w:r>
      <w:r w:rsidR="00482B08" w:rsidRPr="006714A1">
        <w:rPr>
          <w:i w:val="0"/>
          <w:color w:val="auto"/>
          <w:sz w:val="24"/>
          <w:szCs w:val="24"/>
        </w:rPr>
        <w:t xml:space="preserve">the </w:t>
      </w:r>
      <w:r w:rsidR="00E43F0C" w:rsidRPr="006714A1">
        <w:rPr>
          <w:i w:val="0"/>
          <w:color w:val="auto"/>
          <w:sz w:val="24"/>
          <w:szCs w:val="24"/>
        </w:rPr>
        <w:t>guidance</w:t>
      </w:r>
      <w:r w:rsidR="00862A8C" w:rsidRPr="006714A1">
        <w:rPr>
          <w:i w:val="0"/>
          <w:color w:val="auto"/>
          <w:sz w:val="24"/>
          <w:szCs w:val="24"/>
        </w:rPr>
        <w:t xml:space="preserve"> of coincidence of the actual and predicted concentrations</w:t>
      </w:r>
      <w:r w:rsidR="00E43F0C" w:rsidRPr="006714A1">
        <w:rPr>
          <w:i w:val="0"/>
          <w:color w:val="auto"/>
          <w:sz w:val="24"/>
          <w:szCs w:val="24"/>
        </w:rPr>
        <w:t>.</w:t>
      </w:r>
    </w:p>
    <w:p w14:paraId="205BC818" w14:textId="77777777" w:rsidR="00862A8C" w:rsidRPr="00E4350F" w:rsidRDefault="00862A8C" w:rsidP="00F667CE"/>
    <w:p w14:paraId="44780217" w14:textId="624FE9B8" w:rsidR="002D6E19" w:rsidRDefault="00C2055E" w:rsidP="002D6E19">
      <w:pPr>
        <w:pStyle w:val="TAMainText"/>
      </w:pPr>
      <w:bookmarkStart w:id="20" w:name="_Hlk51171251"/>
      <w:r w:rsidRPr="03066021">
        <w:rPr>
          <w:b/>
          <w:bCs/>
        </w:rPr>
        <w:t xml:space="preserve">Quantitation of </w:t>
      </w:r>
      <w:r w:rsidR="006714A1" w:rsidRPr="03066021">
        <w:rPr>
          <w:b/>
          <w:bCs/>
        </w:rPr>
        <w:t>secondary structures</w:t>
      </w:r>
      <w:r w:rsidR="006714A1">
        <w:t xml:space="preserve"> </w:t>
      </w:r>
      <w:r w:rsidR="006714A1" w:rsidRPr="00B52F36">
        <w:rPr>
          <w:b/>
          <w:bCs/>
        </w:rPr>
        <w:t>in p</w:t>
      </w:r>
      <w:r w:rsidR="00375C43" w:rsidRPr="03066021">
        <w:rPr>
          <w:b/>
          <w:bCs/>
        </w:rPr>
        <w:t>rotein mixture</w:t>
      </w:r>
      <w:r w:rsidR="006714A1" w:rsidRPr="03066021">
        <w:rPr>
          <w:b/>
          <w:bCs/>
        </w:rPr>
        <w:t>s</w:t>
      </w:r>
      <w:r w:rsidR="00142664" w:rsidRPr="03066021">
        <w:rPr>
          <w:b/>
          <w:bCs/>
        </w:rPr>
        <w:t xml:space="preserve"> </w:t>
      </w:r>
    </w:p>
    <w:p w14:paraId="48BDC348" w14:textId="5075FD9F" w:rsidR="0040052C" w:rsidRPr="0040052C" w:rsidRDefault="00E36F7D" w:rsidP="00853E5A">
      <w:pPr>
        <w:pStyle w:val="TAMainText"/>
      </w:pPr>
      <w:r>
        <w:t xml:space="preserve">In addition to the detection limit, quantitation of secondary structure is another important application of mid-IR spectroscopy for protein solutions. </w:t>
      </w:r>
      <w:r w:rsidRPr="006B759D">
        <w:t xml:space="preserve">Secondary structure band fitting relies heavily on a flat </w:t>
      </w:r>
      <w:r w:rsidR="00FD2D5E">
        <w:t>baseline,</w:t>
      </w:r>
      <w:r w:rsidRPr="006B759D">
        <w:t xml:space="preserve"> which is </w:t>
      </w:r>
      <w:r w:rsidR="00FD2D5E">
        <w:t>difficult</w:t>
      </w:r>
      <w:r w:rsidRPr="006B759D">
        <w:t xml:space="preserve"> </w:t>
      </w:r>
      <w:r w:rsidR="00FD2D5E">
        <w:t xml:space="preserve">in </w:t>
      </w:r>
      <w:r w:rsidRPr="006B759D">
        <w:t>FT</w:t>
      </w:r>
      <w:r w:rsidR="00FD2D5E">
        <w:t>-</w:t>
      </w:r>
      <w:r w:rsidRPr="006B759D">
        <w:t>IR</w:t>
      </w:r>
      <w:r w:rsidR="00FD2D5E">
        <w:t xml:space="preserve"> even after post data processing</w:t>
      </w:r>
      <w:r w:rsidRPr="006B759D">
        <w:t>.</w:t>
      </w:r>
      <w:r>
        <w:t xml:space="preserve"> </w:t>
      </w:r>
      <w:r w:rsidR="00FF2966">
        <w:t xml:space="preserve">Using a </w:t>
      </w:r>
      <w:r w:rsidR="009D411A">
        <w:t xml:space="preserve">mixture of two proteins </w:t>
      </w:r>
      <w:r w:rsidR="00FF2966">
        <w:t>that</w:t>
      </w:r>
      <w:r w:rsidR="009D411A">
        <w:t xml:space="preserve"> </w:t>
      </w:r>
      <w:r w:rsidR="00FF2966">
        <w:t xml:space="preserve">have different compositions of </w:t>
      </w:r>
      <w:r w:rsidR="00FF2966" w:rsidRPr="006C6D18">
        <w:rPr>
          <w:rFonts w:ascii="Symbol" w:hAnsi="Symbol"/>
        </w:rPr>
        <w:t></w:t>
      </w:r>
      <w:r w:rsidR="00FF2966" w:rsidRPr="00F90911">
        <w:t xml:space="preserve">-helical </w:t>
      </w:r>
      <w:r w:rsidR="00FF2966">
        <w:t xml:space="preserve">and </w:t>
      </w:r>
      <w:r w:rsidR="00FF2966" w:rsidRPr="006C6D18">
        <w:rPr>
          <w:rFonts w:ascii="Symbol" w:hAnsi="Symbol"/>
        </w:rPr>
        <w:t></w:t>
      </w:r>
      <w:r w:rsidR="00FF2966" w:rsidRPr="00F90911">
        <w:t>-sheet</w:t>
      </w:r>
      <w:r w:rsidR="00FF2966">
        <w:t>, we demonstrated this technique to determine the concentration of each component</w:t>
      </w:r>
      <w:r w:rsidR="00BF06D8" w:rsidRPr="00BF06D8">
        <w:t xml:space="preserve"> </w:t>
      </w:r>
      <w:r w:rsidR="00BF06D8">
        <w:t>quantitatively</w:t>
      </w:r>
      <w:r w:rsidR="00FD2D5E">
        <w:t xml:space="preserve"> without any post data processing</w:t>
      </w:r>
      <w:r w:rsidR="009D411A">
        <w:t xml:space="preserve">. BSA is known to be rich in </w:t>
      </w:r>
      <w:r w:rsidR="009D411A" w:rsidRPr="006C6D18">
        <w:rPr>
          <w:rFonts w:ascii="Symbol" w:hAnsi="Symbol"/>
        </w:rPr>
        <w:t></w:t>
      </w:r>
      <w:r w:rsidR="009D411A" w:rsidRPr="00F90911">
        <w:t>-helical structure</w:t>
      </w:r>
      <w:r w:rsidR="00203168">
        <w:t>,</w:t>
      </w:r>
      <w:r w:rsidR="004B1CC7">
        <w:fldChar w:fldCharType="begin" w:fldLock="1"/>
      </w:r>
      <w:r w:rsidR="000C4007">
        <w:instrText>ADDIN CSL_CITATION {"citationItems":[{"id":"ITEM-1","itemData":{"DOI":"10.1016/S0065-3233(08)60640-3","ISSN":"00653233","PMID":"8154369","abstract":"This chapter provides an insight of the findings of past significant papers with the current knowledge of the recently determined high resolution X-ray structure of serum albumin. The most outstanding property of albumin is its ability to bind reversibly an incredible variety of ligands. The sequences of all albumins are characterized by a unique arrangement of disulfide double loops that repeat as a series of triplets. Albumin belongs to a multigene family of proteins that includes α-fetoprotein (AFP) and vitamin D-binding protein (VDP), also known as G complement (Gc) protein. Although AFP is considered the fetal counterpart of albumin, its binding properties are distinct and it is suggested that AFP may have a higher affinity for some unknown ligands important for fetal development. Domain structure and the arrangement of the disulfides, the surface charge distribution, and the conformational flexibility of the albumin molecule are described. The nature of ligand binding, including small organics, long-chain fatty acids, and metals, to multiple sites on the albumin molecule is clearly depicted. The chapter concludes with the perceptive comments on future directions being taken to explore the structure and function of this fascinating protein. © 1994 Academic Press, Inc.","author":[{"dropping-particle":"","family":"Carter","given":"Daniel C.","non-dropping-particle":"","parse-names":false,"suffix":""},{"dropping-particle":"","family":"Ho","given":"Joseph X.","non-dropping-particle":"","parse-names":false,"suffix":""}],"container-title":"Advances in Protein Chemistry","id":"ITEM-1","issue":"C","issued":{"date-parts":[["1994"]]},"page":"153-176","title":"Structure of serum albumin","type":"article-journal","volume":"45"},"uris":["http://www.mendeley.com/documents/?uuid=87d077d4-0753-44bd-9eea-fc76a9e9ac85","http://www.mendeley.com/documents/?uuid=c8b902fd-5d01-4c92-903d-3390815c1c21"]}],"mendeley":{"formattedCitation":"&lt;sup&gt;22&lt;/sup&gt;","plainTextFormattedCitation":"22","previouslyFormattedCitation":"&lt;sup&gt;21&lt;/sup&gt;"},"properties":{"noteIndex":0},"schema":"https://github.com/citation-style-language/schema/raw/master/csl-citation.json"}</w:instrText>
      </w:r>
      <w:r w:rsidR="004B1CC7">
        <w:fldChar w:fldCharType="separate"/>
      </w:r>
      <w:r w:rsidR="000C4007" w:rsidRPr="000C4007">
        <w:rPr>
          <w:noProof/>
          <w:vertAlign w:val="superscript"/>
        </w:rPr>
        <w:t>22</w:t>
      </w:r>
      <w:r w:rsidR="004B1CC7">
        <w:fldChar w:fldCharType="end"/>
      </w:r>
      <w:r w:rsidR="009D411A">
        <w:t xml:space="preserve"> while </w:t>
      </w:r>
      <w:r w:rsidR="002658B9">
        <w:t xml:space="preserve">immunoglobulin G (IgG) </w:t>
      </w:r>
      <w:r w:rsidR="009D411A">
        <w:t xml:space="preserve">is known to be </w:t>
      </w:r>
      <w:r w:rsidR="009D411A" w:rsidRPr="006C6D18">
        <w:rPr>
          <w:rFonts w:ascii="Symbol" w:hAnsi="Symbol"/>
        </w:rPr>
        <w:t></w:t>
      </w:r>
      <w:r w:rsidR="009D411A" w:rsidRPr="00F90911">
        <w:t>-sheet</w:t>
      </w:r>
      <w:r w:rsidR="009D411A">
        <w:t xml:space="preserve"> rich</w:t>
      </w:r>
      <w:r w:rsidR="00203168">
        <w:t>.</w:t>
      </w:r>
      <w:r w:rsidR="007B5E64">
        <w:fldChar w:fldCharType="begin" w:fldLock="1"/>
      </w:r>
      <w:r w:rsidR="000C4007">
        <w:instrText>ADDIN CSL_CITATION {"citationItems":[{"id":"ITEM-1","itemData":{"DOI":"10.1021/bk-2015-1201.ch006","ISBN":"9780841230293","ISSN":"19475918","abstract":"One of the major challenges that the biopharmaceutical industry currently faces is maintaining the structural integrity and stability of protein therapeutics through production and shelf life. Changes introduced in antibody production processes or formulations may have major impact on stability, efficacy, and safety. Hence, a robust set of biophysical techniques to characterize and assess the \"higher order structure\" (HOS) of monoclonal antibodies (mAbs) is an integral part of the drug development process. In a unique collaboration spanning academic/government institutions and the biotechnology industry, we used a set of sophisticated orthogonal biophysical techniques for characterizing the HOS of an IgG1 mAb. Each section of this chapter focuses on a particular method to probe different molecular properties of the mAb such as solution mass, size, polydispersity, solution charge, thermal stability, aggregation, and secondary and tertiary structural changes in different solutions and at different mAb concentrations. Our collaboration has resulted in the collection of biophysical data rich in the solution structural information of the NISTmAb that we hope will help researchers worldwide as a guide for the biophysical characterization of mAbs and proteins in general.","author":[{"dropping-particle":"","family":"Gokarn","given":"Yatin","non-dropping-particle":"","parse-names":false,"suffix":""},{"dropping-particle":"","family":"Agarwal","given":"Sanjeev","non-dropping-particle":"","parse-names":false,"suffix":""},{"dropping-particle":"","family":"Arthur","given":"Kelly","non-dropping-particle":"","parse-names":false,"suffix":""},{"dropping-particle":"","family":"Bepperling","given":"Alexander","non-dropping-particle":"","parse-names":false,"suffix":""},{"dropping-particle":"","family":"Day","given":"Eric S.","non-dropping-particle":"","parse-names":false,"suffix":""},{"dropping-particle":"","family":"Filoti","given":"Dana","non-dropping-particle":"","parse-names":false,"suffix":""},{"dropping-particle":"","family":"Greene","given":"Daniel G.","non-dropping-particle":"","parse-names":false,"suffix":""},{"dropping-particle":"","family":"Hayes","given":"David","non-dropping-particle":"","parse-names":false,"suffix":""},{"dropping-particle":"","family":"Kroe-Barrett","given":"Rachel","non-dropping-particle":"","parse-names":false,"suffix":""},{"dropping-particle":"","family":"Laue","given":"Thomas","non-dropping-particle":"","parse-names":false,"suffix":""},{"dropping-particle":"","family":"Lin","given":"Jasper","non-dropping-particle":"","parse-names":false,"suffix":""},{"dropping-particle":"","family":"McGarry","given":"Brian","non-dropping-particle":"","parse-names":false,"suffix":""},{"dropping-particle":"","family":"Razinkov","given":"Vladimir","non-dropping-particle":"","parse-names":false,"suffix":""},{"dropping-particle":"","family":"Singh","given":"Sanjaya","non-dropping-particle":"","parse-names":false,"suffix":""},{"dropping-particle":"","family":"Taing","given":"Rosalynn","non-dropping-particle":"","parse-names":false,"suffix":""},{"dropping-particle":"","family":"Venkataramani","given":"Sathyadevi","non-dropping-particle":"","parse-names":false,"suffix":""},{"dropping-particle":"","family":"Weiss","given":"William","non-dropping-particle":"","parse-names":false,"suffix":""},{"dropping-particle":"","family":"Yang","given":"Danlin","non-dropping-particle":"","parse-names":false,"suffix":""},{"dropping-particle":"","family":"Zarraga","given":"Isidro E.","non-dropping-particle":"","parse-names":false,"suffix":""}],"container-title":"ACS Symposium Series","id":"ITEM-1","issued":{"date-parts":[["2015"]]},"page":"285-327","title":"Biophysical techniques for characterizing the higher order structure and interactions of monoclonal antibodies","type":"article-journal","volume":"1201"},"uris":["http://www.mendeley.com/documents/?uuid=8fd4e01b-4444-4498-9809-ae2e4dafea40","http://www.mendeley.com/documents/?uuid=88c731cf-7d0d-46d1-99d2-11fa917c433a"]}],"mendeley":{"formattedCitation":"&lt;sup&gt;23&lt;/sup&gt;","plainTextFormattedCitation":"23","previouslyFormattedCitation":"&lt;sup&gt;22&lt;/sup&gt;"},"properties":{"noteIndex":0},"schema":"https://github.com/citation-style-language/schema/raw/master/csl-citation.json"}</w:instrText>
      </w:r>
      <w:r w:rsidR="007B5E64">
        <w:fldChar w:fldCharType="separate"/>
      </w:r>
      <w:r w:rsidR="000C4007" w:rsidRPr="000C4007">
        <w:rPr>
          <w:noProof/>
          <w:vertAlign w:val="superscript"/>
        </w:rPr>
        <w:t>23</w:t>
      </w:r>
      <w:r w:rsidR="007B5E64">
        <w:fldChar w:fldCharType="end"/>
      </w:r>
      <w:r w:rsidR="009D411A">
        <w:t xml:space="preserve"> </w:t>
      </w:r>
      <w:r w:rsidR="00F469BB">
        <w:t>For IgG, w</w:t>
      </w:r>
      <w:r w:rsidR="002658B9">
        <w:t>e use NISTmAb</w:t>
      </w:r>
      <w:r w:rsidR="003C5F4C">
        <w:t xml:space="preserve"> (NIST RM 8671)</w:t>
      </w:r>
      <w:r w:rsidR="00E3205B">
        <w:t xml:space="preserve">, an IgG </w:t>
      </w:r>
      <w:r w:rsidR="002658B9">
        <w:t>reference material of IgG. S</w:t>
      </w:r>
      <w:r w:rsidR="000B783E">
        <w:t>tock solution</w:t>
      </w:r>
      <w:r w:rsidR="002658B9">
        <w:t>s</w:t>
      </w:r>
      <w:r w:rsidR="000B783E">
        <w:t xml:space="preserve"> of </w:t>
      </w:r>
      <w:r w:rsidR="002658B9">
        <w:t>BSA and NISTmAb are</w:t>
      </w:r>
      <w:r w:rsidR="000B783E">
        <w:t xml:space="preserve"> prepared at 2 mg/mL and </w:t>
      </w:r>
      <w:r w:rsidR="00AE4C6F">
        <w:t>mixed</w:t>
      </w:r>
      <w:r w:rsidR="000B783E">
        <w:t xml:space="preserve"> by </w:t>
      </w:r>
      <w:r w:rsidR="002658B9">
        <w:t xml:space="preserve">the </w:t>
      </w:r>
      <w:r w:rsidR="000B783E">
        <w:t xml:space="preserve">volume ratios of 0.2, 0.4, 0.6, and 0.8. </w:t>
      </w:r>
      <w:r w:rsidR="002658B9">
        <w:t xml:space="preserve">Thus, </w:t>
      </w:r>
      <w:r w:rsidR="00AE4C6F">
        <w:t>t</w:t>
      </w:r>
      <w:r w:rsidR="009D411A">
        <w:t>he total concentration</w:t>
      </w:r>
      <w:r w:rsidR="002658B9">
        <w:t xml:space="preserve"> is the same </w:t>
      </w:r>
      <w:r w:rsidR="0098059E">
        <w:t>(</w:t>
      </w:r>
      <w:r w:rsidR="002658B9">
        <w:t>2 mg/mL</w:t>
      </w:r>
      <w:r w:rsidR="0098059E">
        <w:t>)</w:t>
      </w:r>
      <w:r w:rsidR="002658B9">
        <w:t xml:space="preserve"> for </w:t>
      </w:r>
      <w:r w:rsidR="00AE4C6F">
        <w:t xml:space="preserve">the pure </w:t>
      </w:r>
      <w:r w:rsidR="002658B9">
        <w:t xml:space="preserve">stock solutions </w:t>
      </w:r>
      <w:r w:rsidR="00AE4C6F">
        <w:t xml:space="preserve">and </w:t>
      </w:r>
      <w:r w:rsidR="002658B9">
        <w:t xml:space="preserve">the </w:t>
      </w:r>
      <w:r w:rsidR="009D411A">
        <w:t>mixture solutions</w:t>
      </w:r>
      <w:r w:rsidR="002658B9">
        <w:t>.</w:t>
      </w:r>
      <w:r w:rsidR="009D411A">
        <w:t xml:space="preserve"> </w:t>
      </w:r>
      <w:r w:rsidR="00131BC5">
        <w:t xml:space="preserve">Notably, </w:t>
      </w:r>
      <w:r w:rsidR="002658B9">
        <w:t xml:space="preserve">the </w:t>
      </w:r>
      <w:r w:rsidR="000C6242">
        <w:t xml:space="preserve">total </w:t>
      </w:r>
      <w:r w:rsidR="00F469BB">
        <w:t xml:space="preserve">protein </w:t>
      </w:r>
      <w:r w:rsidR="002658B9">
        <w:t xml:space="preserve">concentration of 2 mg/mL </w:t>
      </w:r>
      <w:r w:rsidR="000B783E">
        <w:t xml:space="preserve">is </w:t>
      </w:r>
      <w:r w:rsidR="002658B9">
        <w:t xml:space="preserve">below the </w:t>
      </w:r>
      <w:r w:rsidR="002658B9" w:rsidRPr="005D7AC7">
        <w:t xml:space="preserve">detection </w:t>
      </w:r>
      <w:r w:rsidR="00455BB2" w:rsidRPr="005D7AC7">
        <w:t>range</w:t>
      </w:r>
      <w:r w:rsidR="002658B9" w:rsidRPr="005D7AC7">
        <w:t xml:space="preserve"> </w:t>
      </w:r>
      <w:r w:rsidR="002658B9">
        <w:t xml:space="preserve">of </w:t>
      </w:r>
      <w:r w:rsidR="000B783E">
        <w:t xml:space="preserve">conventional FT-IR. </w:t>
      </w:r>
      <w:r w:rsidR="00980926">
        <w:t>The classical least squares (CLS) method is used to decompose</w:t>
      </w:r>
      <w:r w:rsidR="009921B8">
        <w:t xml:space="preserve"> t</w:t>
      </w:r>
      <w:r w:rsidR="00853E5A">
        <w:t xml:space="preserve">he </w:t>
      </w:r>
      <w:r w:rsidR="002658B9">
        <w:t xml:space="preserve">acquired absorption spectra of the </w:t>
      </w:r>
      <w:r w:rsidR="00853E5A">
        <w:t xml:space="preserve">mixture </w:t>
      </w:r>
      <w:r w:rsidR="0000116D">
        <w:t xml:space="preserve">into </w:t>
      </w:r>
      <w:r w:rsidR="00853E5A">
        <w:t xml:space="preserve">a linear combination of </w:t>
      </w:r>
      <w:r w:rsidR="00E37DFF">
        <w:t xml:space="preserve">two </w:t>
      </w:r>
      <w:r w:rsidR="0040052C">
        <w:t>spectra of single-component</w:t>
      </w:r>
      <w:r w:rsidR="004D019E">
        <w:t xml:space="preserve"> </w:t>
      </w:r>
      <w:r w:rsidR="0040052C">
        <w:t>solutions</w:t>
      </w:r>
      <w:r w:rsidR="00853E5A">
        <w:t>,</w:t>
      </w:r>
    </w:p>
    <w:p w14:paraId="336ECFAF" w14:textId="6507AEC7" w:rsidR="00101716" w:rsidRPr="00F90911" w:rsidRDefault="00E95092" w:rsidP="00F667CE">
      <w:pPr>
        <w:pStyle w:val="TAMainText"/>
      </w:pPr>
      <w:r>
        <w:tab/>
      </w:r>
      <m:oMath>
        <m:sSub>
          <m:sSubPr>
            <m:ctrlPr>
              <w:rPr>
                <w:rFonts w:ascii="Cambria Math" w:hAnsi="Cambria Math"/>
              </w:rPr>
            </m:ctrlPr>
          </m:sSubPr>
          <m:e>
            <m:r>
              <w:rPr>
                <w:rFonts w:ascii="Cambria Math" w:hAnsi="Cambria Math"/>
              </w:rPr>
              <m:t>A</m:t>
            </m:r>
          </m:e>
          <m:sub>
            <m:r>
              <m:rPr>
                <m:sty m:val="p"/>
              </m:rPr>
              <w:rPr>
                <w:rFonts w:ascii="Cambria Math" w:hAnsi="Cambria Math"/>
              </w:rPr>
              <m:t>mix</m:t>
            </m:r>
          </m:sub>
        </m:sSub>
        <m:r>
          <w:rPr>
            <w:rFonts w:ascii="Cambria Math" w:hAnsi="Cambria Math"/>
          </w:rPr>
          <m:t>(ω)=</m:t>
        </m:r>
        <m:sSub>
          <m:sSubPr>
            <m:ctrlPr>
              <w:rPr>
                <w:rFonts w:ascii="Cambria Math" w:hAnsi="Cambria Math"/>
              </w:rPr>
            </m:ctrlPr>
          </m:sSubPr>
          <m:e>
            <m:r>
              <w:rPr>
                <w:rFonts w:ascii="Cambria Math" w:hAnsi="Cambria Math"/>
              </w:rPr>
              <m:t>f</m:t>
            </m:r>
          </m:e>
          <m:sub>
            <m:r>
              <m:rPr>
                <m:sty m:val="p"/>
              </m:rPr>
              <w:rPr>
                <w:rFonts w:ascii="Cambria Math" w:hAnsi="Cambria Math"/>
              </w:rPr>
              <m:t>BSA</m:t>
            </m:r>
          </m:sub>
        </m:sSub>
        <m: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BSA</m:t>
            </m:r>
          </m:sub>
        </m:sSub>
        <m:r>
          <w:rPr>
            <w:rFonts w:ascii="Cambria Math" w:hAnsi="Cambria Math"/>
          </w:rPr>
          <m:t>(ω)+</m:t>
        </m:r>
        <m:sSub>
          <m:sSubPr>
            <m:ctrlPr>
              <w:rPr>
                <w:rFonts w:ascii="Cambria Math" w:hAnsi="Cambria Math"/>
              </w:rPr>
            </m:ctrlPr>
          </m:sSubPr>
          <m:e>
            <m:r>
              <w:rPr>
                <w:rFonts w:ascii="Cambria Math" w:hAnsi="Cambria Math"/>
              </w:rPr>
              <m:t>f</m:t>
            </m:r>
          </m:e>
          <m:sub>
            <m:r>
              <m:rPr>
                <m:sty m:val="p"/>
              </m:rPr>
              <w:rPr>
                <w:rFonts w:ascii="Cambria Math" w:hAnsi="Cambria Math"/>
              </w:rPr>
              <m:t>NISTmAb</m:t>
            </m:r>
          </m:sub>
        </m:sSub>
        <m: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NISTmAb</m:t>
            </m:r>
          </m:sub>
        </m:sSub>
        <m:r>
          <w:rPr>
            <w:rFonts w:ascii="Cambria Math" w:hAnsi="Cambria Math"/>
          </w:rPr>
          <m:t>(ω)</m:t>
        </m:r>
      </m:oMath>
      <w:r w:rsidR="00A534C0">
        <w:tab/>
      </w:r>
      <w:r w:rsidR="0000116D">
        <w:tab/>
      </w:r>
      <w:r w:rsidR="0040052C">
        <w:tab/>
      </w:r>
      <w:r w:rsidR="0040052C">
        <w:tab/>
      </w:r>
      <w:r w:rsidR="00A534C0">
        <w:t>(</w:t>
      </w:r>
      <w:r w:rsidR="00F63989">
        <w:t>1</w:t>
      </w:r>
      <w:r w:rsidR="00A534C0">
        <w:t>)</w:t>
      </w:r>
    </w:p>
    <w:p w14:paraId="3D223F38" w14:textId="7BE9ECB7" w:rsidR="002B59BE" w:rsidRPr="00F90911" w:rsidRDefault="00B40EAD" w:rsidP="00F667CE">
      <w:pPr>
        <w:pStyle w:val="TAMainText"/>
        <w:ind w:firstLine="0"/>
      </w:pPr>
      <w:r>
        <w:t>w</w:t>
      </w:r>
      <w:r w:rsidR="00101716" w:rsidRPr="00F90911">
        <w:t>here</w:t>
      </w:r>
      <w:r>
        <w:t xml:space="preserve"> </w:t>
      </w:r>
      <w:r w:rsidRPr="009F3499">
        <w:rPr>
          <w:i/>
        </w:rPr>
        <w:t>A</w:t>
      </w:r>
      <w:r w:rsidRPr="009F3499">
        <w:rPr>
          <w:vertAlign w:val="subscript"/>
        </w:rPr>
        <w:t>BSA</w:t>
      </w:r>
      <w:r w:rsidR="0005617F">
        <w:t>(</w:t>
      </w:r>
      <w:r w:rsidR="0005617F" w:rsidRPr="009F3499">
        <w:rPr>
          <w:rFonts w:ascii="Symbol" w:hAnsi="Symbol"/>
          <w:i/>
          <w:iCs/>
        </w:rPr>
        <w:t></w:t>
      </w:r>
      <w:r w:rsidR="0005617F">
        <w:t xml:space="preserve">) </w:t>
      </w:r>
      <w:r>
        <w:t xml:space="preserve">and </w:t>
      </w:r>
      <w:r w:rsidRPr="009F3499">
        <w:rPr>
          <w:i/>
        </w:rPr>
        <w:t>A</w:t>
      </w:r>
      <w:r w:rsidRPr="009F3499">
        <w:rPr>
          <w:vertAlign w:val="subscript"/>
        </w:rPr>
        <w:t>NISTmAb</w:t>
      </w:r>
      <w:r w:rsidR="0005617F">
        <w:t>(</w:t>
      </w:r>
      <w:r w:rsidR="0005617F" w:rsidRPr="009B4415">
        <w:rPr>
          <w:rFonts w:ascii="Symbol" w:hAnsi="Symbol"/>
          <w:i/>
          <w:iCs/>
        </w:rPr>
        <w:t></w:t>
      </w:r>
      <w:r w:rsidR="0005617F">
        <w:t>)</w:t>
      </w:r>
      <w:r>
        <w:t xml:space="preserve"> </w:t>
      </w:r>
      <w:r w:rsidR="00101716" w:rsidRPr="00F90911">
        <w:t xml:space="preserve">are the </w:t>
      </w:r>
      <w:r w:rsidR="00853E5A">
        <w:t>absorption</w:t>
      </w:r>
      <w:r w:rsidR="00853E5A" w:rsidRPr="00F90911">
        <w:t xml:space="preserve"> </w:t>
      </w:r>
      <w:r w:rsidR="00101716" w:rsidRPr="00F90911">
        <w:t xml:space="preserve">spectra of the </w:t>
      </w:r>
      <w:r w:rsidR="0005617F">
        <w:t xml:space="preserve">pure </w:t>
      </w:r>
      <w:r w:rsidR="000D298B">
        <w:t>BSA and NISTmAb</w:t>
      </w:r>
      <w:r w:rsidR="0005617F">
        <w:t xml:space="preserve"> solutions</w:t>
      </w:r>
      <w:r w:rsidR="000D298B">
        <w:t xml:space="preserve">, </w:t>
      </w:r>
      <w:r w:rsidR="0000116D">
        <w:t xml:space="preserve">respectively; </w:t>
      </w:r>
      <w:r w:rsidR="00603E7D" w:rsidRPr="0015785C">
        <w:rPr>
          <w:rFonts w:ascii="Symbol" w:hAnsi="Symbol"/>
          <w:i/>
          <w:iCs/>
        </w:rPr>
        <w:t></w:t>
      </w:r>
      <w:r w:rsidR="00603E7D">
        <w:t xml:space="preserve"> is </w:t>
      </w:r>
      <w:r w:rsidR="00F141CA">
        <w:t xml:space="preserve">frequency; </w:t>
      </w:r>
      <w:r>
        <w:t xml:space="preserve">and </w:t>
      </w:r>
      <w:r w:rsidR="00E8509B">
        <w:rPr>
          <w:i/>
        </w:rPr>
        <w:t>f</w:t>
      </w:r>
      <w:r w:rsidRPr="006A0042">
        <w:rPr>
          <w:vertAlign w:val="subscript"/>
        </w:rPr>
        <w:t>BSA</w:t>
      </w:r>
      <w:r>
        <w:t xml:space="preserve"> </w:t>
      </w:r>
      <w:r w:rsidR="0000116D">
        <w:t xml:space="preserve">and </w:t>
      </w:r>
      <w:r w:rsidR="0000116D">
        <w:rPr>
          <w:i/>
        </w:rPr>
        <w:t>f</w:t>
      </w:r>
      <w:r w:rsidR="0000116D">
        <w:rPr>
          <w:vertAlign w:val="subscript"/>
        </w:rPr>
        <w:t>NISTmAb</w:t>
      </w:r>
      <w:r w:rsidR="0000116D">
        <w:t xml:space="preserve"> are</w:t>
      </w:r>
      <w:r>
        <w:t xml:space="preserve"> the </w:t>
      </w:r>
      <w:r w:rsidR="005B42F5">
        <w:t>predicted</w:t>
      </w:r>
      <w:r w:rsidR="0000116D">
        <w:t xml:space="preserve"> </w:t>
      </w:r>
      <w:r w:rsidR="00B97013">
        <w:t xml:space="preserve">mass </w:t>
      </w:r>
      <w:r w:rsidR="00E8509B">
        <w:t>fraction</w:t>
      </w:r>
      <w:r w:rsidR="00B97013">
        <w:t>s</w:t>
      </w:r>
      <w:r w:rsidR="00E8509B">
        <w:t xml:space="preserve"> </w:t>
      </w:r>
      <w:r>
        <w:t>of BSA</w:t>
      </w:r>
      <w:r w:rsidR="0000116D">
        <w:t xml:space="preserve"> and NISTmAb, respectively</w:t>
      </w:r>
      <w:r w:rsidR="000D298B">
        <w:t xml:space="preserve">. </w:t>
      </w:r>
      <w:r w:rsidR="00EE6863">
        <w:t>Figure</w:t>
      </w:r>
      <w:r w:rsidR="00596E94">
        <w:t xml:space="preserve"> 3b shows </w:t>
      </w:r>
      <w:r w:rsidR="005B42F5">
        <w:t xml:space="preserve">an example of spectral </w:t>
      </w:r>
      <w:r w:rsidR="00375C43">
        <w:t xml:space="preserve">decomposition </w:t>
      </w:r>
      <w:r w:rsidR="005B42F5">
        <w:t>for a mixture spectrum using the</w:t>
      </w:r>
      <w:r w:rsidR="00596E94">
        <w:t xml:space="preserve"> two basis functions</w:t>
      </w:r>
      <w:r w:rsidR="005B42F5">
        <w:t xml:space="preserve"> of </w:t>
      </w:r>
      <w:r w:rsidR="005B42F5" w:rsidRPr="009B4415">
        <w:rPr>
          <w:i/>
        </w:rPr>
        <w:t>A</w:t>
      </w:r>
      <w:r w:rsidR="005B42F5" w:rsidRPr="009B4415">
        <w:rPr>
          <w:vertAlign w:val="subscript"/>
        </w:rPr>
        <w:t>BSA</w:t>
      </w:r>
      <w:r w:rsidR="005B42F5">
        <w:t>(</w:t>
      </w:r>
      <w:r w:rsidR="005B42F5" w:rsidRPr="009B4415">
        <w:rPr>
          <w:rFonts w:ascii="Symbol" w:hAnsi="Symbol"/>
          <w:i/>
          <w:iCs/>
        </w:rPr>
        <w:t></w:t>
      </w:r>
      <w:r w:rsidR="005B42F5">
        <w:t xml:space="preserve">) and </w:t>
      </w:r>
      <w:r w:rsidR="005B42F5" w:rsidRPr="009B4415">
        <w:rPr>
          <w:i/>
        </w:rPr>
        <w:t>A</w:t>
      </w:r>
      <w:r w:rsidR="005B42F5" w:rsidRPr="009B4415">
        <w:rPr>
          <w:vertAlign w:val="subscript"/>
        </w:rPr>
        <w:t>NISTmAb</w:t>
      </w:r>
      <w:r w:rsidR="005B42F5">
        <w:t>(</w:t>
      </w:r>
      <w:r w:rsidR="005B42F5" w:rsidRPr="009B4415">
        <w:rPr>
          <w:rFonts w:ascii="Symbol" w:hAnsi="Symbol"/>
          <w:i/>
          <w:iCs/>
        </w:rPr>
        <w:t></w:t>
      </w:r>
      <w:r w:rsidR="005B42F5">
        <w:t>)</w:t>
      </w:r>
      <w:r w:rsidR="00596E94">
        <w:t xml:space="preserve">. </w:t>
      </w:r>
      <w:r w:rsidR="005B42F5">
        <w:t>T</w:t>
      </w:r>
      <w:r w:rsidR="00596E94">
        <w:t xml:space="preserve">he residual spectrum </w:t>
      </w:r>
      <w:r w:rsidR="005B42F5">
        <w:t xml:space="preserve">at the bottom of </w:t>
      </w:r>
      <w:r w:rsidR="00EE6863">
        <w:t>Figure</w:t>
      </w:r>
      <w:r w:rsidR="00596E94">
        <w:t xml:space="preserve"> 3</w:t>
      </w:r>
      <w:r w:rsidR="005B42F5">
        <w:t>b</w:t>
      </w:r>
      <w:r w:rsidR="00596E94">
        <w:t xml:space="preserve"> shows</w:t>
      </w:r>
      <w:r w:rsidR="005B42F5">
        <w:t xml:space="preserve"> that</w:t>
      </w:r>
      <w:r w:rsidR="00596E94">
        <w:t xml:space="preserve"> the decomposition works very well with an </w:t>
      </w:r>
      <w:r w:rsidR="005B42F5">
        <w:t>average deviation</w:t>
      </w:r>
      <w:r w:rsidR="00596E94">
        <w:t xml:space="preserve"> </w:t>
      </w:r>
      <w:r w:rsidR="005B42F5">
        <w:t xml:space="preserve">of </w:t>
      </w:r>
      <w:r w:rsidR="00596E94">
        <w:t>0.3 mOD</w:t>
      </w:r>
      <w:r w:rsidR="005B42F5">
        <w:t xml:space="preserve"> over the frequency range</w:t>
      </w:r>
      <w:r w:rsidR="00596E94">
        <w:t xml:space="preserve">. </w:t>
      </w:r>
      <w:r w:rsidR="0000116D">
        <w:t>From</w:t>
      </w:r>
      <w:r w:rsidR="00853E5A">
        <w:t xml:space="preserve"> the </w:t>
      </w:r>
      <w:r w:rsidR="005B42F5">
        <w:t>CLS</w:t>
      </w:r>
      <w:r w:rsidR="0000116D">
        <w:t xml:space="preserve"> analysis of the </w:t>
      </w:r>
      <w:r w:rsidR="00131BC5">
        <w:t xml:space="preserve">mixed protein </w:t>
      </w:r>
      <w:r w:rsidR="0000116D">
        <w:t xml:space="preserve">spectra, the </w:t>
      </w:r>
      <w:r w:rsidR="005B42F5">
        <w:t>predicted concentrations</w:t>
      </w:r>
      <w:r w:rsidR="0000116D">
        <w:t xml:space="preserve"> </w:t>
      </w:r>
      <w:r w:rsidR="005B42F5">
        <w:t xml:space="preserve">of BSA and NISTmAb </w:t>
      </w:r>
      <w:r w:rsidR="0000116D">
        <w:t xml:space="preserve">are </w:t>
      </w:r>
      <w:r w:rsidR="00596E94">
        <w:t>plotted as a function of the</w:t>
      </w:r>
      <w:r w:rsidR="005B42F5">
        <w:t>ir</w:t>
      </w:r>
      <w:r w:rsidR="00596E94">
        <w:t xml:space="preserve"> </w:t>
      </w:r>
      <w:r w:rsidR="005B42F5">
        <w:t>actual concentrations</w:t>
      </w:r>
      <w:r w:rsidR="00596E94">
        <w:t>.</w:t>
      </w:r>
      <w:r w:rsidR="00101A1A">
        <w:t xml:space="preserve"> </w:t>
      </w:r>
      <w:r w:rsidR="006E2491">
        <w:t xml:space="preserve">In </w:t>
      </w:r>
      <w:r w:rsidR="00EE6863">
        <w:t>Figure</w:t>
      </w:r>
      <w:r w:rsidR="006E2491">
        <w:t xml:space="preserve"> 3</w:t>
      </w:r>
      <w:r w:rsidR="005B42F5">
        <w:t>c</w:t>
      </w:r>
      <w:r w:rsidR="006E2491">
        <w:t>, t</w:t>
      </w:r>
      <w:r w:rsidR="00101A1A">
        <w:t xml:space="preserve">he </w:t>
      </w:r>
      <w:r w:rsidR="005B42F5">
        <w:t>actual concentrations and the predicted concentrations based on the CLS analysis</w:t>
      </w:r>
      <w:r w:rsidR="006E2491">
        <w:t xml:space="preserve"> </w:t>
      </w:r>
      <w:r w:rsidR="00101A1A">
        <w:t xml:space="preserve">exhibit decent linearity </w:t>
      </w:r>
      <w:r w:rsidR="006E2491">
        <w:t>for</w:t>
      </w:r>
      <w:r w:rsidR="00101A1A">
        <w:t xml:space="preserve"> both BSA</w:t>
      </w:r>
      <w:r w:rsidR="006E2491">
        <w:t xml:space="preserve"> (rich in </w:t>
      </w:r>
      <w:r w:rsidR="006E2491" w:rsidRPr="009F3499">
        <w:rPr>
          <w:rFonts w:ascii="Symbol" w:hAnsi="Symbol"/>
        </w:rPr>
        <w:t></w:t>
      </w:r>
      <w:r w:rsidR="006E2491">
        <w:t>-helix)</w:t>
      </w:r>
      <w:r w:rsidR="00101A1A">
        <w:t xml:space="preserve"> and NISTmAb </w:t>
      </w:r>
      <w:r w:rsidR="006E2491">
        <w:t xml:space="preserve">(rich in </w:t>
      </w:r>
      <w:r w:rsidR="006E2491" w:rsidRPr="009F3499">
        <w:rPr>
          <w:rFonts w:ascii="Symbol" w:hAnsi="Symbol"/>
        </w:rPr>
        <w:t></w:t>
      </w:r>
      <w:r w:rsidR="006E2491">
        <w:t>-sheet), suggesting that this advanced IR absorption measurement method can be use</w:t>
      </w:r>
      <w:r w:rsidR="005B42F5">
        <w:t>d</w:t>
      </w:r>
      <w:r w:rsidR="006E2491">
        <w:t xml:space="preserve"> for quantitative </w:t>
      </w:r>
      <w:r w:rsidR="00101716" w:rsidRPr="00F90911">
        <w:t xml:space="preserve">analysis of </w:t>
      </w:r>
      <w:r w:rsidR="005B42F5">
        <w:t xml:space="preserve">mixed or pure protein solutions that contain different </w:t>
      </w:r>
      <w:r w:rsidR="00101716" w:rsidRPr="00F90911">
        <w:t xml:space="preserve">secondary structures </w:t>
      </w:r>
      <w:r w:rsidR="005B42F5">
        <w:t>even</w:t>
      </w:r>
      <w:r w:rsidR="006E2491">
        <w:t xml:space="preserve"> at a low concentration</w:t>
      </w:r>
      <w:r w:rsidR="00101716" w:rsidRPr="00F90911">
        <w:t>.</w:t>
      </w:r>
      <w:bookmarkEnd w:id="20"/>
    </w:p>
    <w:p w14:paraId="64686298" w14:textId="77777777" w:rsidR="00790C94" w:rsidRPr="00F90911" w:rsidRDefault="00790C94" w:rsidP="009F3499">
      <w:pPr>
        <w:pStyle w:val="TAMainText"/>
        <w:ind w:firstLine="0"/>
      </w:pPr>
    </w:p>
    <w:p w14:paraId="139B5835" w14:textId="2B76F200" w:rsidR="00101716" w:rsidRPr="00E80CC0" w:rsidRDefault="00EA054B" w:rsidP="00101716">
      <w:pPr>
        <w:pStyle w:val="TAMainText"/>
        <w:rPr>
          <w:b/>
        </w:rPr>
      </w:pPr>
      <w:r w:rsidRPr="009F3499">
        <w:rPr>
          <w:b/>
          <w:i/>
          <w:iCs/>
        </w:rPr>
        <w:t>In-situ</w:t>
      </w:r>
      <w:r>
        <w:rPr>
          <w:b/>
        </w:rPr>
        <w:t xml:space="preserve"> </w:t>
      </w:r>
      <w:r w:rsidR="006B1B72">
        <w:rPr>
          <w:b/>
        </w:rPr>
        <w:t>SAC</w:t>
      </w:r>
      <w:r w:rsidR="006F7EBC">
        <w:rPr>
          <w:b/>
        </w:rPr>
        <w:t>-</w:t>
      </w:r>
      <w:r w:rsidR="008F4EC8">
        <w:rPr>
          <w:b/>
        </w:rPr>
        <w:t>IR measurement</w:t>
      </w:r>
      <w:r>
        <w:rPr>
          <w:b/>
        </w:rPr>
        <w:t xml:space="preserve"> of </w:t>
      </w:r>
      <w:r w:rsidR="006714A1">
        <w:rPr>
          <w:b/>
        </w:rPr>
        <w:t xml:space="preserve">isothermal </w:t>
      </w:r>
      <w:r w:rsidR="000D298B">
        <w:rPr>
          <w:b/>
        </w:rPr>
        <w:t xml:space="preserve">insulin </w:t>
      </w:r>
      <w:r w:rsidR="00D02D4B">
        <w:rPr>
          <w:b/>
        </w:rPr>
        <w:t>fibrillation</w:t>
      </w:r>
      <w:r>
        <w:rPr>
          <w:b/>
        </w:rPr>
        <w:t xml:space="preserve"> </w:t>
      </w:r>
      <w:r w:rsidR="008F4EC8">
        <w:rPr>
          <w:b/>
        </w:rPr>
        <w:t>at elevated temperature</w:t>
      </w:r>
    </w:p>
    <w:p w14:paraId="5EA32F0C" w14:textId="1C9483D2" w:rsidR="00760885" w:rsidRDefault="00DC033A" w:rsidP="03066021">
      <w:pPr>
        <w:pStyle w:val="TAMainText"/>
      </w:pPr>
      <w:bookmarkStart w:id="21" w:name="_Hlk34040255"/>
      <w:r>
        <w:t>W</w:t>
      </w:r>
      <w:r w:rsidR="009B4EFA">
        <w:t xml:space="preserve">e </w:t>
      </w:r>
      <w:r w:rsidR="001D1B14">
        <w:t xml:space="preserve">apply the </w:t>
      </w:r>
      <w:r w:rsidR="006B1B72">
        <w:t>SAC</w:t>
      </w:r>
      <w:r w:rsidR="00E857BD">
        <w:t>-</w:t>
      </w:r>
      <w:r w:rsidR="001D1B14">
        <w:t>IR</w:t>
      </w:r>
      <w:r w:rsidR="00E857BD">
        <w:t xml:space="preserve"> spectroscopy</w:t>
      </w:r>
      <w:r w:rsidR="001D1B14">
        <w:t xml:space="preserve"> </w:t>
      </w:r>
      <w:r w:rsidR="00E857BD">
        <w:t xml:space="preserve">for </w:t>
      </w:r>
      <w:r w:rsidR="009B4EFA" w:rsidRPr="009F3499">
        <w:rPr>
          <w:i/>
        </w:rPr>
        <w:t>in-situ</w:t>
      </w:r>
      <w:r w:rsidR="009B4EFA">
        <w:t xml:space="preserve"> </w:t>
      </w:r>
      <w:r w:rsidR="00E857BD">
        <w:t xml:space="preserve">monitoring </w:t>
      </w:r>
      <w:r w:rsidR="00937C4E">
        <w:t xml:space="preserve">of </w:t>
      </w:r>
      <w:r w:rsidR="00E857BD">
        <w:t>both reactant</w:t>
      </w:r>
      <w:r w:rsidR="00C17893">
        <w:t xml:space="preserve">s and products </w:t>
      </w:r>
      <w:r w:rsidR="0055215F">
        <w:t xml:space="preserve">of </w:t>
      </w:r>
      <w:r w:rsidR="00E820BE">
        <w:t xml:space="preserve">an insulin </w:t>
      </w:r>
      <w:r w:rsidR="0055215F">
        <w:t>fibrillation</w:t>
      </w:r>
      <w:r w:rsidR="00E820BE">
        <w:t xml:space="preserve"> reaction</w:t>
      </w:r>
      <w:r w:rsidR="0055215F">
        <w:t xml:space="preserve"> </w:t>
      </w:r>
      <w:r w:rsidR="00E820BE">
        <w:t xml:space="preserve">at </w:t>
      </w:r>
      <w:r w:rsidR="00FE4A92">
        <w:t xml:space="preserve">two </w:t>
      </w:r>
      <w:r w:rsidR="009B4EFA">
        <w:t>clinically relevant concentration</w:t>
      </w:r>
      <w:r w:rsidR="0005092D">
        <w:t>s</w:t>
      </w:r>
      <w:r w:rsidR="00E820BE" w:rsidRPr="00E820BE">
        <w:t xml:space="preserve"> </w:t>
      </w:r>
      <w:r w:rsidR="00813379">
        <w:t xml:space="preserve">without seeds </w:t>
      </w:r>
      <w:r w:rsidR="00E820BE">
        <w:t>at a high temperature</w:t>
      </w:r>
      <w:r w:rsidR="0005092D">
        <w:t>.</w:t>
      </w:r>
      <w:bookmarkEnd w:id="21"/>
      <w:r w:rsidR="00C2335D">
        <w:t xml:space="preserve"> </w:t>
      </w:r>
      <w:r w:rsidR="00C75830">
        <w:t xml:space="preserve">The elevated temperature </w:t>
      </w:r>
      <w:r w:rsidR="00FD2D5E">
        <w:t xml:space="preserve">(74 </w:t>
      </w:r>
      <w:r w:rsidR="00FD2D5E">
        <w:rPr>
          <w:rFonts w:cs="Times"/>
        </w:rPr>
        <w:t>º</w:t>
      </w:r>
      <w:r w:rsidR="00FD2D5E">
        <w:t xml:space="preserve">C) </w:t>
      </w:r>
      <w:r w:rsidR="00C75830">
        <w:t xml:space="preserve">makes </w:t>
      </w:r>
      <w:r w:rsidR="00FD2D5E">
        <w:t>a set of measurements of a fibrillation reaction completed with</w:t>
      </w:r>
      <w:r w:rsidR="004B5964">
        <w:t xml:space="preserve">in </w:t>
      </w:r>
      <w:r w:rsidR="00FD2D5E">
        <w:t xml:space="preserve">a day. </w:t>
      </w:r>
      <w:r w:rsidR="00A64A47">
        <w:t xml:space="preserve">The </w:t>
      </w:r>
      <w:r w:rsidR="000C3150">
        <w:t xml:space="preserve">most clinically </w:t>
      </w:r>
      <w:r w:rsidR="002F23C3">
        <w:t xml:space="preserve">relevant </w:t>
      </w:r>
      <w:r w:rsidR="00A64A47">
        <w:t>concentration of insulin is 3.5 mg/mL (</w:t>
      </w:r>
      <w:r w:rsidR="00A64A47">
        <w:rPr>
          <w:noProof/>
          <w:szCs w:val="24"/>
        </w:rPr>
        <w:t>0.61 mmol/L,</w:t>
      </w:r>
      <w:r w:rsidR="00A64A47">
        <w:t xml:space="preserve"> labeled as U-100)</w:t>
      </w:r>
      <w:r w:rsidR="002F23C3">
        <w:t>; however</w:t>
      </w:r>
      <w:r w:rsidR="00A64A47">
        <w:t xml:space="preserve">, for some specific patient conditions, a higher concentration solution </w:t>
      </w:r>
      <w:r w:rsidR="00FA55D3">
        <w:t>of</w:t>
      </w:r>
      <w:r w:rsidR="00A64A47">
        <w:t xml:space="preserve"> 17.5 mg/mL (</w:t>
      </w:r>
      <w:r w:rsidR="00A64A47">
        <w:rPr>
          <w:noProof/>
          <w:szCs w:val="24"/>
        </w:rPr>
        <w:t>3.05 mmol/L</w:t>
      </w:r>
      <w:r w:rsidR="00A64A47">
        <w:t>, labeled as U-500)</w:t>
      </w:r>
      <w:r w:rsidR="00FA55D3">
        <w:t xml:space="preserve"> is used</w:t>
      </w:r>
      <w:r w:rsidR="00A64A47">
        <w:t xml:space="preserve">. </w:t>
      </w:r>
      <w:r w:rsidR="00EE6863">
        <w:t>Figures</w:t>
      </w:r>
      <w:r w:rsidR="00A64A47">
        <w:t xml:space="preserve"> 4a and 4d show the </w:t>
      </w:r>
      <w:r w:rsidR="006A0B67" w:rsidRPr="00E4350F">
        <w:rPr>
          <w:i/>
          <w:iCs/>
        </w:rPr>
        <w:t>in-situ</w:t>
      </w:r>
      <w:r w:rsidR="006A0B67">
        <w:t xml:space="preserve"> </w:t>
      </w:r>
      <w:r w:rsidR="00A64A47" w:rsidRPr="00AB19AD">
        <w:t>time-resolved</w:t>
      </w:r>
      <w:r w:rsidR="00A64A47">
        <w:t xml:space="preserve"> absorption spectra of the two insulin solutions at 17.5 mg/mL and 3.5 mg/mL, respectively</w:t>
      </w:r>
      <w:r w:rsidR="004D6949">
        <w:t xml:space="preserve">, </w:t>
      </w:r>
      <w:r w:rsidR="00B97013">
        <w:t xml:space="preserve">acquired </w:t>
      </w:r>
      <w:r w:rsidR="004D6949">
        <w:t xml:space="preserve">at 74 </w:t>
      </w:r>
      <w:r w:rsidR="004D6949">
        <w:rPr>
          <w:rFonts w:cs="Times"/>
        </w:rPr>
        <w:t>º</w:t>
      </w:r>
      <w:r w:rsidR="004D6949">
        <w:t>C</w:t>
      </w:r>
      <w:r w:rsidR="00A64A47">
        <w:t>. In both sets of spectra, a peak centered at 1655 cm</w:t>
      </w:r>
      <w:r w:rsidR="00A64A47" w:rsidRPr="00F667CE">
        <w:rPr>
          <w:vertAlign w:val="superscript"/>
        </w:rPr>
        <w:t>-1</w:t>
      </w:r>
      <w:r w:rsidR="00A64A47">
        <w:t xml:space="preserve"> decreases while a new peak at 1624 cm</w:t>
      </w:r>
      <w:r w:rsidR="00A64A47" w:rsidRPr="00F667CE">
        <w:rPr>
          <w:vertAlign w:val="superscript"/>
        </w:rPr>
        <w:t>-1</w:t>
      </w:r>
      <w:r w:rsidR="00A64A47">
        <w:t xml:space="preserve"> </w:t>
      </w:r>
      <w:r w:rsidR="00937C4E">
        <w:t>increases</w:t>
      </w:r>
      <w:r w:rsidR="00937C4E" w:rsidRPr="001B13CB">
        <w:t xml:space="preserve"> </w:t>
      </w:r>
      <w:r w:rsidR="00A64A47">
        <w:t>with time. The 1655 cm</w:t>
      </w:r>
      <w:r w:rsidR="00A64A47" w:rsidRPr="000861DD">
        <w:rPr>
          <w:vertAlign w:val="superscript"/>
        </w:rPr>
        <w:t>-1</w:t>
      </w:r>
      <w:r w:rsidR="00A64A47">
        <w:t xml:space="preserve"> peak </w:t>
      </w:r>
      <w:r w:rsidR="00397CF6">
        <w:t>corresponds to</w:t>
      </w:r>
      <w:r w:rsidR="00A64A47">
        <w:t xml:space="preserve"> </w:t>
      </w:r>
      <w:r w:rsidR="00A64A47" w:rsidRPr="004930B4">
        <w:rPr>
          <w:rFonts w:ascii="Symbol" w:hAnsi="Symbol"/>
        </w:rPr>
        <w:t></w:t>
      </w:r>
      <w:r w:rsidR="00A64A47">
        <w:rPr>
          <w:noProof/>
          <w:szCs w:val="24"/>
        </w:rPr>
        <w:t>-helix</w:t>
      </w:r>
      <w:r w:rsidR="00A64A47">
        <w:t xml:space="preserve">, which is </w:t>
      </w:r>
      <w:r w:rsidR="00397CF6">
        <w:t xml:space="preserve">known to be </w:t>
      </w:r>
      <w:r w:rsidR="00A64A47">
        <w:t>the dominant secondary structure of the native insulin</w:t>
      </w:r>
      <w:r w:rsidR="00203168">
        <w:t>.</w:t>
      </w:r>
      <w:r w:rsidR="007D597A">
        <w:fldChar w:fldCharType="begin" w:fldLock="1"/>
      </w:r>
      <w:r w:rsidR="000C4007">
        <w:instrText>ADDIN CSL_CITATION {"citationItems":[{"id":"ITEM-1","itemData":{"DOI":"10.1038/ncomms3890","ISSN":"20411723","abstract":"Mid-infrared spectroscopy is a widely used tool for material identification and secondary structure analysis in chemistry, biology and biochemistry. However, the diffraction limit prevents nanoscale protein studies. Here we introduce mapping of protein structure with 30 nm lateral resolution and sensitivity to individual protein complexes by Fourier transform infrared nanospectroscopy (nano-FTIR). We present local broadband spectra of one virus, ferritin complexes, purple membranes and insulin aggregates, which can be interpreted in terms of their α-helical and/or β-sheet structure. Applying nano-FTIR for studying insulin fibrils - a model system widely used in neurodegenerative disease research - we find clear evidence that 3-nm-thin amyloid-like fibrils contain a large amount of α-helical structure. This reveals the surprisingly high level of protein organization in the fibril's periphery, which might explain why fibrils associate. We envision a wide application potential of nano-FTIR, including cellular receptor in vitro mapping and analysis of proteins within quaternary structures. © 2013 Macmillan Publishers Limited.","author":[{"dropping-particle":"","family":"Amenabar","given":"Iban","non-dropping-particle":"","parse-names":false,"suffix":""},{"dropping-particle":"","family":"Poly","given":"Simon","non-dropping-particle":"","parse-names":false,"suffix":""},{"dropping-particle":"","family":"Nuansing","given":"Wiwat","non-dropping-particle":"","parse-names":false,"suffix":""},{"dropping-particle":"","family":"Hubrich","given":"Elmar H.","non-dropping-particle":"","parse-names":false,"suffix":""},{"dropping-particle":"","family":"Govyadinov","given":"Alexander A.","non-dropping-particle":"","parse-names":false,"suffix":""},{"dropping-particle":"","family":"Huth","given":"Florian","non-dropping-particle":"","parse-names":false,"suffix":""},{"dropping-particle":"","family":"Krutokhvostov","given":"Roman","non-dropping-particle":"","parse-names":false,"suffix":""},{"dropping-particle":"","family":"Zhang","given":"Lianbing","non-dropping-particle":"","parse-names":false,"suffix":""},{"dropping-particle":"","family":"Knez","given":"Mato","non-dropping-particle":"","parse-names":false,"suffix":""},{"dropping-particle":"","family":"Heberle","given":"Joachim","non-dropping-particle":"","parse-names":false,"suffix":""},{"dropping-particle":"","family":"Bittner","given":"Alexander M.","non-dropping-particle":"","parse-names":false,"suffix":""},{"dropping-particle":"","family":"Hillenbrand","given":"Rainer","non-dropping-particle":"","parse-names":false,"suffix":""}],"container-title":"Nature Communications","id":"ITEM-1","issued":{"date-parts":[["2013"]]},"page":"2890","publisher":"Nature Publishing Group","title":"Structural analysis and mapping of individual protein complexes by infrared nanospectroscopy","type":"article-journal","volume":"4"},"uris":["http://www.mendeley.com/documents/?uuid=a62152a4-8152-443e-9260-ea9338d4d847"]},{"id":"ITEM-2","itemData":{"DOI":"10.1038/nprot.2015.024","ISSN":"17502799","abstract":"Fourier transform IR (FTIR) spectroscopy is a nondestructive technique for structural characterization of proteins and polypeptides. The IR spectral data of polymers are usually interpreted in terms of the vibrations of a structural repeat. The repeat units in proteins give rise to nine characteristic IR absorption bands (amides A, B and I-VII). Amide I bands (1,700-1,600 cm -1) are the most prominent and sensitive vibrational bands of the protein backbone, and they relate to protein secondary structural components. In this protocol, we have detailed the principles that underlie the determination of protein secondary structure by FTIR spectroscopy, as well as the basic steps involved in protein sample preparation, instrument operation, FTIR spectra collection and spectra analysis in order to estimate protein secondary-structural components in aqueous (both H 2 O and deuterium oxide (D 2 O)) solution using algorithms, such as second-derivative, deconvolution and curve fitting. Small amounts of high-purity (&gt;95%) proteins at high concentrations (&gt;3 mg ml -1) are needed in this protocol; typically, the procedure can be completed in 1-2 d.","author":[{"dropping-particle":"","family":"Yang","given":"Huayan","non-dropping-particle":"","parse-names":false,"suffix":""},{"dropping-particle":"","family":"Yang","given":"Shouning","non-dropping-particle":"","parse-names":false,"suffix":""},{"dropping-particle":"","family":"Kong","given":"Jilie","non-dropping-particle":"","parse-names":false,"suffix":""},{"dropping-particle":"","family":"Dong","given":"Aichun","non-dropping-particle":"","parse-names":false,"suffix":""},{"dropping-particle":"","family":"Yu","given":"Shaoning","non-dropping-particle":"","parse-names":false,"suffix":""}],"container-title":"Nature Protocols","id":"ITEM-2","issue":"3","issued":{"date-parts":[["2015","3","2"]]},"page":"382-396","publisher":"Nature Publishing Group","title":"Obtaining information about protein secondary structures in aqueous solution using Fourier transform IR spectroscopy","type":"article-journal","volume":"10"},"uris":["http://www.mendeley.com/documents/?uuid=0d525243-eee6-4c2f-805f-4be28cb6393d"]}],"mendeley":{"formattedCitation":"&lt;sup&gt;3,24&lt;/sup&gt;","plainTextFormattedCitation":"3,24","previouslyFormattedCitation":"&lt;sup&gt;3,23&lt;/sup&gt;"},"properties":{"noteIndex":0},"schema":"https://github.com/citation-style-language/schema/raw/master/csl-citation.json"}</w:instrText>
      </w:r>
      <w:r w:rsidR="007D597A">
        <w:fldChar w:fldCharType="separate"/>
      </w:r>
      <w:r w:rsidR="000C4007" w:rsidRPr="000C4007">
        <w:rPr>
          <w:noProof/>
          <w:vertAlign w:val="superscript"/>
        </w:rPr>
        <w:t>3,24</w:t>
      </w:r>
      <w:r w:rsidR="007D597A">
        <w:fldChar w:fldCharType="end"/>
      </w:r>
      <w:r w:rsidR="00A64A47">
        <w:t xml:space="preserve"> The rising peak at 1624 cm</w:t>
      </w:r>
      <w:r w:rsidR="00A64A47" w:rsidRPr="00F667CE">
        <w:rPr>
          <w:vertAlign w:val="superscript"/>
        </w:rPr>
        <w:t>-1</w:t>
      </w:r>
      <w:r w:rsidR="00A64A47">
        <w:t xml:space="preserve"> </w:t>
      </w:r>
      <w:r w:rsidR="00397CF6">
        <w:t xml:space="preserve">can be assigned to </w:t>
      </w:r>
      <w:r w:rsidR="00A64A47">
        <w:t xml:space="preserve">the </w:t>
      </w:r>
      <w:r w:rsidR="00A64A47" w:rsidRPr="00F667CE">
        <w:t>parallel or anti-parallel</w:t>
      </w:r>
      <w:r w:rsidR="00A64A47" w:rsidRPr="00467F05">
        <w:t xml:space="preserve"> </w:t>
      </w:r>
      <w:r w:rsidR="00A64A47" w:rsidRPr="00F667CE">
        <w:rPr>
          <w:rFonts w:ascii="Symbol" w:hAnsi="Symbol"/>
        </w:rPr>
        <w:t></w:t>
      </w:r>
      <w:r w:rsidR="00A64A47" w:rsidRPr="00467F05">
        <w:t>-</w:t>
      </w:r>
      <w:r w:rsidR="00A64A47" w:rsidRPr="00BA559B">
        <w:t>sheets</w:t>
      </w:r>
      <w:r w:rsidR="00A64A47">
        <w:t xml:space="preserve"> found in fibrillar aggregates</w:t>
      </w:r>
      <w:r w:rsidR="00203168">
        <w:t>.</w:t>
      </w:r>
      <w:r w:rsidR="00096D6A">
        <w:fldChar w:fldCharType="begin" w:fldLock="1"/>
      </w:r>
      <w:r w:rsidR="000C4007">
        <w:instrText>ADDIN CSL_CITATION {"citationItems":[{"id":"ITEM-1","itemData":{"DOI":"10.1038/ncomms3890","ISSN":"20411723","abstract":"Mid-infrared spectroscopy is a widely used tool for material identification and secondary structure analysis in chemistry, biology and biochemistry. However, the diffraction limit prevents nanoscale protein studies. Here we introduce mapping of protein structure with 30 nm lateral resolution and sensitivity to individual protein complexes by Fourier transform infrared nanospectroscopy (nano-FTIR). We present local broadband spectra of one virus, ferritin complexes, purple membranes and insulin aggregates, which can be interpreted in terms of their α-helical and/or β-sheet structure. Applying nano-FTIR for studying insulin fibrils - a model system widely used in neurodegenerative disease research - we find clear evidence that 3-nm-thin amyloid-like fibrils contain a large amount of α-helical structure. This reveals the surprisingly high level of protein organization in the fibril's periphery, which might explain why fibrils associate. We envision a wide application potential of nano-FTIR, including cellular receptor in vitro mapping and analysis of proteins within quaternary structures. © 2013 Macmillan Publishers Limited.","author":[{"dropping-particle":"","family":"Amenabar","given":"Iban","non-dropping-particle":"","parse-names":false,"suffix":""},{"dropping-particle":"","family":"Poly","given":"Simon","non-dropping-particle":"","parse-names":false,"suffix":""},{"dropping-particle":"","family":"Nuansing","given":"Wiwat","non-dropping-particle":"","parse-names":false,"suffix":""},{"dropping-particle":"","family":"Hubrich","given":"Elmar H.","non-dropping-particle":"","parse-names":false,"suffix":""},{"dropping-particle":"","family":"Govyadinov","given":"Alexander A.","non-dropping-particle":"","parse-names":false,"suffix":""},{"dropping-particle":"","family":"Huth","given":"Florian","non-dropping-particle":"","parse-names":false,"suffix":""},{"dropping-particle":"","family":"Krutokhvostov","given":"Roman","non-dropping-particle":"","parse-names":false,"suffix":""},{"dropping-particle":"","family":"Zhang","given":"Lianbing","non-dropping-particle":"","parse-names":false,"suffix":""},{"dropping-particle":"","family":"Knez","given":"Mato","non-dropping-particle":"","parse-names":false,"suffix":""},{"dropping-particle":"","family":"Heberle","given":"Joachim","non-dropping-particle":"","parse-names":false,"suffix":""},{"dropping-particle":"","family":"Bittner","given":"Alexander M.","non-dropping-particle":"","parse-names":false,"suffix":""},{"dropping-particle":"","family":"Hillenbrand","given":"Rainer","non-dropping-particle":"","parse-names":false,"suffix":""}],"container-title":"Nature Communications","id":"ITEM-1","issued":{"date-parts":[["2013"]]},"page":"2890","publisher":"Nature Publishing Group","title":"Structural analysis and mapping of individual protein complexes by infrared nanospectroscopy","type":"article-journal","volume":"4"},"uris":["http://www.mendeley.com/documents/?uuid=a62152a4-8152-443e-9260-ea9338d4d847"]},{"id":"ITEM-2","itemData":{"DOI":"10.1038/nprot.2015.024","ISSN":"17502799","abstract":"Fourier transform IR (FTIR) spectroscopy is a nondestructive technique for structural characterization of proteins and polypeptides. The IR spectral data of polymers are usually interpreted in terms of the vibrations of a structural repeat. The repeat units in proteins give rise to nine characteristic IR absorption bands (amides A, B and I-VII). Amide I bands (1,700-1,600 cm -1) are the most prominent and sensitive vibrational bands of the protein backbone, and they relate to protein secondary structural components. In this protocol, we have detailed the principles that underlie the determination of protein secondary structure by FTIR spectroscopy, as well as the basic steps involved in protein sample preparation, instrument operation, FTIR spectra collection and spectra analysis in order to estimate protein secondary-structural components in aqueous (both H 2 O and deuterium oxide (D 2 O)) solution using algorithms, such as second-derivative, deconvolution and curve fitting. Small amounts of high-purity (&gt;95%) proteins at high concentrations (&gt;3 mg ml -1) are needed in this protocol; typically, the procedure can be completed in 1-2 d.","author":[{"dropping-particle":"","family":"Yang","given":"Huayan","non-dropping-particle":"","parse-names":false,"suffix":""},{"dropping-particle":"","family":"Yang","given":"Shouning","non-dropping-particle":"","parse-names":false,"suffix":""},{"dropping-particle":"","family":"Kong","given":"Jilie","non-dropping-particle":"","parse-names":false,"suffix":""},{"dropping-particle":"","family":"Dong","given":"Aichun","non-dropping-particle":"","parse-names":false,"suffix":""},{"dropping-particle":"","family":"Yu","given":"Shaoning","non-dropping-particle":"","parse-names":false,"suffix":""}],"container-title":"Nature Protocols","id":"ITEM-2","issue":"3","issued":{"date-parts":[["2015","3","2"]]},"page":"382-396","publisher":"Nature Publishing Group","title":"Obtaining information about protein secondary structures in aqueous solution using Fourier transform IR spectroscopy","type":"article-journal","volume":"10"},"uris":["http://www.mendeley.com/documents/?uuid=0d525243-eee6-4c2f-805f-4be28cb6393d"]}],"mendeley":{"formattedCitation":"&lt;sup&gt;3,24&lt;/sup&gt;","plainTextFormattedCitation":"3,24","previouslyFormattedCitation":"&lt;sup&gt;3,23&lt;/sup&gt;"},"properties":{"noteIndex":0},"schema":"https://github.com/citation-style-language/schema/raw/master/csl-citation.json"}</w:instrText>
      </w:r>
      <w:r w:rsidR="00096D6A">
        <w:fldChar w:fldCharType="separate"/>
      </w:r>
      <w:r w:rsidR="000C4007" w:rsidRPr="000C4007">
        <w:rPr>
          <w:noProof/>
          <w:vertAlign w:val="superscript"/>
        </w:rPr>
        <w:t>3,24</w:t>
      </w:r>
      <w:r w:rsidR="00096D6A">
        <w:fldChar w:fldCharType="end"/>
      </w:r>
    </w:p>
    <w:p w14:paraId="5A3A49AB" w14:textId="0891E323" w:rsidR="00863F27" w:rsidRPr="009F3499" w:rsidRDefault="008C673A" w:rsidP="03066021">
      <w:pPr>
        <w:pStyle w:val="TAMainText"/>
        <w:rPr>
          <w:noProof/>
        </w:rPr>
      </w:pPr>
      <w:r w:rsidRPr="00873831">
        <w:t xml:space="preserve">Before </w:t>
      </w:r>
      <w:r w:rsidR="00082FBF" w:rsidRPr="00873831">
        <w:t>discuss</w:t>
      </w:r>
      <w:r w:rsidR="00A97B60" w:rsidRPr="00873831">
        <w:t>ing</w:t>
      </w:r>
      <w:r w:rsidR="00082FBF" w:rsidRPr="00873831">
        <w:t xml:space="preserve"> the results, i</w:t>
      </w:r>
      <w:r w:rsidRPr="00873831">
        <w:t xml:space="preserve">t must be noted that, unlike the earlier non-post-processed spectra, this series of time-resolved spectra in </w:t>
      </w:r>
      <w:r w:rsidR="00EE6863">
        <w:t>Figures</w:t>
      </w:r>
      <w:r w:rsidRPr="00873831">
        <w:t xml:space="preserve"> 4a and 4b are baseline-detrended by a line of two absorbance values at 1480 cm</w:t>
      </w:r>
      <w:r w:rsidRPr="00873831">
        <w:rPr>
          <w:vertAlign w:val="superscript"/>
        </w:rPr>
        <w:t>-1</w:t>
      </w:r>
      <w:r w:rsidRPr="00873831">
        <w:t xml:space="preserve"> and 1750 cm</w:t>
      </w:r>
      <w:r w:rsidRPr="00873831">
        <w:rPr>
          <w:vertAlign w:val="superscript"/>
        </w:rPr>
        <w:t>-1</w:t>
      </w:r>
      <w:r w:rsidRPr="00873831">
        <w:t>. This first-order detrending compensate</w:t>
      </w:r>
      <w:r w:rsidR="008D174E" w:rsidRPr="00873831">
        <w:t>s</w:t>
      </w:r>
      <w:r w:rsidRPr="00873831">
        <w:t xml:space="preserve"> for slow absorbance drift due to long-term fluctuations </w:t>
      </w:r>
      <w:r w:rsidR="008D174E" w:rsidRPr="00873831">
        <w:t xml:space="preserve">caused by </w:t>
      </w:r>
      <w:r w:rsidRPr="00873831">
        <w:t xml:space="preserve">the </w:t>
      </w:r>
      <w:r w:rsidR="0071538E" w:rsidRPr="00873831">
        <w:t>water-</w:t>
      </w:r>
      <w:r w:rsidRPr="00873831">
        <w:t>heated sample cell in the sealed enclosure during the long acquisition time of 18 h.</w:t>
      </w:r>
      <w:r w:rsidR="00082FBF">
        <w:t xml:space="preserve"> </w:t>
      </w:r>
      <w:bookmarkStart w:id="22" w:name="_Hlk48725851"/>
      <w:r w:rsidR="006E243E">
        <w:t>For comparison, w</w:t>
      </w:r>
      <w:r w:rsidR="00211EE9">
        <w:t xml:space="preserve">ith the sample cell unheated, the </w:t>
      </w:r>
      <w:r w:rsidR="000D5BF1">
        <w:t xml:space="preserve">long-term absorbance fluctuation is smaller than </w:t>
      </w:r>
      <w:r w:rsidR="00735189">
        <w:t>1</w:t>
      </w:r>
      <w:r w:rsidR="001E1D52">
        <w:t xml:space="preserve"> mOD for </w:t>
      </w:r>
      <w:r w:rsidR="00735189">
        <w:t>4</w:t>
      </w:r>
      <w:r w:rsidR="001E1D52">
        <w:t xml:space="preserve"> h</w:t>
      </w:r>
      <w:r w:rsidR="0093142D">
        <w:t xml:space="preserve">, not requiring any </w:t>
      </w:r>
      <w:r w:rsidR="007D58BA">
        <w:t>post-processing</w:t>
      </w:r>
      <w:r w:rsidR="001E1D52">
        <w:t>.</w:t>
      </w:r>
      <w:r w:rsidR="00211EE9">
        <w:t xml:space="preserve"> </w:t>
      </w:r>
      <w:r w:rsidR="00DB4DD5">
        <w:t xml:space="preserve">First, we perform qualitative analyses of the </w:t>
      </w:r>
      <w:r w:rsidR="00EE57A5">
        <w:t xml:space="preserve">series of </w:t>
      </w:r>
      <w:r w:rsidR="008B3F11">
        <w:t xml:space="preserve">time-resolved absorption </w:t>
      </w:r>
      <w:r w:rsidR="00DB4DD5">
        <w:t xml:space="preserve">spectra using </w:t>
      </w:r>
      <w:r w:rsidR="00CC2A89">
        <w:t>principal component analysis (PCA)</w:t>
      </w:r>
      <w:r w:rsidR="0093647F">
        <w:fldChar w:fldCharType="begin" w:fldLock="1"/>
      </w:r>
      <w:r w:rsidR="000C4007">
        <w:instrText>ADDIN CSL_CITATION {"citationItems":[{"id":"ITEM-1","itemData":{"DOI":"10.1039/c3ay41907j","ISSN":"17599679","abstract":"Principal component analysis is one of the most important and powerful methods in chemometrics as well as in a wealth of other areas. This paper provides a description of how to understand, use, and interpret principal component analysis. The paper focuses on the use of principal component analysis in typical chemometric areas but the results are generally applicable. © The Royal Society of Chemistry 2014.","author":[{"dropping-particle":"","family":"Bro","given":"Rasmus","non-dropping-particle":"","parse-names":false,"suffix":""},{"dropping-particle":"","family":"Smilde","given":"Age K.","non-dropping-particle":"","parse-names":false,"suffix":""}],"container-title":"Analytical Methods","id":"ITEM-1","issue":"9","issued":{"date-parts":[["2014","5","7"]]},"page":"2812-2831","publisher":"Royal Society of Chemistry","title":"Principal component analysis","type":"article-journal","volume":"6"},"uris":["http://www.mendeley.com/documents/?uuid=2b2c6a1a-2654-444a-becb-ca506c1e6cd8"]}],"mendeley":{"formattedCitation":"&lt;sup&gt;25&lt;/sup&gt;","plainTextFormattedCitation":"25","previouslyFormattedCitation":"&lt;sup&gt;24&lt;/sup&gt;"},"properties":{"noteIndex":0},"schema":"https://github.com/citation-style-language/schema/raw/master/csl-citation.json"}</w:instrText>
      </w:r>
      <w:r w:rsidR="0093647F">
        <w:fldChar w:fldCharType="separate"/>
      </w:r>
      <w:r w:rsidR="000C4007" w:rsidRPr="000C4007">
        <w:rPr>
          <w:noProof/>
          <w:vertAlign w:val="superscript"/>
        </w:rPr>
        <w:t>25</w:t>
      </w:r>
      <w:r w:rsidR="0093647F">
        <w:fldChar w:fldCharType="end"/>
      </w:r>
      <w:r w:rsidR="00CC2A89">
        <w:t xml:space="preserve"> and two-dimensional correlation spectroscopy (2DCOS)</w:t>
      </w:r>
      <w:r w:rsidR="00203168">
        <w:t>.</w:t>
      </w:r>
      <w:r w:rsidR="0093647F" w:rsidRPr="00873831">
        <w:fldChar w:fldCharType="begin" w:fldLock="1"/>
      </w:r>
      <w:r w:rsidR="000C4007">
        <w:instrText>ADDIN CSL_CITATION {"citationItems":[{"id":"ITEM-1","itemData":{"DOI":"10.1016/j.saa.2017.06.034","ISSN":"13861425","abstract":"A tutorial is provided for the generalized two-dimensional correlation spectroscopy (2DCOS), which is applicable to the vibrational spectroscopic study of proteins and related systems. In 2DCOS, similarity or dissimilarity among variations of spectroscopic intensities, which are induced by applying an external perturbation to the sample, is examined by constructing correlation spectra defined by two independent spectral variable axes. By spreading congested or overlapped peaks along the second dimension, apparent spectral resolution is enhanced and interpretation of complex spectra becomes simplified. A set of simple rules for the intensities and signs of correlation peaks is used to extract insightful information. Simulated IR spectra for a model protein are used to demonstrate the specific utility of 2DCOS. Additional tools useful in the 2DCOS analysis of proteins, such as data segmentation assisted with moving-window analysis, 2D codistribution analysis, Pareto scaling, and null-space projection are also discussed.","author":[{"dropping-particle":"","family":"Noda","given":"Isao","non-dropping-particle":"","parse-names":false,"suffix":""}],"container-title":"Spectrochimica Acta - Part A: Molecular and Biomolecular Spectroscopy","id":"ITEM-1","issued":{"date-parts":[["2017"]]},"page":"119-129","title":"Vibrational two-dimensional correlation spectroscopy (2DCOS) study of proteins","type":"article-journal","volume":"187"},"uris":["http://www.mendeley.com/documents/?uuid=28fcef42-1f40-46bc-9743-d19ed9f88159"]}],"mendeley":{"formattedCitation":"&lt;sup&gt;26&lt;/sup&gt;","plainTextFormattedCitation":"26","previouslyFormattedCitation":"&lt;sup&gt;25&lt;/sup&gt;"},"properties":{"noteIndex":0},"schema":"https://github.com/citation-style-language/schema/raw/master/csl-citation.json"}</w:instrText>
      </w:r>
      <w:r w:rsidR="0093647F" w:rsidRPr="00873831">
        <w:fldChar w:fldCharType="separate"/>
      </w:r>
      <w:r w:rsidR="000C4007" w:rsidRPr="000C4007">
        <w:rPr>
          <w:noProof/>
          <w:vertAlign w:val="superscript"/>
        </w:rPr>
        <w:t>26</w:t>
      </w:r>
      <w:r w:rsidR="0093647F" w:rsidRPr="00873831">
        <w:fldChar w:fldCharType="end"/>
      </w:r>
      <w:r w:rsidR="00CC2A89">
        <w:t xml:space="preserve"> </w:t>
      </w:r>
      <w:bookmarkEnd w:id="22"/>
      <w:r w:rsidR="00CC2A89">
        <w:t xml:space="preserve">These two methods can </w:t>
      </w:r>
      <w:r w:rsidR="00290E94">
        <w:t xml:space="preserve">determine </w:t>
      </w:r>
      <w:r w:rsidR="00CC2A89">
        <w:t xml:space="preserve">how many independent spectral components </w:t>
      </w:r>
      <w:r w:rsidR="004B16FC">
        <w:t xml:space="preserve">can be </w:t>
      </w:r>
      <w:r w:rsidR="00D12F24">
        <w:t xml:space="preserve">identified </w:t>
      </w:r>
      <w:r w:rsidR="00CC2A89">
        <w:t xml:space="preserve">in the time-resolved spectra. A </w:t>
      </w:r>
      <w:r w:rsidR="00684260">
        <w:t>PCA</w:t>
      </w:r>
      <w:r w:rsidR="00CC2A89">
        <w:t xml:space="preserve"> result </w:t>
      </w:r>
      <w:r w:rsidR="00482B08">
        <w:t xml:space="preserve">of </w:t>
      </w:r>
      <w:r w:rsidR="00171EF5">
        <w:t>the 17.5 mg/mL solution</w:t>
      </w:r>
      <w:r w:rsidR="008D5BE9">
        <w:t xml:space="preserve"> </w:t>
      </w:r>
      <w:r w:rsidR="00482B08">
        <w:t xml:space="preserve">spectra </w:t>
      </w:r>
      <w:r w:rsidR="008D5BE9">
        <w:t xml:space="preserve">shows that one principal component is </w:t>
      </w:r>
      <w:r w:rsidR="00171EF5">
        <w:t>as large as 90</w:t>
      </w:r>
      <w:r w:rsidR="0038134C">
        <w:t xml:space="preserve"> </w:t>
      </w:r>
      <w:r w:rsidR="00171EF5">
        <w:t>% of the whole variance [see</w:t>
      </w:r>
      <w:r w:rsidR="00290E94">
        <w:t xml:space="preserve"> </w:t>
      </w:r>
      <w:r w:rsidR="000754A7">
        <w:t>Supporting Information</w:t>
      </w:r>
      <w:r w:rsidR="00171EF5">
        <w:t xml:space="preserve">], </w:t>
      </w:r>
      <w:r w:rsidR="00684260">
        <w:t>suggest</w:t>
      </w:r>
      <w:r w:rsidR="00171EF5">
        <w:t>ing</w:t>
      </w:r>
      <w:r w:rsidR="00684260">
        <w:t xml:space="preserve"> that </w:t>
      </w:r>
      <w:r w:rsidR="00EB32DE">
        <w:t>an</w:t>
      </w:r>
      <w:r w:rsidR="00171EF5">
        <w:t xml:space="preserve"> </w:t>
      </w:r>
      <w:r w:rsidR="00EB32DE">
        <w:t xml:space="preserve">observed </w:t>
      </w:r>
      <w:r w:rsidR="00171EF5">
        <w:t>spectr</w:t>
      </w:r>
      <w:r w:rsidR="00EB32DE">
        <w:t xml:space="preserve">um </w:t>
      </w:r>
      <w:r w:rsidR="00171EF5">
        <w:t xml:space="preserve">can be described </w:t>
      </w:r>
      <w:r w:rsidR="00EB32DE">
        <w:t>as</w:t>
      </w:r>
      <w:r w:rsidR="00171EF5">
        <w:t xml:space="preserve"> </w:t>
      </w:r>
      <w:r w:rsidR="00EB32DE">
        <w:t xml:space="preserve">a linear combination of </w:t>
      </w:r>
      <w:r w:rsidR="00684260">
        <w:t>two spectra</w:t>
      </w:r>
      <w:r w:rsidR="00EB32DE">
        <w:t>l components</w:t>
      </w:r>
      <w:r w:rsidR="00684260">
        <w:t xml:space="preserve"> </w:t>
      </w:r>
      <w:r w:rsidR="00352076">
        <w:t xml:space="preserve">that are </w:t>
      </w:r>
      <w:r w:rsidR="005D4006">
        <w:t>correlated in the opposite direction</w:t>
      </w:r>
      <w:r w:rsidR="00364D2E">
        <w:t xml:space="preserve">. </w:t>
      </w:r>
      <w:r w:rsidR="00EB32DE">
        <w:t xml:space="preserve">A similar result is </w:t>
      </w:r>
      <w:r w:rsidR="00D471A1">
        <w:t>observed from</w:t>
      </w:r>
      <w:r w:rsidR="00EB32DE">
        <w:t xml:space="preserve"> </w:t>
      </w:r>
      <w:r w:rsidR="00D471A1">
        <w:t>a</w:t>
      </w:r>
      <w:r w:rsidR="00311142">
        <w:t xml:space="preserve"> </w:t>
      </w:r>
      <w:r w:rsidR="00364D2E">
        <w:t>2DCOS</w:t>
      </w:r>
      <w:r w:rsidR="00D471A1">
        <w:t xml:space="preserve"> analysis </w:t>
      </w:r>
      <w:r w:rsidR="00171EF5">
        <w:t>of the identical data</w:t>
      </w:r>
      <w:r w:rsidR="00290E94">
        <w:t xml:space="preserve"> </w:t>
      </w:r>
      <w:r w:rsidR="00311142">
        <w:t>[see</w:t>
      </w:r>
      <w:r w:rsidR="00290E94">
        <w:t xml:space="preserve"> </w:t>
      </w:r>
      <w:r w:rsidR="000754A7">
        <w:t>Supporting Information</w:t>
      </w:r>
      <w:r w:rsidR="00311142">
        <w:t>]</w:t>
      </w:r>
      <w:r w:rsidR="00290E94">
        <w:t>.</w:t>
      </w:r>
      <w:r w:rsidR="00311142">
        <w:t xml:space="preserve"> </w:t>
      </w:r>
      <w:r w:rsidR="00D471A1">
        <w:t>While t</w:t>
      </w:r>
      <w:r w:rsidR="004D7068">
        <w:t xml:space="preserve">he synchronous plot shows </w:t>
      </w:r>
      <w:r w:rsidR="00D04461">
        <w:t xml:space="preserve">the </w:t>
      </w:r>
      <w:r w:rsidR="004D7068">
        <w:t xml:space="preserve">two underlying peaks </w:t>
      </w:r>
      <w:r w:rsidR="00D471A1">
        <w:t xml:space="preserve">at </w:t>
      </w:r>
      <w:r w:rsidR="004D7068">
        <w:t>1624 cm</w:t>
      </w:r>
      <w:r w:rsidR="004D7068" w:rsidRPr="03066021">
        <w:rPr>
          <w:vertAlign w:val="superscript"/>
        </w:rPr>
        <w:t>-1</w:t>
      </w:r>
      <w:r w:rsidR="004D7068">
        <w:t xml:space="preserve"> and 1655 cm</w:t>
      </w:r>
      <w:r w:rsidR="004D7068" w:rsidRPr="03066021">
        <w:rPr>
          <w:vertAlign w:val="superscript"/>
        </w:rPr>
        <w:t>-1</w:t>
      </w:r>
      <w:r w:rsidR="004D7068">
        <w:t xml:space="preserve"> are counter-correlated</w:t>
      </w:r>
      <w:r w:rsidR="00D471A1">
        <w:t>,</w:t>
      </w:r>
      <w:r w:rsidR="004D7068">
        <w:t xml:space="preserve"> </w:t>
      </w:r>
      <w:r w:rsidR="00EB32DE">
        <w:t xml:space="preserve">the </w:t>
      </w:r>
      <w:r w:rsidR="004D7068">
        <w:t xml:space="preserve">asynchronous </w:t>
      </w:r>
      <w:r w:rsidR="00EB32DE">
        <w:t>plot</w:t>
      </w:r>
      <w:r w:rsidR="004D7068">
        <w:t xml:space="preserve"> </w:t>
      </w:r>
      <w:r w:rsidR="00D471A1">
        <w:t>shows no other spectral species</w:t>
      </w:r>
      <w:r w:rsidR="004C7DC8">
        <w:t>.</w:t>
      </w:r>
      <w:r w:rsidR="004D7068">
        <w:t xml:space="preserve"> </w:t>
      </w:r>
      <w:r w:rsidR="004C7DC8">
        <w:t xml:space="preserve">These results of PCA and 2DCOS </w:t>
      </w:r>
      <w:r w:rsidR="00D471A1">
        <w:t>qualitatively indicate</w:t>
      </w:r>
      <w:r w:rsidR="004C7DC8">
        <w:t xml:space="preserve"> that the </w:t>
      </w:r>
      <w:r w:rsidR="005F3C4D">
        <w:t>observed IR spectra can be explained by two dominant spectral species</w:t>
      </w:r>
      <w:r w:rsidR="00311142">
        <w:t xml:space="preserve">, which </w:t>
      </w:r>
      <w:r w:rsidR="005F3C4D">
        <w:t xml:space="preserve">correspond to </w:t>
      </w:r>
      <w:r w:rsidR="00665B06">
        <w:t xml:space="preserve">the </w:t>
      </w:r>
      <w:r w:rsidR="005F3C4D" w:rsidRPr="03066021">
        <w:rPr>
          <w:rFonts w:ascii="Symbol" w:hAnsi="Symbol"/>
        </w:rPr>
        <w:t></w:t>
      </w:r>
      <w:r w:rsidR="005F3C4D">
        <w:t xml:space="preserve">-helix of the native insulin and </w:t>
      </w:r>
      <w:r w:rsidR="00665B06">
        <w:t xml:space="preserve">the </w:t>
      </w:r>
      <w:r w:rsidR="005F3C4D" w:rsidRPr="03066021">
        <w:rPr>
          <w:rFonts w:ascii="Symbol" w:hAnsi="Symbol"/>
        </w:rPr>
        <w:t></w:t>
      </w:r>
      <w:r w:rsidR="005F3C4D">
        <w:t>-sheet of the insulin</w:t>
      </w:r>
      <w:r w:rsidR="000B50AD">
        <w:t xml:space="preserve"> fibril</w:t>
      </w:r>
      <w:r w:rsidR="005F3C4D">
        <w:t>.</w:t>
      </w:r>
    </w:p>
    <w:p w14:paraId="12AC9FCB" w14:textId="055B8192" w:rsidR="00BF3CF3" w:rsidRDefault="009136D2" w:rsidP="00BF3CF3">
      <w:pPr>
        <w:pStyle w:val="TAMainText"/>
      </w:pPr>
      <w:r>
        <w:t>For quantitative analysis</w:t>
      </w:r>
      <w:r w:rsidR="00CA2E74">
        <w:t xml:space="preserve"> of the amount of native (</w:t>
      </w:r>
      <w:r w:rsidR="00CA2E74" w:rsidRPr="03066021">
        <w:rPr>
          <w:rFonts w:ascii="Symbol" w:hAnsi="Symbol"/>
        </w:rPr>
        <w:t></w:t>
      </w:r>
      <w:r w:rsidR="00CA2E74">
        <w:t>-helix) and fibril (</w:t>
      </w:r>
      <w:r w:rsidR="00CA2E74" w:rsidRPr="03066021">
        <w:rPr>
          <w:rFonts w:ascii="Symbol" w:hAnsi="Symbol"/>
        </w:rPr>
        <w:t></w:t>
      </w:r>
      <w:r w:rsidR="00CA2E74">
        <w:t>-sheet) forms of insulin</w:t>
      </w:r>
      <w:r>
        <w:t>,</w:t>
      </w:r>
      <w:r w:rsidR="0060349D">
        <w:t xml:space="preserve"> we </w:t>
      </w:r>
      <w:r w:rsidR="008F3333">
        <w:t xml:space="preserve">measure </w:t>
      </w:r>
      <w:r w:rsidR="0032180C">
        <w:t>the</w:t>
      </w:r>
      <w:r w:rsidR="0060349D">
        <w:t xml:space="preserve"> </w:t>
      </w:r>
      <w:r w:rsidR="00C65674">
        <w:t xml:space="preserve">area of </w:t>
      </w:r>
      <w:r w:rsidR="00A13991">
        <w:t xml:space="preserve">underlying </w:t>
      </w:r>
      <w:r w:rsidR="00C65674">
        <w:t>peaks in</w:t>
      </w:r>
      <w:r w:rsidR="005C356E">
        <w:t xml:space="preserve"> </w:t>
      </w:r>
      <w:r>
        <w:t>the</w:t>
      </w:r>
      <w:r w:rsidR="00104807">
        <w:t xml:space="preserve"> </w:t>
      </w:r>
      <w:r w:rsidR="005C356E">
        <w:t>amide I band</w:t>
      </w:r>
      <w:r w:rsidR="0060349D">
        <w:t>.</w:t>
      </w:r>
      <w:r w:rsidR="005C356E">
        <w:t xml:space="preserve"> </w:t>
      </w:r>
      <w:r w:rsidR="00F6102A">
        <w:t xml:space="preserve">As shown in </w:t>
      </w:r>
      <w:r w:rsidR="00EE6863">
        <w:t>Figures</w:t>
      </w:r>
      <w:r w:rsidR="00F6102A">
        <w:t xml:space="preserve"> 4c and 4d</w:t>
      </w:r>
      <w:r w:rsidR="00952A98">
        <w:t>,</w:t>
      </w:r>
      <w:r w:rsidR="00F6102A">
        <w:t xml:space="preserve"> </w:t>
      </w:r>
      <w:r w:rsidR="005C356E">
        <w:t>two Gaussian functions</w:t>
      </w:r>
      <w:r w:rsidR="0060349D">
        <w:t xml:space="preserve"> </w:t>
      </w:r>
      <w:r w:rsidR="00A13991">
        <w:t xml:space="preserve">yield </w:t>
      </w:r>
      <w:r w:rsidR="00467C0B">
        <w:t xml:space="preserve">good </w:t>
      </w:r>
      <w:r w:rsidR="00DF49CB">
        <w:t>fit</w:t>
      </w:r>
      <w:r w:rsidR="00CA2E74">
        <w:t>s</w:t>
      </w:r>
      <w:r w:rsidR="00A13991">
        <w:t xml:space="preserve"> </w:t>
      </w:r>
      <w:r w:rsidR="005B396C">
        <w:t xml:space="preserve">even </w:t>
      </w:r>
      <w:r w:rsidR="00F6102A">
        <w:t xml:space="preserve">with center frequencies and bandwidths shared </w:t>
      </w:r>
      <w:r w:rsidR="00467C0B">
        <w:t xml:space="preserve">for </w:t>
      </w:r>
      <w:r w:rsidR="005B396C">
        <w:t>all</w:t>
      </w:r>
      <w:r w:rsidR="00467C0B">
        <w:t xml:space="preserve"> spectra. </w:t>
      </w:r>
      <w:r w:rsidR="00517774">
        <w:t>[</w:t>
      </w:r>
      <w:r w:rsidR="00460DC0">
        <w:t>Additional</w:t>
      </w:r>
      <w:r w:rsidR="00BF3ED1">
        <w:t xml:space="preserve"> f</w:t>
      </w:r>
      <w:r w:rsidR="00104807">
        <w:t xml:space="preserve">itting results </w:t>
      </w:r>
      <w:r w:rsidR="00460DC0">
        <w:t xml:space="preserve">can be found </w:t>
      </w:r>
      <w:r>
        <w:t>in</w:t>
      </w:r>
      <w:r w:rsidR="00517774">
        <w:t xml:space="preserve"> </w:t>
      </w:r>
      <w:r w:rsidR="000754A7">
        <w:t>Supporting Information</w:t>
      </w:r>
      <w:r>
        <w:t>.</w:t>
      </w:r>
      <w:r w:rsidR="007B1DF3">
        <w:t>]</w:t>
      </w:r>
      <w:r w:rsidR="002F46B1">
        <w:t xml:space="preserve"> </w:t>
      </w:r>
      <w:r w:rsidR="00A740C8">
        <w:t xml:space="preserve">As discussed earlier, </w:t>
      </w:r>
      <w:r w:rsidR="00B13FD5">
        <w:t>the</w:t>
      </w:r>
      <w:r w:rsidR="002378EA" w:rsidRPr="002378EA">
        <w:t xml:space="preserve"> </w:t>
      </w:r>
      <w:r w:rsidR="002378EA">
        <w:t>Gaussian</w:t>
      </w:r>
      <w:r w:rsidR="00B13FD5">
        <w:t xml:space="preserve"> peak centered at 1655 cm</w:t>
      </w:r>
      <w:r w:rsidR="00B13FD5" w:rsidRPr="03066021">
        <w:rPr>
          <w:vertAlign w:val="superscript"/>
        </w:rPr>
        <w:t>-1</w:t>
      </w:r>
      <w:r w:rsidR="00B13FD5">
        <w:t xml:space="preserve"> corresponds to the </w:t>
      </w:r>
      <w:r w:rsidR="00B13FD5" w:rsidRPr="03066021">
        <w:rPr>
          <w:rFonts w:ascii="Symbol" w:hAnsi="Symbol"/>
        </w:rPr>
        <w:t></w:t>
      </w:r>
      <w:r w:rsidR="00B13FD5" w:rsidRPr="03066021">
        <w:rPr>
          <w:noProof/>
        </w:rPr>
        <w:t>-helix</w:t>
      </w:r>
      <w:r w:rsidR="00B13FD5">
        <w:t xml:space="preserve"> conformation and the other peak at 1624 cm</w:t>
      </w:r>
      <w:r w:rsidR="00B13FD5" w:rsidRPr="03066021">
        <w:rPr>
          <w:vertAlign w:val="superscript"/>
        </w:rPr>
        <w:t>-1</w:t>
      </w:r>
      <w:r w:rsidR="00B13FD5">
        <w:t xml:space="preserve">, </w:t>
      </w:r>
      <w:r w:rsidR="009B413C" w:rsidRPr="007731D8">
        <w:t>t</w:t>
      </w:r>
      <w:r w:rsidR="00B13FD5">
        <w:t xml:space="preserve">o the </w:t>
      </w:r>
      <w:r w:rsidR="00B13FD5" w:rsidRPr="03066021">
        <w:rPr>
          <w:rFonts w:ascii="Symbol" w:hAnsi="Symbol"/>
        </w:rPr>
        <w:t></w:t>
      </w:r>
      <w:r w:rsidR="00B13FD5">
        <w:t>-sheet conformation</w:t>
      </w:r>
      <w:r w:rsidR="00203168">
        <w:t>.</w:t>
      </w:r>
      <w:r w:rsidR="00096D6A">
        <w:fldChar w:fldCharType="begin" w:fldLock="1"/>
      </w:r>
      <w:r w:rsidR="00CB7374">
        <w:instrText>ADDIN CSL_CITATION {"citationItems":[{"id":"ITEM-1","itemData":{"DOI":"10.1038/nprot.2015.024","ISSN":"17502799","abstract":"Fourier transform IR (FTIR) spectroscopy is a nondestructive technique for structural characterization of proteins and polypeptides. The IR spectral data of polymers are usually interpreted in terms of the vibrations of a structural repeat. The repeat units in proteins give rise to nine characteristic IR absorption bands (amides A, B and I-VII). Amide I bands (1,700-1,600 cm -1) are the most prominent and sensitive vibrational bands of the protein backbone, and they relate to protein secondary structural components. In this protocol, we have detailed the principles that underlie the determination of protein secondary structure by FTIR spectroscopy, as well as the basic steps involved in protein sample preparation, instrument operation, FTIR spectra collection and spectra analysis in order to estimate protein secondary-structural components in aqueous (both H 2 O and deuterium oxide (D 2 O)) solution using algorithms, such as second-derivative, deconvolution and curve fitting. Small amounts of high-purity (&gt;95%) proteins at high concentrations (&gt;3 mg ml -1) are needed in this protocol; typically, the procedure can be completed in 1-2 d.","author":[{"dropping-particle":"","family":"Yang","given":"Huayan","non-dropping-particle":"","parse-names":false,"suffix":""},{"dropping-particle":"","family":"Yang","given":"Shouning","non-dropping-particle":"","parse-names":false,"suffix":""},{"dropping-particle":"","family":"Kong","given":"Jilie","non-dropping-particle":"","parse-names":false,"suffix":""},{"dropping-particle":"","family":"Dong","given":"Aichun","non-dropping-particle":"","parse-names":false,"suffix":""},{"dropping-particle":"","family":"Yu","given":"Shaoning","non-dropping-particle":"","parse-names":false,"suffix":""}],"container-title":"Nature Protocols","id":"ITEM-1","issue":"3","issued":{"date-parts":[["2015","3","2"]]},"page":"382-396","publisher":"Nature Publishing Group","title":"Obtaining information about protein secondary structures in aqueous solution using Fourier transform IR spectroscopy","type":"article-journal","volume":"10"},"uris":["http://www.mendeley.com/documents/?uuid=0d525243-eee6-4c2f-805f-4be28cb6393d"]}],"mendeley":{"formattedCitation":"&lt;sup&gt;3&lt;/sup&gt;","plainTextFormattedCitation":"3","previouslyFormattedCitation":"&lt;sup&gt;3&lt;/sup&gt;"},"properties":{"noteIndex":0},"schema":"https://github.com/citation-style-language/schema/raw/master/csl-citation.json"}</w:instrText>
      </w:r>
      <w:r w:rsidR="00096D6A">
        <w:fldChar w:fldCharType="separate"/>
      </w:r>
      <w:r w:rsidR="00CB7374" w:rsidRPr="00CB7374">
        <w:rPr>
          <w:noProof/>
          <w:vertAlign w:val="superscript"/>
        </w:rPr>
        <w:t>3</w:t>
      </w:r>
      <w:r w:rsidR="00096D6A">
        <w:fldChar w:fldCharType="end"/>
      </w:r>
      <w:r w:rsidR="00B13FD5">
        <w:t xml:space="preserve"> </w:t>
      </w:r>
      <w:r w:rsidR="003D689B">
        <w:t xml:space="preserve">The </w:t>
      </w:r>
      <w:r w:rsidR="0082710E">
        <w:t>peak at 1655 cm</w:t>
      </w:r>
      <w:r w:rsidR="0082710E" w:rsidRPr="03066021">
        <w:rPr>
          <w:vertAlign w:val="superscript"/>
        </w:rPr>
        <w:t>-1</w:t>
      </w:r>
      <w:r w:rsidR="0082710E">
        <w:t xml:space="preserve"> may </w:t>
      </w:r>
      <w:r w:rsidR="000B141F">
        <w:t>include</w:t>
      </w:r>
      <w:r w:rsidR="0082710E">
        <w:t xml:space="preserve"> </w:t>
      </w:r>
      <w:r w:rsidR="007057A5">
        <w:t>non-</w:t>
      </w:r>
      <w:r w:rsidR="007057A5" w:rsidRPr="03066021">
        <w:rPr>
          <w:rFonts w:ascii="Symbol" w:hAnsi="Symbol"/>
        </w:rPr>
        <w:t></w:t>
      </w:r>
      <w:r w:rsidR="007057A5" w:rsidRPr="03066021">
        <w:rPr>
          <w:noProof/>
        </w:rPr>
        <w:t>-helix</w:t>
      </w:r>
      <w:r w:rsidR="007057A5">
        <w:t xml:space="preserve"> </w:t>
      </w:r>
      <w:r w:rsidR="00BC6A71">
        <w:t>components</w:t>
      </w:r>
      <w:r w:rsidR="00BA15E1">
        <w:t>. However, o</w:t>
      </w:r>
      <w:r w:rsidR="00E54D0F">
        <w:t xml:space="preserve">ne can assume </w:t>
      </w:r>
      <w:r w:rsidR="00B44244">
        <w:t xml:space="preserve">that </w:t>
      </w:r>
      <w:r w:rsidR="00BC1FC3" w:rsidRPr="007731D8">
        <w:rPr>
          <w:i/>
          <w:iCs/>
        </w:rPr>
        <w:t>change</w:t>
      </w:r>
      <w:r w:rsidR="00BC1FC3">
        <w:t xml:space="preserve"> in </w:t>
      </w:r>
      <w:r w:rsidR="00B44244">
        <w:t xml:space="preserve">the area of </w:t>
      </w:r>
      <w:r w:rsidR="00E54D0F">
        <w:t>th</w:t>
      </w:r>
      <w:r w:rsidR="0015508E">
        <w:t xml:space="preserve">e </w:t>
      </w:r>
      <w:r w:rsidR="00BA15E1">
        <w:t>1655 cm</w:t>
      </w:r>
      <w:r w:rsidR="00BA15E1" w:rsidRPr="03066021">
        <w:rPr>
          <w:vertAlign w:val="superscript"/>
        </w:rPr>
        <w:t>-1</w:t>
      </w:r>
      <w:r w:rsidR="00BA15E1">
        <w:t xml:space="preserve"> </w:t>
      </w:r>
      <w:r w:rsidR="0015508E">
        <w:t xml:space="preserve">peak </w:t>
      </w:r>
      <w:r w:rsidR="00B44244">
        <w:t xml:space="preserve">is </w:t>
      </w:r>
      <w:r w:rsidR="00B44244" w:rsidRPr="00BC1FC3">
        <w:t xml:space="preserve">proportional </w:t>
      </w:r>
      <w:r w:rsidR="00B44244">
        <w:t xml:space="preserve">to </w:t>
      </w:r>
      <w:r w:rsidR="00BC1FC3" w:rsidRPr="007731D8">
        <w:rPr>
          <w:i/>
          <w:iCs/>
        </w:rPr>
        <w:t>change</w:t>
      </w:r>
      <w:r w:rsidR="00BC1FC3">
        <w:t xml:space="preserve"> in </w:t>
      </w:r>
      <w:r w:rsidR="00B44244">
        <w:t xml:space="preserve">the mass fraction of </w:t>
      </w:r>
      <w:r w:rsidR="005709A4" w:rsidRPr="03066021">
        <w:rPr>
          <w:rFonts w:ascii="Symbol" w:hAnsi="Symbol"/>
        </w:rPr>
        <w:t></w:t>
      </w:r>
      <w:r w:rsidR="005709A4" w:rsidRPr="03066021">
        <w:rPr>
          <w:noProof/>
        </w:rPr>
        <w:t>-helix</w:t>
      </w:r>
      <w:r w:rsidR="00B44244">
        <w:t xml:space="preserve"> conformation</w:t>
      </w:r>
      <w:r w:rsidR="00BC1FC3">
        <w:t>. Likewise</w:t>
      </w:r>
      <w:r w:rsidR="00BA15E1">
        <w:t>,</w:t>
      </w:r>
      <w:r w:rsidR="0015508E">
        <w:t xml:space="preserve"> </w:t>
      </w:r>
      <w:r w:rsidR="00BC1FC3" w:rsidRPr="007731D8">
        <w:rPr>
          <w:i/>
          <w:iCs/>
        </w:rPr>
        <w:t>change</w:t>
      </w:r>
      <w:r w:rsidR="00BC1FC3">
        <w:t xml:space="preserve"> in </w:t>
      </w:r>
      <w:r w:rsidR="0025263E">
        <w:t xml:space="preserve">the area of </w:t>
      </w:r>
      <w:r w:rsidR="0015508E">
        <w:t xml:space="preserve">the </w:t>
      </w:r>
      <w:r w:rsidR="00BA15E1">
        <w:t>1624 cm</w:t>
      </w:r>
      <w:r w:rsidR="00BA15E1" w:rsidRPr="03066021">
        <w:rPr>
          <w:vertAlign w:val="superscript"/>
        </w:rPr>
        <w:t>-1</w:t>
      </w:r>
      <w:r w:rsidR="00BA15E1" w:rsidRPr="007731D8">
        <w:t xml:space="preserve"> </w:t>
      </w:r>
      <w:r w:rsidR="0015508E">
        <w:t>peak</w:t>
      </w:r>
      <w:r w:rsidR="0025263E">
        <w:t xml:space="preserve"> is</w:t>
      </w:r>
      <w:r w:rsidR="000270AF">
        <w:t xml:space="preserve"> </w:t>
      </w:r>
      <w:r w:rsidR="00CA2E74" w:rsidRPr="00BC1FC3">
        <w:t>proportional</w:t>
      </w:r>
      <w:r w:rsidR="00CA2E74">
        <w:t xml:space="preserve"> </w:t>
      </w:r>
      <w:r w:rsidR="00F667CE">
        <w:t xml:space="preserve">to </w:t>
      </w:r>
      <w:r w:rsidR="00BC1FC3" w:rsidRPr="007731D8">
        <w:rPr>
          <w:i/>
          <w:iCs/>
        </w:rPr>
        <w:t>change</w:t>
      </w:r>
      <w:r w:rsidR="00BC1FC3">
        <w:t xml:space="preserve"> in </w:t>
      </w:r>
      <w:r w:rsidR="00F667CE">
        <w:t>the</w:t>
      </w:r>
      <w:r w:rsidR="0015508E">
        <w:t xml:space="preserve"> </w:t>
      </w:r>
      <w:r w:rsidR="00C63B7E">
        <w:t xml:space="preserve">mass fraction of </w:t>
      </w:r>
      <w:r w:rsidR="0015508E">
        <w:t xml:space="preserve">fibrillated </w:t>
      </w:r>
      <w:r w:rsidR="005709A4" w:rsidRPr="03066021">
        <w:rPr>
          <w:rFonts w:ascii="Symbol" w:hAnsi="Symbol"/>
        </w:rPr>
        <w:t></w:t>
      </w:r>
      <w:r w:rsidR="005709A4">
        <w:t>-shee</w:t>
      </w:r>
      <w:r w:rsidR="0015508E">
        <w:t xml:space="preserve">t </w:t>
      </w:r>
      <w:r w:rsidR="00CA2E74">
        <w:t>conformation</w:t>
      </w:r>
      <w:r w:rsidR="00497B1A">
        <w:t>.</w:t>
      </w:r>
      <w:r w:rsidR="0015508E">
        <w:t xml:space="preserve"> </w:t>
      </w:r>
      <w:r w:rsidR="00EE6863">
        <w:t>Figures</w:t>
      </w:r>
      <w:r w:rsidR="0015508E">
        <w:t xml:space="preserve"> </w:t>
      </w:r>
      <w:r w:rsidR="00CA2E74">
        <w:t xml:space="preserve">4c </w:t>
      </w:r>
      <w:r w:rsidR="00A13991">
        <w:t xml:space="preserve">and </w:t>
      </w:r>
      <w:r w:rsidR="00CA2E74">
        <w:t xml:space="preserve">4d </w:t>
      </w:r>
      <w:r w:rsidR="0015508E">
        <w:t>show the area</w:t>
      </w:r>
      <w:r w:rsidR="00A13991">
        <w:t xml:space="preserve"> plot</w:t>
      </w:r>
      <w:r w:rsidR="0015508E">
        <w:t xml:space="preserve">s as a function of time calculated from </w:t>
      </w:r>
      <w:r w:rsidR="002F46B1">
        <w:t>the absorption spectra of the 17.5 mg/mL</w:t>
      </w:r>
      <w:r w:rsidR="00A13991">
        <w:t xml:space="preserve"> and 3.5 mg/mL</w:t>
      </w:r>
      <w:r w:rsidR="002F46B1">
        <w:t xml:space="preserve"> solution</w:t>
      </w:r>
      <w:r w:rsidR="00A13991">
        <w:t>s, respectively</w:t>
      </w:r>
      <w:r w:rsidR="002F46B1">
        <w:t xml:space="preserve">. </w:t>
      </w:r>
      <w:r w:rsidR="00A13991">
        <w:t>In both data sets, t</w:t>
      </w:r>
      <w:r w:rsidR="002F46B1">
        <w:t xml:space="preserve">he </w:t>
      </w:r>
      <w:r w:rsidR="005709A4" w:rsidRPr="03066021">
        <w:rPr>
          <w:rFonts w:ascii="Symbol" w:hAnsi="Symbol"/>
        </w:rPr>
        <w:t></w:t>
      </w:r>
      <w:r w:rsidR="005709A4" w:rsidRPr="03066021">
        <w:rPr>
          <w:noProof/>
        </w:rPr>
        <w:t xml:space="preserve">-helix </w:t>
      </w:r>
      <w:r w:rsidR="002F46B1">
        <w:t xml:space="preserve">peak </w:t>
      </w:r>
      <w:r w:rsidR="00422FF1">
        <w:t xml:space="preserve">area </w:t>
      </w:r>
      <w:r w:rsidR="002F46B1">
        <w:t>decays</w:t>
      </w:r>
      <w:r w:rsidR="00A13991">
        <w:t xml:space="preserve"> </w:t>
      </w:r>
      <w:r w:rsidR="002F46B1">
        <w:t xml:space="preserve">with time </w:t>
      </w:r>
      <w:r w:rsidR="00924483">
        <w:t xml:space="preserve">monotonically </w:t>
      </w:r>
      <w:r w:rsidR="00A13991">
        <w:t xml:space="preserve">while the </w:t>
      </w:r>
      <w:r w:rsidR="005709A4" w:rsidRPr="03066021">
        <w:rPr>
          <w:rFonts w:ascii="Symbol" w:hAnsi="Symbol"/>
        </w:rPr>
        <w:t></w:t>
      </w:r>
      <w:r w:rsidR="005709A4">
        <w:t>-shee</w:t>
      </w:r>
      <w:r w:rsidR="00A13991">
        <w:t xml:space="preserve">t peak </w:t>
      </w:r>
      <w:r w:rsidR="00422FF1">
        <w:t xml:space="preserve">area </w:t>
      </w:r>
      <w:r w:rsidR="00A13991">
        <w:t xml:space="preserve">rises. </w:t>
      </w:r>
      <w:r w:rsidR="00422FF1">
        <w:t xml:space="preserve">One may notice that the </w:t>
      </w:r>
      <w:r w:rsidR="005709A4" w:rsidRPr="03066021">
        <w:rPr>
          <w:rFonts w:ascii="Symbol" w:hAnsi="Symbol"/>
        </w:rPr>
        <w:t></w:t>
      </w:r>
      <w:r w:rsidR="005709A4" w:rsidRPr="03066021">
        <w:rPr>
          <w:noProof/>
        </w:rPr>
        <w:t>-helix</w:t>
      </w:r>
      <w:r w:rsidR="00422FF1">
        <w:t xml:space="preserve"> peak area in </w:t>
      </w:r>
      <w:r w:rsidR="00EE6863">
        <w:t>Figure</w:t>
      </w:r>
      <w:r w:rsidR="00422FF1">
        <w:t xml:space="preserve"> </w:t>
      </w:r>
      <w:r w:rsidR="00CA2E74">
        <w:t>4e</w:t>
      </w:r>
      <w:r w:rsidR="007C08DE">
        <w:t xml:space="preserve"> </w:t>
      </w:r>
      <w:r w:rsidR="00422FF1">
        <w:t>reaches a</w:t>
      </w:r>
      <w:r w:rsidR="00924483">
        <w:t xml:space="preserve"> </w:t>
      </w:r>
      <w:r w:rsidR="00422FF1">
        <w:t xml:space="preserve">non-zero </w:t>
      </w:r>
      <w:r w:rsidR="002F46B1">
        <w:t>steady</w:t>
      </w:r>
      <w:r w:rsidR="00924483">
        <w:t>-</w:t>
      </w:r>
      <w:r w:rsidR="002F46B1">
        <w:t xml:space="preserve">state </w:t>
      </w:r>
      <w:r w:rsidR="00924483">
        <w:t xml:space="preserve">value </w:t>
      </w:r>
      <w:r w:rsidR="0015508E">
        <w:t xml:space="preserve">after </w:t>
      </w:r>
      <w:r w:rsidR="0015508E" w:rsidRPr="03066021">
        <w:rPr>
          <w:i/>
          <w:iCs/>
        </w:rPr>
        <w:t>t</w:t>
      </w:r>
      <w:r w:rsidR="0015508E">
        <w:t xml:space="preserve"> = 8 h</w:t>
      </w:r>
      <w:r w:rsidR="00422FF1">
        <w:t>, which</w:t>
      </w:r>
      <w:r w:rsidR="0015508E">
        <w:t xml:space="preserve"> </w:t>
      </w:r>
      <w:r w:rsidR="001E67E9">
        <w:t xml:space="preserve">can be explained </w:t>
      </w:r>
      <w:r w:rsidR="00422FF1">
        <w:t xml:space="preserve">by </w:t>
      </w:r>
      <w:r w:rsidR="00482B08">
        <w:t xml:space="preserve">the </w:t>
      </w:r>
      <w:r w:rsidR="00422FF1">
        <w:t xml:space="preserve">existence of </w:t>
      </w:r>
      <w:r w:rsidR="00CA2E74">
        <w:t xml:space="preserve">non-aggregated </w:t>
      </w:r>
      <w:r w:rsidR="00905C0D">
        <w:t xml:space="preserve">native </w:t>
      </w:r>
      <w:r w:rsidR="008D6E99">
        <w:t xml:space="preserve">forms or </w:t>
      </w:r>
      <w:r w:rsidR="005709A4" w:rsidRPr="03066021">
        <w:rPr>
          <w:rFonts w:ascii="Symbol" w:hAnsi="Symbol"/>
        </w:rPr>
        <w:t></w:t>
      </w:r>
      <w:r w:rsidR="005709A4" w:rsidRPr="03066021">
        <w:rPr>
          <w:noProof/>
        </w:rPr>
        <w:t>-helic</w:t>
      </w:r>
      <w:r w:rsidR="001E67E9">
        <w:t xml:space="preserve">es </w:t>
      </w:r>
      <w:r w:rsidR="00422FF1">
        <w:t>in</w:t>
      </w:r>
      <w:r w:rsidR="001E67E9">
        <w:t xml:space="preserve"> fibril</w:t>
      </w:r>
      <w:r w:rsidR="00422FF1">
        <w:t>s</w:t>
      </w:r>
      <w:r w:rsidR="00FD504C">
        <w:t xml:space="preserve">. </w:t>
      </w:r>
      <w:r w:rsidR="000A4F61">
        <w:t xml:space="preserve">A study of single insulin fibrils by nano-FT-IR spectroscopy </w:t>
      </w:r>
      <w:r w:rsidR="00F01185">
        <w:t xml:space="preserve">reported that insulin fibrils contain </w:t>
      </w:r>
      <w:r w:rsidR="00F01185" w:rsidRPr="03066021">
        <w:rPr>
          <w:rFonts w:ascii="Symbol" w:hAnsi="Symbol"/>
        </w:rPr>
        <w:t></w:t>
      </w:r>
      <w:r w:rsidR="00F01185" w:rsidRPr="03066021">
        <w:rPr>
          <w:noProof/>
        </w:rPr>
        <w:t>-helic</w:t>
      </w:r>
      <w:r w:rsidR="00F01185">
        <w:t xml:space="preserve">es </w:t>
      </w:r>
      <w:r w:rsidR="00AC7F3C">
        <w:t>in the non-</w:t>
      </w:r>
      <w:r w:rsidR="00AB7BCB" w:rsidRPr="00862D4E">
        <w:rPr>
          <w:rFonts w:ascii="Symbol" w:hAnsi="Symbol"/>
        </w:rPr>
        <w:t></w:t>
      </w:r>
      <w:r w:rsidR="00AB7BCB">
        <w:t>-</w:t>
      </w:r>
      <w:r w:rsidR="00AC7F3C">
        <w:t xml:space="preserve">stacked </w:t>
      </w:r>
      <w:r w:rsidR="00AB7BCB">
        <w:t>region</w:t>
      </w:r>
      <w:r w:rsidR="00203168">
        <w:t>.</w:t>
      </w:r>
      <w:r>
        <w:fldChar w:fldCharType="begin" w:fldLock="1"/>
      </w:r>
      <w:r w:rsidR="000C4007">
        <w:instrText>ADDIN CSL_CITATION {"citationItems":[{"id":"ITEM-1","itemData":{"DOI":"10.1038/ncomms3890","ISSN":"20411723","abstract":"Mid-infrared spectroscopy is a widely used tool for material identification and secondary structure analysis in chemistry, biology and biochemistry. However, the diffraction limit prevents nanoscale protein studies. Here we introduce mapping of protein structure with 30 nm lateral resolution and sensitivity to individual protein complexes by Fourier transform infrared nanospectroscopy (nano-FTIR). We present local broadband spectra of one virus, ferritin complexes, purple membranes and insulin aggregates, which can be interpreted in terms of their α-helical and/or β-sheet structure. Applying nano-FTIR for studying insulin fibrils - a model system widely used in neurodegenerative disease research - we find clear evidence that 3-nm-thin amyloid-like fibrils contain a large amount of α-helical structure. This reveals the surprisingly high level of protein organization in the fibril's periphery, which might explain why fibrils associate. We envision a wide application potential of nano-FTIR, including cellular receptor in vitro mapping and analysis of proteins within quaternary structures. © 2013 Macmillan Publishers Limited.","author":[{"dropping-particle":"","family":"Amenabar","given":"Iban","non-dropping-particle":"","parse-names":false,"suffix":""},{"dropping-particle":"","family":"Poly","given":"Simon","non-dropping-particle":"","parse-names":false,"suffix":""},{"dropping-particle":"","family":"Nuansing","given":"Wiwat","non-dropping-particle":"","parse-names":false,"suffix":""},{"dropping-particle":"","family":"Hubrich","given":"Elmar H.","non-dropping-particle":"","parse-names":false,"suffix":""},{"dropping-particle":"","family":"Govyadinov","given":"Alexander A.","non-dropping-particle":"","parse-names":false,"suffix":""},{"dropping-particle":"","family":"Huth","given":"Florian","non-dropping-particle":"","parse-names":false,"suffix":""},{"dropping-particle":"","family":"Krutokhvostov","given":"Roman","non-dropping-particle":"","parse-names":false,"suffix":""},{"dropping-particle":"","family":"Zhang","given":"Lianbing","non-dropping-particle":"","parse-names":false,"suffix":""},{"dropping-particle":"","family":"Knez","given":"Mato","non-dropping-particle":"","parse-names":false,"suffix":""},{"dropping-particle":"","family":"Heberle","given":"Joachim","non-dropping-particle":"","parse-names":false,"suffix":""},{"dropping-particle":"","family":"Bittner","given":"Alexander M.","non-dropping-particle":"","parse-names":false,"suffix":""},{"dropping-particle":"","family":"Hillenbrand","given":"Rainer","non-dropping-particle":"","parse-names":false,"suffix":""}],"container-title":"Nature Communications","id":"ITEM-1","issued":{"date-parts":[["2013"]]},"page":"2890","publisher":"Nature Publishing Group","title":"Structural analysis and mapping of individual protein complexes by infrared nanospectroscopy","type":"article-journal","volume":"4"},"uris":["http://www.mendeley.com/documents/?uuid=a62152a4-8152-443e-9260-ea9338d4d847"]}],"mendeley":{"formattedCitation":"&lt;sup&gt;24&lt;/sup&gt;","plainTextFormattedCitation":"24","previouslyFormattedCitation":"&lt;sup&gt;23&lt;/sup&gt;"},"properties":{"noteIndex":0},"schema":"https://github.com/citation-style-language/schema/raw/master/csl-citation.json"}</w:instrText>
      </w:r>
      <w:r>
        <w:fldChar w:fldCharType="separate"/>
      </w:r>
      <w:r w:rsidR="000C4007" w:rsidRPr="000C4007">
        <w:rPr>
          <w:noProof/>
          <w:vertAlign w:val="superscript"/>
        </w:rPr>
        <w:t>24</w:t>
      </w:r>
      <w:r>
        <w:fldChar w:fldCharType="end"/>
      </w:r>
      <w:r w:rsidR="00924483">
        <w:t xml:space="preserve"> </w:t>
      </w:r>
      <w:r w:rsidR="00422FF1">
        <w:t>The apparent decay</w:t>
      </w:r>
      <w:r w:rsidR="00C246D9">
        <w:t xml:space="preserve"> </w:t>
      </w:r>
      <w:r w:rsidR="00422FF1">
        <w:t>and ris</w:t>
      </w:r>
      <w:r w:rsidR="00C246D9">
        <w:t>e</w:t>
      </w:r>
      <w:r w:rsidR="00422FF1">
        <w:t xml:space="preserve"> times are faster </w:t>
      </w:r>
      <w:r w:rsidR="00C246D9">
        <w:t xml:space="preserve">for </w:t>
      </w:r>
      <w:r w:rsidR="00422FF1">
        <w:t xml:space="preserve">the </w:t>
      </w:r>
      <w:r w:rsidR="00C246D9">
        <w:t xml:space="preserve">17.5 mg/mL insulin solution </w:t>
      </w:r>
      <w:r w:rsidR="00422FF1">
        <w:t xml:space="preserve">than </w:t>
      </w:r>
      <w:r w:rsidR="00C246D9">
        <w:t xml:space="preserve">for </w:t>
      </w:r>
      <w:r w:rsidR="00422FF1">
        <w:t xml:space="preserve">the </w:t>
      </w:r>
      <w:r w:rsidR="00C246D9">
        <w:t>3.5 mg/mL</w:t>
      </w:r>
      <w:r w:rsidR="00422FF1">
        <w:t>. The faster fibrillation at a higher concentration is consistent with previous reports on the aggregation kinetics of other peptide solutions</w:t>
      </w:r>
      <w:r w:rsidR="00203168">
        <w:t>.</w:t>
      </w:r>
      <w:r>
        <w:fldChar w:fldCharType="begin" w:fldLock="1"/>
      </w:r>
      <w:r w:rsidR="000C4007">
        <w:instrText>ADDIN CSL_CITATION {"citationItems":[{"id":"ITEM-1","itemData":{"DOI":"10.1126/science.1178250","ISSN":"00368075","abstract":"We present an analytical treatment of a set of coupled kinetic equations that governs the self-assembly of filamentous molecular structures. Application to the case of protein aggregation demonstrates that the kinetics of amyloid growth can often be dominated by secondary rather than by primary nucleation events. Our results further reveal a range of general features of the growth kinetics of fragmenting filamentous structures, including the existence of generic scaling laws that provide mechanistic information in contexts ranging from in vitro amyloid growth to the in vivo development of mammalian prion diseases.","author":[{"dropping-particle":"","family":"Knowles","given":"Tuomas P.J.","non-dropping-particle":"","parse-names":false,"suffix":""},{"dropping-particle":"","family":"Waudby","given":"Christopher A.","non-dropping-particle":"","parse-names":false,"suffix":""},{"dropping-particle":"","family":"Devlin","given":"Glyn L.","non-dropping-particle":"","parse-names":false,"suffix":""},{"dropping-particle":"","family":"Cohen","given":"Samuel I.A.","non-dropping-particle":"","parse-names":false,"suffix":""},{"dropping-particle":"","family":"Aguzzi","given":"Adriano","non-dropping-particle":"","parse-names":false,"suffix":""},{"dropping-particle":"","family":"Vendruscolo","given":"Michele","non-dropping-particle":"","parse-names":false,"suffix":""},{"dropping-particle":"","family":"Terentjev","given":"Eugene M.","non-dropping-particle":"","parse-names":false,"suffix":""},{"dropping-particle":"","family":"Welland","given":"Mark E.","non-dropping-particle":"","parse-names":false,"suffix":""},{"dropping-particle":"","family":"Dobson","given":"Christopher M.","non-dropping-particle":"","parse-names":false,"suffix":""}],"container-title":"Science","id":"ITEM-1","issue":"5959","issued":{"date-parts":[["2009"]]},"page":"1533-1537","title":"An analytical solution to the kinetics of breakable filament assembly","type":"article-journal","volume":"326"},"uris":["http://www.mendeley.com/documents/?uuid=24046e77-e8e4-4336-be8b-f5931d6c5bb8","http://www.mendeley.com/documents/?uuid=4fb2d7eb-c55e-43df-b482-05565f4d55b1"]}],"mendeley":{"formattedCitation":"&lt;sup&gt;27&lt;/sup&gt;","plainTextFormattedCitation":"27","previouslyFormattedCitation":"&lt;sup&gt;26&lt;/sup&gt;"},"properties":{"noteIndex":0},"schema":"https://github.com/citation-style-language/schema/raw/master/csl-citation.json"}</w:instrText>
      </w:r>
      <w:r>
        <w:fldChar w:fldCharType="separate"/>
      </w:r>
      <w:r w:rsidR="000C4007" w:rsidRPr="000C4007">
        <w:rPr>
          <w:noProof/>
          <w:vertAlign w:val="superscript"/>
        </w:rPr>
        <w:t>27</w:t>
      </w:r>
      <w:r>
        <w:fldChar w:fldCharType="end"/>
      </w:r>
    </w:p>
    <w:p w14:paraId="483E7FA4" w14:textId="6957E3E5" w:rsidR="00BF3CF3" w:rsidRDefault="007E5A8D">
      <w:pPr>
        <w:pStyle w:val="TAMainText"/>
      </w:pPr>
      <w:r>
        <w:t xml:space="preserve">Another concentration </w:t>
      </w:r>
      <w:r w:rsidR="00C92A1D">
        <w:t xml:space="preserve">effect can be found </w:t>
      </w:r>
      <w:r w:rsidR="00962EC2">
        <w:t>in</w:t>
      </w:r>
      <w:r w:rsidR="00BF3CF3">
        <w:t xml:space="preserve"> </w:t>
      </w:r>
      <w:r w:rsidR="00651472">
        <w:t xml:space="preserve">the ratio of </w:t>
      </w:r>
      <w:r w:rsidR="00A21546">
        <w:t xml:space="preserve">the </w:t>
      </w:r>
      <w:r w:rsidR="005709A4" w:rsidRPr="03066021">
        <w:rPr>
          <w:rFonts w:ascii="Symbol" w:hAnsi="Symbol"/>
        </w:rPr>
        <w:t></w:t>
      </w:r>
      <w:r w:rsidR="005709A4">
        <w:t>-shee</w:t>
      </w:r>
      <w:r w:rsidR="00651472">
        <w:t xml:space="preserve">t area </w:t>
      </w:r>
      <w:r w:rsidR="00752703">
        <w:t xml:space="preserve">to </w:t>
      </w:r>
      <w:r w:rsidR="00A21546">
        <w:t xml:space="preserve">the </w:t>
      </w:r>
      <w:r w:rsidR="005709A4" w:rsidRPr="03066021">
        <w:rPr>
          <w:rFonts w:ascii="Symbol" w:hAnsi="Symbol"/>
        </w:rPr>
        <w:t></w:t>
      </w:r>
      <w:r w:rsidR="005709A4" w:rsidRPr="03066021">
        <w:rPr>
          <w:noProof/>
        </w:rPr>
        <w:t>-helix</w:t>
      </w:r>
      <w:r w:rsidR="00651472">
        <w:t xml:space="preserve"> area</w:t>
      </w:r>
      <w:r w:rsidR="00BF6E06">
        <w:t xml:space="preserve"> at </w:t>
      </w:r>
      <w:r w:rsidR="00665B06">
        <w:t>steady-</w:t>
      </w:r>
      <w:r w:rsidR="00BF6E06">
        <w:t>state</w:t>
      </w:r>
      <w:r w:rsidR="004F530C">
        <w:t xml:space="preserve">. </w:t>
      </w:r>
      <w:r w:rsidR="006343BA" w:rsidRPr="007731D8">
        <w:t>T</w:t>
      </w:r>
      <w:r w:rsidR="00A21546" w:rsidRPr="006343BA">
        <w:t>he</w:t>
      </w:r>
      <w:r w:rsidR="007218C7" w:rsidRPr="006343BA">
        <w:t xml:space="preserve"> </w:t>
      </w:r>
      <w:r w:rsidR="007218C7" w:rsidRPr="006343BA">
        <w:rPr>
          <w:rFonts w:ascii="Symbol" w:hAnsi="Symbol"/>
        </w:rPr>
        <w:t></w:t>
      </w:r>
      <w:r w:rsidR="007218C7" w:rsidRPr="006343BA">
        <w:t xml:space="preserve">-sheet </w:t>
      </w:r>
      <w:r w:rsidR="006343BA" w:rsidRPr="007731D8">
        <w:t xml:space="preserve">peak </w:t>
      </w:r>
      <w:r w:rsidR="007218C7" w:rsidRPr="006343BA">
        <w:t xml:space="preserve">area </w:t>
      </w:r>
      <w:r w:rsidR="006343BA" w:rsidRPr="007731D8">
        <w:t xml:space="preserve">may not be directly proportional to the mass ratio of </w:t>
      </w:r>
      <w:r w:rsidR="006343BA" w:rsidRPr="007731D8">
        <w:rPr>
          <w:rFonts w:ascii="Symbol" w:hAnsi="Symbol"/>
        </w:rPr>
        <w:t></w:t>
      </w:r>
      <w:r w:rsidR="006343BA" w:rsidRPr="007731D8">
        <w:t>-sheet</w:t>
      </w:r>
      <w:r w:rsidR="00CC2D9C">
        <w:t>.</w:t>
      </w:r>
      <w:r w:rsidR="006343BA" w:rsidRPr="007731D8">
        <w:t xml:space="preserve"> </w:t>
      </w:r>
      <w:r w:rsidR="00CC2D9C">
        <w:t>Similarly</w:t>
      </w:r>
      <w:r w:rsidR="00FE6C78">
        <w:t>,</w:t>
      </w:r>
      <w:r w:rsidR="006343BA" w:rsidRPr="007731D8">
        <w:t xml:space="preserve"> </w:t>
      </w:r>
      <w:r w:rsidR="007218C7" w:rsidRPr="006343BA">
        <w:t xml:space="preserve">the </w:t>
      </w:r>
      <w:r w:rsidR="007218C7" w:rsidRPr="006343BA">
        <w:rPr>
          <w:rFonts w:ascii="Symbol" w:hAnsi="Symbol"/>
        </w:rPr>
        <w:t></w:t>
      </w:r>
      <w:r w:rsidR="007218C7" w:rsidRPr="006343BA">
        <w:rPr>
          <w:noProof/>
        </w:rPr>
        <w:t>-helix</w:t>
      </w:r>
      <w:r w:rsidR="007218C7" w:rsidRPr="006343BA">
        <w:t xml:space="preserve"> </w:t>
      </w:r>
      <w:r w:rsidR="006343BA" w:rsidRPr="007731D8">
        <w:t xml:space="preserve">peak </w:t>
      </w:r>
      <w:r w:rsidR="007218C7" w:rsidRPr="006343BA">
        <w:t>area</w:t>
      </w:r>
      <w:r w:rsidR="006343BA" w:rsidRPr="007731D8">
        <w:t xml:space="preserve"> </w:t>
      </w:r>
      <w:r w:rsidR="00FE6C78">
        <w:t xml:space="preserve">may not be proportional to </w:t>
      </w:r>
      <w:r w:rsidR="007218C7" w:rsidRPr="006343BA">
        <w:t>the</w:t>
      </w:r>
      <w:r w:rsidR="00A5600E" w:rsidRPr="006343BA">
        <w:t xml:space="preserve"> mass ratio </w:t>
      </w:r>
      <w:r w:rsidR="00752703" w:rsidRPr="006343BA">
        <w:t xml:space="preserve">of </w:t>
      </w:r>
      <w:r w:rsidR="00A5600E" w:rsidRPr="006343BA">
        <w:t xml:space="preserve">unreacted monomers </w:t>
      </w:r>
      <w:r w:rsidR="00752703" w:rsidRPr="006343BA">
        <w:t xml:space="preserve">to </w:t>
      </w:r>
      <w:r w:rsidR="00710EFB" w:rsidRPr="006343BA">
        <w:t>produced fibrils.</w:t>
      </w:r>
      <w:r w:rsidR="00710EFB">
        <w:t xml:space="preserve"> However,</w:t>
      </w:r>
      <w:r w:rsidR="00A961D3">
        <w:t xml:space="preserve"> the ratio of </w:t>
      </w:r>
      <w:r w:rsidR="00851090">
        <w:t xml:space="preserve">the </w:t>
      </w:r>
      <w:r w:rsidR="00851090" w:rsidRPr="03066021">
        <w:rPr>
          <w:rFonts w:ascii="Symbol" w:hAnsi="Symbol"/>
        </w:rPr>
        <w:t></w:t>
      </w:r>
      <w:r w:rsidR="00851090">
        <w:t xml:space="preserve">-sheet area </w:t>
      </w:r>
      <w:r w:rsidR="0093363D">
        <w:t xml:space="preserve">to </w:t>
      </w:r>
      <w:r w:rsidR="00851090">
        <w:t xml:space="preserve">the </w:t>
      </w:r>
      <w:r w:rsidR="00851090" w:rsidRPr="03066021">
        <w:rPr>
          <w:rFonts w:ascii="Symbol" w:hAnsi="Symbol"/>
        </w:rPr>
        <w:t></w:t>
      </w:r>
      <w:r w:rsidR="00851090" w:rsidRPr="03066021">
        <w:rPr>
          <w:noProof/>
        </w:rPr>
        <w:t>-helix</w:t>
      </w:r>
      <w:r w:rsidR="00851090">
        <w:t xml:space="preserve"> area should be the same</w:t>
      </w:r>
      <w:r w:rsidR="006343BA" w:rsidRPr="006343BA">
        <w:t xml:space="preserve"> </w:t>
      </w:r>
      <w:r w:rsidR="006343BA">
        <w:t>if the steady-state equilibrium is identical for both concentrations</w:t>
      </w:r>
      <w:r w:rsidR="00567641">
        <w:t>.</w:t>
      </w:r>
      <w:r w:rsidR="006777D2">
        <w:t xml:space="preserve"> </w:t>
      </w:r>
      <w:r w:rsidR="005B4108">
        <w:t>The observed ratio</w:t>
      </w:r>
      <w:r w:rsidR="0005012A">
        <w:t xml:space="preserve"> of</w:t>
      </w:r>
      <w:r w:rsidR="001B04AF">
        <w:t xml:space="preserve"> the </w:t>
      </w:r>
      <w:r w:rsidR="001B04AF" w:rsidRPr="03066021">
        <w:rPr>
          <w:rFonts w:ascii="Symbol" w:hAnsi="Symbol"/>
        </w:rPr>
        <w:t></w:t>
      </w:r>
      <w:r w:rsidR="001B04AF">
        <w:t xml:space="preserve">-sheet area to the </w:t>
      </w:r>
      <w:r w:rsidR="001B04AF" w:rsidRPr="03066021">
        <w:rPr>
          <w:rFonts w:ascii="Symbol" w:hAnsi="Symbol"/>
        </w:rPr>
        <w:t></w:t>
      </w:r>
      <w:r w:rsidR="001B04AF" w:rsidRPr="03066021">
        <w:rPr>
          <w:noProof/>
        </w:rPr>
        <w:t>-helix</w:t>
      </w:r>
      <w:r w:rsidR="001B04AF">
        <w:t xml:space="preserve"> area</w:t>
      </w:r>
      <w:r w:rsidR="0005012A">
        <w:t xml:space="preserve"> </w:t>
      </w:r>
      <w:r w:rsidR="001B04AF">
        <w:t xml:space="preserve">is </w:t>
      </w:r>
      <w:r w:rsidR="00B5159C">
        <w:t>smaller</w:t>
      </w:r>
      <w:r w:rsidR="00C30D04">
        <w:t xml:space="preserve"> </w:t>
      </w:r>
      <w:r w:rsidR="0093363D">
        <w:t>at</w:t>
      </w:r>
      <w:r w:rsidR="00C30D04">
        <w:t xml:space="preserve"> </w:t>
      </w:r>
      <w:r w:rsidR="0005012A">
        <w:t>the high concentration</w:t>
      </w:r>
      <w:r w:rsidR="00F60633">
        <w:t xml:space="preserve"> </w:t>
      </w:r>
      <w:r w:rsidR="00C30D04">
        <w:t>(</w:t>
      </w:r>
      <w:r w:rsidR="00EE6863">
        <w:t>Figure</w:t>
      </w:r>
      <w:r w:rsidR="005B4108">
        <w:t xml:space="preserve"> 4e</w:t>
      </w:r>
      <w:r w:rsidR="00C30D04">
        <w:t>)</w:t>
      </w:r>
      <w:r w:rsidR="005B4108">
        <w:t xml:space="preserve"> </w:t>
      </w:r>
      <w:r w:rsidR="00F60633">
        <w:t xml:space="preserve">than </w:t>
      </w:r>
      <w:r w:rsidR="0093363D">
        <w:t>at</w:t>
      </w:r>
      <w:r w:rsidR="00F60633">
        <w:t xml:space="preserve"> the low concentration </w:t>
      </w:r>
      <w:r w:rsidR="00B5159C">
        <w:t>(</w:t>
      </w:r>
      <w:r w:rsidR="00EE6863">
        <w:t>Figure</w:t>
      </w:r>
      <w:r w:rsidR="00E92D2D">
        <w:t xml:space="preserve"> 4f</w:t>
      </w:r>
      <w:r w:rsidR="00B5159C">
        <w:t>)</w:t>
      </w:r>
      <w:r w:rsidR="00AC166F">
        <w:t xml:space="preserve"> even after </w:t>
      </w:r>
      <w:r w:rsidR="00471359">
        <w:t xml:space="preserve">the unfinished reaction in </w:t>
      </w:r>
      <w:r w:rsidR="00EE6863">
        <w:t>Figure</w:t>
      </w:r>
      <w:r w:rsidR="00471359">
        <w:t xml:space="preserve"> 4f. </w:t>
      </w:r>
      <w:r w:rsidR="00E50971">
        <w:t xml:space="preserve">This may be simply </w:t>
      </w:r>
      <w:r w:rsidR="00094739">
        <w:t>due to more precipitation in the higher concentration solution</w:t>
      </w:r>
      <w:r w:rsidR="009938B0">
        <w:t xml:space="preserve">, but </w:t>
      </w:r>
      <w:r w:rsidR="00083C43">
        <w:t xml:space="preserve">the </w:t>
      </w:r>
      <w:r w:rsidR="00083C43" w:rsidRPr="03066021">
        <w:rPr>
          <w:rFonts w:ascii="Symbol" w:hAnsi="Symbol"/>
        </w:rPr>
        <w:t></w:t>
      </w:r>
      <w:r w:rsidR="00083C43">
        <w:t xml:space="preserve">-sheet area does not show </w:t>
      </w:r>
      <w:r w:rsidR="002A438C">
        <w:t>any</w:t>
      </w:r>
      <w:r w:rsidR="00B279E9">
        <w:t xml:space="preserve"> continuing decay </w:t>
      </w:r>
      <w:r w:rsidR="003150F2">
        <w:t xml:space="preserve">after it reaches </w:t>
      </w:r>
      <w:r w:rsidR="00DC3669">
        <w:t>a plat</w:t>
      </w:r>
      <w:r w:rsidR="00D7682A">
        <w:t>eau</w:t>
      </w:r>
      <w:r w:rsidR="00180B49">
        <w:t xml:space="preserve">. </w:t>
      </w:r>
      <w:r w:rsidR="00DA7ABD">
        <w:t>Also</w:t>
      </w:r>
      <w:r w:rsidR="00D7682A">
        <w:t>,</w:t>
      </w:r>
      <w:r w:rsidR="00A168E4">
        <w:t xml:space="preserve"> no visible precipitate </w:t>
      </w:r>
      <w:r w:rsidR="00BF1AF3">
        <w:t>is</w:t>
      </w:r>
      <w:r w:rsidR="00A168E4">
        <w:t xml:space="preserve"> </w:t>
      </w:r>
      <w:r w:rsidR="00703E31">
        <w:t xml:space="preserve">observed </w:t>
      </w:r>
      <w:r w:rsidR="000029AD">
        <w:t xml:space="preserve">in the sample cell </w:t>
      </w:r>
      <w:r w:rsidR="00A168E4">
        <w:t xml:space="preserve">after </w:t>
      </w:r>
      <w:r w:rsidR="000029AD">
        <w:t>each</w:t>
      </w:r>
      <w:r w:rsidR="00A168E4">
        <w:t xml:space="preserve"> experiment</w:t>
      </w:r>
      <w:r w:rsidR="000029AD">
        <w:t xml:space="preserve">. Other possible explanations are </w:t>
      </w:r>
      <w:r w:rsidR="00382926">
        <w:t xml:space="preserve">either </w:t>
      </w:r>
      <w:r w:rsidR="0075100B">
        <w:t xml:space="preserve">that </w:t>
      </w:r>
      <w:r w:rsidR="00382926">
        <w:t xml:space="preserve">the fibril mass fraction </w:t>
      </w:r>
      <w:r w:rsidR="00C17D36">
        <w:t>is lower for the higher concentration solution</w:t>
      </w:r>
      <w:r w:rsidR="0075100B">
        <w:t xml:space="preserve"> or </w:t>
      </w:r>
      <w:r w:rsidR="000B04B6">
        <w:t xml:space="preserve">that </w:t>
      </w:r>
      <w:r w:rsidR="005C05A5">
        <w:t xml:space="preserve">the </w:t>
      </w:r>
      <w:r w:rsidR="00A83730">
        <w:t>structure</w:t>
      </w:r>
      <w:r w:rsidR="00D84D23">
        <w:t xml:space="preserve"> distribution</w:t>
      </w:r>
      <w:r w:rsidR="00A83730">
        <w:t xml:space="preserve"> of fibrils </w:t>
      </w:r>
      <w:r w:rsidR="00C540D0">
        <w:t xml:space="preserve">is </w:t>
      </w:r>
      <w:r w:rsidR="00A83730">
        <w:t>different</w:t>
      </w:r>
      <w:r w:rsidR="00317B07">
        <w:t>,</w:t>
      </w:r>
      <w:r w:rsidR="00AF1B0E">
        <w:t xml:space="preserve"> </w:t>
      </w:r>
      <w:r w:rsidR="007E37D7">
        <w:t xml:space="preserve">neither </w:t>
      </w:r>
      <w:r w:rsidR="00B158AC">
        <w:t xml:space="preserve">of which </w:t>
      </w:r>
      <w:r w:rsidR="007E37D7">
        <w:t>can</w:t>
      </w:r>
      <w:r w:rsidR="00554591">
        <w:t xml:space="preserve"> be confirmed by this IR measurement </w:t>
      </w:r>
      <w:r w:rsidR="007E37D7">
        <w:t>alone</w:t>
      </w:r>
      <w:r w:rsidR="00554591">
        <w:t>.</w:t>
      </w:r>
      <w:r w:rsidR="00406B77">
        <w:t xml:space="preserve"> </w:t>
      </w:r>
      <w:r w:rsidR="004774E5">
        <w:t xml:space="preserve">Among very few </w:t>
      </w:r>
      <w:r w:rsidR="000D7AA6">
        <w:t xml:space="preserve">reports on </w:t>
      </w:r>
      <w:r w:rsidR="00073777">
        <w:t xml:space="preserve">the </w:t>
      </w:r>
      <w:r w:rsidR="004774E5">
        <w:t>concentration effect</w:t>
      </w:r>
      <w:r w:rsidR="00073777">
        <w:t>s</w:t>
      </w:r>
      <w:r w:rsidR="004774E5">
        <w:t xml:space="preserve"> on </w:t>
      </w:r>
      <w:r w:rsidR="001B742D">
        <w:t xml:space="preserve">the </w:t>
      </w:r>
      <w:r w:rsidR="00BB0395">
        <w:t xml:space="preserve">conformational </w:t>
      </w:r>
      <w:r w:rsidR="000D7AA6">
        <w:t>equilibrium</w:t>
      </w:r>
      <w:r w:rsidR="00BB0395">
        <w:t xml:space="preserve"> </w:t>
      </w:r>
      <w:r w:rsidR="00726EBC">
        <w:t>of peptide fibrillation, o</w:t>
      </w:r>
      <w:r w:rsidR="00FB3273">
        <w:t xml:space="preserve">ne </w:t>
      </w:r>
      <w:r w:rsidR="00420874">
        <w:t xml:space="preserve">indirectly related </w:t>
      </w:r>
      <w:r w:rsidR="00FB3273">
        <w:t>report</w:t>
      </w:r>
      <w:r w:rsidR="0011617E">
        <w:t xml:space="preserve"> shows</w:t>
      </w:r>
      <w:r w:rsidR="00FB3273">
        <w:t xml:space="preserve"> </w:t>
      </w:r>
      <w:r w:rsidR="002B7F36">
        <w:t xml:space="preserve">that </w:t>
      </w:r>
      <w:r w:rsidR="0011617E" w:rsidRPr="03066021">
        <w:rPr>
          <w:rFonts w:ascii="Symbol" w:hAnsi="Symbol"/>
        </w:rPr>
        <w:t></w:t>
      </w:r>
      <w:r w:rsidR="0011617E">
        <w:t xml:space="preserve">-sheet intensity </w:t>
      </w:r>
      <w:r w:rsidR="00C540D0">
        <w:t xml:space="preserve">of peptide solutions measured </w:t>
      </w:r>
      <w:r w:rsidR="0011617E">
        <w:t xml:space="preserve">by </w:t>
      </w:r>
      <w:r w:rsidR="00BF3CF3">
        <w:t xml:space="preserve">far-UV CD </w:t>
      </w:r>
      <w:r w:rsidR="002B7F36">
        <w:t>exhibit</w:t>
      </w:r>
      <w:r w:rsidR="00C540D0">
        <w:t>s</w:t>
      </w:r>
      <w:r w:rsidR="00BF3CF3">
        <w:t xml:space="preserve"> </w:t>
      </w:r>
      <w:r w:rsidR="00FB770F">
        <w:t xml:space="preserve">a </w:t>
      </w:r>
      <w:r w:rsidR="00BF3CF3">
        <w:t>non-</w:t>
      </w:r>
      <w:r w:rsidR="00BF32C9">
        <w:t>linear dependence on</w:t>
      </w:r>
      <w:r w:rsidR="00A14071">
        <w:t xml:space="preserve"> the initial monomer concentration</w:t>
      </w:r>
      <w:r w:rsidR="00203168">
        <w:t>.</w:t>
      </w:r>
      <w:r>
        <w:fldChar w:fldCharType="begin" w:fldLock="1"/>
      </w:r>
      <w:r w:rsidR="00CB7374">
        <w:instrText>ADDIN CSL_CITATION {"citationItems":[{"id":"ITEM-1","itemData":{"DOI":"10.1074/jbc.M314141200","ISBN":"2163683419","ISSN":"00219258","abstract":"Insulin undergoes aggregation-coupled misfolding to form a cross-β assembly. Such fibrillation has long complicated its manufacture and use in the therapy of diabetes mellitus. Of interest as a model for disease-associated amyloids, insulin fibrillation is proposed to occur via partial unfolding of a monomeric intermediate. Here, we describe the solution structure of human insulin under amyloidogenic conditions (pH 2.4 and 60 °C). Use of an enhanced sensitivity cryogenic probe at high magnetic field avoids onset of fibrillation during spectral acquisition. A novel partial fold is observed in which the N-terminal segments of the A- and B-chains detach from the core. Unfolding of the N-terminal α-helix of the A-chain exposes a hydrophobic surface formed by native-like packing of the remaining a-helices. The C-terminal segment of the B-chain, although not well ordered, remains tethered to this partial helical core. We propose that detachment of N-terminal segments makes possible aberrant protein-protein interactions in an amyloidogenic nucleus. Non-cooperative unfolding of the N-terminal A-chain α-helix resembles that observed in models of proinsulin folding intermediates and foreshadows the extensive α → β transition characteristic of mature fibrils.","author":[{"dropping-particle":"","family":"Hua","given":"Qing Xin","non-dropping-particle":"","parse-names":false,"suffix":""},{"dropping-particle":"","family":"Weiss","given":"Michael A.","non-dropping-particle":"","parse-names":false,"suffix":""}],"container-title":"Journal of Biological Chemistry","id":"ITEM-1","issue":"20","issued":{"date-parts":[["2004"]]},"page":"21449-21460","title":"Mechanism of insulin fibrillation: The structure of insulin under amyloidogenic conditions resembles a protein-folding intermediate","type":"article-journal","volume":"279"},"uris":["http://www.mendeley.com/documents/?uuid=8f057a10-98d6-41db-9976-75fe145e9b39"]}],"mendeley":{"formattedCitation":"&lt;sup&gt;13&lt;/sup&gt;","plainTextFormattedCitation":"13","previouslyFormattedCitation":"&lt;sup&gt;13&lt;/sup&gt;"},"properties":{"noteIndex":0},"schema":"https://github.com/citation-style-language/schema/raw/master/csl-citation.json"}</w:instrText>
      </w:r>
      <w:r>
        <w:fldChar w:fldCharType="separate"/>
      </w:r>
      <w:r w:rsidR="00CB7374" w:rsidRPr="00CB7374">
        <w:rPr>
          <w:noProof/>
          <w:vertAlign w:val="superscript"/>
        </w:rPr>
        <w:t>13</w:t>
      </w:r>
      <w:r>
        <w:fldChar w:fldCharType="end"/>
      </w:r>
    </w:p>
    <w:p w14:paraId="3DABBD13" w14:textId="77777777" w:rsidR="00D71B15" w:rsidRPr="00BA559B" w:rsidRDefault="00D71B15">
      <w:pPr>
        <w:pStyle w:val="TAMainText"/>
      </w:pPr>
    </w:p>
    <w:p w14:paraId="2AE49A0B" w14:textId="074ECEC3" w:rsidR="00760885" w:rsidRDefault="00067C83" w:rsidP="00760885">
      <w:pPr>
        <w:pStyle w:val="TAMainText"/>
        <w:ind w:firstLine="0"/>
        <w:jc w:val="center"/>
      </w:pPr>
      <w:r>
        <w:rPr>
          <w:noProof/>
        </w:rPr>
        <w:drawing>
          <wp:inline distT="0" distB="0" distL="0" distR="0" wp14:anchorId="7CE6EBF8" wp14:editId="25B2A2A3">
            <wp:extent cx="3445501" cy="3959750"/>
            <wp:effectExtent l="0" t="0" r="3175" b="3175"/>
            <wp:docPr id="4" name="Picture 4"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4.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58086" cy="3974214"/>
                    </a:xfrm>
                    <a:prstGeom prst="rect">
                      <a:avLst/>
                    </a:prstGeom>
                  </pic:spPr>
                </pic:pic>
              </a:graphicData>
            </a:graphic>
          </wp:inline>
        </w:drawing>
      </w:r>
    </w:p>
    <w:p w14:paraId="1EF673EF" w14:textId="04A16000" w:rsidR="00760885" w:rsidRDefault="00760885" w:rsidP="006B759D">
      <w:pPr>
        <w:pStyle w:val="TAMainText"/>
        <w:spacing w:after="240" w:line="276" w:lineRule="auto"/>
        <w:ind w:firstLine="0"/>
        <w:rPr>
          <w:noProof/>
          <w:szCs w:val="24"/>
        </w:rPr>
      </w:pPr>
      <w:r w:rsidRPr="009B4415">
        <w:rPr>
          <w:b/>
          <w:bCs/>
          <w:szCs w:val="24"/>
        </w:rPr>
        <w:t xml:space="preserve">Figure </w:t>
      </w:r>
      <w:r>
        <w:rPr>
          <w:b/>
          <w:bCs/>
          <w:szCs w:val="24"/>
        </w:rPr>
        <w:t>4</w:t>
      </w:r>
      <w:r w:rsidRPr="009B4415">
        <w:rPr>
          <w:b/>
          <w:bCs/>
          <w:szCs w:val="24"/>
        </w:rPr>
        <w:t>.</w:t>
      </w:r>
      <w:r w:rsidRPr="009B4415">
        <w:rPr>
          <w:szCs w:val="24"/>
        </w:rPr>
        <w:t xml:space="preserve"> </w:t>
      </w:r>
      <w:r>
        <w:rPr>
          <w:bCs/>
          <w:szCs w:val="24"/>
        </w:rPr>
        <w:t xml:space="preserve">Time-resolved absorption </w:t>
      </w:r>
      <w:r w:rsidRPr="009B4415">
        <w:rPr>
          <w:bCs/>
          <w:szCs w:val="24"/>
        </w:rPr>
        <w:t xml:space="preserve">spectra of insulin </w:t>
      </w:r>
      <w:r>
        <w:rPr>
          <w:bCs/>
          <w:szCs w:val="24"/>
        </w:rPr>
        <w:t xml:space="preserve">solutions at </w:t>
      </w:r>
      <w:r w:rsidRPr="009B4415">
        <w:rPr>
          <w:noProof/>
          <w:szCs w:val="24"/>
        </w:rPr>
        <w:t>(a) 17.5 mg/mL and (b) 3.5 mg/mL</w:t>
      </w:r>
      <w:r>
        <w:rPr>
          <w:noProof/>
          <w:szCs w:val="24"/>
        </w:rPr>
        <w:t xml:space="preserve"> concentrations, at </w:t>
      </w:r>
      <w:r w:rsidRPr="00B067A0">
        <w:rPr>
          <w:bCs/>
          <w:szCs w:val="24"/>
        </w:rPr>
        <w:t xml:space="preserve">74 </w:t>
      </w:r>
      <w:r>
        <w:rPr>
          <w:rFonts w:ascii="Arial" w:hAnsi="Arial" w:cs="Arial"/>
          <w:bCs/>
          <w:szCs w:val="24"/>
        </w:rPr>
        <w:t>°</w:t>
      </w:r>
      <w:r w:rsidRPr="00B067A0">
        <w:rPr>
          <w:bCs/>
          <w:szCs w:val="24"/>
        </w:rPr>
        <w:t>C</w:t>
      </w:r>
      <w:r>
        <w:rPr>
          <w:bCs/>
          <w:szCs w:val="24"/>
        </w:rPr>
        <w:t xml:space="preserve"> and </w:t>
      </w:r>
      <w:r w:rsidRPr="009B4415">
        <w:rPr>
          <w:noProof/>
          <w:szCs w:val="24"/>
        </w:rPr>
        <w:t>pH</w:t>
      </w:r>
      <w:r>
        <w:rPr>
          <w:noProof/>
          <w:szCs w:val="24"/>
        </w:rPr>
        <w:t xml:space="preserve"> = </w:t>
      </w:r>
      <w:r w:rsidRPr="009B4415">
        <w:rPr>
          <w:noProof/>
          <w:szCs w:val="24"/>
        </w:rPr>
        <w:t>2.</w:t>
      </w:r>
      <w:r>
        <w:rPr>
          <w:noProof/>
          <w:szCs w:val="24"/>
        </w:rPr>
        <w:t xml:space="preserve"> Each spectrum is baseline detrended by absorbances at 1480 cm</w:t>
      </w:r>
      <w:r w:rsidRPr="00BA559B">
        <w:rPr>
          <w:noProof/>
          <w:szCs w:val="24"/>
          <w:vertAlign w:val="superscript"/>
        </w:rPr>
        <w:t>-1</w:t>
      </w:r>
      <w:r>
        <w:rPr>
          <w:noProof/>
          <w:szCs w:val="24"/>
        </w:rPr>
        <w:t xml:space="preserve"> and 1750 cm</w:t>
      </w:r>
      <w:r w:rsidRPr="00F667CE">
        <w:rPr>
          <w:noProof/>
          <w:szCs w:val="24"/>
          <w:vertAlign w:val="superscript"/>
        </w:rPr>
        <w:t>-1</w:t>
      </w:r>
      <w:r>
        <w:rPr>
          <w:noProof/>
          <w:szCs w:val="24"/>
        </w:rPr>
        <w:t>.</w:t>
      </w:r>
      <w:r w:rsidRPr="009B4415">
        <w:rPr>
          <w:noProof/>
          <w:szCs w:val="24"/>
        </w:rPr>
        <w:t xml:space="preserve"> </w:t>
      </w:r>
      <w:r>
        <w:rPr>
          <w:noProof/>
          <w:szCs w:val="24"/>
        </w:rPr>
        <w:t>(c) and (d) Examples of peak fitting of the amide I band with two Gaussian functions. The center frequency and the FWHM of the peak corresponding to</w:t>
      </w:r>
      <w:r w:rsidRPr="00767F3B">
        <w:rPr>
          <w:noProof/>
          <w:szCs w:val="24"/>
        </w:rPr>
        <w:t xml:space="preserve"> </w:t>
      </w:r>
      <w:r>
        <w:rPr>
          <w:noProof/>
          <w:szCs w:val="24"/>
        </w:rPr>
        <w:t xml:space="preserve">the </w:t>
      </w:r>
      <w:r w:rsidRPr="004930B4">
        <w:rPr>
          <w:rFonts w:ascii="Symbol" w:hAnsi="Symbol"/>
        </w:rPr>
        <w:t></w:t>
      </w:r>
      <w:r>
        <w:rPr>
          <w:noProof/>
          <w:szCs w:val="24"/>
        </w:rPr>
        <w:t xml:space="preserve">-helix are </w:t>
      </w:r>
      <w:r w:rsidRPr="76750B05">
        <w:rPr>
          <w:noProof/>
        </w:rPr>
        <w:t>1655</w:t>
      </w:r>
      <w:r>
        <w:rPr>
          <w:noProof/>
          <w:szCs w:val="24"/>
        </w:rPr>
        <w:t xml:space="preserve"> cm</w:t>
      </w:r>
      <w:r w:rsidRPr="00BA559B">
        <w:rPr>
          <w:noProof/>
          <w:szCs w:val="24"/>
          <w:vertAlign w:val="superscript"/>
        </w:rPr>
        <w:t>-1</w:t>
      </w:r>
      <w:r>
        <w:rPr>
          <w:noProof/>
          <w:szCs w:val="24"/>
        </w:rPr>
        <w:t xml:space="preserve"> and 25 cm</w:t>
      </w:r>
      <w:r w:rsidRPr="000861DD">
        <w:rPr>
          <w:noProof/>
          <w:szCs w:val="24"/>
          <w:vertAlign w:val="superscript"/>
        </w:rPr>
        <w:t>-1</w:t>
      </w:r>
      <w:r>
        <w:rPr>
          <w:noProof/>
          <w:szCs w:val="24"/>
        </w:rPr>
        <w:t xml:space="preserve">, respectively, while those of the peak corresponding to the </w:t>
      </w:r>
      <w:r w:rsidRPr="004930B4">
        <w:rPr>
          <w:rFonts w:ascii="Symbol" w:hAnsi="Symbol"/>
        </w:rPr>
        <w:t></w:t>
      </w:r>
      <w:r w:rsidRPr="0000383A">
        <w:t>-shee</w:t>
      </w:r>
      <w:r>
        <w:rPr>
          <w:noProof/>
          <w:szCs w:val="24"/>
        </w:rPr>
        <w:t xml:space="preserve">t are </w:t>
      </w:r>
      <w:r w:rsidRPr="000861DD">
        <w:rPr>
          <w:noProof/>
          <w:szCs w:val="24"/>
        </w:rPr>
        <w:t>1624</w:t>
      </w:r>
      <w:r>
        <w:rPr>
          <w:noProof/>
          <w:szCs w:val="24"/>
        </w:rPr>
        <w:t xml:space="preserve"> cm</w:t>
      </w:r>
      <w:r w:rsidRPr="000861DD">
        <w:rPr>
          <w:noProof/>
          <w:szCs w:val="24"/>
          <w:vertAlign w:val="superscript"/>
        </w:rPr>
        <w:t>-1</w:t>
      </w:r>
      <w:r>
        <w:rPr>
          <w:noProof/>
          <w:szCs w:val="24"/>
        </w:rPr>
        <w:t xml:space="preserve"> and 16 cm</w:t>
      </w:r>
      <w:r w:rsidRPr="000861DD">
        <w:rPr>
          <w:noProof/>
          <w:szCs w:val="24"/>
          <w:vertAlign w:val="superscript"/>
        </w:rPr>
        <w:t>-1</w:t>
      </w:r>
      <w:r>
        <w:rPr>
          <w:noProof/>
          <w:szCs w:val="24"/>
        </w:rPr>
        <w:t xml:space="preserve">, respectively. All time-resolved spectra are fitted with the same center frequencies and bandwidths. (e) and (f) The areas of the two underlying peaks are plotted as a function of time. The peak areas are globally fitted for the high and low concentrations using two representative kinetics models. The solid lines, from the Finke–Watzky (F–W) model (Eqs. </w:t>
      </w:r>
      <w:r w:rsidR="009D570B">
        <w:rPr>
          <w:noProof/>
          <w:szCs w:val="24"/>
        </w:rPr>
        <w:t>5</w:t>
      </w:r>
      <w:r>
        <w:rPr>
          <w:noProof/>
          <w:szCs w:val="24"/>
        </w:rPr>
        <w:t xml:space="preserve"> and </w:t>
      </w:r>
      <w:r w:rsidR="009D570B">
        <w:rPr>
          <w:noProof/>
          <w:szCs w:val="24"/>
        </w:rPr>
        <w:t>6</w:t>
      </w:r>
      <w:r>
        <w:rPr>
          <w:noProof/>
          <w:szCs w:val="24"/>
        </w:rPr>
        <w:t xml:space="preserve">), are the best fit with </w:t>
      </w:r>
      <w:r w:rsidRPr="00BA559B">
        <w:rPr>
          <w:i/>
          <w:iCs/>
          <w:noProof/>
          <w:szCs w:val="24"/>
        </w:rPr>
        <w:t>k</w:t>
      </w:r>
      <w:r w:rsidRPr="00BA559B">
        <w:rPr>
          <w:noProof/>
          <w:szCs w:val="24"/>
          <w:vertAlign w:val="subscript"/>
        </w:rPr>
        <w:t>1</w:t>
      </w:r>
      <w:r>
        <w:rPr>
          <w:noProof/>
          <w:szCs w:val="24"/>
        </w:rPr>
        <w:t xml:space="preserve"> = </w:t>
      </w:r>
      <w:r>
        <w:t>6.9</w:t>
      </w:r>
      <w:r w:rsidR="009D52D2">
        <w:t xml:space="preserve"> </w:t>
      </w:r>
      <w:r>
        <w:rPr>
          <w:rFonts w:cs="Times"/>
        </w:rPr>
        <w:t>×</w:t>
      </w:r>
      <w:r w:rsidR="009D52D2">
        <w:rPr>
          <w:rFonts w:cs="Times"/>
        </w:rPr>
        <w:t xml:space="preserve"> </w:t>
      </w:r>
      <w:r>
        <w:t>10</w:t>
      </w:r>
      <w:r w:rsidRPr="000861DD">
        <w:rPr>
          <w:vertAlign w:val="superscript"/>
        </w:rPr>
        <w:t>-2</w:t>
      </w:r>
      <w:r>
        <w:t xml:space="preserve"> h</w:t>
      </w:r>
      <w:r w:rsidRPr="00E24939">
        <w:rPr>
          <w:vertAlign w:val="superscript"/>
        </w:rPr>
        <w:t>-</w:t>
      </w:r>
      <w:r>
        <w:rPr>
          <w:vertAlign w:val="superscript"/>
        </w:rPr>
        <w:t>1</w:t>
      </w:r>
      <w:r>
        <w:rPr>
          <w:noProof/>
          <w:szCs w:val="24"/>
        </w:rPr>
        <w:t xml:space="preserve"> and </w:t>
      </w:r>
      <w:r w:rsidRPr="00BA559B">
        <w:rPr>
          <w:i/>
          <w:iCs/>
          <w:noProof/>
          <w:szCs w:val="24"/>
        </w:rPr>
        <w:t>k</w:t>
      </w:r>
      <w:r w:rsidRPr="00BA559B">
        <w:rPr>
          <w:noProof/>
          <w:szCs w:val="24"/>
          <w:vertAlign w:val="subscript"/>
        </w:rPr>
        <w:t>2</w:t>
      </w:r>
      <w:r>
        <w:rPr>
          <w:noProof/>
          <w:szCs w:val="24"/>
        </w:rPr>
        <w:t xml:space="preserve"> = 1.3</w:t>
      </w:r>
      <w:r w:rsidR="009D52D2">
        <w:rPr>
          <w:noProof/>
          <w:szCs w:val="24"/>
        </w:rPr>
        <w:t xml:space="preserve"> </w:t>
      </w:r>
      <w:r>
        <w:rPr>
          <w:rFonts w:cs="Times"/>
        </w:rPr>
        <w:t>×</w:t>
      </w:r>
      <w:r w:rsidR="009D52D2">
        <w:rPr>
          <w:rFonts w:cs="Times"/>
        </w:rPr>
        <w:t xml:space="preserve"> </w:t>
      </w:r>
      <w:r>
        <w:t>10</w:t>
      </w:r>
      <w:r>
        <w:rPr>
          <w:vertAlign w:val="superscript"/>
        </w:rPr>
        <w:t>6</w:t>
      </w:r>
      <w:r>
        <w:t xml:space="preserve"> L mol</w:t>
      </w:r>
      <w:r w:rsidRPr="00E24939">
        <w:rPr>
          <w:vertAlign w:val="superscript"/>
        </w:rPr>
        <w:t>-1</w:t>
      </w:r>
      <w:r>
        <w:t>h</w:t>
      </w:r>
      <w:r w:rsidRPr="00E24939">
        <w:rPr>
          <w:vertAlign w:val="superscript"/>
        </w:rPr>
        <w:t>-</w:t>
      </w:r>
      <w:r>
        <w:rPr>
          <w:vertAlign w:val="superscript"/>
        </w:rPr>
        <w:t>1</w:t>
      </w:r>
      <w:r>
        <w:rPr>
          <w:noProof/>
          <w:szCs w:val="24"/>
        </w:rPr>
        <w:t xml:space="preserve">. The dashed lines, from the nucleation–elongation (N–E) model (Eqs. </w:t>
      </w:r>
      <w:r w:rsidR="009D570B">
        <w:rPr>
          <w:noProof/>
          <w:szCs w:val="24"/>
        </w:rPr>
        <w:t>7</w:t>
      </w:r>
      <w:r>
        <w:rPr>
          <w:noProof/>
          <w:szCs w:val="24"/>
        </w:rPr>
        <w:t xml:space="preserve"> and </w:t>
      </w:r>
      <w:r w:rsidR="009D570B">
        <w:rPr>
          <w:noProof/>
          <w:szCs w:val="24"/>
        </w:rPr>
        <w:t>8</w:t>
      </w:r>
      <w:r>
        <w:rPr>
          <w:noProof/>
          <w:szCs w:val="24"/>
        </w:rPr>
        <w:t xml:space="preserve">), are the best fit with </w:t>
      </w:r>
      <w:r>
        <w:t>(</w:t>
      </w:r>
      <w:r w:rsidRPr="006F69B8">
        <w:rPr>
          <w:i/>
          <w:iCs/>
        </w:rPr>
        <w:t>k</w:t>
      </w:r>
      <w:r w:rsidRPr="006F69B8">
        <w:rPr>
          <w:vertAlign w:val="subscript"/>
        </w:rPr>
        <w:t>n</w:t>
      </w:r>
      <w:r>
        <w:t xml:space="preserve"> </w:t>
      </w:r>
      <w:r w:rsidRPr="006F69B8">
        <w:rPr>
          <w:i/>
          <w:iCs/>
        </w:rPr>
        <w:t>k</w:t>
      </w:r>
      <w:r w:rsidRPr="006F69B8">
        <w:rPr>
          <w:vertAlign w:val="subscript"/>
        </w:rPr>
        <w:t>+</w:t>
      </w:r>
      <w:r>
        <w:t>) = 1.6</w:t>
      </w:r>
      <w:r w:rsidR="009D52D2">
        <w:t xml:space="preserve"> </w:t>
      </w:r>
      <w:r>
        <w:rPr>
          <w:rFonts w:cs="Times"/>
        </w:rPr>
        <w:t>×</w:t>
      </w:r>
      <w:r w:rsidR="009D52D2">
        <w:rPr>
          <w:rFonts w:cs="Times"/>
        </w:rPr>
        <w:t xml:space="preserve"> </w:t>
      </w:r>
      <w:r>
        <w:t>10</w:t>
      </w:r>
      <w:r w:rsidRPr="000861DD">
        <w:rPr>
          <w:vertAlign w:val="superscript"/>
        </w:rPr>
        <w:t>5</w:t>
      </w:r>
      <w:r>
        <w:t xml:space="preserve"> L mol</w:t>
      </w:r>
      <w:r w:rsidRPr="000861DD">
        <w:rPr>
          <w:vertAlign w:val="superscript"/>
        </w:rPr>
        <w:t>-1</w:t>
      </w:r>
      <w:r>
        <w:t>h</w:t>
      </w:r>
      <w:r w:rsidRPr="000861DD">
        <w:rPr>
          <w:vertAlign w:val="superscript"/>
        </w:rPr>
        <w:t>-2</w:t>
      </w:r>
      <w:r>
        <w:t xml:space="preserve"> and </w:t>
      </w:r>
      <w:r w:rsidRPr="00371482">
        <w:rPr>
          <w:i/>
          <w:iCs/>
        </w:rPr>
        <w:t>n</w:t>
      </w:r>
      <w:r w:rsidRPr="00371482">
        <w:rPr>
          <w:vertAlign w:val="subscript"/>
        </w:rPr>
        <w:t>c</w:t>
      </w:r>
      <w:r>
        <w:t xml:space="preserve"> </w:t>
      </w:r>
      <w:r w:rsidRPr="00A821A8">
        <w:t xml:space="preserve">= </w:t>
      </w:r>
      <w:r w:rsidRPr="000861DD">
        <w:t>1</w:t>
      </w:r>
      <w:r>
        <w:rPr>
          <w:noProof/>
          <w:szCs w:val="24"/>
        </w:rPr>
        <w:t>.</w:t>
      </w:r>
    </w:p>
    <w:p w14:paraId="5C5F1F3E" w14:textId="77777777" w:rsidR="00BF3CF3" w:rsidRDefault="00BF3CF3">
      <w:pPr>
        <w:pStyle w:val="TAMainText"/>
      </w:pPr>
    </w:p>
    <w:p w14:paraId="477911FE" w14:textId="5F88A191" w:rsidR="000B1672" w:rsidRPr="007628E5" w:rsidRDefault="00A55460" w:rsidP="000B1672">
      <w:pPr>
        <w:pStyle w:val="TAMainText"/>
        <w:rPr>
          <w:b/>
        </w:rPr>
      </w:pPr>
      <w:r>
        <w:rPr>
          <w:b/>
        </w:rPr>
        <w:t>K</w:t>
      </w:r>
      <w:r w:rsidR="000B1672" w:rsidRPr="007628E5">
        <w:rPr>
          <w:b/>
        </w:rPr>
        <w:t>inetic</w:t>
      </w:r>
      <w:r w:rsidR="008F4EC8">
        <w:rPr>
          <w:b/>
        </w:rPr>
        <w:t xml:space="preserve"> models</w:t>
      </w:r>
      <w:r w:rsidR="000B1672">
        <w:rPr>
          <w:b/>
        </w:rPr>
        <w:t xml:space="preserve"> </w:t>
      </w:r>
      <w:r w:rsidR="008F4EC8">
        <w:rPr>
          <w:b/>
        </w:rPr>
        <w:t>for</w:t>
      </w:r>
      <w:r w:rsidR="000B1672">
        <w:rPr>
          <w:b/>
        </w:rPr>
        <w:t xml:space="preserve"> insulin</w:t>
      </w:r>
      <w:r w:rsidRPr="00A55460">
        <w:rPr>
          <w:b/>
        </w:rPr>
        <w:t xml:space="preserve"> </w:t>
      </w:r>
      <w:r>
        <w:rPr>
          <w:b/>
        </w:rPr>
        <w:t>fibrillation</w:t>
      </w:r>
    </w:p>
    <w:p w14:paraId="0AB424FA" w14:textId="3F708F68" w:rsidR="00407E8D" w:rsidRDefault="00C521DC">
      <w:pPr>
        <w:pStyle w:val="TAMainText"/>
      </w:pPr>
      <w:r>
        <w:t>Protein</w:t>
      </w:r>
      <w:r w:rsidR="00A55460">
        <w:t xml:space="preserve"> fibrillation is </w:t>
      </w:r>
      <w:r w:rsidR="00B57F00">
        <w:t xml:space="preserve">generally considered </w:t>
      </w:r>
      <w:r w:rsidR="00A55460">
        <w:t xml:space="preserve">a complex multi-step process involving multiple intermediate states </w:t>
      </w:r>
      <w:r w:rsidR="00B57F00">
        <w:t>in</w:t>
      </w:r>
      <w:r w:rsidR="00A55460">
        <w:t xml:space="preserve"> multiple pathways. </w:t>
      </w:r>
      <w:r w:rsidR="00A920C3">
        <w:t xml:space="preserve">Despite </w:t>
      </w:r>
      <w:r w:rsidR="00482B08">
        <w:t xml:space="preserve">the </w:t>
      </w:r>
      <w:r w:rsidR="00A920C3">
        <w:t xml:space="preserve">complexity, </w:t>
      </w:r>
      <w:r w:rsidR="00B57F00">
        <w:t xml:space="preserve">most of </w:t>
      </w:r>
      <w:r w:rsidR="00A920C3">
        <w:t>t</w:t>
      </w:r>
      <w:r w:rsidR="00D66EA0">
        <w:t xml:space="preserve">he </w:t>
      </w:r>
      <w:r w:rsidR="00A920C3">
        <w:t xml:space="preserve">proposed </w:t>
      </w:r>
      <w:r w:rsidR="00B57F00">
        <w:t xml:space="preserve">reaction </w:t>
      </w:r>
      <w:r w:rsidR="00A55460">
        <w:t>mechanism</w:t>
      </w:r>
      <w:r w:rsidR="00A920C3">
        <w:t>s</w:t>
      </w:r>
      <w:r w:rsidR="00A55460">
        <w:t xml:space="preserve"> are based on</w:t>
      </w:r>
      <w:r w:rsidR="00407E8D">
        <w:t xml:space="preserve"> the two parallel paths: nucleation and growth</w:t>
      </w:r>
      <w:r w:rsidR="00203168">
        <w:t>.</w:t>
      </w:r>
      <w:r w:rsidR="00A155F4">
        <w:fldChar w:fldCharType="begin" w:fldLock="1"/>
      </w:r>
      <w:r w:rsidR="000C4007">
        <w:instrText>ADDIN CSL_CITATION {"citationItems":[{"id":"ITEM-1","itemData":{"DOI":"10.1021/bi701899y","ISSN":"00062960","abstract":"The aggregation of proteins has been hypothesized to be an underlying cause of many neurological disorders including Alzheimer's, Parkinson's, and Huntington's diseases; protein aggregation is also important to normal life function in cases such as G to F-actin, glutamate dehydrogenase, and tubulin and flagella formation. For this reason, the underlying mechanism of protein aggregation, and accompanying kinetic models for protein nucleation and growth (growth also being called elongation, polymerization, or fibrillation in the literature), have been investigated for more than 50 years. As a way to concisely present the key prior literature in the protein aggregation area, Table 1 in the main text summarizes 23 papers by 10 groups of authors that provide 5 basic classes of mechanisms for protein aggregation over the period from 1959 to 2007. However, and despite this major prior effort, still lacking are both (i) anything approaching a consensus mechanism (or mechanisms), and (ii) a generally useful, and thus widely used, simplest/\"Ockham's razor\" kinetic model and associated equations that can be routinely employed to analyze a broader range of protein aggregation kinetic data. Herein we demonstrate that the 1997 Finke-Watzky (F-W) 2-step mechanism of slow continuous nucleation, A → B (rate constant k1), followed by typically fast, autocatalytic surface growth, A + B → 2B (rate constant k2), is able to quantitatively account for the kinetic curves from all 14 representative data sets of neurological protein aggregation found by a literature search (the prion literature was largely excluded for the purposes of this study in order provide some limit to the resultant literature that was covered). The F-W model is able to deconvolute the desired nucleation, k 1, and growth, k2, rate constants from those 14 data sets obtained by four different physical methods, for three different proteins, and in nine different labs. The fits are generally good, and in many cases excellent, with R2 values ≥0.98 in all cases. As such, this contribution is the current record of the widest set of protein aggregation data best fit by what is also the simplest model offered to date. Also provided is the mathematical connection between the 1997 F-W 2-step mechanism and the 2000 3-step mechanism proposed by Saitô and co-workers. In particular, the kinetic equation for Saitô's 3-step mechanism is shown to be mathematically identical to the earlier, 1997 2-step F-W mechanism under t…","author":[{"dropping-particle":"","family":"Morris","given":"Aimee M.","non-dropping-particle":"","parse-names":false,"suffix":""},{"dropping-particle":"","family":"Watzky","given":"Murielle A.","non-dropping-particle":"","parse-names":false,"suffix":""},{"dropping-particle":"","family":"Agar","given":"Jeffrey N.","non-dropping-particle":"","parse-names":false,"suffix":""},{"dropping-particle":"","family":"Finke","given":"Richard G.","non-dropping-particle":"","parse-names":false,"suffix":""}],"container-title":"Biochemistry","id":"ITEM-1","issue":"8","issued":{"date-parts":[["2008"]]},"page":"2413-2427","title":"Fitting neurological protein aggregation kinetic data via a 2-step, minimal/\"Ockham's razor\" model: The Finke-Watzky mechanism of nucleation followed by autocatalytic surface growth","type":"article-journal","volume":"47"},"uris":["http://www.mendeley.com/documents/?uuid=8a9e3de5-4e31-4f29-8a85-27d1a01c967e"]},{"id":"ITEM-2","itemData":{"DOI":"10.1126/science.1178250","ISSN":"00368075","abstract":"We present an analytical treatment of a set of coupled kinetic equations that governs the self-assembly of filamentous molecular structures. Application to the case of protein aggregation demonstrates that the kinetics of amyloid growth can often be dominated by secondary rather than by primary nucleation events. Our results further reveal a range of general features of the growth kinetics of fragmenting filamentous structures, including the existence of generic scaling laws that provide mechanistic information in contexts ranging from in vitro amyloid growth to the in vivo development of mammalian prion diseases.","author":[{"dropping-particle":"","family":"Knowles","given":"Tuomas P.J.","non-dropping-particle":"","parse-names":false,"suffix":""},{"dropping-particle":"","family":"Waudby","given":"Christopher A.","non-dropping-particle":"","parse-names":false,"suffix":""},{"dropping-particle":"","family":"Devlin","given":"Glyn L.","non-dropping-particle":"","parse-names":false,"suffix":""},{"dropping-particle":"","family":"Cohen","given":"Samuel I.A.","non-dropping-particle":"","parse-names":false,"suffix":""},{"dropping-particle":"","family":"Aguzzi","given":"Adriano","non-dropping-particle":"","parse-names":false,"suffix":""},{"dropping-particle":"","family":"Vendruscolo","given":"Michele","non-dropping-particle":"","parse-names":false,"suffix":""},{"dropping-particle":"","family":"Terentjev","given":"Eugene M.","non-dropping-particle":"","parse-names":false,"suffix":""},{"dropping-particle":"","family":"Welland","given":"Mark E.","non-dropping-particle":"","parse-names":false,"suffix":""},{"dropping-particle":"","family":"Dobson","given":"Christopher M.","non-dropping-particle":"","parse-names":false,"suffix":""}],"container-title":"Science","id":"ITEM-2","issue":"5959","issued":{"date-parts":[["2009"]]},"page":"1533-1537","title":"An analytical solution to the kinetics of breakable filament assembly","type":"article-journal","volume":"326"},"uris":["http://www.mendeley.com/documents/?uuid=4fb2d7eb-c55e-43df-b482-05565f4d55b1","http://www.mendeley.com/documents/?uuid=24046e77-e8e4-4336-be8b-f5931d6c5bb8"]}],"mendeley":{"formattedCitation":"&lt;sup&gt;27,28&lt;/sup&gt;","plainTextFormattedCitation":"27,28","previouslyFormattedCitation":"&lt;sup&gt;26,27&lt;/sup&gt;"},"properties":{"noteIndex":0},"schema":"https://github.com/citation-style-language/schema/raw/master/csl-citation.json"}</w:instrText>
      </w:r>
      <w:r w:rsidR="00A155F4">
        <w:fldChar w:fldCharType="separate"/>
      </w:r>
      <w:r w:rsidR="000C4007" w:rsidRPr="000C4007">
        <w:rPr>
          <w:noProof/>
          <w:vertAlign w:val="superscript"/>
        </w:rPr>
        <w:t>27,28</w:t>
      </w:r>
      <w:r w:rsidR="00A155F4">
        <w:fldChar w:fldCharType="end"/>
      </w:r>
    </w:p>
    <w:p w14:paraId="3BFB4D48" w14:textId="4F827232" w:rsidR="006B3596" w:rsidRDefault="00D95807" w:rsidP="00F667CE">
      <w:pPr>
        <w:pStyle w:val="TAMainText"/>
      </w:pPr>
      <w:r>
        <w:tab/>
      </w:r>
      <m:oMath>
        <m:r>
          <w:rPr>
            <w:rFonts w:ascii="Cambria Math" w:hAnsi="Cambria Math"/>
          </w:rPr>
          <m:t xml:space="preserve">A  </m:t>
        </m:r>
        <m:box>
          <m:boxPr>
            <m:opEmu m:val="1"/>
            <m:ctrlPr>
              <w:rPr>
                <w:rFonts w:ascii="Cambria Math" w:hAnsi="Cambria Math"/>
                <w:i/>
              </w:rPr>
            </m:ctrlPr>
          </m:boxPr>
          <m:e>
            <m:groupChr>
              <m:groupChrPr>
                <m:chr m:val="→"/>
                <m:vertJc m:val="bot"/>
                <m:ctrlPr>
                  <w:rPr>
                    <w:rFonts w:ascii="Cambria Math" w:hAnsi="Cambria Math"/>
                    <w:i/>
                  </w:rPr>
                </m:ctrlPr>
              </m:groupChrPr>
              <m:e>
                <m:sSub>
                  <m:sSubPr>
                    <m:ctrlPr>
                      <w:rPr>
                        <w:rFonts w:ascii="Cambria Math" w:hAnsi="Cambria Math"/>
                        <w:i/>
                      </w:rPr>
                    </m:ctrlPr>
                  </m:sSubPr>
                  <m:e>
                    <m:r>
                      <w:rPr>
                        <w:rFonts w:ascii="Cambria Math" w:hAnsi="Cambria Math"/>
                      </w:rPr>
                      <m:t>k</m:t>
                    </m:r>
                  </m:e>
                  <m:sub>
                    <m:r>
                      <w:rPr>
                        <w:rFonts w:ascii="Cambria Math" w:hAnsi="Cambria Math"/>
                      </w:rPr>
                      <m:t>0</m:t>
                    </m:r>
                  </m:sub>
                </m:sSub>
              </m:e>
            </m:groupChr>
          </m:e>
        </m:box>
        <m:r>
          <w:rPr>
            <w:rFonts w:ascii="Cambria Math" w:hAnsi="Cambria Math"/>
          </w:rPr>
          <m:t xml:space="preserve"> [I]  </m:t>
        </m:r>
        <m:box>
          <m:boxPr>
            <m:opEmu m:val="1"/>
            <m:ctrlPr>
              <w:rPr>
                <w:rFonts w:ascii="Cambria Math" w:hAnsi="Cambria Math"/>
                <w:i/>
              </w:rPr>
            </m:ctrlPr>
          </m:boxPr>
          <m:e>
            <m:groupChr>
              <m:groupChrPr>
                <m:chr m:val="→"/>
                <m:vertJc m:val="bot"/>
                <m:ctrlPr>
                  <w:rPr>
                    <w:rFonts w:ascii="Cambria Math" w:hAnsi="Cambria Math"/>
                    <w:i/>
                  </w:rPr>
                </m:ctrlPr>
              </m:groupChrPr>
              <m:e>
                <m:sSub>
                  <m:sSubPr>
                    <m:ctrlPr>
                      <w:rPr>
                        <w:rFonts w:ascii="Cambria Math" w:hAnsi="Cambria Math"/>
                        <w:i/>
                      </w:rPr>
                    </m:ctrlPr>
                  </m:sSubPr>
                  <m:e>
                    <m:r>
                      <w:rPr>
                        <w:rFonts w:ascii="Cambria Math" w:hAnsi="Cambria Math"/>
                      </w:rPr>
                      <m:t>k</m:t>
                    </m:r>
                  </m:e>
                  <m:sub>
                    <m:r>
                      <w:rPr>
                        <w:rFonts w:ascii="Cambria Math" w:hAnsi="Cambria Math"/>
                      </w:rPr>
                      <m:t>1</m:t>
                    </m:r>
                  </m:sub>
                </m:sSub>
              </m:e>
            </m:groupChr>
          </m:e>
        </m:box>
        <m:r>
          <w:rPr>
            <w:rFonts w:ascii="Cambria Math" w:hAnsi="Cambria Math"/>
          </w:rPr>
          <m:t xml:space="preserve">  B</m:t>
        </m:r>
      </m:oMath>
      <w:r w:rsidR="006435AB">
        <w:tab/>
      </w:r>
      <w:r w:rsidR="006B3596">
        <w:t xml:space="preserve">: nucleation </w:t>
      </w:r>
      <w:r w:rsidR="00467F05">
        <w:tab/>
      </w:r>
      <w:r w:rsidR="00467F05">
        <w:tab/>
      </w:r>
      <w:r w:rsidR="00467F05">
        <w:tab/>
      </w:r>
      <w:r w:rsidR="00467F05">
        <w:tab/>
      </w:r>
      <w:r w:rsidR="00467F05">
        <w:tab/>
      </w:r>
      <w:r w:rsidR="00467F05">
        <w:tab/>
      </w:r>
      <w:r w:rsidR="00467F05">
        <w:tab/>
        <w:t>(</w:t>
      </w:r>
      <w:r w:rsidR="00F63989">
        <w:t>2</w:t>
      </w:r>
      <w:r w:rsidR="00467F05">
        <w:t>)</w:t>
      </w:r>
    </w:p>
    <w:p w14:paraId="32D0A16B" w14:textId="5A63CFF0" w:rsidR="00407E8D" w:rsidRDefault="00D95807">
      <w:pPr>
        <w:pStyle w:val="TAMainText"/>
      </w:pPr>
      <w:r>
        <w:tab/>
      </w:r>
      <m:oMath>
        <m:r>
          <w:rPr>
            <w:rFonts w:ascii="Cambria Math" w:hAnsi="Cambria Math"/>
          </w:rPr>
          <m:t xml:space="preserve">A + </m:t>
        </m:r>
        <m:sSub>
          <m:sSubPr>
            <m:ctrlPr>
              <w:rPr>
                <w:rFonts w:ascii="Cambria Math" w:hAnsi="Cambria Math"/>
                <w:i/>
              </w:rPr>
            </m:ctrlPr>
          </m:sSubPr>
          <m:e>
            <m:r>
              <w:rPr>
                <w:rFonts w:ascii="Cambria Math" w:hAnsi="Cambria Math"/>
              </w:rPr>
              <m:t>B</m:t>
            </m:r>
          </m:e>
          <m:sub>
            <m:r>
              <w:rPr>
                <w:rFonts w:ascii="Cambria Math" w:hAnsi="Cambria Math"/>
              </w:rPr>
              <m:t>n</m:t>
            </m:r>
          </m:sub>
        </m:sSub>
        <m:r>
          <w:rPr>
            <w:rFonts w:ascii="Cambria Math" w:hAnsi="Cambria Math"/>
          </w:rPr>
          <m:t xml:space="preserve">  </m:t>
        </m:r>
        <m:box>
          <m:boxPr>
            <m:opEmu m:val="1"/>
            <m:ctrlPr>
              <w:rPr>
                <w:rFonts w:ascii="Cambria Math" w:hAnsi="Cambria Math"/>
                <w:i/>
              </w:rPr>
            </m:ctrlPr>
          </m:boxPr>
          <m:e>
            <m:groupChr>
              <m:groupChrPr>
                <m:chr m:val="→"/>
                <m:vertJc m:val="bot"/>
                <m:ctrlPr>
                  <w:rPr>
                    <w:rFonts w:ascii="Cambria Math" w:hAnsi="Cambria Math"/>
                    <w:i/>
                  </w:rPr>
                </m:ctrlPr>
              </m:groupChrPr>
              <m:e>
                <m:sSub>
                  <m:sSubPr>
                    <m:ctrlPr>
                      <w:rPr>
                        <w:rFonts w:ascii="Cambria Math" w:hAnsi="Cambria Math"/>
                        <w:i/>
                      </w:rPr>
                    </m:ctrlPr>
                  </m:sSubPr>
                  <m:e>
                    <m:r>
                      <w:rPr>
                        <w:rFonts w:ascii="Cambria Math" w:hAnsi="Cambria Math"/>
                      </w:rPr>
                      <m:t>k</m:t>
                    </m:r>
                  </m:e>
                  <m:sub>
                    <m:r>
                      <w:rPr>
                        <w:rFonts w:ascii="Cambria Math" w:hAnsi="Cambria Math"/>
                      </w:rPr>
                      <m:t>2</m:t>
                    </m:r>
                  </m:sub>
                </m:sSub>
              </m:e>
            </m:groupChr>
          </m:e>
        </m:box>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n+1</m:t>
            </m:r>
          </m:sub>
        </m:sSub>
      </m:oMath>
      <w:r w:rsidR="00E55727">
        <w:tab/>
      </w:r>
      <w:r w:rsidR="006B3596">
        <w:t>:</w:t>
      </w:r>
      <w:r w:rsidR="00E55727">
        <w:t xml:space="preserve"> </w:t>
      </w:r>
      <w:r w:rsidR="006B3596">
        <w:t>growth</w:t>
      </w:r>
      <w:r w:rsidR="00467F05">
        <w:tab/>
      </w:r>
      <w:r w:rsidR="00467F05">
        <w:tab/>
      </w:r>
      <w:r w:rsidR="00467F05">
        <w:tab/>
      </w:r>
      <w:r w:rsidR="00467F05">
        <w:tab/>
      </w:r>
      <w:r w:rsidR="00467F05">
        <w:tab/>
      </w:r>
      <w:r w:rsidR="00467F05">
        <w:tab/>
      </w:r>
      <w:r w:rsidR="00467F05">
        <w:tab/>
        <w:t>(</w:t>
      </w:r>
      <w:r w:rsidR="00F63989">
        <w:t>3</w:t>
      </w:r>
      <w:r w:rsidR="00467F05">
        <w:t>)</w:t>
      </w:r>
    </w:p>
    <w:p w14:paraId="08CD4CAF" w14:textId="62BA1664" w:rsidR="00CE59ED" w:rsidRDefault="006B3596" w:rsidP="00F667CE">
      <w:pPr>
        <w:pStyle w:val="TAMainText"/>
        <w:ind w:firstLine="0"/>
      </w:pPr>
      <w:r>
        <w:t xml:space="preserve">where </w:t>
      </w:r>
      <w:r w:rsidRPr="03066021">
        <w:rPr>
          <w:i/>
          <w:iCs/>
        </w:rPr>
        <w:t>A</w:t>
      </w:r>
      <w:r w:rsidR="00FB770F">
        <w:t xml:space="preserve">, </w:t>
      </w:r>
      <w:r w:rsidR="00FB770F" w:rsidRPr="03066021">
        <w:rPr>
          <w:i/>
          <w:iCs/>
        </w:rPr>
        <w:t>I</w:t>
      </w:r>
      <w:r w:rsidR="00FB770F">
        <w:t xml:space="preserve">, </w:t>
      </w:r>
      <w:r>
        <w:t xml:space="preserve">and </w:t>
      </w:r>
      <w:r w:rsidRPr="03066021">
        <w:rPr>
          <w:i/>
          <w:iCs/>
        </w:rPr>
        <w:t>B</w:t>
      </w:r>
      <w:r>
        <w:t xml:space="preserve"> are the reactant</w:t>
      </w:r>
      <w:r w:rsidR="006435AB">
        <w:t xml:space="preserve"> (the native form)</w:t>
      </w:r>
      <w:r w:rsidR="00FB770F">
        <w:t xml:space="preserve">, the intermediate (the </w:t>
      </w:r>
      <w:r w:rsidR="0067291C">
        <w:t xml:space="preserve">partially </w:t>
      </w:r>
      <w:r w:rsidR="00FB770F">
        <w:t>unfolded</w:t>
      </w:r>
      <w:r w:rsidR="0067291C">
        <w:t xml:space="preserve"> f</w:t>
      </w:r>
      <w:r w:rsidR="007E37D7">
        <w:t>or</w:t>
      </w:r>
      <w:r w:rsidR="0067291C">
        <w:t>m),</w:t>
      </w:r>
      <w:r>
        <w:t xml:space="preserve"> and the product</w:t>
      </w:r>
      <w:r w:rsidR="006435AB">
        <w:t xml:space="preserve"> (the fibril form)</w:t>
      </w:r>
      <w:r>
        <w:t>, respectively; and</w:t>
      </w:r>
      <w:r w:rsidR="00C944C2">
        <w:t xml:space="preserve"> </w:t>
      </w:r>
      <w:r w:rsidR="00C944C2" w:rsidRPr="03066021">
        <w:rPr>
          <w:i/>
          <w:iCs/>
        </w:rPr>
        <w:t>k</w:t>
      </w:r>
      <w:r w:rsidR="00CA5E27" w:rsidRPr="03066021">
        <w:rPr>
          <w:vertAlign w:val="subscript"/>
        </w:rPr>
        <w:t>0</w:t>
      </w:r>
      <w:r w:rsidR="00C944C2">
        <w:t>,</w:t>
      </w:r>
      <w:r>
        <w:t xml:space="preserve"> </w:t>
      </w:r>
      <w:r w:rsidRPr="03066021">
        <w:rPr>
          <w:i/>
          <w:iCs/>
        </w:rPr>
        <w:t>k</w:t>
      </w:r>
      <w:r w:rsidRPr="03066021">
        <w:rPr>
          <w:vertAlign w:val="subscript"/>
        </w:rPr>
        <w:t>1</w:t>
      </w:r>
      <w:r w:rsidR="00C944C2">
        <w:t>,</w:t>
      </w:r>
      <w:r w:rsidR="0082274D">
        <w:t xml:space="preserve"> </w:t>
      </w:r>
      <w:r>
        <w:t xml:space="preserve">and </w:t>
      </w:r>
      <w:r w:rsidRPr="03066021">
        <w:rPr>
          <w:i/>
          <w:iCs/>
        </w:rPr>
        <w:t>k</w:t>
      </w:r>
      <w:r w:rsidRPr="03066021">
        <w:rPr>
          <w:vertAlign w:val="subscript"/>
        </w:rPr>
        <w:t>2</w:t>
      </w:r>
      <w:r>
        <w:t xml:space="preserve"> are the rate constants of </w:t>
      </w:r>
      <w:r w:rsidR="00CA5E27">
        <w:t xml:space="preserve">the unfolding, </w:t>
      </w:r>
      <w:r>
        <w:t>the nucleation</w:t>
      </w:r>
      <w:r w:rsidR="001F5BBE">
        <w:t>,</w:t>
      </w:r>
      <w:r>
        <w:t xml:space="preserve"> and the growth </w:t>
      </w:r>
      <w:r w:rsidR="00CA5E27">
        <w:t>reactions</w:t>
      </w:r>
      <w:r w:rsidR="00171F12">
        <w:t>, respectively</w:t>
      </w:r>
      <w:r>
        <w:t>.</w:t>
      </w:r>
      <w:r w:rsidR="007E2F48">
        <w:t xml:space="preserve"> </w:t>
      </w:r>
      <w:r w:rsidR="0014067D">
        <w:t xml:space="preserve">Unlike the ThT method based on a single metric </w:t>
      </w:r>
      <w:r w:rsidR="0067291C">
        <w:t xml:space="preserve">for </w:t>
      </w:r>
      <w:r w:rsidR="0014067D">
        <w:t xml:space="preserve">the </w:t>
      </w:r>
      <w:r w:rsidR="0067291C">
        <w:t xml:space="preserve">mass </w:t>
      </w:r>
      <w:r w:rsidR="0014067D">
        <w:t xml:space="preserve">of fibrils, </w:t>
      </w:r>
      <w:r w:rsidR="00603ACA">
        <w:t xml:space="preserve">the IR </w:t>
      </w:r>
      <w:r w:rsidR="0047065D">
        <w:t xml:space="preserve">spectra </w:t>
      </w:r>
      <w:r w:rsidR="00493739">
        <w:t xml:space="preserve">presented in </w:t>
      </w:r>
      <w:r w:rsidR="00EE6863">
        <w:t>Figure</w:t>
      </w:r>
      <w:r w:rsidR="00493739">
        <w:t xml:space="preserve"> </w:t>
      </w:r>
      <w:r w:rsidR="000E42F9">
        <w:t>4</w:t>
      </w:r>
      <w:r w:rsidR="0041741A">
        <w:t xml:space="preserve"> </w:t>
      </w:r>
      <w:r w:rsidR="00073D01">
        <w:t>show</w:t>
      </w:r>
      <w:r w:rsidR="0047065D">
        <w:t xml:space="preserve"> </w:t>
      </w:r>
      <w:r w:rsidR="00493739">
        <w:t xml:space="preserve">the time </w:t>
      </w:r>
      <w:r w:rsidR="00877A46">
        <w:t xml:space="preserve">profiles </w:t>
      </w:r>
      <w:r w:rsidR="00493739">
        <w:t xml:space="preserve">of </w:t>
      </w:r>
      <w:r w:rsidR="00426750">
        <w:t xml:space="preserve">the </w:t>
      </w:r>
      <w:r w:rsidR="00493739">
        <w:t>initial</w:t>
      </w:r>
      <w:r w:rsidR="0014067D">
        <w:t xml:space="preserve"> form (</w:t>
      </w:r>
      <w:r w:rsidR="005709A4" w:rsidRPr="03066021">
        <w:rPr>
          <w:rFonts w:ascii="Symbol" w:hAnsi="Symbol"/>
        </w:rPr>
        <w:t></w:t>
      </w:r>
      <w:r w:rsidR="005709A4" w:rsidRPr="03066021">
        <w:rPr>
          <w:noProof/>
        </w:rPr>
        <w:t>-helix</w:t>
      </w:r>
      <w:r w:rsidR="0014067D">
        <w:t>)</w:t>
      </w:r>
      <w:r w:rsidR="00877A46">
        <w:t>,</w:t>
      </w:r>
      <w:r w:rsidR="00493739">
        <w:t xml:space="preserve"> </w:t>
      </w:r>
      <w:r w:rsidR="00426750">
        <w:t xml:space="preserve">the </w:t>
      </w:r>
      <w:r w:rsidR="00493739">
        <w:t xml:space="preserve">final </w:t>
      </w:r>
      <w:r w:rsidR="0014067D">
        <w:t>form (</w:t>
      </w:r>
      <w:r w:rsidR="005709A4" w:rsidRPr="03066021">
        <w:rPr>
          <w:rFonts w:ascii="Symbol" w:hAnsi="Symbol"/>
        </w:rPr>
        <w:t></w:t>
      </w:r>
      <w:r w:rsidR="005709A4">
        <w:t>-sheet</w:t>
      </w:r>
      <w:r w:rsidR="0014067D">
        <w:t>)</w:t>
      </w:r>
      <w:r w:rsidR="00073D01">
        <w:t xml:space="preserve">, </w:t>
      </w:r>
      <w:r w:rsidR="00877A46">
        <w:t xml:space="preserve">and possibly the </w:t>
      </w:r>
      <w:r w:rsidR="505F8EFE">
        <w:t>intermediate</w:t>
      </w:r>
      <w:r w:rsidR="00877A46">
        <w:t xml:space="preserve"> forms</w:t>
      </w:r>
      <w:r w:rsidR="00012C58">
        <w:t xml:space="preserve">. </w:t>
      </w:r>
      <w:r w:rsidR="00A73BC1">
        <w:t xml:space="preserve">As </w:t>
      </w:r>
      <w:r w:rsidR="00D5762D">
        <w:t xml:space="preserve">we </w:t>
      </w:r>
      <w:r w:rsidR="00A73BC1">
        <w:t>discussed in the previous section, the overall spectral changes are dominated by two constrained spectral components</w:t>
      </w:r>
      <w:r w:rsidR="0059417E">
        <w:t xml:space="preserve"> of </w:t>
      </w:r>
      <w:r w:rsidR="005709A4" w:rsidRPr="03066021">
        <w:rPr>
          <w:rFonts w:ascii="Symbol" w:hAnsi="Symbol"/>
        </w:rPr>
        <w:t></w:t>
      </w:r>
      <w:r w:rsidR="005709A4" w:rsidRPr="03066021">
        <w:rPr>
          <w:noProof/>
        </w:rPr>
        <w:t>-helix</w:t>
      </w:r>
      <w:r w:rsidR="0059417E">
        <w:t xml:space="preserve"> and </w:t>
      </w:r>
      <w:r w:rsidR="005709A4" w:rsidRPr="03066021">
        <w:rPr>
          <w:rFonts w:ascii="Symbol" w:hAnsi="Symbol"/>
        </w:rPr>
        <w:t></w:t>
      </w:r>
      <w:r w:rsidR="005709A4">
        <w:t>-shee</w:t>
      </w:r>
      <w:r w:rsidR="0059417E">
        <w:t>t</w:t>
      </w:r>
      <w:r w:rsidR="00F31B23">
        <w:t>. That</w:t>
      </w:r>
      <w:r w:rsidR="00A73BC1">
        <w:t xml:space="preserve"> indicat</w:t>
      </w:r>
      <w:r w:rsidR="00F31B23">
        <w:t>es</w:t>
      </w:r>
      <w:r w:rsidR="00A73BC1">
        <w:t xml:space="preserve"> </w:t>
      </w:r>
      <w:r w:rsidR="00B71F00">
        <w:t xml:space="preserve">either </w:t>
      </w:r>
      <w:r w:rsidR="0059417E">
        <w:t xml:space="preserve">the </w:t>
      </w:r>
      <w:r w:rsidR="00B56A6F">
        <w:t xml:space="preserve">mass fraction of </w:t>
      </w:r>
      <w:r w:rsidR="0059417E">
        <w:t>intermediate states</w:t>
      </w:r>
      <w:r w:rsidR="00A73BC1">
        <w:t xml:space="preserve"> </w:t>
      </w:r>
      <w:r w:rsidR="0059417E">
        <w:t>is negligible</w:t>
      </w:r>
      <w:r w:rsidR="004B788F">
        <w:t>,</w:t>
      </w:r>
      <w:r w:rsidR="00B56A6F">
        <w:t xml:space="preserve"> or the </w:t>
      </w:r>
      <w:r w:rsidR="00E02680">
        <w:t xml:space="preserve">spectrum of </w:t>
      </w:r>
      <w:r w:rsidR="00622C2B" w:rsidRPr="03066021">
        <w:rPr>
          <w:i/>
          <w:iCs/>
        </w:rPr>
        <w:t>I</w:t>
      </w:r>
      <w:r w:rsidR="00622C2B">
        <w:t xml:space="preserve"> </w:t>
      </w:r>
      <w:r w:rsidR="007A105E">
        <w:t>is</w:t>
      </w:r>
      <w:r w:rsidR="0059417E">
        <w:t xml:space="preserve"> indistinguishable from </w:t>
      </w:r>
      <w:r w:rsidR="00B617B3">
        <w:t xml:space="preserve">that of </w:t>
      </w:r>
      <w:r w:rsidR="00622C2B" w:rsidRPr="03066021">
        <w:rPr>
          <w:i/>
          <w:iCs/>
        </w:rPr>
        <w:t>A</w:t>
      </w:r>
      <w:r w:rsidR="00622C2B">
        <w:t xml:space="preserve"> or </w:t>
      </w:r>
      <w:r w:rsidR="00622C2B" w:rsidRPr="03066021">
        <w:rPr>
          <w:i/>
          <w:iCs/>
        </w:rPr>
        <w:t>B</w:t>
      </w:r>
      <w:r w:rsidR="009648A8">
        <w:t xml:space="preserve">. </w:t>
      </w:r>
      <w:r w:rsidR="008753D8">
        <w:t xml:space="preserve">If </w:t>
      </w:r>
      <w:r w:rsidR="008753D8" w:rsidRPr="03066021">
        <w:rPr>
          <w:i/>
          <w:iCs/>
        </w:rPr>
        <w:t>k</w:t>
      </w:r>
      <w:r w:rsidR="008753D8" w:rsidRPr="03066021">
        <w:rPr>
          <w:vertAlign w:val="subscript"/>
        </w:rPr>
        <w:t>0</w:t>
      </w:r>
      <w:r w:rsidR="008753D8">
        <w:t xml:space="preserve"> </w:t>
      </w:r>
      <w:r w:rsidR="0030316E">
        <w:t>&lt;&lt;</w:t>
      </w:r>
      <w:r w:rsidR="008753D8">
        <w:t xml:space="preserve"> </w:t>
      </w:r>
      <w:r w:rsidR="008753D8" w:rsidRPr="03066021">
        <w:rPr>
          <w:i/>
          <w:iCs/>
        </w:rPr>
        <w:t>k</w:t>
      </w:r>
      <w:r w:rsidR="008753D8" w:rsidRPr="03066021">
        <w:rPr>
          <w:vertAlign w:val="subscript"/>
        </w:rPr>
        <w:t>1</w:t>
      </w:r>
      <w:r w:rsidR="0030316E" w:rsidRPr="0015785C">
        <w:t xml:space="preserve">, </w:t>
      </w:r>
      <w:r w:rsidR="0030316E">
        <w:t>t</w:t>
      </w:r>
      <w:r w:rsidR="009648A8">
        <w:t>he former case</w:t>
      </w:r>
      <w:r w:rsidR="00DE683E">
        <w:t xml:space="preserve"> </w:t>
      </w:r>
      <w:r w:rsidR="0030316E">
        <w:t>will be</w:t>
      </w:r>
      <w:r w:rsidR="00DE683E">
        <w:t xml:space="preserve"> true</w:t>
      </w:r>
      <w:r w:rsidR="00855C83">
        <w:t>.</w:t>
      </w:r>
      <w:r w:rsidR="007A105E">
        <w:t xml:space="preserve"> </w:t>
      </w:r>
      <w:r w:rsidR="00B304C6">
        <w:t>T</w:t>
      </w:r>
      <w:r w:rsidR="00957D9F">
        <w:t>he latter case</w:t>
      </w:r>
      <w:r w:rsidR="00126613">
        <w:t xml:space="preserve"> can </w:t>
      </w:r>
      <w:r w:rsidR="002D1C43">
        <w:t xml:space="preserve">also </w:t>
      </w:r>
      <w:r w:rsidR="00126613">
        <w:t>be</w:t>
      </w:r>
      <w:r w:rsidR="00605E5E">
        <w:t xml:space="preserve"> </w:t>
      </w:r>
      <w:r w:rsidR="00126613">
        <w:t xml:space="preserve">explained by </w:t>
      </w:r>
      <w:r w:rsidR="00605E5E">
        <w:t xml:space="preserve">a partially unfolded </w:t>
      </w:r>
      <w:r w:rsidR="00A36CA3">
        <w:t>intermediate state</w:t>
      </w:r>
      <w:r w:rsidR="00B71F00">
        <w:t xml:space="preserve"> that cannot be distinguished by IR techniques</w:t>
      </w:r>
      <w:r w:rsidR="00622C2B">
        <w:t xml:space="preserve">. In either case, we can </w:t>
      </w:r>
      <w:r w:rsidR="00286E9F">
        <w:t>simplify the nucleation reaction as</w:t>
      </w:r>
    </w:p>
    <w:p w14:paraId="47AEB307" w14:textId="422D19FB" w:rsidR="00F74CC3" w:rsidRDefault="00F74CC3" w:rsidP="00F74CC3">
      <w:pPr>
        <w:pStyle w:val="TAMainText"/>
      </w:pPr>
      <w:r>
        <w:tab/>
      </w:r>
      <m:oMath>
        <m:r>
          <w:rPr>
            <w:rFonts w:ascii="Cambria Math" w:hAnsi="Cambria Math"/>
          </w:rPr>
          <m:t xml:space="preserve">A  </m:t>
        </m:r>
        <m:box>
          <m:boxPr>
            <m:opEmu m:val="1"/>
            <m:ctrlPr>
              <w:rPr>
                <w:rFonts w:ascii="Cambria Math" w:hAnsi="Cambria Math"/>
                <w:i/>
              </w:rPr>
            </m:ctrlPr>
          </m:boxPr>
          <m:e>
            <m:groupChr>
              <m:groupChrPr>
                <m:chr m:val="→"/>
                <m:vertJc m:val="bot"/>
                <m:ctrlPr>
                  <w:rPr>
                    <w:rFonts w:ascii="Cambria Math" w:hAnsi="Cambria Math"/>
                    <w:i/>
                  </w:rPr>
                </m:ctrlPr>
              </m:groupChrPr>
              <m:e>
                <m:sSub>
                  <m:sSubPr>
                    <m:ctrlPr>
                      <w:rPr>
                        <w:rFonts w:ascii="Cambria Math" w:hAnsi="Cambria Math"/>
                        <w:i/>
                      </w:rPr>
                    </m:ctrlPr>
                  </m:sSubPr>
                  <m:e>
                    <m:r>
                      <w:rPr>
                        <w:rFonts w:ascii="Cambria Math" w:hAnsi="Cambria Math"/>
                      </w:rPr>
                      <m:t>k</m:t>
                    </m:r>
                  </m:e>
                  <m:sub>
                    <m:r>
                      <w:rPr>
                        <w:rFonts w:ascii="Cambria Math" w:hAnsi="Cambria Math"/>
                      </w:rPr>
                      <m:t>1</m:t>
                    </m:r>
                  </m:sub>
                </m:sSub>
              </m:e>
            </m:groupChr>
          </m:e>
        </m:box>
        <m:r>
          <w:rPr>
            <w:rFonts w:ascii="Cambria Math" w:hAnsi="Cambria Math"/>
          </w:rPr>
          <m:t xml:space="preserve">  B</m:t>
        </m:r>
      </m:oMath>
      <w:r>
        <w:tab/>
      </w:r>
      <w:r w:rsidR="00B32ECD">
        <w:tab/>
      </w:r>
      <w:r>
        <w:t xml:space="preserve">: nucleation </w:t>
      </w:r>
      <w:r>
        <w:tab/>
      </w:r>
      <w:r>
        <w:tab/>
      </w:r>
      <w:r>
        <w:tab/>
      </w:r>
      <w:r>
        <w:tab/>
      </w:r>
      <w:r>
        <w:tab/>
      </w:r>
      <w:r>
        <w:tab/>
      </w:r>
      <w:r w:rsidR="00AB23AE">
        <w:tab/>
      </w:r>
      <w:r>
        <w:t>(</w:t>
      </w:r>
      <w:r w:rsidR="001C3EEF">
        <w:t>4</w:t>
      </w:r>
      <w:r>
        <w:t>)</w:t>
      </w:r>
    </w:p>
    <w:p w14:paraId="47037BA3" w14:textId="62BE8B07" w:rsidR="00B55318" w:rsidRDefault="00F765C6" w:rsidP="0066122E">
      <w:pPr>
        <w:pStyle w:val="TAMainText"/>
      </w:pPr>
      <w:r>
        <w:t xml:space="preserve">One simple </w:t>
      </w:r>
      <w:r w:rsidR="007A105E">
        <w:t xml:space="preserve">analytical solution of </w:t>
      </w:r>
      <w:r w:rsidR="00E203F2">
        <w:t xml:space="preserve">the two-pathway </w:t>
      </w:r>
      <w:r w:rsidR="007A105E">
        <w:t xml:space="preserve">coupled </w:t>
      </w:r>
      <w:r w:rsidR="00E203F2">
        <w:t xml:space="preserve">reactions </w:t>
      </w:r>
      <w:r w:rsidR="00147803">
        <w:t xml:space="preserve">is provided by </w:t>
      </w:r>
      <w:r w:rsidR="00E203F2">
        <w:t xml:space="preserve">the </w:t>
      </w:r>
      <w:r w:rsidR="00B55318">
        <w:t>Fink</w:t>
      </w:r>
      <w:r w:rsidR="00374E14">
        <w:t>e</w:t>
      </w:r>
      <w:r w:rsidR="00CA6990">
        <w:t>–</w:t>
      </w:r>
      <w:r w:rsidR="00B55318">
        <w:t>Wat</w:t>
      </w:r>
      <w:r w:rsidR="001760D9">
        <w:t>z</w:t>
      </w:r>
      <w:r w:rsidR="00B55318">
        <w:t xml:space="preserve">ky </w:t>
      </w:r>
      <w:r w:rsidR="001760D9">
        <w:t xml:space="preserve">(F–W) </w:t>
      </w:r>
      <w:r w:rsidR="00B55318">
        <w:t>model</w:t>
      </w:r>
      <w:r w:rsidR="00203168">
        <w:t>,</w:t>
      </w:r>
      <w:r w:rsidR="00F24DDD">
        <w:fldChar w:fldCharType="begin" w:fldLock="1"/>
      </w:r>
      <w:r w:rsidR="000C4007">
        <w:instrText>ADDIN CSL_CITATION {"citationItems":[{"id":"ITEM-1","itemData":{"DOI":"10.1021/bi701899y","ISSN":"00062960","abstract":"The aggregation of proteins has been hypothesized to be an underlying cause of many neurological disorders including Alzheimer's, Parkinson's, and Huntington's diseases; protein aggregation is also important to normal life function in cases such as G to F-actin, glutamate dehydrogenase, and tubulin and flagella formation. For this reason, the underlying mechanism of protein aggregation, and accompanying kinetic models for protein nucleation and growth (growth also being called elongation, polymerization, or fibrillation in the literature), have been investigated for more than 50 years. As a way to concisely present the key prior literature in the protein aggregation area, Table 1 in the main text summarizes 23 papers by 10 groups of authors that provide 5 basic classes of mechanisms for protein aggregation over the period from 1959 to 2007. However, and despite this major prior effort, still lacking are both (i) anything approaching a consensus mechanism (or mechanisms), and (ii) a generally useful, and thus widely used, simplest/\"Ockham's razor\" kinetic model and associated equations that can be routinely employed to analyze a broader range of protein aggregation kinetic data. Herein we demonstrate that the 1997 Finke-Watzky (F-W) 2-step mechanism of slow continuous nucleation, A → B (rate constant k1), followed by typically fast, autocatalytic surface growth, A + B → 2B (rate constant k2), is able to quantitatively account for the kinetic curves from all 14 representative data sets of neurological protein aggregation found by a literature search (the prion literature was largely excluded for the purposes of this study in order provide some limit to the resultant literature that was covered). The F-W model is able to deconvolute the desired nucleation, k 1, and growth, k2, rate constants from those 14 data sets obtained by four different physical methods, for three different proteins, and in nine different labs. The fits are generally good, and in many cases excellent, with R2 values ≥0.98 in all cases. As such, this contribution is the current record of the widest set of protein aggregation data best fit by what is also the simplest model offered to date. Also provided is the mathematical connection between the 1997 F-W 2-step mechanism and the 2000 3-step mechanism proposed by Saitô and co-workers. In particular, the kinetic equation for Saitô's 3-step mechanism is shown to be mathematically identical to the earlier, 1997 2-step F-W mechanism under t…","author":[{"dropping-particle":"","family":"Morris","given":"Aimee M.","non-dropping-particle":"","parse-names":false,"suffix":""},{"dropping-particle":"","family":"Watzky","given":"Murielle A.","non-dropping-particle":"","parse-names":false,"suffix":""},{"dropping-particle":"","family":"Agar","given":"Jeffrey N.","non-dropping-particle":"","parse-names":false,"suffix":""},{"dropping-particle":"","family":"Finke","given":"Richard G.","non-dropping-particle":"","parse-names":false,"suffix":""}],"container-title":"Biochemistry","id":"ITEM-1","issue":"8","issued":{"date-parts":[["2008"]]},"page":"2413-2427","title":"Fitting neurological protein aggregation kinetic data via a 2-step, minimal/\"Ockham's razor\" model: The Finke-Watzky mechanism of nucleation followed by autocatalytic surface growth","type":"article-journal","volume":"47"},"uris":["http://www.mendeley.com/documents/?uuid=8a9e3de5-4e31-4f29-8a85-27d1a01c967e"]}],"mendeley":{"formattedCitation":"&lt;sup&gt;28&lt;/sup&gt;","plainTextFormattedCitation":"28","previouslyFormattedCitation":"&lt;sup&gt;27&lt;/sup&gt;"},"properties":{"noteIndex":0},"schema":"https://github.com/citation-style-language/schema/raw/master/csl-citation.json"}</w:instrText>
      </w:r>
      <w:r w:rsidR="00F24DDD">
        <w:fldChar w:fldCharType="separate"/>
      </w:r>
      <w:r w:rsidR="000C4007" w:rsidRPr="000C4007">
        <w:rPr>
          <w:noProof/>
          <w:vertAlign w:val="superscript"/>
        </w:rPr>
        <w:t>28</w:t>
      </w:r>
      <w:r w:rsidR="00F24DDD">
        <w:fldChar w:fldCharType="end"/>
      </w:r>
      <w:r w:rsidR="00147803">
        <w:t xml:space="preserve"> where the growth reaction can occur from any </w:t>
      </w:r>
      <w:r w:rsidR="003553F8">
        <w:t xml:space="preserve">size </w:t>
      </w:r>
      <w:r w:rsidR="00B71F00">
        <w:t>nucle</w:t>
      </w:r>
      <w:r w:rsidR="003553F8">
        <w:t>us</w:t>
      </w:r>
      <w:r w:rsidR="00147803">
        <w:t xml:space="preserve"> and </w:t>
      </w:r>
      <w:r w:rsidR="003553F8">
        <w:t xml:space="preserve">at </w:t>
      </w:r>
      <w:r w:rsidR="00147803">
        <w:t>any</w:t>
      </w:r>
      <w:r w:rsidR="003553F8">
        <w:t xml:space="preserve"> site on the</w:t>
      </w:r>
      <w:r w:rsidR="00147803">
        <w:t xml:space="preserve"> </w:t>
      </w:r>
      <w:r w:rsidR="000652E2">
        <w:t>fibril</w:t>
      </w:r>
      <w:r w:rsidR="003553F8">
        <w:t>s</w:t>
      </w:r>
      <w:r w:rsidR="00147803">
        <w:t xml:space="preserve">. </w:t>
      </w:r>
      <w:r w:rsidR="00735686">
        <w:t>The</w:t>
      </w:r>
      <w:r w:rsidR="0066122E">
        <w:t xml:space="preserve"> </w:t>
      </w:r>
      <w:r w:rsidR="00735686">
        <w:t>a</w:t>
      </w:r>
      <w:r w:rsidR="0066122E">
        <w:t>nalytical solutions of</w:t>
      </w:r>
      <w:r w:rsidR="00384C96">
        <w:t xml:space="preserve"> the mass fractions of </w:t>
      </w:r>
      <w:r w:rsidR="00EE35D2" w:rsidRPr="00BA559B">
        <w:rPr>
          <w:i/>
          <w:iCs/>
        </w:rPr>
        <w:t>A</w:t>
      </w:r>
      <w:r w:rsidR="00EE35D2">
        <w:t xml:space="preserve"> and </w:t>
      </w:r>
      <w:r w:rsidR="00EE35D2" w:rsidRPr="00BA559B">
        <w:rPr>
          <w:i/>
          <w:iCs/>
        </w:rPr>
        <w:t>B</w:t>
      </w:r>
      <w:r w:rsidR="0066122E">
        <w:t xml:space="preserve"> are</w:t>
      </w:r>
      <w:r w:rsidR="00097EA3">
        <w:t xml:space="preserve"> re</w:t>
      </w:r>
      <w:r w:rsidR="00903704">
        <w:t>s</w:t>
      </w:r>
      <w:r w:rsidR="00097EA3">
        <w:t>pectively</w:t>
      </w:r>
    </w:p>
    <w:p w14:paraId="6BAB008B" w14:textId="574A8C52" w:rsidR="0066122E" w:rsidRPr="00592CE8" w:rsidRDefault="00A47834" w:rsidP="0066122E">
      <w:pPr>
        <w:pStyle w:val="TAMainText"/>
        <w:ind w:firstLine="0"/>
      </w:pPr>
      <w:r>
        <w:tab/>
      </w:r>
      <m:oMath>
        <m:sSub>
          <m:sSubPr>
            <m:ctrlPr>
              <w:rPr>
                <w:rFonts w:ascii="Cambria Math" w:hAnsi="Cambria Math"/>
                <w:i/>
              </w:rPr>
            </m:ctrlPr>
          </m:sSubPr>
          <m:e>
            <m:d>
              <m:dPr>
                <m:begChr m:val="["/>
                <m:endChr m:val="]"/>
                <m:ctrlPr>
                  <w:rPr>
                    <w:rFonts w:ascii="Cambria Math" w:hAnsi="Cambria Math"/>
                    <w:i/>
                  </w:rPr>
                </m:ctrlPr>
              </m:dPr>
              <m:e>
                <m:r>
                  <w:rPr>
                    <w:rFonts w:ascii="Cambria Math" w:hAnsi="Cambria Math"/>
                  </w:rPr>
                  <m:t>A</m:t>
                </m:r>
              </m:e>
            </m:d>
          </m:e>
          <m:sub>
            <m:r>
              <w:rPr>
                <w:rFonts w:ascii="Cambria Math" w:hAnsi="Cambria Math"/>
              </w:rPr>
              <m:t>t</m:t>
            </m:r>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r>
                  <w:rPr>
                    <w:rFonts w:ascii="Cambria Math" w:hAnsi="Cambria Math"/>
                  </w:rPr>
                  <m:t>A</m:t>
                </m:r>
              </m:e>
            </m:d>
          </m:e>
          <m:sub>
            <m:r>
              <w:rPr>
                <w:rFonts w:ascii="Cambria Math" w:hAnsi="Cambria Math"/>
              </w:rPr>
              <m:t>0</m:t>
            </m:r>
          </m:sub>
        </m:sSub>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sSub>
              <m:sSubPr>
                <m:ctrlPr>
                  <w:rPr>
                    <w:rFonts w:ascii="Cambria Math" w:hAnsi="Cambria Math"/>
                    <w:i/>
                  </w:rPr>
                </m:ctrlPr>
              </m:sSubPr>
              <m:e>
                <m:d>
                  <m:dPr>
                    <m:begChr m:val="["/>
                    <m:endChr m:val="]"/>
                    <m:ctrlPr>
                      <w:rPr>
                        <w:rFonts w:ascii="Cambria Math" w:hAnsi="Cambria Math"/>
                        <w:i/>
                      </w:rPr>
                    </m:ctrlPr>
                  </m:dPr>
                  <m:e>
                    <m:r>
                      <w:rPr>
                        <w:rFonts w:ascii="Cambria Math" w:hAnsi="Cambria Math"/>
                      </w:rPr>
                      <m:t>A</m:t>
                    </m:r>
                  </m:e>
                </m:d>
              </m:e>
              <m:sub>
                <m:r>
                  <w:rPr>
                    <w:rFonts w:ascii="Cambria Math" w:hAnsi="Cambria Math"/>
                  </w:rPr>
                  <m:t>0</m:t>
                </m:r>
              </m:sub>
            </m:sSub>
          </m:num>
          <m:den>
            <m:sSub>
              <m:sSubPr>
                <m:ctrlPr>
                  <w:rPr>
                    <w:rFonts w:ascii="Cambria Math" w:hAnsi="Cambria Math"/>
                    <w:i/>
                  </w:rPr>
                </m:ctrlPr>
              </m:sSubPr>
              <m:e>
                <m:r>
                  <w:rPr>
                    <w:rFonts w:ascii="Cambria Math" w:hAnsi="Cambria Math"/>
                  </w:rPr>
                  <m:t>k</m:t>
                </m:r>
              </m:e>
              <m:sub>
                <m:r>
                  <w:rPr>
                    <w:rFonts w:ascii="Cambria Math" w:hAnsi="Cambria Math"/>
                  </w:rPr>
                  <m:t>2</m:t>
                </m:r>
              </m:sub>
            </m:sSub>
            <m:sSub>
              <m:sSubPr>
                <m:ctrlPr>
                  <w:rPr>
                    <w:rFonts w:ascii="Cambria Math" w:hAnsi="Cambria Math"/>
                    <w:i/>
                  </w:rPr>
                </m:ctrlPr>
              </m:sSubPr>
              <m:e>
                <m:d>
                  <m:dPr>
                    <m:begChr m:val="["/>
                    <m:endChr m:val="]"/>
                    <m:ctrlPr>
                      <w:rPr>
                        <w:rFonts w:ascii="Cambria Math" w:hAnsi="Cambria Math"/>
                        <w:i/>
                      </w:rPr>
                    </m:ctrlPr>
                  </m:dPr>
                  <m:e>
                    <m:r>
                      <w:rPr>
                        <w:rFonts w:ascii="Cambria Math" w:hAnsi="Cambria Math"/>
                      </w:rPr>
                      <m:t>A</m:t>
                    </m:r>
                  </m:e>
                </m:d>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m:rPr>
                <m:sty m:val="p"/>
              </m:rPr>
              <w:rPr>
                <w:rFonts w:ascii="Cambria Math" w:hAnsi="Cambria Math"/>
              </w:rPr>
              <m:t>exp</m:t>
            </m:r>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sSub>
                      <m:sSubPr>
                        <m:ctrlPr>
                          <w:rPr>
                            <w:rFonts w:ascii="Cambria Math" w:hAnsi="Cambria Math"/>
                            <w:i/>
                          </w:rPr>
                        </m:ctrlPr>
                      </m:sSubPr>
                      <m:e>
                        <m:d>
                          <m:dPr>
                            <m:begChr m:val="["/>
                            <m:endChr m:val="]"/>
                            <m:ctrlPr>
                              <w:rPr>
                                <w:rFonts w:ascii="Cambria Math" w:hAnsi="Cambria Math"/>
                                <w:i/>
                              </w:rPr>
                            </m:ctrlPr>
                          </m:dPr>
                          <m:e>
                            <m:r>
                              <w:rPr>
                                <w:rFonts w:ascii="Cambria Math" w:hAnsi="Cambria Math"/>
                              </w:rPr>
                              <m:t>A</m:t>
                            </m:r>
                          </m:e>
                        </m:d>
                      </m:e>
                      <m:sub>
                        <m:r>
                          <w:rPr>
                            <w:rFonts w:ascii="Cambria Math" w:hAnsi="Cambria Math"/>
                          </w:rPr>
                          <m:t>0</m:t>
                        </m:r>
                      </m:sub>
                    </m:sSub>
                  </m:e>
                </m:d>
                <m:r>
                  <w:rPr>
                    <w:rFonts w:ascii="Cambria Math" w:hAnsi="Cambria Math"/>
                  </w:rPr>
                  <m:t>t</m:t>
                </m:r>
              </m:e>
            </m:d>
          </m:den>
        </m:f>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r>
                  <w:rPr>
                    <w:rFonts w:ascii="Cambria Math" w:hAnsi="Cambria Math"/>
                  </w:rPr>
                  <m:t>A</m:t>
                </m:r>
              </m:e>
            </m:d>
          </m:e>
          <m:sub>
            <m:r>
              <m:rPr>
                <m:sty m:val="p"/>
              </m:rPr>
              <w:rPr>
                <w:rFonts w:ascii="Cambria Math" w:hAnsi="Cambria Math"/>
              </w:rPr>
              <m:t>u</m:t>
            </m:r>
          </m:sub>
        </m:sSub>
      </m:oMath>
      <w:r>
        <w:tab/>
      </w:r>
      <w:r>
        <w:tab/>
      </w:r>
      <w:r>
        <w:tab/>
      </w:r>
      <w:r>
        <w:tab/>
      </w:r>
      <w:r>
        <w:tab/>
      </w:r>
      <w:r w:rsidR="00AB23AE">
        <w:tab/>
      </w:r>
      <w:r>
        <w:t>(</w:t>
      </w:r>
      <w:r w:rsidR="001C3EEF">
        <w:t>5</w:t>
      </w:r>
      <w:r>
        <w:t>)</w:t>
      </w:r>
    </w:p>
    <w:p w14:paraId="1A40B6A8" w14:textId="61F61355" w:rsidR="0066122E" w:rsidRPr="00592CE8" w:rsidRDefault="00A47834" w:rsidP="0066122E">
      <w:pPr>
        <w:pStyle w:val="TAMainText"/>
        <w:ind w:firstLine="0"/>
      </w:pPr>
      <w:r>
        <w:tab/>
      </w:r>
      <m:oMath>
        <m:sSub>
          <m:sSubPr>
            <m:ctrlPr>
              <w:rPr>
                <w:rFonts w:ascii="Cambria Math" w:hAnsi="Cambria Math"/>
                <w:i/>
              </w:rPr>
            </m:ctrlPr>
          </m:sSubPr>
          <m:e>
            <m:d>
              <m:dPr>
                <m:begChr m:val="["/>
                <m:endChr m:val="]"/>
                <m:ctrlPr>
                  <w:rPr>
                    <w:rFonts w:ascii="Cambria Math" w:hAnsi="Cambria Math"/>
                    <w:i/>
                  </w:rPr>
                </m:ctrlPr>
              </m:dPr>
              <m:e>
                <m:r>
                  <w:rPr>
                    <w:rFonts w:ascii="Cambria Math" w:hAnsi="Cambria Math"/>
                  </w:rPr>
                  <m:t>B</m:t>
                </m:r>
              </m:e>
            </m:d>
          </m:e>
          <m:sub>
            <m:r>
              <w:rPr>
                <w:rFonts w:ascii="Cambria Math" w:hAnsi="Cambria Math"/>
              </w:rPr>
              <m:t>t</m:t>
            </m:r>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r>
                  <w:rPr>
                    <w:rFonts w:ascii="Cambria Math" w:hAnsi="Cambria Math"/>
                  </w:rPr>
                  <m:t>A</m:t>
                </m:r>
              </m:e>
            </m:d>
          </m:e>
          <m:sub>
            <m:r>
              <w:rPr>
                <w:rFonts w:ascii="Cambria Math" w:hAnsi="Cambria Math"/>
              </w:rPr>
              <m:t>0</m:t>
            </m:r>
          </m:sub>
        </m:sSub>
        <m:d>
          <m:dPr>
            <m:begChr m:val="{"/>
            <m:endChr m:val="}"/>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sSub>
                  <m:sSubPr>
                    <m:ctrlPr>
                      <w:rPr>
                        <w:rFonts w:ascii="Cambria Math" w:hAnsi="Cambria Math"/>
                        <w:i/>
                      </w:rPr>
                    </m:ctrlPr>
                  </m:sSubPr>
                  <m:e>
                    <m:d>
                      <m:dPr>
                        <m:begChr m:val="["/>
                        <m:endChr m:val="]"/>
                        <m:ctrlPr>
                          <w:rPr>
                            <w:rFonts w:ascii="Cambria Math" w:hAnsi="Cambria Math"/>
                            <w:i/>
                          </w:rPr>
                        </m:ctrlPr>
                      </m:dPr>
                      <m:e>
                        <m:r>
                          <w:rPr>
                            <w:rFonts w:ascii="Cambria Math" w:hAnsi="Cambria Math"/>
                          </w:rPr>
                          <m:t>A</m:t>
                        </m:r>
                      </m:e>
                    </m:d>
                  </m:e>
                  <m:sub>
                    <m:r>
                      <w:rPr>
                        <w:rFonts w:ascii="Cambria Math" w:hAnsi="Cambria Math"/>
                      </w:rPr>
                      <m:t>0</m:t>
                    </m:r>
                  </m:sub>
                </m:sSub>
              </m:num>
              <m:den>
                <m:sSub>
                  <m:sSubPr>
                    <m:ctrlPr>
                      <w:rPr>
                        <w:rFonts w:ascii="Cambria Math" w:hAnsi="Cambria Math"/>
                        <w:i/>
                      </w:rPr>
                    </m:ctrlPr>
                  </m:sSubPr>
                  <m:e>
                    <m:r>
                      <w:rPr>
                        <w:rFonts w:ascii="Cambria Math" w:hAnsi="Cambria Math"/>
                      </w:rPr>
                      <m:t>k</m:t>
                    </m:r>
                  </m:e>
                  <m:sub>
                    <m:r>
                      <w:rPr>
                        <w:rFonts w:ascii="Cambria Math" w:hAnsi="Cambria Math"/>
                      </w:rPr>
                      <m:t>2</m:t>
                    </m:r>
                  </m:sub>
                </m:sSub>
                <m:sSub>
                  <m:sSubPr>
                    <m:ctrlPr>
                      <w:rPr>
                        <w:rFonts w:ascii="Cambria Math" w:hAnsi="Cambria Math"/>
                        <w:i/>
                      </w:rPr>
                    </m:ctrlPr>
                  </m:sSubPr>
                  <m:e>
                    <m:d>
                      <m:dPr>
                        <m:begChr m:val="["/>
                        <m:endChr m:val="]"/>
                        <m:ctrlPr>
                          <w:rPr>
                            <w:rFonts w:ascii="Cambria Math" w:hAnsi="Cambria Math"/>
                            <w:i/>
                          </w:rPr>
                        </m:ctrlPr>
                      </m:dPr>
                      <m:e>
                        <m:r>
                          <w:rPr>
                            <w:rFonts w:ascii="Cambria Math" w:hAnsi="Cambria Math"/>
                          </w:rPr>
                          <m:t>A</m:t>
                        </m:r>
                      </m:e>
                    </m:d>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m:rPr>
                    <m:sty m:val="p"/>
                  </m:rPr>
                  <w:rPr>
                    <w:rFonts w:ascii="Cambria Math" w:hAnsi="Cambria Math"/>
                  </w:rPr>
                  <m:t>exp</m:t>
                </m:r>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sSub>
                          <m:sSubPr>
                            <m:ctrlPr>
                              <w:rPr>
                                <w:rFonts w:ascii="Cambria Math" w:hAnsi="Cambria Math"/>
                                <w:i/>
                              </w:rPr>
                            </m:ctrlPr>
                          </m:sSubPr>
                          <m:e>
                            <m:d>
                              <m:dPr>
                                <m:begChr m:val="["/>
                                <m:endChr m:val="]"/>
                                <m:ctrlPr>
                                  <w:rPr>
                                    <w:rFonts w:ascii="Cambria Math" w:hAnsi="Cambria Math"/>
                                    <w:i/>
                                  </w:rPr>
                                </m:ctrlPr>
                              </m:dPr>
                              <m:e>
                                <m:r>
                                  <w:rPr>
                                    <w:rFonts w:ascii="Cambria Math" w:hAnsi="Cambria Math"/>
                                  </w:rPr>
                                  <m:t>A</m:t>
                                </m:r>
                              </m:e>
                            </m:d>
                          </m:e>
                          <m:sub>
                            <m:r>
                              <w:rPr>
                                <w:rFonts w:ascii="Cambria Math" w:hAnsi="Cambria Math"/>
                              </w:rPr>
                              <m:t>0</m:t>
                            </m:r>
                          </m:sub>
                        </m:sSub>
                      </m:e>
                    </m:d>
                    <m:r>
                      <w:rPr>
                        <w:rFonts w:ascii="Cambria Math" w:hAnsi="Cambria Math"/>
                      </w:rPr>
                      <m:t>t</m:t>
                    </m:r>
                  </m:e>
                </m:d>
              </m:den>
            </m:f>
            <m:r>
              <w:rPr>
                <w:rFonts w:ascii="Cambria Math" w:hAnsi="Cambria Math"/>
              </w:rPr>
              <m:t xml:space="preserve"> </m:t>
            </m:r>
          </m:e>
        </m:d>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r>
                  <w:rPr>
                    <w:rFonts w:ascii="Cambria Math" w:hAnsi="Cambria Math"/>
                  </w:rPr>
                  <m:t>B</m:t>
                </m:r>
              </m:e>
            </m:d>
          </m:e>
          <m:sub>
            <m:r>
              <m:rPr>
                <m:sty m:val="p"/>
              </m:rPr>
              <w:rPr>
                <w:rFonts w:ascii="Cambria Math" w:hAnsi="Cambria Math"/>
              </w:rPr>
              <m:t>u</m:t>
            </m:r>
          </m:sub>
        </m:sSub>
      </m:oMath>
      <w:r>
        <w:tab/>
      </w:r>
      <w:r>
        <w:tab/>
      </w:r>
      <w:r>
        <w:tab/>
      </w:r>
      <w:r>
        <w:tab/>
      </w:r>
      <w:r w:rsidR="00AB23AE">
        <w:tab/>
      </w:r>
      <w:r>
        <w:t>(</w:t>
      </w:r>
      <w:r w:rsidR="001C3EEF">
        <w:t>6</w:t>
      </w:r>
      <w:r>
        <w:t>)</w:t>
      </w:r>
    </w:p>
    <w:p w14:paraId="3FABFCB6" w14:textId="3C9DC56A" w:rsidR="00C25A2D" w:rsidRDefault="002A46B0" w:rsidP="00E4350F">
      <w:pPr>
        <w:spacing w:after="0" w:line="480" w:lineRule="auto"/>
      </w:pPr>
      <w:r>
        <w:t>w</w:t>
      </w:r>
      <w:r w:rsidR="000D055C">
        <w:t>here</w:t>
      </w:r>
      <w:r w:rsidR="00E67D31">
        <w:t xml:space="preserve"> </w:t>
      </w:r>
      <w:r w:rsidR="00C25A2D">
        <w:t>[</w:t>
      </w:r>
      <w:r w:rsidR="00C25A2D" w:rsidRPr="00FC4846">
        <w:rPr>
          <w:i/>
          <w:iCs/>
        </w:rPr>
        <w:t>A</w:t>
      </w:r>
      <w:r w:rsidR="00C25A2D">
        <w:t>]</w:t>
      </w:r>
      <w:r w:rsidR="00C25A2D" w:rsidRPr="000B7958">
        <w:rPr>
          <w:vertAlign w:val="subscript"/>
        </w:rPr>
        <w:t>u</w:t>
      </w:r>
      <w:r w:rsidR="00C25A2D">
        <w:t xml:space="preserve"> and [</w:t>
      </w:r>
      <w:r w:rsidR="00C25A2D">
        <w:rPr>
          <w:i/>
          <w:iCs/>
        </w:rPr>
        <w:t>B</w:t>
      </w:r>
      <w:r w:rsidR="00C25A2D">
        <w:t>]</w:t>
      </w:r>
      <w:r w:rsidR="00C25A2D" w:rsidRPr="00FC3FCB">
        <w:rPr>
          <w:vertAlign w:val="subscript"/>
        </w:rPr>
        <w:t>u</w:t>
      </w:r>
      <w:r w:rsidR="00C25A2D">
        <w:t xml:space="preserve"> are added to the original form of the F–W solution for consideration of the contributions of unchanged </w:t>
      </w:r>
      <w:r w:rsidR="005709A4" w:rsidRPr="004930B4">
        <w:rPr>
          <w:rFonts w:ascii="Symbol" w:hAnsi="Symbol"/>
        </w:rPr>
        <w:t></w:t>
      </w:r>
      <w:r w:rsidR="005709A4">
        <w:rPr>
          <w:noProof/>
          <w:szCs w:val="24"/>
        </w:rPr>
        <w:t>-heli</w:t>
      </w:r>
      <w:r w:rsidR="00C25A2D">
        <w:t xml:space="preserve">ces and </w:t>
      </w:r>
      <w:r w:rsidR="005709A4" w:rsidRPr="004930B4">
        <w:rPr>
          <w:rFonts w:ascii="Symbol" w:hAnsi="Symbol"/>
        </w:rPr>
        <w:t></w:t>
      </w:r>
      <w:r w:rsidR="005709A4" w:rsidRPr="0000383A">
        <w:t>-shee</w:t>
      </w:r>
      <w:r w:rsidR="00C25A2D">
        <w:t>ts, respectively.</w:t>
      </w:r>
      <w:r w:rsidR="00E67D31">
        <w:t xml:space="preserve"> </w:t>
      </w:r>
      <w:r w:rsidR="000D055C">
        <w:t xml:space="preserve">The solid lines in </w:t>
      </w:r>
      <w:r w:rsidR="00EE6863">
        <w:t>Figures</w:t>
      </w:r>
      <w:r w:rsidR="000D055C">
        <w:t xml:space="preserve"> </w:t>
      </w:r>
      <w:r w:rsidR="00F62F1C">
        <w:t xml:space="preserve">4c </w:t>
      </w:r>
      <w:r w:rsidR="000D055C">
        <w:t xml:space="preserve">and </w:t>
      </w:r>
      <w:r w:rsidR="00F62F1C">
        <w:t xml:space="preserve">4d </w:t>
      </w:r>
      <w:r w:rsidR="000D055C">
        <w:t xml:space="preserve">are the best fits </w:t>
      </w:r>
      <w:r w:rsidR="000B5846">
        <w:t>using Eqs.</w:t>
      </w:r>
      <w:r w:rsidR="00764DF8">
        <w:t xml:space="preserve"> 7 and 8</w:t>
      </w:r>
      <w:r w:rsidR="00241B2D">
        <w:t>.</w:t>
      </w:r>
    </w:p>
    <w:p w14:paraId="05424C24" w14:textId="718445B3" w:rsidR="00B961FD" w:rsidRDefault="00061A70" w:rsidP="00E4350F">
      <w:pPr>
        <w:spacing w:after="0" w:line="480" w:lineRule="auto"/>
        <w:ind w:firstLine="202"/>
      </w:pPr>
      <w:r>
        <w:t xml:space="preserve">Another </w:t>
      </w:r>
      <w:r w:rsidR="0083091B">
        <w:t>kinetic equation c</w:t>
      </w:r>
      <w:r w:rsidR="00A2024D">
        <w:t xml:space="preserve">an be found from the nucleation–elongation </w:t>
      </w:r>
      <w:r w:rsidR="0086635D">
        <w:t xml:space="preserve">(N–E) </w:t>
      </w:r>
      <w:r w:rsidR="00A2024D">
        <w:t>model,</w:t>
      </w:r>
      <w:r w:rsidR="00EB2488">
        <w:t xml:space="preserve"> which </w:t>
      </w:r>
      <w:r w:rsidR="00060856">
        <w:t xml:space="preserve">considers homogeneous nucleation </w:t>
      </w:r>
      <w:r w:rsidR="00904F52">
        <w:t>followed by linear polymerization</w:t>
      </w:r>
      <w:r w:rsidR="00203168">
        <w:t>.</w:t>
      </w:r>
      <w:r w:rsidR="00A155F4">
        <w:fldChar w:fldCharType="begin" w:fldLock="1"/>
      </w:r>
      <w:r w:rsidR="000C4007">
        <w:instrText>ADDIN CSL_CITATION {"citationItems":[{"id":"ITEM-1","itemData":{"DOI":"10.1063/1.3608916","ISSN":"00219606","abstract":"Self-assembly processes resulting in linear structures are often observed in molecular biology, and include the formation of functional filaments such as actin and tubulin, as well as generally dysfunctional ones such as amyloid aggregates. Although the basic kinetic equations describing these phenomena are well-established, it has proved to be challenging, due to their non-linear nature, to derive solutions to these equations except for special cases. The availability of general analytical solutions provides a route for determining the rates of molecular level processes from the analysis of macroscopic experimental measurements of the growth kinetics, in addition to the phenomenological parameters, such as lag times and maximal growth rates that are already obtainable from standard fitting procedures. We describe here an analytical approach based on fixed-point analysis, which provides self-consistent solutions for the growth of filamentous structures that can, in addition to elongation, undergo internal fracturing and monomer-dependent nucleation as mechanisms for generating new free ends acting as growth sites. Our results generalise the analytical expression for sigmoidal growth kinetics from the Oosawa theory for nucleated polymerisation to the case of fragmenting filaments. We determine the corresponding growth laws in closed form and derive from first principles a number of relationships which have been empirically established for the kinetics of the self-assembly of amyloid fibrils. © 2011 American Institute of Physics.","author":[{"dropping-particle":"","family":"Cohen","given":"Samuel I.A.","non-dropping-particle":"","parse-names":false,"suffix":""},{"dropping-particle":"","family":"Vendruscolo","given":"Michele","non-dropping-particle":"","parse-names":false,"suffix":""},{"dropping-particle":"","family":"Welland","given":"Mark E.","non-dropping-particle":"","parse-names":false,"suffix":""},{"dropping-particle":"","family":"Dobson","given":"Christopher M.","non-dropping-particle":"","parse-names":false,"suffix":""},{"dropping-particle":"","family":"Terentjev","given":"Eugene M.","non-dropping-particle":"","parse-names":false,"suffix":""},{"dropping-particle":"","family":"Knowles","given":"Tuomas P.J.","non-dropping-particle":"","parse-names":false,"suffix":""}],"container-title":"Journal of Chemical Physics","id":"ITEM-1","issue":"6","issued":{"date-parts":[["2011","8","14"]]},"page":"065105","title":"Nucleated polymerization with secondary pathways. I. Time evolution of the principal moments","type":"article-journal","volume":"135"},"uris":["http://www.mendeley.com/documents/?uuid=ea2ac237-dbf3-376b-98a3-4934259736b5"]},{"id":"ITEM-2","itemData":{"DOI":"10.1126/science.1178250","ISSN":"00368075","abstract":"We present an analytical treatment of a set of coupled kinetic equations that governs the self-assembly of filamentous molecular structures. Application to the case of protein aggregation demonstrates that the kinetics of amyloid growth can often be dominated by secondary rather than by primary nucleation events. Our results further reveal a range of general features of the growth kinetics of fragmenting filamentous structures, including the existence of generic scaling laws that provide mechanistic information in contexts ranging from in vitro amyloid growth to the in vivo development of mammalian prion diseases.","author":[{"dropping-particle":"","family":"Knowles","given":"Tuomas P.J.","non-dropping-particle":"","parse-names":false,"suffix":""},{"dropping-particle":"","family":"Waudby","given":"Christopher A.","non-dropping-particle":"","parse-names":false,"suffix":""},{"dropping-particle":"","family":"Devlin","given":"Glyn L.","non-dropping-particle":"","parse-names":false,"suffix":""},{"dropping-particle":"","family":"Cohen","given":"Samuel I.A.","non-dropping-particle":"","parse-names":false,"suffix":""},{"dropping-particle":"","family":"Aguzzi","given":"Adriano","non-dropping-particle":"","parse-names":false,"suffix":""},{"dropping-particle":"","family":"Vendruscolo","given":"Michele","non-dropping-particle":"","parse-names":false,"suffix":""},{"dropping-particle":"","family":"Terentjev","given":"Eugene M.","non-dropping-particle":"","parse-names":false,"suffix":""},{"dropping-particle":"","family":"Welland","given":"Mark E.","non-dropping-particle":"","parse-names":false,"suffix":""},{"dropping-particle":"","family":"Dobson","given":"Christopher M.","non-dropping-particle":"","parse-names":false,"suffix":""}],"container-title":"Science","id":"ITEM-2","issue":"5959","issued":{"date-parts":[["2009"]]},"page":"1533-1537","title":"An analytical solution to the kinetics of breakable filament assembly","type":"article-journal","volume":"326"},"uris":["http://www.mendeley.com/documents/?uuid=4fb2d7eb-c55e-43df-b482-05565f4d55b1","http://www.mendeley.com/documents/?uuid=24046e77-e8e4-4336-be8b-f5931d6c5bb8"]}],"mendeley":{"formattedCitation":"&lt;sup&gt;27,29&lt;/sup&gt;","plainTextFormattedCitation":"27,29","previouslyFormattedCitation":"&lt;sup&gt;26,28&lt;/sup&gt;"},"properties":{"noteIndex":0},"schema":"https://github.com/citation-style-language/schema/raw/master/csl-citation.json"}</w:instrText>
      </w:r>
      <w:r w:rsidR="00A155F4">
        <w:fldChar w:fldCharType="separate"/>
      </w:r>
      <w:r w:rsidR="000C4007" w:rsidRPr="000C4007">
        <w:rPr>
          <w:noProof/>
          <w:vertAlign w:val="superscript"/>
        </w:rPr>
        <w:t>27,29</w:t>
      </w:r>
      <w:r w:rsidR="00A155F4">
        <w:fldChar w:fldCharType="end"/>
      </w:r>
      <w:r w:rsidR="00904F52">
        <w:t xml:space="preserve"> In the absence of </w:t>
      </w:r>
      <w:r w:rsidR="00695587">
        <w:t>fragmentation</w:t>
      </w:r>
      <w:r w:rsidR="0081149C">
        <w:t xml:space="preserve"> or other secondary nucleation pathways, the mass fraction</w:t>
      </w:r>
      <w:r w:rsidR="004269D5">
        <w:t xml:space="preserve"> of </w:t>
      </w:r>
      <w:r w:rsidR="004375B8">
        <w:t>filaments can be expressed</w:t>
      </w:r>
      <w:r w:rsidR="00B961FD">
        <w:t xml:space="preserve"> in a simple form as</w:t>
      </w:r>
    </w:p>
    <w:p w14:paraId="291777E8" w14:textId="38509326" w:rsidR="00B961FD" w:rsidRPr="00592CE8" w:rsidRDefault="001371BB" w:rsidP="00B961FD">
      <w:pPr>
        <w:pStyle w:val="TAMainText"/>
        <w:ind w:firstLine="0"/>
      </w:pPr>
      <w:r>
        <w:tab/>
      </w:r>
      <m:oMath>
        <m:sSub>
          <m:sSubPr>
            <m:ctrlPr>
              <w:rPr>
                <w:rFonts w:ascii="Cambria Math" w:hAnsi="Cambria Math"/>
                <w:i/>
              </w:rPr>
            </m:ctrlPr>
          </m:sSubPr>
          <m:e>
            <m:d>
              <m:dPr>
                <m:begChr m:val="["/>
                <m:endChr m:val="]"/>
                <m:ctrlPr>
                  <w:rPr>
                    <w:rFonts w:ascii="Cambria Math" w:hAnsi="Cambria Math"/>
                    <w:i/>
                  </w:rPr>
                </m:ctrlPr>
              </m:dPr>
              <m:e>
                <m:r>
                  <w:rPr>
                    <w:rFonts w:ascii="Cambria Math" w:hAnsi="Cambria Math"/>
                  </w:rPr>
                  <m:t>A</m:t>
                </m:r>
              </m:e>
            </m:d>
          </m:e>
          <m:sub>
            <m:r>
              <w:rPr>
                <w:rFonts w:ascii="Cambria Math" w:hAnsi="Cambria Math"/>
              </w:rPr>
              <m:t>t</m:t>
            </m:r>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r>
                  <w:rPr>
                    <w:rFonts w:ascii="Cambria Math" w:hAnsi="Cambria Math"/>
                  </w:rPr>
                  <m:t>A</m:t>
                </m:r>
              </m:e>
            </m:d>
          </m:e>
          <m:sub>
            <m:r>
              <w:rPr>
                <w:rFonts w:ascii="Cambria Math" w:hAnsi="Cambria Math"/>
              </w:rPr>
              <m:t>0</m:t>
            </m:r>
          </m:sub>
        </m:sSub>
        <m:r>
          <w:rPr>
            <w:rFonts w:ascii="Cambria Math" w:hAnsi="Cambria Math"/>
          </w:rPr>
          <m:t xml:space="preserve"> </m:t>
        </m:r>
        <m:sSup>
          <m:sSupPr>
            <m:ctrlPr>
              <w:rPr>
                <w:rFonts w:ascii="Cambria Math" w:hAnsi="Cambria Math"/>
                <w:i/>
              </w:rPr>
            </m:ctrlPr>
          </m:sSupPr>
          <m:e>
            <m:r>
              <m:rPr>
                <m:sty m:val="p"/>
              </m:rPr>
              <w:rPr>
                <w:rFonts w:ascii="Cambria Math" w:hAnsi="Cambria Math"/>
              </w:rPr>
              <m:t>sech</m:t>
            </m:r>
          </m:e>
          <m:sup>
            <m:r>
              <w:rPr>
                <w:rFonts w:ascii="Cambria Math" w:hAnsi="Cambria Math"/>
              </w:rPr>
              <m:t>2/</m:t>
            </m:r>
            <m:sSub>
              <m:sSubPr>
                <m:ctrlPr>
                  <w:rPr>
                    <w:rFonts w:ascii="Cambria Math" w:hAnsi="Cambria Math"/>
                    <w:i/>
                  </w:rPr>
                </m:ctrlPr>
              </m:sSubPr>
              <m:e>
                <m:r>
                  <w:rPr>
                    <w:rFonts w:ascii="Cambria Math" w:hAnsi="Cambria Math"/>
                  </w:rPr>
                  <m:t>n</m:t>
                </m:r>
              </m:e>
              <m:sub>
                <m:r>
                  <w:rPr>
                    <w:rFonts w:ascii="Cambria Math" w:hAnsi="Cambria Math"/>
                  </w:rPr>
                  <m:t>c</m:t>
                </m:r>
              </m:sub>
            </m:sSub>
          </m:sup>
        </m:sSup>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/2</m:t>
            </m:r>
          </m:e>
        </m:rad>
        <m:r>
          <w:rPr>
            <w:rFonts w:ascii="Cambria Math" w:hAnsi="Cambria Math"/>
          </w:rPr>
          <m:t xml:space="preserve"> λ t)+</m:t>
        </m:r>
        <m:sSub>
          <m:sSubPr>
            <m:ctrlPr>
              <w:rPr>
                <w:rFonts w:ascii="Cambria Math" w:hAnsi="Cambria Math"/>
                <w:i/>
              </w:rPr>
            </m:ctrlPr>
          </m:sSubPr>
          <m:e>
            <m:d>
              <m:dPr>
                <m:begChr m:val="["/>
                <m:endChr m:val="]"/>
                <m:ctrlPr>
                  <w:rPr>
                    <w:rFonts w:ascii="Cambria Math" w:hAnsi="Cambria Math"/>
                    <w:i/>
                  </w:rPr>
                </m:ctrlPr>
              </m:dPr>
              <m:e>
                <m:r>
                  <w:rPr>
                    <w:rFonts w:ascii="Cambria Math" w:hAnsi="Cambria Math"/>
                  </w:rPr>
                  <m:t>A</m:t>
                </m:r>
              </m:e>
            </m:d>
          </m:e>
          <m:sub>
            <m:r>
              <m:rPr>
                <m:sty m:val="p"/>
              </m:rPr>
              <w:rPr>
                <w:rFonts w:ascii="Cambria Math" w:hAnsi="Cambria Math"/>
              </w:rPr>
              <m:t>u</m:t>
            </m:r>
          </m:sub>
        </m:sSub>
      </m:oMath>
      <w:r w:rsidR="00B961FD">
        <w:tab/>
      </w:r>
      <w:r w:rsidR="00B961FD">
        <w:tab/>
      </w:r>
      <w:r w:rsidR="00B961FD">
        <w:tab/>
      </w:r>
      <w:r w:rsidR="00B961FD">
        <w:tab/>
      </w:r>
      <w:r w:rsidR="00B961FD">
        <w:tab/>
      </w:r>
      <w:r w:rsidR="00AB23AE">
        <w:tab/>
      </w:r>
      <w:r w:rsidR="00B961FD">
        <w:t>(</w:t>
      </w:r>
      <w:r w:rsidR="001C3EEF">
        <w:t>7</w:t>
      </w:r>
      <w:r w:rsidR="00B961FD">
        <w:t>)</w:t>
      </w:r>
    </w:p>
    <w:p w14:paraId="7EF89E2D" w14:textId="0629E888" w:rsidR="00E5540E" w:rsidRPr="00592CE8" w:rsidRDefault="00E5540E" w:rsidP="00E5540E">
      <w:pPr>
        <w:pStyle w:val="TAMainText"/>
        <w:ind w:firstLine="0"/>
      </w:pPr>
      <w:r>
        <w:tab/>
      </w:r>
      <m:oMath>
        <m:sSub>
          <m:sSubPr>
            <m:ctrlPr>
              <w:rPr>
                <w:rFonts w:ascii="Cambria Math" w:hAnsi="Cambria Math"/>
                <w:i/>
              </w:rPr>
            </m:ctrlPr>
          </m:sSubPr>
          <m:e>
            <m:d>
              <m:dPr>
                <m:begChr m:val="["/>
                <m:endChr m:val="]"/>
                <m:ctrlPr>
                  <w:rPr>
                    <w:rFonts w:ascii="Cambria Math" w:hAnsi="Cambria Math"/>
                    <w:i/>
                  </w:rPr>
                </m:ctrlPr>
              </m:dPr>
              <m:e>
                <m:r>
                  <w:rPr>
                    <w:rFonts w:ascii="Cambria Math" w:hAnsi="Cambria Math"/>
                  </w:rPr>
                  <m:t>B</m:t>
                </m:r>
              </m:e>
            </m:d>
          </m:e>
          <m:sub>
            <m:r>
              <w:rPr>
                <w:rFonts w:ascii="Cambria Math" w:hAnsi="Cambria Math"/>
              </w:rPr>
              <m:t>t</m:t>
            </m:r>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r>
                  <w:rPr>
                    <w:rFonts w:ascii="Cambria Math" w:hAnsi="Cambria Math"/>
                  </w:rPr>
                  <m:t>A</m:t>
                </m:r>
              </m:e>
            </m:d>
          </m:e>
          <m:sub>
            <m:r>
              <w:rPr>
                <w:rFonts w:ascii="Cambria Math" w:hAnsi="Cambria Math"/>
              </w:rPr>
              <m:t>0</m:t>
            </m:r>
          </m:sub>
        </m:sSub>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r>
                  <m:rPr>
                    <m:sty m:val="p"/>
                  </m:rPr>
                  <w:rPr>
                    <w:rFonts w:ascii="Cambria Math" w:hAnsi="Cambria Math"/>
                  </w:rPr>
                  <m:t>sech</m:t>
                </m:r>
              </m:e>
              <m:sup>
                <m:r>
                  <w:rPr>
                    <w:rFonts w:ascii="Cambria Math" w:hAnsi="Cambria Math"/>
                  </w:rPr>
                  <m:t>2/</m:t>
                </m:r>
                <m:sSub>
                  <m:sSubPr>
                    <m:ctrlPr>
                      <w:rPr>
                        <w:rFonts w:ascii="Cambria Math" w:hAnsi="Cambria Math"/>
                        <w:i/>
                      </w:rPr>
                    </m:ctrlPr>
                  </m:sSubPr>
                  <m:e>
                    <m:r>
                      <w:rPr>
                        <w:rFonts w:ascii="Cambria Math" w:hAnsi="Cambria Math"/>
                      </w:rPr>
                      <m:t>n</m:t>
                    </m:r>
                  </m:e>
                  <m:sub>
                    <m:r>
                      <w:rPr>
                        <w:rFonts w:ascii="Cambria Math" w:hAnsi="Cambria Math"/>
                      </w:rPr>
                      <m:t>c</m:t>
                    </m:r>
                  </m:sub>
                </m:sSub>
              </m:sup>
            </m:sSup>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/2</m:t>
                </m:r>
              </m:e>
            </m:rad>
            <m:r>
              <w:rPr>
                <w:rFonts w:ascii="Cambria Math" w:hAnsi="Cambria Math"/>
              </w:rPr>
              <m:t xml:space="preserve"> λ t)</m:t>
            </m:r>
          </m:e>
        </m:d>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r>
                  <w:rPr>
                    <w:rFonts w:ascii="Cambria Math" w:hAnsi="Cambria Math"/>
                  </w:rPr>
                  <m:t>B</m:t>
                </m:r>
              </m:e>
            </m:d>
          </m:e>
          <m:sub>
            <m:r>
              <m:rPr>
                <m:sty m:val="p"/>
              </m:rPr>
              <w:rPr>
                <w:rFonts w:ascii="Cambria Math" w:hAnsi="Cambria Math"/>
              </w:rPr>
              <m:t>u</m:t>
            </m:r>
          </m:sub>
        </m:sSub>
      </m:oMath>
      <w:r>
        <w:tab/>
      </w:r>
      <w:r>
        <w:tab/>
      </w:r>
      <w:r>
        <w:tab/>
      </w:r>
      <w:r>
        <w:tab/>
      </w:r>
      <w:r w:rsidR="00AB23AE">
        <w:tab/>
      </w:r>
      <w:r>
        <w:t>(</w:t>
      </w:r>
      <w:r w:rsidR="001C3EEF">
        <w:t>8</w:t>
      </w:r>
      <w:r>
        <w:t>)</w:t>
      </w:r>
    </w:p>
    <w:p w14:paraId="7FF07B7E" w14:textId="0BAB5452" w:rsidR="00061A70" w:rsidRDefault="00BD4EAF" w:rsidP="00E4350F">
      <w:pPr>
        <w:spacing w:after="0" w:line="480" w:lineRule="auto"/>
      </w:pPr>
      <w:r>
        <w:t xml:space="preserve">where </w:t>
      </w:r>
      <m:oMath>
        <m:r>
          <w:rPr>
            <w:rFonts w:ascii="Cambria Math" w:hAnsi="Cambria Math"/>
          </w:rPr>
          <m:t>λ=</m:t>
        </m:r>
        <m:rad>
          <m:radPr>
            <m:degHide m:val="1"/>
            <m:ctrlPr>
              <w:rPr>
                <w:rFonts w:ascii="Cambria Math" w:hAnsi="Cambria Math"/>
                <w:i/>
              </w:rPr>
            </m:ctrlPr>
          </m:radPr>
          <m:deg/>
          <m:e>
            <m:r>
              <w:rPr>
                <w:rFonts w:ascii="Cambria Math" w:hAnsi="Cambria Math"/>
              </w:rPr>
              <m:t>2(</m:t>
            </m:r>
            <m:sSub>
              <m:sSubPr>
                <m:ctrlPr>
                  <w:rPr>
                    <w:rFonts w:ascii="Cambria Math" w:hAnsi="Cambria Math"/>
                    <w:i/>
                  </w:rPr>
                </m:ctrlPr>
              </m:sSubPr>
              <m:e>
                <m:r>
                  <w:rPr>
                    <w:rFonts w:ascii="Cambria Math" w:hAnsi="Cambria Math"/>
                  </w:rPr>
                  <m:t>k</m:t>
                </m:r>
              </m:e>
              <m:sub>
                <m:r>
                  <w:rPr>
                    <w:rFonts w:ascii="Cambria Math" w:hAnsi="Cambria Math"/>
                  </w:rPr>
                  <m:t>n</m:t>
                </m:r>
              </m:sub>
            </m:sSub>
            <m:sSub>
              <m:sSubPr>
                <m:ctrlPr>
                  <w:rPr>
                    <w:rFonts w:ascii="Cambria Math" w:hAnsi="Cambria Math"/>
                    <w:i/>
                  </w:rPr>
                </m:ctrlPr>
              </m:sSubPr>
              <m:e>
                <m:r>
                  <w:rPr>
                    <w:rFonts w:ascii="Cambria Math" w:hAnsi="Cambria Math"/>
                  </w:rPr>
                  <m:t>k</m:t>
                </m:r>
              </m:e>
              <m:sub>
                <m:r>
                  <w:rPr>
                    <w:rFonts w:ascii="Cambria Math" w:hAnsi="Cambria Math"/>
                  </w:rPr>
                  <m:t>+</m:t>
                </m:r>
              </m:sub>
            </m:sSub>
            <m:r>
              <w:rPr>
                <w:rFonts w:ascii="Cambria Math" w:hAnsi="Cambria Math"/>
              </w:rPr>
              <m:t xml:space="preserve">) </m:t>
            </m:r>
            <m:sSubSup>
              <m:sSubSupPr>
                <m:ctrlPr>
                  <w:rPr>
                    <w:rFonts w:ascii="Cambria Math" w:hAnsi="Cambria Math"/>
                    <w:i/>
                  </w:rPr>
                </m:ctrlPr>
              </m:sSubSupPr>
              <m:e>
                <m:d>
                  <m:dPr>
                    <m:begChr m:val="["/>
                    <m:endChr m:val="]"/>
                    <m:ctrlPr>
                      <w:rPr>
                        <w:rFonts w:ascii="Cambria Math" w:hAnsi="Cambria Math"/>
                        <w:i/>
                      </w:rPr>
                    </m:ctrlPr>
                  </m:dPr>
                  <m:e>
                    <m:r>
                      <w:rPr>
                        <w:rFonts w:ascii="Cambria Math" w:hAnsi="Cambria Math"/>
                      </w:rPr>
                      <m:t>A</m:t>
                    </m:r>
                  </m:e>
                </m:d>
              </m:e>
              <m:sub>
                <m:r>
                  <w:rPr>
                    <w:rFonts w:ascii="Cambria Math" w:hAnsi="Cambria Math"/>
                  </w:rPr>
                  <m:t>0</m:t>
                </m:r>
              </m:sub>
              <m:sup>
                <m:sSub>
                  <m:sSubPr>
                    <m:ctrlPr>
                      <w:rPr>
                        <w:rFonts w:ascii="Cambria Math" w:hAnsi="Cambria Math"/>
                        <w:i/>
                      </w:rPr>
                    </m:ctrlPr>
                  </m:sSubPr>
                  <m:e>
                    <m:r>
                      <w:rPr>
                        <w:rFonts w:ascii="Cambria Math" w:hAnsi="Cambria Math"/>
                      </w:rPr>
                      <m:t>n</m:t>
                    </m:r>
                  </m:e>
                  <m:sub>
                    <m:r>
                      <w:rPr>
                        <w:rFonts w:ascii="Cambria Math" w:hAnsi="Cambria Math"/>
                      </w:rPr>
                      <m:t>c</m:t>
                    </m:r>
                  </m:sub>
                </m:sSub>
              </m:sup>
            </m:sSubSup>
          </m:e>
        </m:rad>
      </m:oMath>
      <w:r w:rsidR="00CF5ECA">
        <w:t xml:space="preserve"> with </w:t>
      </w:r>
      <w:r w:rsidR="00CF5ECA" w:rsidRPr="03066021">
        <w:rPr>
          <w:i/>
          <w:iCs/>
        </w:rPr>
        <w:t>k</w:t>
      </w:r>
      <w:r w:rsidR="00CF5ECA" w:rsidRPr="00BA559B">
        <w:rPr>
          <w:vertAlign w:val="subscript"/>
        </w:rPr>
        <w:t>n</w:t>
      </w:r>
      <w:r w:rsidR="00CF5ECA">
        <w:t xml:space="preserve"> the nucleation rate constant</w:t>
      </w:r>
      <w:r w:rsidR="00DD350A">
        <w:t xml:space="preserve">, </w:t>
      </w:r>
      <w:r w:rsidR="00DD350A" w:rsidRPr="03066021">
        <w:rPr>
          <w:i/>
          <w:iCs/>
        </w:rPr>
        <w:t>k</w:t>
      </w:r>
      <w:r w:rsidR="00DD350A" w:rsidRPr="00BA559B">
        <w:rPr>
          <w:vertAlign w:val="subscript"/>
        </w:rPr>
        <w:t>+</w:t>
      </w:r>
      <w:r w:rsidR="00DD350A">
        <w:t xml:space="preserve"> the elongation rate constant, and </w:t>
      </w:r>
      <w:r w:rsidR="00DD350A" w:rsidRPr="03066021">
        <w:rPr>
          <w:i/>
          <w:iCs/>
        </w:rPr>
        <w:t>n</w:t>
      </w:r>
      <w:r w:rsidR="00DD350A" w:rsidRPr="00BA559B">
        <w:rPr>
          <w:vertAlign w:val="subscript"/>
        </w:rPr>
        <w:t>c</w:t>
      </w:r>
      <w:r w:rsidR="00DD350A">
        <w:t xml:space="preserve"> the critical nucleus size.</w:t>
      </w:r>
      <w:r w:rsidR="000419BC" w:rsidRPr="000419BC">
        <w:t xml:space="preserve"> </w:t>
      </w:r>
      <w:r w:rsidR="000419BC">
        <w:t xml:space="preserve">The dashed lines in </w:t>
      </w:r>
      <w:r w:rsidR="00EE6863">
        <w:t>Figures</w:t>
      </w:r>
      <w:r w:rsidR="000419BC">
        <w:t xml:space="preserve"> 4c and 4d are the best fits </w:t>
      </w:r>
      <w:r w:rsidR="00436CE2">
        <w:t>using</w:t>
      </w:r>
      <w:r w:rsidR="000419BC">
        <w:t xml:space="preserve"> </w:t>
      </w:r>
      <w:r w:rsidR="00F5160F">
        <w:t>Eqs. 8 and 9 from the</w:t>
      </w:r>
      <w:r w:rsidR="000419BC">
        <w:t xml:space="preserve"> N–E </w:t>
      </w:r>
      <w:r w:rsidR="00F5160F">
        <w:t>model</w:t>
      </w:r>
      <w:r w:rsidR="000419BC">
        <w:t>.</w:t>
      </w:r>
      <w:r w:rsidR="00F5160F">
        <w:t xml:space="preserve"> The best fit </w:t>
      </w:r>
      <w:r w:rsidR="008E06AC">
        <w:t>values are (</w:t>
      </w:r>
      <w:r w:rsidR="008E06AC" w:rsidRPr="03066021">
        <w:rPr>
          <w:i/>
          <w:iCs/>
        </w:rPr>
        <w:t>k</w:t>
      </w:r>
      <w:r w:rsidR="008E06AC" w:rsidRPr="006F69B8">
        <w:rPr>
          <w:vertAlign w:val="subscript"/>
        </w:rPr>
        <w:t>n</w:t>
      </w:r>
      <w:r w:rsidR="008E06AC">
        <w:t xml:space="preserve"> </w:t>
      </w:r>
      <w:r w:rsidR="008E06AC" w:rsidRPr="03066021">
        <w:rPr>
          <w:i/>
          <w:iCs/>
        </w:rPr>
        <w:t>k</w:t>
      </w:r>
      <w:r w:rsidR="008E06AC" w:rsidRPr="006F69B8">
        <w:rPr>
          <w:vertAlign w:val="subscript"/>
        </w:rPr>
        <w:t>+</w:t>
      </w:r>
      <w:r w:rsidR="00CA76D7">
        <w:t>)</w:t>
      </w:r>
      <w:r w:rsidR="008E06AC">
        <w:t xml:space="preserve"> </w:t>
      </w:r>
      <w:r w:rsidR="008E06AC" w:rsidRPr="001255C0">
        <w:t>=</w:t>
      </w:r>
      <w:r w:rsidR="00CA76D7" w:rsidRPr="001255C0">
        <w:t xml:space="preserve"> </w:t>
      </w:r>
      <w:r w:rsidR="00020AE4" w:rsidRPr="00E4350F">
        <w:t>1</w:t>
      </w:r>
      <w:r w:rsidR="00555EB9" w:rsidRPr="00E4350F">
        <w:t>.</w:t>
      </w:r>
      <w:r w:rsidR="00032F77">
        <w:t>6</w:t>
      </w:r>
      <w:r w:rsidR="009D52D2">
        <w:t xml:space="preserve"> </w:t>
      </w:r>
      <w:r w:rsidR="00020AE4" w:rsidRPr="00E4350F">
        <w:rPr>
          <w:rFonts w:cs="Times"/>
        </w:rPr>
        <w:t>×</w:t>
      </w:r>
      <w:r w:rsidR="009D52D2">
        <w:rPr>
          <w:rFonts w:cs="Times"/>
        </w:rPr>
        <w:t xml:space="preserve"> </w:t>
      </w:r>
      <w:r w:rsidR="00020AE4" w:rsidRPr="00E4350F">
        <w:t>10</w:t>
      </w:r>
      <w:r w:rsidR="005929DE">
        <w:rPr>
          <w:vertAlign w:val="superscript"/>
        </w:rPr>
        <w:t>5</w:t>
      </w:r>
      <w:r w:rsidR="00555EB9" w:rsidRPr="00E4350F">
        <w:t xml:space="preserve"> L</w:t>
      </w:r>
      <w:r w:rsidR="00555EB9" w:rsidRPr="00E4350F">
        <w:rPr>
          <w:vertAlign w:val="superscript"/>
        </w:rPr>
        <w:t xml:space="preserve"> </w:t>
      </w:r>
      <w:r w:rsidR="00200AEE" w:rsidRPr="00E4350F">
        <w:t>mol</w:t>
      </w:r>
      <w:r w:rsidR="00200AEE" w:rsidRPr="00E4350F">
        <w:rPr>
          <w:vertAlign w:val="superscript"/>
        </w:rPr>
        <w:t>-</w:t>
      </w:r>
      <w:r w:rsidR="00555EB9" w:rsidRPr="00E4350F">
        <w:rPr>
          <w:vertAlign w:val="superscript"/>
        </w:rPr>
        <w:t xml:space="preserve">1 </w:t>
      </w:r>
      <w:r w:rsidR="005929DE">
        <w:t>h</w:t>
      </w:r>
      <w:r w:rsidR="00200AEE" w:rsidRPr="00E4350F">
        <w:rPr>
          <w:vertAlign w:val="superscript"/>
        </w:rPr>
        <w:t>-2</w:t>
      </w:r>
      <w:r w:rsidR="00BF6B9F" w:rsidRPr="001255C0">
        <w:t xml:space="preserve"> and </w:t>
      </w:r>
      <w:r w:rsidR="00BF6B9F" w:rsidRPr="03066021">
        <w:rPr>
          <w:i/>
          <w:iCs/>
        </w:rPr>
        <w:t>n</w:t>
      </w:r>
      <w:r w:rsidR="00BF6B9F" w:rsidRPr="00E4350F">
        <w:rPr>
          <w:vertAlign w:val="subscript"/>
        </w:rPr>
        <w:t>c</w:t>
      </w:r>
      <w:r w:rsidR="00BF6B9F" w:rsidRPr="00E4350F">
        <w:t xml:space="preserve"> = 1</w:t>
      </w:r>
      <w:r w:rsidR="00F76C2F">
        <w:t>, where</w:t>
      </w:r>
      <w:r w:rsidR="00A36E3C">
        <w:t xml:space="preserve"> </w:t>
      </w:r>
      <w:r w:rsidR="007C73C0">
        <w:t xml:space="preserve">the </w:t>
      </w:r>
      <w:r w:rsidR="00891E84">
        <w:t xml:space="preserve">integer value of </w:t>
      </w:r>
      <w:r w:rsidR="00891E84" w:rsidRPr="03066021">
        <w:rPr>
          <w:i/>
          <w:iCs/>
        </w:rPr>
        <w:t>n</w:t>
      </w:r>
      <w:r w:rsidR="00891E84" w:rsidRPr="00C75EEB">
        <w:rPr>
          <w:vertAlign w:val="subscript"/>
        </w:rPr>
        <w:t>c</w:t>
      </w:r>
      <w:r w:rsidR="00891E84">
        <w:t xml:space="preserve"> </w:t>
      </w:r>
      <w:r w:rsidR="00B26EAC">
        <w:t xml:space="preserve">is determined by evaluating </w:t>
      </w:r>
      <w:r w:rsidR="005929DE">
        <w:t xml:space="preserve">the fitting results of </w:t>
      </w:r>
      <w:r w:rsidR="00F76C2F">
        <w:t>(</w:t>
      </w:r>
      <w:r w:rsidR="00F76C2F" w:rsidRPr="03066021">
        <w:rPr>
          <w:i/>
          <w:iCs/>
        </w:rPr>
        <w:t>k</w:t>
      </w:r>
      <w:r w:rsidR="00F76C2F" w:rsidRPr="006F69B8">
        <w:rPr>
          <w:vertAlign w:val="subscript"/>
        </w:rPr>
        <w:t>n</w:t>
      </w:r>
      <w:r w:rsidR="00F76C2F">
        <w:t xml:space="preserve"> </w:t>
      </w:r>
      <w:r w:rsidR="00F76C2F" w:rsidRPr="03066021">
        <w:rPr>
          <w:i/>
          <w:iCs/>
        </w:rPr>
        <w:t>k</w:t>
      </w:r>
      <w:r w:rsidR="00F76C2F" w:rsidRPr="006F69B8">
        <w:rPr>
          <w:vertAlign w:val="subscript"/>
        </w:rPr>
        <w:t>+</w:t>
      </w:r>
      <w:r w:rsidR="00F76C2F">
        <w:t xml:space="preserve">) </w:t>
      </w:r>
      <w:r w:rsidR="00E45147">
        <w:t xml:space="preserve">with </w:t>
      </w:r>
      <w:r w:rsidR="00B26EAC">
        <w:t>each</w:t>
      </w:r>
      <w:r w:rsidR="00D93AC8">
        <w:t xml:space="preserve"> </w:t>
      </w:r>
      <w:r w:rsidR="00E45147">
        <w:t xml:space="preserve">integer value </w:t>
      </w:r>
      <w:r w:rsidR="00367887">
        <w:t>for</w:t>
      </w:r>
      <w:r w:rsidR="00E45147">
        <w:t xml:space="preserve"> </w:t>
      </w:r>
      <w:r w:rsidR="00E45147" w:rsidRPr="03066021">
        <w:rPr>
          <w:i/>
          <w:iCs/>
        </w:rPr>
        <w:t>n</w:t>
      </w:r>
      <w:r w:rsidR="00E45147" w:rsidRPr="00C75EEB">
        <w:rPr>
          <w:vertAlign w:val="subscript"/>
        </w:rPr>
        <w:t>c</w:t>
      </w:r>
      <w:r w:rsidR="00E45147">
        <w:t>.</w:t>
      </w:r>
    </w:p>
    <w:p w14:paraId="7913F73B" w14:textId="46CE74FA" w:rsidR="002E574F" w:rsidRDefault="009261DB" w:rsidP="0015785C">
      <w:pPr>
        <w:spacing w:after="0" w:line="480" w:lineRule="auto"/>
        <w:ind w:firstLine="202"/>
      </w:pPr>
      <w:r>
        <w:t>From</w:t>
      </w:r>
      <w:r w:rsidR="004759C8">
        <w:t xml:space="preserve"> o</w:t>
      </w:r>
      <w:r w:rsidR="006343BA" w:rsidRPr="007731D8">
        <w:t xml:space="preserve">nly the results of two concentrations, it is difficult to know which kinetic model explains insulin fibrillation better or whether a more extended form of a kinetic model is required. However, this </w:t>
      </w:r>
      <w:r w:rsidR="006343BA" w:rsidRPr="007731D8">
        <w:rPr>
          <w:i/>
          <w:iCs/>
        </w:rPr>
        <w:t>in-situ</w:t>
      </w:r>
      <w:r w:rsidR="006343BA" w:rsidRPr="007731D8">
        <w:t xml:space="preserve"> kinetic analysis based on two time-resolved spectral components </w:t>
      </w:r>
      <w:r w:rsidR="006343BA">
        <w:t xml:space="preserve">provides </w:t>
      </w:r>
      <w:r w:rsidR="006343BA" w:rsidRPr="007731D8">
        <w:t>extensive information on the reaction kinetics and the molecular conformations during the reaction.</w:t>
      </w:r>
    </w:p>
    <w:p w14:paraId="4699DDF8" w14:textId="37DB375B" w:rsidR="000D055C" w:rsidRDefault="000D055C" w:rsidP="009F3499">
      <w:pPr>
        <w:spacing w:after="160" w:line="480" w:lineRule="auto"/>
        <w:rPr>
          <w:b/>
        </w:rPr>
      </w:pPr>
    </w:p>
    <w:p w14:paraId="2536504A" w14:textId="6ABB5682" w:rsidR="00C8046C" w:rsidRDefault="00C8046C" w:rsidP="00BA559B">
      <w:pPr>
        <w:pStyle w:val="TAMainText"/>
        <w:ind w:firstLine="0"/>
        <w:rPr>
          <w:b/>
          <w:bCs/>
        </w:rPr>
      </w:pPr>
      <w:r>
        <w:rPr>
          <w:b/>
          <w:bCs/>
        </w:rPr>
        <w:t>DISCUSSION</w:t>
      </w:r>
    </w:p>
    <w:p w14:paraId="1E7C5DE4" w14:textId="777DCF52" w:rsidR="00D9627F" w:rsidRPr="00695DA8" w:rsidRDefault="00D9627F" w:rsidP="00D9627F">
      <w:pPr>
        <w:pStyle w:val="TAMainText"/>
        <w:rPr>
          <w:b/>
          <w:bCs/>
        </w:rPr>
      </w:pPr>
      <w:r w:rsidRPr="00695DA8">
        <w:rPr>
          <w:b/>
          <w:bCs/>
        </w:rPr>
        <w:t>Signal-to-</w:t>
      </w:r>
      <w:r w:rsidR="006F7EBC">
        <w:rPr>
          <w:b/>
          <w:bCs/>
        </w:rPr>
        <w:t>n</w:t>
      </w:r>
      <w:r w:rsidRPr="00695DA8">
        <w:rPr>
          <w:b/>
          <w:bCs/>
        </w:rPr>
        <w:t xml:space="preserve">oise </w:t>
      </w:r>
      <w:r w:rsidR="006F7EBC">
        <w:rPr>
          <w:b/>
          <w:bCs/>
        </w:rPr>
        <w:t>r</w:t>
      </w:r>
      <w:r w:rsidRPr="00695DA8">
        <w:rPr>
          <w:b/>
          <w:bCs/>
        </w:rPr>
        <w:t xml:space="preserve">atio </w:t>
      </w:r>
      <w:r w:rsidR="006F7EBC">
        <w:rPr>
          <w:b/>
          <w:bCs/>
        </w:rPr>
        <w:t>a</w:t>
      </w:r>
      <w:r>
        <w:rPr>
          <w:b/>
          <w:bCs/>
        </w:rPr>
        <w:t>nalys</w:t>
      </w:r>
      <w:r w:rsidR="007D222E">
        <w:rPr>
          <w:b/>
          <w:bCs/>
        </w:rPr>
        <w:t>e</w:t>
      </w:r>
      <w:r>
        <w:rPr>
          <w:b/>
          <w:bCs/>
        </w:rPr>
        <w:t xml:space="preserve">s </w:t>
      </w:r>
      <w:r w:rsidR="0092563A">
        <w:rPr>
          <w:b/>
          <w:bCs/>
        </w:rPr>
        <w:t xml:space="preserve">of </w:t>
      </w:r>
      <w:r w:rsidR="007D222E">
        <w:rPr>
          <w:b/>
          <w:bCs/>
        </w:rPr>
        <w:t>the non-SAC and the SAC</w:t>
      </w:r>
      <w:r w:rsidR="007D222E" w:rsidDel="0092563A">
        <w:rPr>
          <w:b/>
          <w:bCs/>
        </w:rPr>
        <w:t xml:space="preserve"> </w:t>
      </w:r>
      <w:r w:rsidR="007D222E">
        <w:rPr>
          <w:b/>
          <w:bCs/>
        </w:rPr>
        <w:t>approaches</w:t>
      </w:r>
    </w:p>
    <w:p w14:paraId="247895B6" w14:textId="6C17781A" w:rsidR="007D4F62" w:rsidRPr="00203168" w:rsidRDefault="0058089C" w:rsidP="00D9627F">
      <w:pPr>
        <w:pStyle w:val="TAMainText"/>
      </w:pPr>
      <w:r>
        <w:t xml:space="preserve">Here, we discuss why the equalized transmission spectrum </w:t>
      </w:r>
      <w:r w:rsidR="005034A2">
        <w:t>from</w:t>
      </w:r>
      <w:r w:rsidR="005E41D7">
        <w:t xml:space="preserve"> the </w:t>
      </w:r>
      <w:r w:rsidR="0070612D">
        <w:t>SAC</w:t>
      </w:r>
      <w:r w:rsidR="005E41D7">
        <w:t xml:space="preserve"> approach </w:t>
      </w:r>
      <w:r>
        <w:t>can enhance the SNR</w:t>
      </w:r>
      <w:r w:rsidR="00843F7D">
        <w:t xml:space="preserve"> of the </w:t>
      </w:r>
      <w:r w:rsidR="005034A2">
        <w:t xml:space="preserve">resulting </w:t>
      </w:r>
      <w:r w:rsidR="00843F7D">
        <w:t>absorption spectrum</w:t>
      </w:r>
      <w:r>
        <w:t xml:space="preserve"> </w:t>
      </w:r>
      <w:r w:rsidR="005E41D7">
        <w:t>compared to the results from the conventional non-</w:t>
      </w:r>
      <w:r w:rsidR="0070612D">
        <w:t>SAC</w:t>
      </w:r>
      <w:r w:rsidR="005E41D7">
        <w:t xml:space="preserve"> approach</w:t>
      </w:r>
      <w:r w:rsidR="0043513C">
        <w:t>.</w:t>
      </w:r>
      <w:r w:rsidR="00D9627F">
        <w:t xml:space="preserve"> </w:t>
      </w:r>
      <w:r w:rsidR="00CD44F8">
        <w:t xml:space="preserve">For </w:t>
      </w:r>
      <w:r w:rsidR="001C11D6">
        <w:t>quantitative discussion</w:t>
      </w:r>
      <w:r w:rsidR="00D91AA3">
        <w:t xml:space="preserve">, we </w:t>
      </w:r>
      <w:r w:rsidR="0025742D">
        <w:t>c</w:t>
      </w:r>
      <w:r w:rsidR="00B628A1">
        <w:t>onsider</w:t>
      </w:r>
      <w:r w:rsidR="00A56F8C">
        <w:t xml:space="preserve"> </w:t>
      </w:r>
      <w:r w:rsidR="00F639C1">
        <w:t xml:space="preserve">the </w:t>
      </w:r>
      <w:r w:rsidR="00D91AA3">
        <w:t xml:space="preserve">transmission spectra of a protein solution </w:t>
      </w:r>
      <w:r w:rsidR="00AA6F75">
        <w:t xml:space="preserve">with </w:t>
      </w:r>
      <w:r w:rsidR="00F639C1">
        <w:t>variable</w:t>
      </w:r>
      <w:r w:rsidR="007A0608">
        <w:t xml:space="preserve"> path lengths</w:t>
      </w:r>
      <w:r w:rsidR="00AA6F75">
        <w:t xml:space="preserve">, which allows us to find </w:t>
      </w:r>
      <w:r w:rsidR="00F639C1">
        <w:t xml:space="preserve">not only </w:t>
      </w:r>
      <w:r w:rsidR="00AA6F75">
        <w:t xml:space="preserve">the optimum </w:t>
      </w:r>
      <w:r w:rsidR="00AB27EB">
        <w:t xml:space="preserve">path length but also </w:t>
      </w:r>
      <w:r w:rsidR="00ED46C0">
        <w:t xml:space="preserve">the </w:t>
      </w:r>
      <w:r w:rsidR="00AB27EB">
        <w:t xml:space="preserve">SNR for </w:t>
      </w:r>
      <w:r w:rsidR="00ED46C0">
        <w:t xml:space="preserve">variable transmission intensity. </w:t>
      </w:r>
      <w:r w:rsidR="00A675A4">
        <w:t>For a spectroscopic measurement,</w:t>
      </w:r>
      <w:r w:rsidR="00AC5CF9">
        <w:t xml:space="preserve"> the following three noise</w:t>
      </w:r>
      <w:r w:rsidR="00187100">
        <w:t xml:space="preserve"> sources are </w:t>
      </w:r>
      <w:r w:rsidR="0021544E">
        <w:t xml:space="preserve">typically </w:t>
      </w:r>
      <w:r w:rsidR="00187100">
        <w:t>discussed</w:t>
      </w:r>
      <w:r w:rsidR="00987FFA">
        <w:t xml:space="preserve"> </w:t>
      </w:r>
      <w:r w:rsidR="0021544E">
        <w:t>in terms of</w:t>
      </w:r>
      <w:r w:rsidR="00987FFA">
        <w:t xml:space="preserve"> the scaling with </w:t>
      </w:r>
      <w:r w:rsidR="00D01A73">
        <w:t xml:space="preserve">transmitted light </w:t>
      </w:r>
      <w:r w:rsidR="00987FFA">
        <w:t>intensity</w:t>
      </w:r>
      <w:r w:rsidR="00BC3016">
        <w:t xml:space="preserve">, </w:t>
      </w:r>
      <w:r w:rsidR="00BC3016" w:rsidRPr="006B759D">
        <w:rPr>
          <w:i/>
          <w:iCs/>
        </w:rPr>
        <w:t>I</w:t>
      </w:r>
      <w:r w:rsidR="00203168">
        <w:t>.</w:t>
      </w:r>
      <w:r w:rsidR="001771F6" w:rsidRPr="00203168">
        <w:fldChar w:fldCharType="begin" w:fldLock="1"/>
      </w:r>
      <w:r w:rsidR="000C4007">
        <w:instrText>ADDIN CSL_CITATION {"citationItems":[{"id":"ITEM-1","itemData":{"DOI":"10.1364/oe.18.007929","ISSN":"1094-4087","abstract":"Coherent dual comb spectroscopy can provide high-resolution, high-accuracy measurements of a sample response in both magnitude and phase. We discuss the achievable signal-to-noise ratio (SNR) due to both additive white noise and multiplicative noise, and the corresponding sensitivity limit for trace gas detection. We show that sequential acquisition of the overall spectrum through a tunable filter, or parallel acquisition of the overall spectrum through a detector array, can significantly improve the SNR under some circumstances. We identify a useful figure of merit as the quality factor, equal to the product of the SNR, normalized by the square root of the acquisition time, and the number of resolved frequency elements. For a single detector and fiber-laser based system, this quality factor is 106 - 107 Hz1/2.","author":[{"dropping-particle":"","family":"Newbury","given":"Nathan R.","non-dropping-particle":"","parse-names":false,"suffix":""},{"dropping-particle":"","family":"Coddington","given":"Ian","non-dropping-particle":"","parse-names":false,"suffix":""},{"dropping-particle":"","family":"Swann","given":"William","non-dropping-particle":"","parse-names":false,"suffix":""}],"container-title":"Optics Express","id":"ITEM-1","issue":"8","issued":{"date-parts":[["2010"]]},"page":"7929-7945","title":"Sensitivity of coherent dual-comb spectroscopy","type":"article-journal","volume":"18"},"uris":["http://www.mendeley.com/documents/?uuid=61566959-0f8d-4f65-9e35-3e526c583f3c"]},{"id":"ITEM-2","itemData":{"DOI":"10.1021/acs.analchem.9b05744","ISSN":"15206882","abstract":"The strong absorption of liquid water in the infrared (IR) molecular fingerprint region constitutes a challenge for applications of vibrational spectroscopy in chemistry, biology, and medicine. While high-power IR laser sources enable the penetration of ever thicker aqueous samples, thereby mitigating the detrimental effects of strong attenuation on detection sensitivity, a basic advantage of heterodyne-measurement-based methods has-to the best of our knowledge-not been harnessed in broadband IR measurements to date. Here, employing field-resolved spectroscopy (FRS), we demonstrate in theory and experiment fundamental advantages of techniques whose signal-To-noise ratio (SNR) scales linearly with the electric field over those whose SNR scales linearly with radiation intensity, including conventional Fourier-Transform infrared (FTIR) and direct absorption spectroscopy. Field-scaling brings about two major improvements. First, it squares the measurement dynamic range. Second, we show that the optimum interaction length with samples for SNR-maximized measurements is twice the value usually considered to be optimum for FTIR devices. In order to take full advantage of these properties, the measurement must not be significantly affected by technical noise, such as intensity fluctuations, which are common for high-power sources. Recently, it has been shown that subcycle, nonlinear gating of the molecular fingerprint signal renders FRS robust against intensity noise. Here, we quantitatively demonstrate this advantage of FRS for thick aqueous samples. We report sub-μg/mL detection sensitivities for transmission path lengths up to 80 μm and a limit of detection in the lower μg/mL range for transmission paths as long as 200 μm.","author":[{"dropping-particle":"","family":"Huber","given":"Marinus","non-dropping-particle":"","parse-names":false,"suffix":""},{"dropping-particle":"","family":"Trubetskov","given":"Michael","non-dropping-particle":"","parse-names":false,"suffix":""},{"dropping-particle":"","family":"Hussain","given":"Syed A.","non-dropping-particle":"","parse-names":false,"suffix":""},{"dropping-particle":"","family":"Schweinberger","given":"Wolfgang","non-dropping-particle":"","parse-names":false,"suffix":""},{"dropping-particle":"","family":"Hofer","given":"Christina","non-dropping-particle":"","parse-names":false,"suffix":""},{"dropping-particle":"","family":"Pupeza","given":"Ioachim","non-dropping-particle":"","parse-names":false,"suffix":""}],"container-title":"Analytical Chemistry","id":"ITEM-2","issue":"11","issued":{"date-parts":[["2020"]]},"page":"7508-7514","title":"Optimum Sample Thickness for Trace Analyte Detection with Field-Resolved Infrared Spectroscopy","type":"article-journal","volume":"92"},"uris":["http://www.mendeley.com/documents/?uuid=20150c46-155a-4fd6-8980-02586cc0e93e"]}],"mendeley":{"formattedCitation":"&lt;sup&gt;30,31&lt;/sup&gt;","plainTextFormattedCitation":"30,31","previouslyFormattedCitation":"&lt;sup&gt;29,30&lt;/sup&gt;"},"properties":{"noteIndex":0},"schema":"https://github.com/citation-style-language/schema/raw/master/csl-citation.json"}</w:instrText>
      </w:r>
      <w:r w:rsidR="001771F6" w:rsidRPr="00203168">
        <w:fldChar w:fldCharType="separate"/>
      </w:r>
      <w:r w:rsidR="000C4007" w:rsidRPr="000C4007">
        <w:rPr>
          <w:noProof/>
          <w:vertAlign w:val="superscript"/>
        </w:rPr>
        <w:t>30,31</w:t>
      </w:r>
      <w:r w:rsidR="001771F6" w:rsidRPr="00203168">
        <w:fldChar w:fldCharType="end"/>
      </w:r>
    </w:p>
    <w:p w14:paraId="750C0748" w14:textId="4B55D150" w:rsidR="000F7035" w:rsidRDefault="007D4F62" w:rsidP="00D9627F">
      <w:pPr>
        <w:pStyle w:val="TAMainText"/>
      </w:pPr>
      <w:r>
        <w:tab/>
      </w:r>
      <w:r w:rsidR="008A2269">
        <w:t>L</w:t>
      </w:r>
      <w:r w:rsidR="009B134E">
        <w:t>aser noise (</w:t>
      </w:r>
      <w:r>
        <w:t>LN):</w:t>
      </w:r>
      <w:r w:rsidR="008F5191">
        <w:tab/>
      </w:r>
      <w:r w:rsidR="008F5191">
        <w:tab/>
      </w:r>
      <m:oMath>
        <m:sSub>
          <m:sSubPr>
            <m:ctrlPr>
              <w:rPr>
                <w:rFonts w:ascii="Cambria Math" w:hAnsi="Cambria Math"/>
                <w:i/>
              </w:rPr>
            </m:ctrlPr>
          </m:sSubPr>
          <m:e>
            <m:r>
              <w:rPr>
                <w:rFonts w:ascii="Cambria Math" w:hAnsi="Cambria Math"/>
              </w:rPr>
              <m:t>δ</m:t>
            </m:r>
          </m:e>
          <m:sub>
            <m:r>
              <m:rPr>
                <m:sty m:val="p"/>
              </m:rPr>
              <w:rPr>
                <w:rFonts w:ascii="Cambria Math" w:hAnsi="Cambria Math"/>
              </w:rPr>
              <m:t>LN</m:t>
            </m:r>
          </m:sub>
        </m:sSub>
        <m:r>
          <w:rPr>
            <w:rFonts w:ascii="Cambria Math" w:hAnsi="Cambria Math"/>
          </w:rPr>
          <m:t>=α×I</m:t>
        </m:r>
      </m:oMath>
      <w:r w:rsidR="00AB23AE">
        <w:tab/>
      </w:r>
      <w:r w:rsidR="00AB23AE">
        <w:tab/>
      </w:r>
      <w:r w:rsidR="00AB23AE">
        <w:tab/>
      </w:r>
      <w:r w:rsidR="00AB23AE">
        <w:tab/>
      </w:r>
      <w:r w:rsidR="00AB23AE">
        <w:tab/>
      </w:r>
      <w:r w:rsidR="00AB23AE">
        <w:tab/>
        <w:t>(</w:t>
      </w:r>
      <w:r w:rsidR="001C3EEF">
        <w:t>9</w:t>
      </w:r>
      <w:r w:rsidR="00AB23AE">
        <w:t>)</w:t>
      </w:r>
    </w:p>
    <w:p w14:paraId="2840D570" w14:textId="364BC759" w:rsidR="00750488" w:rsidRDefault="000F7035" w:rsidP="00D9627F">
      <w:pPr>
        <w:pStyle w:val="TAMainText"/>
      </w:pPr>
      <w:r>
        <w:tab/>
        <w:t xml:space="preserve">Shot noise (SN): </w:t>
      </w:r>
      <w:r w:rsidR="003C677C">
        <w:t xml:space="preserve"> </w:t>
      </w:r>
      <w:r w:rsidR="008F5191">
        <w:tab/>
      </w:r>
      <w:r w:rsidR="008F5191">
        <w:tab/>
      </w:r>
      <m:oMath>
        <m:sSub>
          <m:sSubPr>
            <m:ctrlPr>
              <w:rPr>
                <w:rFonts w:ascii="Cambria Math" w:hAnsi="Cambria Math"/>
                <w:i/>
              </w:rPr>
            </m:ctrlPr>
          </m:sSubPr>
          <m:e>
            <m:r>
              <w:rPr>
                <w:rFonts w:ascii="Cambria Math" w:hAnsi="Cambria Math"/>
              </w:rPr>
              <m:t>δ</m:t>
            </m:r>
          </m:e>
          <m:sub>
            <m:r>
              <m:rPr>
                <m:sty m:val="p"/>
              </m:rPr>
              <w:rPr>
                <w:rFonts w:ascii="Cambria Math" w:hAnsi="Cambria Math"/>
              </w:rPr>
              <m:t>SN</m:t>
            </m:r>
          </m:sub>
        </m:sSub>
        <m:r>
          <w:rPr>
            <w:rFonts w:ascii="Cambria Math" w:hAnsi="Cambria Math"/>
          </w:rPr>
          <m:t>=β×</m:t>
        </m:r>
        <m:rad>
          <m:radPr>
            <m:degHide m:val="1"/>
            <m:ctrlPr>
              <w:rPr>
                <w:rFonts w:ascii="Cambria Math" w:hAnsi="Cambria Math"/>
                <w:i/>
              </w:rPr>
            </m:ctrlPr>
          </m:radPr>
          <m:deg/>
          <m:e>
            <m:r>
              <w:rPr>
                <w:rFonts w:ascii="Cambria Math" w:hAnsi="Cambria Math"/>
              </w:rPr>
              <m:t>I</m:t>
            </m:r>
          </m:e>
        </m:rad>
      </m:oMath>
      <w:r w:rsidR="00AB23AE">
        <w:tab/>
      </w:r>
      <w:r w:rsidR="00AB23AE">
        <w:tab/>
      </w:r>
      <w:r w:rsidR="00AB23AE">
        <w:tab/>
      </w:r>
      <w:r w:rsidR="00AB23AE">
        <w:tab/>
      </w:r>
      <w:r w:rsidR="00AB23AE">
        <w:tab/>
      </w:r>
      <w:r w:rsidR="00AB23AE">
        <w:tab/>
        <w:t>(1</w:t>
      </w:r>
      <w:r w:rsidR="001C3EEF">
        <w:t>0</w:t>
      </w:r>
      <w:r w:rsidR="00AB23AE">
        <w:t>)</w:t>
      </w:r>
    </w:p>
    <w:p w14:paraId="354E32C3" w14:textId="142B80A5" w:rsidR="000F7035" w:rsidRDefault="000F7035" w:rsidP="00D9627F">
      <w:pPr>
        <w:pStyle w:val="TAMainText"/>
      </w:pPr>
      <w:r>
        <w:tab/>
        <w:t>Detector noise (</w:t>
      </w:r>
      <w:r w:rsidR="005B75B9">
        <w:t>DN):</w:t>
      </w:r>
      <w:r w:rsidR="008F5191">
        <w:tab/>
      </w:r>
      <w:r w:rsidR="005B75B9">
        <w:t xml:space="preserve"> </w:t>
      </w:r>
      <w:r w:rsidR="008F5191">
        <w:tab/>
      </w:r>
      <m:oMath>
        <m:sSub>
          <m:sSubPr>
            <m:ctrlPr>
              <w:rPr>
                <w:rFonts w:ascii="Cambria Math" w:hAnsi="Cambria Math"/>
                <w:i/>
              </w:rPr>
            </m:ctrlPr>
          </m:sSubPr>
          <m:e>
            <m:r>
              <w:rPr>
                <w:rFonts w:ascii="Cambria Math" w:hAnsi="Cambria Math"/>
              </w:rPr>
              <m:t>δ</m:t>
            </m:r>
          </m:e>
          <m:sub>
            <m:r>
              <m:rPr>
                <m:sty m:val="p"/>
              </m:rPr>
              <w:rPr>
                <w:rFonts w:ascii="Cambria Math" w:hAnsi="Cambria Math"/>
              </w:rPr>
              <m:t>DN</m:t>
            </m:r>
          </m:sub>
        </m:sSub>
        <m:r>
          <w:rPr>
            <w:rFonts w:ascii="Cambria Math" w:hAnsi="Cambria Math"/>
          </w:rPr>
          <m:t>=γ</m:t>
        </m:r>
      </m:oMath>
      <w:r w:rsidR="00AB23AE">
        <w:tab/>
      </w:r>
      <w:r w:rsidR="00AB23AE">
        <w:tab/>
      </w:r>
      <w:r w:rsidR="00AB23AE">
        <w:tab/>
      </w:r>
      <w:r w:rsidR="00AB23AE">
        <w:tab/>
      </w:r>
      <w:r w:rsidR="00AB23AE">
        <w:tab/>
      </w:r>
      <w:r w:rsidR="00AB23AE">
        <w:tab/>
        <w:t>(1</w:t>
      </w:r>
      <w:r w:rsidR="001C3EEF">
        <w:t>1</w:t>
      </w:r>
      <w:r w:rsidR="00AB23AE">
        <w:t>)</w:t>
      </w:r>
    </w:p>
    <w:p w14:paraId="78088468" w14:textId="74CBDCB8" w:rsidR="003C677C" w:rsidRDefault="00466C45" w:rsidP="00D9627F">
      <w:pPr>
        <w:pStyle w:val="TAMainText"/>
      </w:pPr>
      <w:r>
        <w:t xml:space="preserve">The error propagation function </w:t>
      </w:r>
      <w:r w:rsidR="00190963">
        <w:t xml:space="preserve">of </w:t>
      </w:r>
      <w:r w:rsidR="007C7F10">
        <w:t>transmission intensity noise</w:t>
      </w:r>
      <w:r w:rsidR="00E9716E">
        <w:t xml:space="preserve"> (</w:t>
      </w:r>
      <w:r w:rsidR="00E9716E" w:rsidRPr="006B759D">
        <w:rPr>
          <w:rFonts w:ascii="Symbol" w:hAnsi="Symbol"/>
          <w:i/>
          <w:iCs/>
        </w:rPr>
        <w:t>d</w:t>
      </w:r>
      <w:r w:rsidR="00E9716E">
        <w:t>)</w:t>
      </w:r>
      <w:r w:rsidR="007C7F10">
        <w:t xml:space="preserve"> to</w:t>
      </w:r>
      <w:r>
        <w:t xml:space="preserve"> </w:t>
      </w:r>
      <w:r w:rsidR="006507EC">
        <w:t>absorbance</w:t>
      </w:r>
      <w:r w:rsidR="00E9716E">
        <w:t xml:space="preserve"> noise</w:t>
      </w:r>
      <w:r w:rsidR="00A05165">
        <w:t xml:space="preserve"> </w:t>
      </w:r>
      <w:r w:rsidR="00E9716E">
        <w:t>(</w:t>
      </w:r>
      <w:r w:rsidR="00D53CB0" w:rsidRPr="006B759D">
        <w:rPr>
          <w:rFonts w:ascii="Symbol" w:hAnsi="Symbol"/>
          <w:i/>
          <w:iCs/>
        </w:rPr>
        <w:t>s</w:t>
      </w:r>
      <w:r w:rsidR="00D53CB0" w:rsidRPr="006B759D">
        <w:rPr>
          <w:i/>
          <w:iCs/>
          <w:vertAlign w:val="subscript"/>
        </w:rPr>
        <w:t>A</w:t>
      </w:r>
      <w:r w:rsidR="00D53CB0">
        <w:t xml:space="preserve">) </w:t>
      </w:r>
      <w:r w:rsidR="00A05165">
        <w:t>can be expressed as</w:t>
      </w:r>
    </w:p>
    <w:p w14:paraId="33FFA9E8" w14:textId="72C05983" w:rsidR="005437F3" w:rsidRDefault="00A05165" w:rsidP="00D9627F">
      <w:pPr>
        <w:pStyle w:val="TAMainText"/>
      </w:pPr>
      <w:r>
        <w:tab/>
      </w:r>
      <m:oMath>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δ</m:t>
                    </m:r>
                  </m:e>
                  <m:sub>
                    <m:r>
                      <m:rPr>
                        <m:sty m:val="p"/>
                      </m:rPr>
                      <w:rPr>
                        <w:rFonts w:ascii="Cambria Math" w:hAnsi="Cambria Math"/>
                      </w:rPr>
                      <m:t>soln</m:t>
                    </m:r>
                  </m:sub>
                </m:sSub>
                <m:r>
                  <w:rPr>
                    <w:rFonts w:ascii="Cambria Math" w:hAnsi="Cambria Math"/>
                  </w:rPr>
                  <m:t>)</m:t>
                </m:r>
              </m:e>
              <m:sup>
                <m:r>
                  <w:rPr>
                    <w:rFonts w:ascii="Cambria Math" w:hAnsi="Cambria Math"/>
                  </w:rPr>
                  <m:t>2</m:t>
                </m:r>
              </m:sup>
            </m:s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m:t>
                        </m:r>
                        <m:sSub>
                          <m:sSubPr>
                            <m:ctrlPr>
                              <w:rPr>
                                <w:rFonts w:ascii="Cambria Math" w:hAnsi="Cambria Math"/>
                                <w:i/>
                              </w:rPr>
                            </m:ctrlPr>
                          </m:sSubPr>
                          <m:e>
                            <m:r>
                              <w:rPr>
                                <w:rFonts w:ascii="Cambria Math" w:hAnsi="Cambria Math"/>
                              </w:rPr>
                              <m:t>I</m:t>
                            </m:r>
                          </m:e>
                          <m:sub>
                            <m:r>
                              <m:rPr>
                                <m:sty m:val="p"/>
                              </m:rPr>
                              <w:rPr>
                                <w:rFonts w:ascii="Cambria Math" w:hAnsi="Cambria Math"/>
                              </w:rPr>
                              <m:t>soln</m:t>
                            </m:r>
                          </m:sub>
                        </m:sSub>
                      </m:den>
                    </m:f>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δ</m:t>
                    </m:r>
                  </m:e>
                  <m:sub>
                    <m:r>
                      <m:rPr>
                        <m:sty m:val="p"/>
                      </m:rPr>
                      <w:rPr>
                        <w:rFonts w:ascii="Cambria Math" w:hAnsi="Cambria Math"/>
                      </w:rPr>
                      <m:t>solv</m:t>
                    </m:r>
                  </m:sub>
                </m:sSub>
                <m:r>
                  <w:rPr>
                    <w:rFonts w:ascii="Cambria Math" w:hAnsi="Cambria Math"/>
                  </w:rPr>
                  <m:t>)</m:t>
                </m:r>
              </m:e>
              <m:sup>
                <m:r>
                  <w:rPr>
                    <w:rFonts w:ascii="Cambria Math" w:hAnsi="Cambria Math"/>
                  </w:rPr>
                  <m:t>2</m:t>
                </m:r>
              </m:sup>
            </m:s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m:t>
                        </m:r>
                        <m:sSub>
                          <m:sSubPr>
                            <m:ctrlPr>
                              <w:rPr>
                                <w:rFonts w:ascii="Cambria Math" w:hAnsi="Cambria Math"/>
                                <w:i/>
                              </w:rPr>
                            </m:ctrlPr>
                          </m:sSubPr>
                          <m:e>
                            <m:r>
                              <w:rPr>
                                <w:rFonts w:ascii="Cambria Math" w:hAnsi="Cambria Math"/>
                              </w:rPr>
                              <m:t>I</m:t>
                            </m:r>
                          </m:e>
                          <m:sub>
                            <m:r>
                              <m:rPr>
                                <m:sty m:val="p"/>
                              </m:rPr>
                              <w:rPr>
                                <w:rFonts w:ascii="Cambria Math" w:hAnsi="Cambria Math"/>
                              </w:rPr>
                              <m:t>solv</m:t>
                            </m:r>
                          </m:sub>
                        </m:sSub>
                      </m:den>
                    </m:f>
                  </m:e>
                </m:d>
              </m:e>
              <m:sup>
                <m:r>
                  <w:rPr>
                    <w:rFonts w:ascii="Cambria Math" w:hAnsi="Cambria Math"/>
                  </w:rPr>
                  <m:t>2</m:t>
                </m:r>
              </m:sup>
            </m:sSup>
            <m:r>
              <w:rPr>
                <w:rFonts w:ascii="Cambria Math" w:hAnsi="Cambria Math"/>
              </w:rPr>
              <m:t xml:space="preserve"> </m:t>
            </m:r>
          </m:e>
        </m:ra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δ</m:t>
                            </m:r>
                          </m:e>
                          <m:sub>
                            <m:r>
                              <m:rPr>
                                <m:sty m:val="p"/>
                              </m:rPr>
                              <w:rPr>
                                <w:rFonts w:ascii="Cambria Math" w:hAnsi="Cambria Math"/>
                              </w:rPr>
                              <m:t>soln</m:t>
                            </m:r>
                          </m:sub>
                        </m:sSub>
                      </m:num>
                      <m:den>
                        <m:sSub>
                          <m:sSubPr>
                            <m:ctrlPr>
                              <w:rPr>
                                <w:rFonts w:ascii="Cambria Math" w:hAnsi="Cambria Math"/>
                                <w:i/>
                              </w:rPr>
                            </m:ctrlPr>
                          </m:sSubPr>
                          <m:e>
                            <m:r>
                              <w:rPr>
                                <w:rFonts w:ascii="Cambria Math" w:hAnsi="Cambria Math"/>
                              </w:rPr>
                              <m:t>I</m:t>
                            </m:r>
                          </m:e>
                          <m:sub>
                            <m:r>
                              <m:rPr>
                                <m:sty m:val="p"/>
                              </m:rPr>
                              <w:rPr>
                                <w:rFonts w:ascii="Cambria Math" w:hAnsi="Cambria Math"/>
                              </w:rPr>
                              <m:t>soln</m:t>
                            </m:r>
                          </m:sub>
                        </m:sSub>
                      </m:den>
                    </m:f>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δ</m:t>
                            </m:r>
                          </m:e>
                          <m:sub>
                            <m:r>
                              <m:rPr>
                                <m:sty m:val="p"/>
                              </m:rPr>
                              <w:rPr>
                                <w:rFonts w:ascii="Cambria Math" w:hAnsi="Cambria Math"/>
                              </w:rPr>
                              <m:t>solv</m:t>
                            </m:r>
                          </m:sub>
                        </m:sSub>
                      </m:num>
                      <m:den>
                        <m:sSub>
                          <m:sSubPr>
                            <m:ctrlPr>
                              <w:rPr>
                                <w:rFonts w:ascii="Cambria Math" w:hAnsi="Cambria Math"/>
                                <w:i/>
                              </w:rPr>
                            </m:ctrlPr>
                          </m:sSubPr>
                          <m:e>
                            <m:r>
                              <w:rPr>
                                <w:rFonts w:ascii="Cambria Math" w:hAnsi="Cambria Math"/>
                              </w:rPr>
                              <m:t>I</m:t>
                            </m:r>
                          </m:e>
                          <m:sub>
                            <m:r>
                              <m:rPr>
                                <m:sty m:val="p"/>
                              </m:rPr>
                              <w:rPr>
                                <w:rFonts w:ascii="Cambria Math" w:hAnsi="Cambria Math"/>
                              </w:rPr>
                              <m:t>solv</m:t>
                            </m:r>
                          </m:sub>
                        </m:sSub>
                      </m:den>
                    </m:f>
                  </m:e>
                </m:d>
              </m:e>
              <m:sup>
                <m:r>
                  <w:rPr>
                    <w:rFonts w:ascii="Cambria Math" w:hAnsi="Cambria Math"/>
                  </w:rPr>
                  <m:t>2</m:t>
                </m:r>
              </m:sup>
            </m:sSup>
            <m:r>
              <w:rPr>
                <w:rFonts w:ascii="Cambria Math" w:hAnsi="Cambria Math"/>
              </w:rPr>
              <m:t xml:space="preserve"> </m:t>
            </m:r>
          </m:e>
        </m:rad>
      </m:oMath>
      <w:r w:rsidR="007E37C8">
        <w:tab/>
      </w:r>
      <w:r w:rsidR="007E37C8">
        <w:tab/>
        <w:t>(1</w:t>
      </w:r>
      <w:r w:rsidR="001C3EEF">
        <w:t>2</w:t>
      </w:r>
      <w:r w:rsidR="007E37C8">
        <w:t>)</w:t>
      </w:r>
    </w:p>
    <w:p w14:paraId="242AC32E" w14:textId="796A7495" w:rsidR="00D9627F" w:rsidRDefault="006A58EF" w:rsidP="00357F82">
      <w:pPr>
        <w:pStyle w:val="TAMainText"/>
      </w:pPr>
      <w:r>
        <w:t xml:space="preserve">For the sake of discussion, we assume that the incident light intensity is constant at </w:t>
      </w:r>
      <w:r w:rsidRPr="00F667CE">
        <w:rPr>
          <w:i/>
          <w:iCs/>
        </w:rPr>
        <w:t>I</w:t>
      </w:r>
      <w:r w:rsidRPr="00F667CE">
        <w:rPr>
          <w:vertAlign w:val="subscript"/>
        </w:rPr>
        <w:t>0</w:t>
      </w:r>
      <w:r>
        <w:t xml:space="preserve"> over the scanning frequency range. </w:t>
      </w:r>
      <w:r w:rsidR="00F20515">
        <w:t>We calculate</w:t>
      </w:r>
      <w:r w:rsidR="00A126D2">
        <w:t xml:space="preserve"> </w:t>
      </w:r>
      <w:r w:rsidR="00A126D2" w:rsidRPr="006B759D">
        <w:rPr>
          <w:i/>
          <w:iCs/>
        </w:rPr>
        <w:t>A</w:t>
      </w:r>
      <w:r w:rsidR="00A126D2">
        <w:t xml:space="preserve"> and</w:t>
      </w:r>
      <w:r w:rsidR="00F20515">
        <w:t xml:space="preserve"> </w:t>
      </w:r>
      <m:oMath>
        <m:sSubSup>
          <m:sSubSupPr>
            <m:ctrlPr>
              <w:rPr>
                <w:rFonts w:ascii="Cambria Math" w:hAnsi="Cambria Math"/>
                <w:i/>
              </w:rPr>
            </m:ctrlPr>
          </m:sSubSupPr>
          <m:e>
            <m:r>
              <w:rPr>
                <w:rFonts w:ascii="Cambria Math" w:hAnsi="Cambria Math"/>
              </w:rPr>
              <m:t>σ</m:t>
            </m:r>
          </m:e>
          <m:sub>
            <m:r>
              <w:rPr>
                <w:rFonts w:ascii="Cambria Math" w:hAnsi="Cambria Math"/>
              </w:rPr>
              <m:t>A</m:t>
            </m:r>
          </m:sub>
          <m:sup>
            <m:r>
              <w:rPr>
                <w:rFonts w:ascii="Cambria Math" w:hAnsi="Cambria Math"/>
              </w:rPr>
              <m:t>**</m:t>
            </m:r>
          </m:sup>
        </m:sSubSup>
      </m:oMath>
      <w:r w:rsidR="00A4039A">
        <w:t xml:space="preserve"> </w:t>
      </w:r>
      <w:r w:rsidR="00AC154D">
        <w:t xml:space="preserve">(** denotes </w:t>
      </w:r>
      <w:r w:rsidR="006C717B">
        <w:t xml:space="preserve">LN, SN, or DN) </w:t>
      </w:r>
      <w:r w:rsidR="006B72D1">
        <w:t>at the amide I frequency (1656 cm</w:t>
      </w:r>
      <w:r w:rsidR="006B72D1" w:rsidRPr="0015785C">
        <w:rPr>
          <w:vertAlign w:val="superscript"/>
        </w:rPr>
        <w:t>-1</w:t>
      </w:r>
      <w:r w:rsidR="006B72D1">
        <w:t xml:space="preserve">) </w:t>
      </w:r>
      <w:r w:rsidR="009E225C">
        <w:t>as a function of path length</w:t>
      </w:r>
      <w:r w:rsidR="004B215F">
        <w:t xml:space="preserve">, as shown in </w:t>
      </w:r>
      <w:r w:rsidR="00EE6863">
        <w:t>Figures</w:t>
      </w:r>
      <w:r w:rsidR="004B215F">
        <w:t xml:space="preserve"> 5b and 5d, for</w:t>
      </w:r>
      <w:r w:rsidR="00E66A4B">
        <w:t xml:space="preserve"> the</w:t>
      </w:r>
      <w:r w:rsidR="00C93BDC">
        <w:t xml:space="preserve"> non-</w:t>
      </w:r>
      <w:r w:rsidR="0070612D">
        <w:t>SAC</w:t>
      </w:r>
      <w:r w:rsidR="00C93BDC">
        <w:t xml:space="preserve"> and </w:t>
      </w:r>
      <w:r w:rsidR="00F639C1">
        <w:t xml:space="preserve">the </w:t>
      </w:r>
      <w:r w:rsidR="0070612D">
        <w:t>SAC</w:t>
      </w:r>
      <w:r w:rsidR="00C93BDC">
        <w:t xml:space="preserve"> approaches</w:t>
      </w:r>
      <w:r w:rsidR="00E66A4B">
        <w:t xml:space="preserve">, </w:t>
      </w:r>
      <w:r w:rsidR="009E225C">
        <w:t xml:space="preserve">respectively. </w:t>
      </w:r>
      <w:r w:rsidR="00F639C1">
        <w:t>We notice</w:t>
      </w:r>
      <w:r w:rsidR="009E225C">
        <w:t xml:space="preserve"> that</w:t>
      </w:r>
      <w:r w:rsidR="008B1981">
        <w:t>,</w:t>
      </w:r>
      <w:r w:rsidR="00945E06">
        <w:t xml:space="preserve"> </w:t>
      </w:r>
      <w:r w:rsidR="008B1981">
        <w:t>for</w:t>
      </w:r>
      <w:r w:rsidR="00764ACB">
        <w:t xml:space="preserve"> </w:t>
      </w:r>
      <w:r w:rsidR="00945E06">
        <w:t>all three</w:t>
      </w:r>
      <w:r w:rsidR="00AD3077">
        <w:t xml:space="preserve"> </w:t>
      </w:r>
      <w:r w:rsidR="009F2370">
        <w:t>noise-</w:t>
      </w:r>
      <w:r w:rsidR="00764ACB">
        <w:t>limiting cases</w:t>
      </w:r>
      <w:r w:rsidR="00D14E2D" w:rsidRPr="00D14E2D">
        <w:t xml:space="preserve"> </w:t>
      </w:r>
      <w:r w:rsidR="00D14E2D">
        <w:t>tested</w:t>
      </w:r>
      <w:r w:rsidR="00764ACB">
        <w:t xml:space="preserve">, the </w:t>
      </w:r>
      <m:oMath>
        <m:sSub>
          <m:sSubPr>
            <m:ctrlPr>
              <w:rPr>
                <w:rFonts w:ascii="Cambria Math" w:hAnsi="Cambria Math"/>
                <w:i/>
              </w:rPr>
            </m:ctrlPr>
          </m:sSubPr>
          <m:e>
            <m:r>
              <w:rPr>
                <w:rFonts w:ascii="Cambria Math" w:hAnsi="Cambria Math"/>
              </w:rPr>
              <m:t>σ</m:t>
            </m:r>
          </m:e>
          <m:sub>
            <m:r>
              <w:rPr>
                <w:rFonts w:ascii="Cambria Math" w:hAnsi="Cambria Math"/>
              </w:rPr>
              <m:t>A</m:t>
            </m:r>
          </m:sub>
        </m:sSub>
      </m:oMath>
      <w:r w:rsidR="00AF4BC8">
        <w:t xml:space="preserve"> </w:t>
      </w:r>
      <w:r w:rsidR="00AD3077">
        <w:t xml:space="preserve">curves </w:t>
      </w:r>
      <w:r w:rsidR="004F4F3B">
        <w:t xml:space="preserve">for each noise source </w:t>
      </w:r>
      <w:r w:rsidR="00310E1A">
        <w:t xml:space="preserve">are similar </w:t>
      </w:r>
      <w:r w:rsidR="00764ACB">
        <w:t>between the non-</w:t>
      </w:r>
      <w:r w:rsidR="0070612D">
        <w:t>SAC</w:t>
      </w:r>
      <w:r w:rsidR="00764ACB">
        <w:t xml:space="preserve"> and the </w:t>
      </w:r>
      <w:r w:rsidR="0070612D">
        <w:t>SAC</w:t>
      </w:r>
      <w:r w:rsidR="00764ACB">
        <w:t xml:space="preserve"> measurements</w:t>
      </w:r>
      <w:r w:rsidR="00A67011">
        <w:t>, which</w:t>
      </w:r>
      <w:r w:rsidR="00DE7D2F">
        <w:t xml:space="preserve"> makes </w:t>
      </w:r>
      <w:r w:rsidR="004805BC">
        <w:t>any of the</w:t>
      </w:r>
      <w:r w:rsidR="0009796B">
        <w:t xml:space="preserve"> three noise sources unable to </w:t>
      </w:r>
      <w:r w:rsidR="008221FD">
        <w:t xml:space="preserve">explain the </w:t>
      </w:r>
      <w:r w:rsidR="004805BC">
        <w:t xml:space="preserve">observed </w:t>
      </w:r>
      <w:r w:rsidR="00554091">
        <w:t>significant</w:t>
      </w:r>
      <w:r w:rsidR="008221FD">
        <w:t xml:space="preserve"> </w:t>
      </w:r>
      <w:r w:rsidR="00554091">
        <w:t>enhancement</w:t>
      </w:r>
      <w:r w:rsidR="008221FD">
        <w:t xml:space="preserve"> in SNR </w:t>
      </w:r>
      <w:r w:rsidR="005B2D62">
        <w:t xml:space="preserve">by the </w:t>
      </w:r>
      <w:r w:rsidR="0070612D">
        <w:t>SAC</w:t>
      </w:r>
      <w:r w:rsidR="005B2D62">
        <w:t xml:space="preserve"> approach</w:t>
      </w:r>
      <w:r w:rsidR="004B3D2C">
        <w:t>.</w:t>
      </w:r>
    </w:p>
    <w:p w14:paraId="505A5E71" w14:textId="77777777" w:rsidR="00D9627F" w:rsidRDefault="00D9627F" w:rsidP="00D9627F">
      <w:pPr>
        <w:pStyle w:val="TAMainText"/>
      </w:pPr>
    </w:p>
    <w:p w14:paraId="35E5FB8E" w14:textId="755ECB74" w:rsidR="00D9627F" w:rsidRDefault="00067C83" w:rsidP="00D9627F">
      <w:pPr>
        <w:pStyle w:val="TAMainText"/>
        <w:ind w:firstLine="0"/>
        <w:jc w:val="center"/>
        <w:rPr>
          <w:b/>
        </w:rPr>
      </w:pPr>
      <w:r>
        <w:rPr>
          <w:b/>
          <w:noProof/>
        </w:rPr>
        <w:drawing>
          <wp:inline distT="0" distB="0" distL="0" distR="0" wp14:anchorId="322963A6" wp14:editId="70FD7388">
            <wp:extent cx="3910071" cy="4635610"/>
            <wp:effectExtent l="0" t="0" r="0" b="0"/>
            <wp:docPr id="3" name="Picture 3" descr="Char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5.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15718" cy="4642304"/>
                    </a:xfrm>
                    <a:prstGeom prst="rect">
                      <a:avLst/>
                    </a:prstGeom>
                  </pic:spPr>
                </pic:pic>
              </a:graphicData>
            </a:graphic>
          </wp:inline>
        </w:drawing>
      </w:r>
    </w:p>
    <w:p w14:paraId="52F03CA5" w14:textId="615A1ED5" w:rsidR="00D9627F" w:rsidRPr="00FC7D39" w:rsidRDefault="00D9627F" w:rsidP="006B759D">
      <w:pPr>
        <w:pStyle w:val="TAMainText"/>
        <w:spacing w:after="240" w:line="276" w:lineRule="auto"/>
        <w:ind w:firstLine="0"/>
        <w:rPr>
          <w:b/>
          <w:bCs/>
        </w:rPr>
      </w:pPr>
      <w:r w:rsidRPr="03066021">
        <w:rPr>
          <w:b/>
          <w:bCs/>
        </w:rPr>
        <w:t xml:space="preserve">Figure </w:t>
      </w:r>
      <w:r w:rsidR="003237EE" w:rsidRPr="03066021">
        <w:rPr>
          <w:b/>
          <w:bCs/>
        </w:rPr>
        <w:t>5</w:t>
      </w:r>
      <w:r w:rsidRPr="03066021">
        <w:rPr>
          <w:noProof/>
        </w:rPr>
        <w:t>.</w:t>
      </w:r>
      <w:r>
        <w:t xml:space="preserve"> Comparison of </w:t>
      </w:r>
      <w:r w:rsidR="004133B6">
        <w:t xml:space="preserve">noise </w:t>
      </w:r>
      <w:r w:rsidR="00AC4BB1">
        <w:t xml:space="preserve">and </w:t>
      </w:r>
      <w:r w:rsidR="00EF0F0E">
        <w:t xml:space="preserve">SNR </w:t>
      </w:r>
      <w:r w:rsidR="004133B6">
        <w:t xml:space="preserve">analyses </w:t>
      </w:r>
      <w:r>
        <w:t xml:space="preserve">between the </w:t>
      </w:r>
      <w:r w:rsidR="004133B6">
        <w:t>non-</w:t>
      </w:r>
      <w:r w:rsidR="0070612D">
        <w:t>SAC</w:t>
      </w:r>
      <w:r>
        <w:t xml:space="preserve"> and</w:t>
      </w:r>
      <w:r w:rsidR="00927BB6">
        <w:t xml:space="preserve"> the</w:t>
      </w:r>
      <w:r>
        <w:t xml:space="preserve"> </w:t>
      </w:r>
      <w:r w:rsidR="00DA02F6">
        <w:t>S</w:t>
      </w:r>
      <w:r w:rsidR="008540EF">
        <w:t>A</w:t>
      </w:r>
      <w:r w:rsidR="00DA02F6">
        <w:t>C</w:t>
      </w:r>
      <w:r w:rsidR="008540EF">
        <w:t xml:space="preserve"> </w:t>
      </w:r>
      <w:r>
        <w:t xml:space="preserve">approaches using </w:t>
      </w:r>
      <w:r w:rsidR="004133B6">
        <w:t>various noise sources</w:t>
      </w:r>
      <w:r>
        <w:t>. (a</w:t>
      </w:r>
      <w:r w:rsidR="00E259CC">
        <w:t>, b)</w:t>
      </w:r>
      <w:r w:rsidR="006B759D">
        <w:t xml:space="preserve"> </w:t>
      </w:r>
      <w:r w:rsidR="00EF0F0E">
        <w:t>T</w:t>
      </w:r>
      <w:r>
        <w:t xml:space="preserve">ransmission spectra of </w:t>
      </w:r>
      <w:r w:rsidR="001E792F">
        <w:t xml:space="preserve">water </w:t>
      </w:r>
      <w:r>
        <w:t>(</w:t>
      </w:r>
      <w:r w:rsidR="006D2C0A">
        <w:t>the dashed</w:t>
      </w:r>
      <w:r>
        <w:t xml:space="preserve"> lines) and </w:t>
      </w:r>
      <w:r w:rsidR="00DF4195">
        <w:t xml:space="preserve">a </w:t>
      </w:r>
      <w:r w:rsidR="001E792F">
        <w:t>10</w:t>
      </w:r>
      <w:r w:rsidR="00DF4195">
        <w:t xml:space="preserve"> </w:t>
      </w:r>
      <w:r w:rsidR="001E792F">
        <w:t>mg/mL BSA solution</w:t>
      </w:r>
      <w:r>
        <w:t xml:space="preserve"> (</w:t>
      </w:r>
      <w:r w:rsidR="006D2C0A">
        <w:t>the solid lines</w:t>
      </w:r>
      <w:r>
        <w:t>)</w:t>
      </w:r>
      <w:r w:rsidR="00A1799D">
        <w:t xml:space="preserve"> </w:t>
      </w:r>
      <w:r w:rsidR="00E259CC">
        <w:t xml:space="preserve">calculated for the non-SAC and the SAC </w:t>
      </w:r>
      <w:r w:rsidR="00C96E7D">
        <w:t>approaches. The</w:t>
      </w:r>
      <w:r w:rsidR="00A1799D">
        <w:t xml:space="preserve"> path length</w:t>
      </w:r>
      <w:r w:rsidR="004133B6">
        <w:t xml:space="preserve"> </w:t>
      </w:r>
      <w:r w:rsidR="00C96E7D">
        <w:t>is</w:t>
      </w:r>
      <w:r w:rsidR="004133B6">
        <w:t xml:space="preserve"> 26 </w:t>
      </w:r>
      <w:r w:rsidR="004133B6" w:rsidRPr="006B759D">
        <w:rPr>
          <w:rFonts w:ascii="Symbol" w:hAnsi="Symbol"/>
        </w:rPr>
        <w:t>m</w:t>
      </w:r>
      <w:r w:rsidR="004133B6">
        <w:t>m</w:t>
      </w:r>
      <w:r w:rsidR="00432045">
        <w:t>.</w:t>
      </w:r>
      <w:r w:rsidR="00BB3707">
        <w:t xml:space="preserve"> The incident light intensity (unmodified) is set to be 10</w:t>
      </w:r>
      <w:r w:rsidR="00BB3707" w:rsidRPr="00F82D2D">
        <w:rPr>
          <w:vertAlign w:val="superscript"/>
        </w:rPr>
        <w:t>7</w:t>
      </w:r>
      <w:r w:rsidR="00BB3707">
        <w:t xml:space="preserve">, relative to the detector noise. </w:t>
      </w:r>
      <w:r w:rsidR="00040A6B" w:rsidRPr="006B759D">
        <w:rPr>
          <w:i/>
          <w:iCs/>
        </w:rPr>
        <w:t>I</w:t>
      </w:r>
      <w:r w:rsidR="00040A6B" w:rsidRPr="006B759D">
        <w:rPr>
          <w:vertAlign w:val="subscript"/>
        </w:rPr>
        <w:t>max</w:t>
      </w:r>
      <w:r w:rsidR="00040A6B">
        <w:t xml:space="preserve"> </w:t>
      </w:r>
      <w:r w:rsidR="0077376F">
        <w:t xml:space="preserve">is determined by the transmitted </w:t>
      </w:r>
      <w:r w:rsidR="003D56DE">
        <w:t xml:space="preserve">light </w:t>
      </w:r>
      <w:r w:rsidR="0077376F">
        <w:t xml:space="preserve">intensity </w:t>
      </w:r>
      <w:r w:rsidR="00CA7DE9">
        <w:t>at 1780 cm</w:t>
      </w:r>
      <w:r w:rsidR="00CA7DE9" w:rsidRPr="006B759D">
        <w:rPr>
          <w:vertAlign w:val="superscript"/>
        </w:rPr>
        <w:t>-1</w:t>
      </w:r>
      <w:r w:rsidR="004133B6">
        <w:t>.</w:t>
      </w:r>
      <w:r w:rsidR="00040A6B">
        <w:t xml:space="preserve"> </w:t>
      </w:r>
      <w:r w:rsidR="00512BF5">
        <w:t>(</w:t>
      </w:r>
      <w:r w:rsidR="00836576">
        <w:t>c</w:t>
      </w:r>
      <w:r w:rsidR="00512BF5">
        <w:t xml:space="preserve">) </w:t>
      </w:r>
      <w:r w:rsidR="004133B6">
        <w:t xml:space="preserve">Plots of </w:t>
      </w:r>
      <w:r w:rsidR="00040A6B">
        <w:t xml:space="preserve">the absorbance </w:t>
      </w:r>
      <w:r w:rsidR="004133B6">
        <w:t xml:space="preserve">noises </w:t>
      </w:r>
      <w:r w:rsidR="00040A6B">
        <w:t>(</w:t>
      </w:r>
      <m:oMath>
        <m:sSubSup>
          <m:sSubSupPr>
            <m:ctrlPr>
              <w:rPr>
                <w:rFonts w:ascii="Cambria Math" w:hAnsi="Cambria Math"/>
                <w:i/>
              </w:rPr>
            </m:ctrlPr>
          </m:sSubSupPr>
          <m:e>
            <m:r>
              <w:rPr>
                <w:rFonts w:ascii="Cambria Math" w:hAnsi="Cambria Math"/>
              </w:rPr>
              <m:t>σ</m:t>
            </m:r>
          </m:e>
          <m:sub>
            <m:r>
              <w:rPr>
                <w:rFonts w:ascii="Cambria Math" w:hAnsi="Cambria Math"/>
              </w:rPr>
              <m:t>A</m:t>
            </m:r>
          </m:sub>
          <m:sup>
            <m:r>
              <w:rPr>
                <w:rFonts w:ascii="Cambria Math" w:hAnsi="Cambria Math"/>
              </w:rPr>
              <m:t>**</m:t>
            </m:r>
          </m:sup>
        </m:sSubSup>
      </m:oMath>
      <w:r w:rsidR="00040A6B">
        <w:t xml:space="preserve">) </w:t>
      </w:r>
      <w:r w:rsidR="00A44493">
        <w:t>at</w:t>
      </w:r>
      <w:r w:rsidR="00040A6B">
        <w:t xml:space="preserve"> the amide I </w:t>
      </w:r>
      <w:r w:rsidR="00A44493">
        <w:t>frequency</w:t>
      </w:r>
      <w:r w:rsidR="00040A6B">
        <w:t xml:space="preserve"> </w:t>
      </w:r>
      <w:r w:rsidR="00290543">
        <w:t>at 1656 cm</w:t>
      </w:r>
      <w:r w:rsidR="00290543" w:rsidRPr="001369E1">
        <w:rPr>
          <w:vertAlign w:val="superscript"/>
        </w:rPr>
        <w:t>-1</w:t>
      </w:r>
      <w:r w:rsidR="00290543">
        <w:t xml:space="preserve"> </w:t>
      </w:r>
      <w:r w:rsidR="00040A6B">
        <w:t xml:space="preserve">as a function of </w:t>
      </w:r>
      <w:r w:rsidR="004133B6">
        <w:t>path length</w:t>
      </w:r>
      <w:r w:rsidR="00383398">
        <w:t xml:space="preserve"> for the non-</w:t>
      </w:r>
      <w:r w:rsidR="008540EF">
        <w:t>SAC</w:t>
      </w:r>
      <w:r w:rsidR="00383398">
        <w:t xml:space="preserve"> configuration</w:t>
      </w:r>
      <w:r w:rsidR="00DE17B5">
        <w:t xml:space="preserve">. </w:t>
      </w:r>
      <w:r w:rsidR="00E439A7" w:rsidRPr="005D7AC7">
        <w:t xml:space="preserve">The </w:t>
      </w:r>
      <w:r w:rsidR="004A1C19" w:rsidRPr="005D7AC7">
        <w:t>superscript</w:t>
      </w:r>
      <w:r w:rsidR="00930E04" w:rsidRPr="005D7AC7">
        <w:t xml:space="preserve"> </w:t>
      </w:r>
      <w:r w:rsidR="00930E04">
        <w:t xml:space="preserve">in </w:t>
      </w:r>
      <m:oMath>
        <m:sSubSup>
          <m:sSubSupPr>
            <m:ctrlPr>
              <w:rPr>
                <w:rFonts w:ascii="Cambria Math" w:hAnsi="Cambria Math"/>
                <w:i/>
              </w:rPr>
            </m:ctrlPr>
          </m:sSubSupPr>
          <m:e>
            <m:r>
              <w:rPr>
                <w:rFonts w:ascii="Cambria Math" w:hAnsi="Cambria Math"/>
              </w:rPr>
              <m:t>σ</m:t>
            </m:r>
          </m:e>
          <m:sub>
            <m:r>
              <w:rPr>
                <w:rFonts w:ascii="Cambria Math" w:hAnsi="Cambria Math"/>
              </w:rPr>
              <m:t>A</m:t>
            </m:r>
          </m:sub>
          <m:sup>
            <m:r>
              <w:rPr>
                <w:rFonts w:ascii="Cambria Math" w:hAnsi="Cambria Math"/>
              </w:rPr>
              <m:t>**</m:t>
            </m:r>
          </m:sup>
        </m:sSubSup>
      </m:oMath>
      <w:r w:rsidR="00727453">
        <w:t xml:space="preserve"> </w:t>
      </w:r>
      <w:r w:rsidR="00203168">
        <w:t>denote</w:t>
      </w:r>
      <w:r w:rsidR="00930E04">
        <w:t xml:space="preserve">s </w:t>
      </w:r>
      <w:r w:rsidR="00DE17B5">
        <w:t>the noise source</w:t>
      </w:r>
      <w:r w:rsidR="00784C07">
        <w:t>s</w:t>
      </w:r>
      <w:r w:rsidR="00031E52">
        <w:t>:</w:t>
      </w:r>
      <w:r w:rsidR="004133B6">
        <w:t xml:space="preserve"> </w:t>
      </w:r>
      <w:r w:rsidR="00DE17B5">
        <w:t>DRN</w:t>
      </w:r>
      <w:r w:rsidR="00512BF5">
        <w:t xml:space="preserve"> </w:t>
      </w:r>
      <w:r w:rsidR="00031E52">
        <w:t>denote</w:t>
      </w:r>
      <w:r w:rsidR="00D436AE">
        <w:t>s</w:t>
      </w:r>
      <w:r w:rsidR="00DE17B5">
        <w:t xml:space="preserve"> dynamic range noise; SN, shot noise; LN, laser noise; and DN, detector noise. </w:t>
      </w:r>
      <w:r w:rsidR="00174187">
        <w:t>The absorbance signal of BSA (t</w:t>
      </w:r>
      <w:r w:rsidR="00DA36FA">
        <w:t>he black dashed line</w:t>
      </w:r>
      <w:r w:rsidR="00174187">
        <w:t xml:space="preserve">) is </w:t>
      </w:r>
      <w:r w:rsidR="00DA36FA">
        <w:t>plotted for</w:t>
      </w:r>
      <w:r w:rsidR="00174187">
        <w:t xml:space="preserve"> </w:t>
      </w:r>
      <w:r w:rsidR="003F2F54">
        <w:t xml:space="preserve">reference. </w:t>
      </w:r>
      <w:r w:rsidR="00512BF5">
        <w:t>(</w:t>
      </w:r>
      <w:r w:rsidR="003F2F54">
        <w:t>d</w:t>
      </w:r>
      <w:r w:rsidR="00512BF5">
        <w:t xml:space="preserve">) </w:t>
      </w:r>
      <w:r w:rsidR="003F2F54">
        <w:t>Plots of the absorbance noises at the amide I frequency for the SAC configuration.</w:t>
      </w:r>
      <w:r w:rsidR="002A4E3C">
        <w:t xml:space="preserve"> (e, </w:t>
      </w:r>
      <w:r w:rsidR="00B65195">
        <w:t>f</w:t>
      </w:r>
      <w:r w:rsidR="005A652A">
        <w:t xml:space="preserve">) </w:t>
      </w:r>
      <w:r w:rsidR="000617AF">
        <w:t>T</w:t>
      </w:r>
      <w:r w:rsidR="00DF4195">
        <w:t xml:space="preserve">he </w:t>
      </w:r>
      <w:r w:rsidR="00DA02F6">
        <w:t>SNR</w:t>
      </w:r>
      <w:r w:rsidR="00DF4195">
        <w:t xml:space="preserve"> plots</w:t>
      </w:r>
      <w:r w:rsidR="00F639C1">
        <w:t xml:space="preserve"> at</w:t>
      </w:r>
      <w:r w:rsidR="00DF4195">
        <w:t xml:space="preserve"> </w:t>
      </w:r>
      <w:r w:rsidR="002A7907">
        <w:t xml:space="preserve">the frequencies of </w:t>
      </w:r>
      <w:r w:rsidR="00DF4195">
        <w:t>1656 cm</w:t>
      </w:r>
      <w:r w:rsidR="00DF4195" w:rsidRPr="001369E1">
        <w:rPr>
          <w:vertAlign w:val="superscript"/>
        </w:rPr>
        <w:t>-1</w:t>
      </w:r>
      <w:r w:rsidR="00DF4195">
        <w:t xml:space="preserve"> (amide I) and 1548 cm</w:t>
      </w:r>
      <w:r w:rsidR="00DF4195" w:rsidRPr="001369E1">
        <w:rPr>
          <w:vertAlign w:val="superscript"/>
        </w:rPr>
        <w:t>-1</w:t>
      </w:r>
      <w:r w:rsidR="00DF4195">
        <w:t xml:space="preserve"> (amide II)</w:t>
      </w:r>
      <w:r w:rsidR="000617AF">
        <w:t xml:space="preserve"> </w:t>
      </w:r>
      <w:r w:rsidR="002A7907">
        <w:t xml:space="preserve">are compared between </w:t>
      </w:r>
      <w:r w:rsidR="000617AF">
        <w:t xml:space="preserve">the </w:t>
      </w:r>
      <w:r w:rsidR="003A2B3C">
        <w:t>non-</w:t>
      </w:r>
      <w:r w:rsidR="002A7907">
        <w:t>SAC</w:t>
      </w:r>
      <w:r w:rsidR="003A2B3C">
        <w:t xml:space="preserve"> and the </w:t>
      </w:r>
      <w:r w:rsidR="002A7907">
        <w:t>SAC</w:t>
      </w:r>
      <w:r w:rsidR="003A2B3C">
        <w:t xml:space="preserve"> </w:t>
      </w:r>
      <w:r w:rsidR="002A7907">
        <w:t>results</w:t>
      </w:r>
      <w:r w:rsidR="003A2B3C">
        <w:t>.</w:t>
      </w:r>
      <w:r w:rsidR="007D222E">
        <w:t xml:space="preserve"> For the </w:t>
      </w:r>
      <w:r w:rsidR="00F639C1">
        <w:t xml:space="preserve">noise </w:t>
      </w:r>
      <w:r w:rsidR="007D222E">
        <w:t>c</w:t>
      </w:r>
      <w:r w:rsidR="00F639C1">
        <w:t>alculations above</w:t>
      </w:r>
      <w:r w:rsidR="007D222E">
        <w:t xml:space="preserve">, </w:t>
      </w:r>
      <w:r w:rsidR="00F639C1">
        <w:t xml:space="preserve">we set the noise parameters as </w:t>
      </w:r>
      <w:r w:rsidR="0077376F">
        <w:t xml:space="preserve">DR = 5000 for </w:t>
      </w:r>
      <w:r w:rsidR="0077376F" w:rsidRPr="00F82D2D">
        <w:rPr>
          <w:rFonts w:ascii="Symbol" w:hAnsi="Symbol"/>
          <w:i/>
          <w:iCs/>
        </w:rPr>
        <w:t>d</w:t>
      </w:r>
      <w:r w:rsidR="0077376F" w:rsidRPr="00F82D2D">
        <w:rPr>
          <w:vertAlign w:val="subscript"/>
        </w:rPr>
        <w:t>D</w:t>
      </w:r>
      <w:r w:rsidR="0077376F">
        <w:rPr>
          <w:vertAlign w:val="subscript"/>
        </w:rPr>
        <w:t>R</w:t>
      </w:r>
      <w:r w:rsidR="0077376F" w:rsidRPr="00F82D2D">
        <w:rPr>
          <w:vertAlign w:val="subscript"/>
        </w:rPr>
        <w:t>N</w:t>
      </w:r>
      <w:r w:rsidR="0077376F">
        <w:t xml:space="preserve">; </w:t>
      </w:r>
      <w:r w:rsidR="0077376F" w:rsidRPr="006B759D">
        <w:rPr>
          <w:rFonts w:ascii="Symbol" w:hAnsi="Symbol"/>
          <w:i/>
          <w:iCs/>
        </w:rPr>
        <w:t>a</w:t>
      </w:r>
      <w:r w:rsidR="0077376F">
        <w:t xml:space="preserve"> = 2 </w:t>
      </w:r>
      <w:r w:rsidR="0077376F">
        <w:rPr>
          <w:rFonts w:cs="Times"/>
        </w:rPr>
        <w:t>×</w:t>
      </w:r>
      <w:r w:rsidR="0077376F">
        <w:t xml:space="preserve"> 10</w:t>
      </w:r>
      <w:r w:rsidR="0077376F" w:rsidRPr="006B759D">
        <w:rPr>
          <w:vertAlign w:val="superscript"/>
        </w:rPr>
        <w:t>-4</w:t>
      </w:r>
      <w:r w:rsidR="0077376F">
        <w:t xml:space="preserve"> for </w:t>
      </w:r>
      <w:r w:rsidR="0077376F" w:rsidRPr="00F82D2D">
        <w:rPr>
          <w:rFonts w:ascii="Symbol" w:hAnsi="Symbol"/>
          <w:i/>
          <w:iCs/>
        </w:rPr>
        <w:t>d</w:t>
      </w:r>
      <w:r w:rsidR="0077376F">
        <w:rPr>
          <w:vertAlign w:val="subscript"/>
        </w:rPr>
        <w:t>L</w:t>
      </w:r>
      <w:r w:rsidR="0077376F" w:rsidRPr="00F82D2D">
        <w:rPr>
          <w:vertAlign w:val="subscript"/>
        </w:rPr>
        <w:t>N</w:t>
      </w:r>
      <w:r w:rsidR="0077376F">
        <w:t xml:space="preserve">; </w:t>
      </w:r>
      <w:r w:rsidR="0077376F">
        <w:rPr>
          <w:rFonts w:ascii="Symbol" w:hAnsi="Symbol"/>
          <w:i/>
          <w:iCs/>
        </w:rPr>
        <w:t>b</w:t>
      </w:r>
      <w:r w:rsidR="0077376F">
        <w:t xml:space="preserve"> = 0.01 for </w:t>
      </w:r>
      <w:r w:rsidR="0077376F" w:rsidRPr="00F82D2D">
        <w:rPr>
          <w:rFonts w:ascii="Symbol" w:hAnsi="Symbol"/>
          <w:i/>
          <w:iCs/>
        </w:rPr>
        <w:t>d</w:t>
      </w:r>
      <w:r w:rsidR="0077376F">
        <w:rPr>
          <w:vertAlign w:val="subscript"/>
        </w:rPr>
        <w:t>S</w:t>
      </w:r>
      <w:r w:rsidR="0077376F" w:rsidRPr="00F82D2D">
        <w:rPr>
          <w:vertAlign w:val="subscript"/>
        </w:rPr>
        <w:t>N</w:t>
      </w:r>
      <w:r w:rsidR="0077376F">
        <w:t>;</w:t>
      </w:r>
      <w:r w:rsidR="00F639C1">
        <w:t xml:space="preserve"> and</w:t>
      </w:r>
      <w:r w:rsidR="0077376F" w:rsidRPr="0077376F">
        <w:t xml:space="preserve"> </w:t>
      </w:r>
      <w:r w:rsidR="0077376F">
        <w:rPr>
          <w:rFonts w:ascii="Symbol" w:hAnsi="Symbol"/>
          <w:i/>
          <w:iCs/>
        </w:rPr>
        <w:t>g</w:t>
      </w:r>
      <w:r w:rsidR="0077376F">
        <w:t xml:space="preserve"> = 1 for </w:t>
      </w:r>
      <w:r w:rsidR="0077376F" w:rsidRPr="00F82D2D">
        <w:rPr>
          <w:rFonts w:ascii="Symbol" w:hAnsi="Symbol"/>
          <w:i/>
          <w:iCs/>
        </w:rPr>
        <w:t>d</w:t>
      </w:r>
      <w:r w:rsidR="0077376F" w:rsidRPr="00F82D2D">
        <w:rPr>
          <w:vertAlign w:val="subscript"/>
        </w:rPr>
        <w:t>DN</w:t>
      </w:r>
      <w:r w:rsidR="0077376F">
        <w:t>.</w:t>
      </w:r>
    </w:p>
    <w:p w14:paraId="65535969" w14:textId="77777777" w:rsidR="00D9627F" w:rsidRDefault="00D9627F" w:rsidP="00D9627F">
      <w:pPr>
        <w:pStyle w:val="TAMainText"/>
      </w:pPr>
    </w:p>
    <w:p w14:paraId="55EBCD7A" w14:textId="139E5DCE" w:rsidR="004C745D" w:rsidRDefault="004C745D" w:rsidP="004C745D">
      <w:pPr>
        <w:pStyle w:val="TAMainText"/>
      </w:pPr>
      <w:r>
        <w:t>Dynamic range (DR) is the ratio of the largest signal to the smallest detectable signal. The lower limit of the smallest detectable signal is determined by the digital resolution of the analog-to-digital converter, but typically the smallest detectable signal corresponds to the noise-equivalent signal of the detection system</w:t>
      </w:r>
      <w:r w:rsidR="00203168">
        <w:t>.</w:t>
      </w:r>
      <w:r>
        <w:fldChar w:fldCharType="begin" w:fldLock="1"/>
      </w:r>
      <w:r w:rsidR="000C4007">
        <w:instrText>ADDIN CSL_CITATION {"citationItems":[{"id":"ITEM-1","itemData":{"DOI":"10.1364/oe.18.007929","ISSN":"1094-4087","abstract":"Coherent dual comb spectroscopy can provide high-resolution, high-accuracy measurements of a sample response in both magnitude and phase. We discuss the achievable signal-to-noise ratio (SNR) due to both additive white noise and multiplicative noise, and the corresponding sensitivity limit for trace gas detection. We show that sequential acquisition of the overall spectrum through a tunable filter, or parallel acquisition of the overall spectrum through a detector array, can significantly improve the SNR under some circumstances. We identify a useful figure of merit as the quality factor, equal to the product of the SNR, normalized by the square root of the acquisition time, and the number of resolved frequency elements. For a single detector and fiber-laser based system, this quality factor is 106 - 107 Hz1/2.","author":[{"dropping-particle":"","family":"Newbury","given":"Nathan R.","non-dropping-particle":"","parse-names":false,"suffix":""},{"dropping-particle":"","family":"Coddington","given":"Ian","non-dropping-particle":"","parse-names":false,"suffix":""},{"dropping-particle":"","family":"Swann","given":"William","non-dropping-particle":"","parse-names":false,"suffix":""}],"container-title":"Optics Express","id":"ITEM-1","issue":"8","issued":{"date-parts":[["2010"]]},"page":"7929-7945","title":"Sensitivity of coherent dual-comb spectroscopy","type":"article-journal","volume":"18"},"uris":["http://www.mendeley.com/documents/?uuid=61566959-0f8d-4f65-9e35-3e526c583f3c"]}],"mendeley":{"formattedCitation":"&lt;sup&gt;30&lt;/sup&gt;","plainTextFormattedCitation":"30","previouslyFormattedCitation":"&lt;sup&gt;29&lt;/sup&gt;"},"properties":{"noteIndex":0},"schema":"https://github.com/citation-style-language/schema/raw/master/csl-citation.json"}</w:instrText>
      </w:r>
      <w:r>
        <w:fldChar w:fldCharType="separate"/>
      </w:r>
      <w:r w:rsidR="000C4007" w:rsidRPr="000C4007">
        <w:rPr>
          <w:noProof/>
          <w:vertAlign w:val="superscript"/>
        </w:rPr>
        <w:t>30</w:t>
      </w:r>
      <w:r>
        <w:fldChar w:fldCharType="end"/>
      </w:r>
      <w:r>
        <w:t xml:space="preserve"> Then, the dynamic range noise can be expressed as,</w:t>
      </w:r>
    </w:p>
    <w:p w14:paraId="5236B310" w14:textId="77777777" w:rsidR="004C745D" w:rsidRPr="00251EDE" w:rsidRDefault="004C745D" w:rsidP="004C745D">
      <w:pPr>
        <w:pStyle w:val="TAMainText"/>
      </w:pPr>
      <w:r>
        <w:tab/>
        <w:t xml:space="preserve">Dynamic range noise (DRN): </w:t>
      </w:r>
      <w:r>
        <w:tab/>
      </w:r>
      <m:oMath>
        <m:sSub>
          <m:sSubPr>
            <m:ctrlPr>
              <w:rPr>
                <w:rFonts w:ascii="Cambria Math" w:hAnsi="Cambria Math"/>
                <w:i/>
              </w:rPr>
            </m:ctrlPr>
          </m:sSubPr>
          <m:e>
            <m:r>
              <w:rPr>
                <w:rFonts w:ascii="Cambria Math" w:hAnsi="Cambria Math"/>
              </w:rPr>
              <m:t>δ</m:t>
            </m:r>
          </m:e>
          <m:sub>
            <m:r>
              <m:rPr>
                <m:sty m:val="p"/>
              </m:rPr>
              <w:rPr>
                <w:rFonts w:ascii="Cambria Math" w:hAnsi="Cambria Math"/>
              </w:rPr>
              <m:t>DRN</m:t>
            </m:r>
          </m:sub>
        </m:sSub>
        <m:r>
          <w:rPr>
            <w:rFonts w:ascii="Cambria Math" w:hAnsi="Cambria Math"/>
          </w:rPr>
          <m:t>=</m:t>
        </m:r>
        <m:sSub>
          <m:sSubPr>
            <m:ctrlPr>
              <w:rPr>
                <w:rFonts w:ascii="Cambria Math" w:hAnsi="Cambria Math"/>
                <w:i/>
              </w:rPr>
            </m:ctrlPr>
          </m:sSubPr>
          <m:e>
            <m:r>
              <w:rPr>
                <w:rFonts w:ascii="Cambria Math" w:hAnsi="Cambria Math"/>
              </w:rPr>
              <m:t>I</m:t>
            </m:r>
          </m:e>
          <m:sub>
            <m:r>
              <m:rPr>
                <m:sty m:val="p"/>
              </m:rPr>
              <w:rPr>
                <w:rFonts w:ascii="Cambria Math" w:hAnsi="Cambria Math"/>
              </w:rPr>
              <m:t>max</m:t>
            </m:r>
          </m:sub>
        </m:sSub>
        <m:r>
          <w:rPr>
            <w:rFonts w:ascii="Cambria Math" w:hAnsi="Cambria Math"/>
          </w:rPr>
          <m:t>/</m:t>
        </m:r>
        <m:r>
          <m:rPr>
            <m:sty m:val="p"/>
          </m:rPr>
          <w:rPr>
            <w:rFonts w:ascii="Cambria Math" w:hAnsi="Cambria Math"/>
          </w:rPr>
          <m:t>DR</m:t>
        </m:r>
      </m:oMath>
      <w:r>
        <w:tab/>
      </w:r>
      <w:r>
        <w:tab/>
      </w:r>
      <w:r>
        <w:tab/>
      </w:r>
      <w:r>
        <w:tab/>
        <w:t>(13)</w:t>
      </w:r>
    </w:p>
    <w:p w14:paraId="17803C50" w14:textId="00D0A63E" w:rsidR="004C745D" w:rsidRDefault="004C745D" w:rsidP="004C745D">
      <w:pPr>
        <w:pStyle w:val="TAMainText"/>
        <w:ind w:firstLine="0"/>
      </w:pPr>
      <w:r>
        <w:rPr>
          <w:rFonts w:ascii="Times New Roman" w:hAnsi="Times New Roman"/>
        </w:rPr>
        <w:t xml:space="preserve">which yields </w:t>
      </w:r>
      <m:oMath>
        <m:sSubSup>
          <m:sSubSupPr>
            <m:ctrlPr>
              <w:rPr>
                <w:rFonts w:ascii="Cambria Math" w:hAnsi="Cambria Math"/>
              </w:rPr>
            </m:ctrlPr>
          </m:sSubSupPr>
          <m:e>
            <m:r>
              <w:rPr>
                <w:rFonts w:ascii="Cambria Math" w:hAnsi="Cambria Math"/>
              </w:rPr>
              <m:t>σ</m:t>
            </m:r>
          </m:e>
          <m:sub>
            <m:r>
              <m:rPr>
                <m:sty m:val="p"/>
              </m:rPr>
              <w:rPr>
                <w:rFonts w:ascii="Cambria Math" w:hAnsi="Cambria Math"/>
              </w:rPr>
              <m:t>A</m:t>
            </m:r>
          </m:sub>
          <m:sup>
            <m:r>
              <m:rPr>
                <m:sty m:val="p"/>
              </m:rPr>
              <w:rPr>
                <w:rFonts w:ascii="Cambria Math" w:hAnsi="Cambria Math"/>
              </w:rPr>
              <m:t>DRN</m:t>
            </m:r>
          </m:sup>
        </m:sSubSup>
      </m:oMath>
      <w:r w:rsidRPr="00251EDE">
        <w:t xml:space="preserve"> </w:t>
      </w:r>
      <w:r>
        <w:t xml:space="preserve">with </w:t>
      </w:r>
      <w:r w:rsidRPr="007F0B74">
        <w:t>Eq. 12</w:t>
      </w:r>
      <w:r>
        <w:t xml:space="preserve"> </w:t>
      </w:r>
      <w:r w:rsidRPr="00251EDE">
        <w:t>for various path length</w:t>
      </w:r>
      <w:r w:rsidR="00F639C1">
        <w:t>s</w:t>
      </w:r>
      <w:r w:rsidRPr="00251EDE">
        <w:t>.</w:t>
      </w:r>
      <w:r>
        <w:t xml:space="preserve"> It is noted that </w:t>
      </w:r>
      <m:oMath>
        <m:sSub>
          <m:sSubPr>
            <m:ctrlPr>
              <w:rPr>
                <w:rFonts w:ascii="Cambria Math" w:hAnsi="Cambria Math"/>
                <w:i/>
              </w:rPr>
            </m:ctrlPr>
          </m:sSubPr>
          <m:e>
            <m:r>
              <w:rPr>
                <w:rFonts w:ascii="Cambria Math" w:hAnsi="Cambria Math"/>
              </w:rPr>
              <m:t>δ</m:t>
            </m:r>
          </m:e>
          <m:sub>
            <m:r>
              <m:rPr>
                <m:sty m:val="p"/>
              </m:rPr>
              <w:rPr>
                <w:rFonts w:ascii="Cambria Math" w:hAnsi="Cambria Math"/>
              </w:rPr>
              <m:t>DRN</m:t>
            </m:r>
          </m:sub>
        </m:sSub>
      </m:oMath>
      <w:r>
        <w:t xml:space="preserve"> and </w:t>
      </w:r>
      <m:oMath>
        <m:sSubSup>
          <m:sSubSupPr>
            <m:ctrlPr>
              <w:rPr>
                <w:rFonts w:ascii="Cambria Math" w:hAnsi="Cambria Math"/>
              </w:rPr>
            </m:ctrlPr>
          </m:sSubSupPr>
          <m:e>
            <m:r>
              <w:rPr>
                <w:rFonts w:ascii="Cambria Math" w:hAnsi="Cambria Math"/>
              </w:rPr>
              <m:t>σ</m:t>
            </m:r>
          </m:e>
          <m:sub>
            <m:r>
              <m:rPr>
                <m:sty m:val="p"/>
              </m:rPr>
              <w:rPr>
                <w:rFonts w:ascii="Cambria Math" w:hAnsi="Cambria Math"/>
              </w:rPr>
              <m:t>A</m:t>
            </m:r>
          </m:sub>
          <m:sup>
            <m:r>
              <m:rPr>
                <m:sty m:val="p"/>
              </m:rPr>
              <w:rPr>
                <w:rFonts w:ascii="Cambria Math" w:hAnsi="Cambria Math"/>
              </w:rPr>
              <m:t>DRN</m:t>
            </m:r>
          </m:sup>
        </m:sSubSup>
      </m:oMath>
      <w:r w:rsidRPr="00251EDE">
        <w:t xml:space="preserve"> </w:t>
      </w:r>
      <w:r>
        <w:t xml:space="preserve">are determined by </w:t>
      </w:r>
      <w:r w:rsidRPr="00E714B4">
        <w:rPr>
          <w:i/>
          <w:iCs/>
        </w:rPr>
        <w:t>I</w:t>
      </w:r>
      <w:r w:rsidRPr="00E714B4">
        <w:rPr>
          <w:vertAlign w:val="subscript"/>
        </w:rPr>
        <w:t>max</w:t>
      </w:r>
      <w:r>
        <w:t>, which is significantly affected by the frequency scanning range. In the non-</w:t>
      </w:r>
      <w:r w:rsidR="007D222E">
        <w:t>SAC</w:t>
      </w:r>
      <w:r>
        <w:t xml:space="preserve"> configuration (</w:t>
      </w:r>
      <w:r w:rsidR="00EE6863">
        <w:t>Figure</w:t>
      </w:r>
      <w:r>
        <w:t xml:space="preserve"> 5a), </w:t>
      </w:r>
      <w:r w:rsidRPr="03066021">
        <w:rPr>
          <w:i/>
          <w:iCs/>
        </w:rPr>
        <w:t>I</w:t>
      </w:r>
      <w:r w:rsidRPr="03066021">
        <w:rPr>
          <w:vertAlign w:val="subscript"/>
        </w:rPr>
        <w:t>max</w:t>
      </w:r>
      <w:r>
        <w:t xml:space="preserve"> is determined by the weakest absorbance of the solvent in the frequency range (at 1780 cm</w:t>
      </w:r>
      <w:r w:rsidRPr="00387AAF">
        <w:rPr>
          <w:vertAlign w:val="superscript"/>
        </w:rPr>
        <w:t>-1</w:t>
      </w:r>
      <w:r>
        <w:t xml:space="preserve">). </w:t>
      </w:r>
      <w:r w:rsidR="00F639C1">
        <w:t>I</w:t>
      </w:r>
      <w:r>
        <w:t xml:space="preserve">n contrast, in the </w:t>
      </w:r>
      <w:r w:rsidR="007D222E">
        <w:t>SAC</w:t>
      </w:r>
      <w:r>
        <w:t xml:space="preserve"> configuration (</w:t>
      </w:r>
      <w:r w:rsidR="00EE6863">
        <w:t>Figure</w:t>
      </w:r>
      <w:r>
        <w:t xml:space="preserve"> 5c), </w:t>
      </w:r>
      <w:r w:rsidRPr="03066021">
        <w:rPr>
          <w:i/>
          <w:iCs/>
        </w:rPr>
        <w:t>I</w:t>
      </w:r>
      <w:r w:rsidRPr="03066021">
        <w:rPr>
          <w:vertAlign w:val="subscript"/>
        </w:rPr>
        <w:t>max</w:t>
      </w:r>
      <w:r>
        <w:t xml:space="preserve"> corresponds to the transmission intensity at the frequency of the strongest solvent absorption (at 1644 cm</w:t>
      </w:r>
      <w:r w:rsidRPr="00387AAF">
        <w:rPr>
          <w:vertAlign w:val="superscript"/>
        </w:rPr>
        <w:t>-1</w:t>
      </w:r>
      <w:r>
        <w:t>). The non-</w:t>
      </w:r>
      <w:r w:rsidR="007D222E">
        <w:t>SAC</w:t>
      </w:r>
      <w:r>
        <w:t xml:space="preserve"> result in </w:t>
      </w:r>
      <w:r w:rsidR="00EE6863">
        <w:t>Figure</w:t>
      </w:r>
      <w:r>
        <w:t xml:space="preserve"> 5b shows a rapid decrease in </w:t>
      </w:r>
      <m:oMath>
        <m:sSubSup>
          <m:sSubSupPr>
            <m:ctrlPr>
              <w:rPr>
                <w:rFonts w:ascii="Cambria Math" w:hAnsi="Cambria Math"/>
              </w:rPr>
            </m:ctrlPr>
          </m:sSubSupPr>
          <m:e>
            <m:r>
              <w:rPr>
                <w:rFonts w:ascii="Cambria Math" w:hAnsi="Cambria Math"/>
              </w:rPr>
              <m:t>σ</m:t>
            </m:r>
          </m:e>
          <m:sub>
            <m:r>
              <m:rPr>
                <m:sty m:val="p"/>
              </m:rPr>
              <w:rPr>
                <w:rFonts w:ascii="Cambria Math" w:hAnsi="Cambria Math"/>
              </w:rPr>
              <m:t>A</m:t>
            </m:r>
          </m:sub>
          <m:sup>
            <m:r>
              <m:rPr>
                <m:sty m:val="p"/>
              </m:rPr>
              <w:rPr>
                <w:rFonts w:ascii="Cambria Math" w:hAnsi="Cambria Math"/>
              </w:rPr>
              <m:t>DRN</m:t>
            </m:r>
          </m:sup>
        </m:sSubSup>
      </m:oMath>
      <w:r w:rsidRPr="00251EDE">
        <w:t xml:space="preserve"> </w:t>
      </w:r>
      <w:r>
        <w:t xml:space="preserve">with path length while the </w:t>
      </w:r>
      <w:r w:rsidR="007D222E">
        <w:t>SAC</w:t>
      </w:r>
      <w:r>
        <w:t xml:space="preserve"> result in </w:t>
      </w:r>
      <w:r w:rsidR="00EE6863">
        <w:t>Figure</w:t>
      </w:r>
      <w:r>
        <w:t xml:space="preserve"> 5d shows that </w:t>
      </w:r>
      <m:oMath>
        <m:sSubSup>
          <m:sSubSupPr>
            <m:ctrlPr>
              <w:rPr>
                <w:rFonts w:ascii="Cambria Math" w:hAnsi="Cambria Math"/>
              </w:rPr>
            </m:ctrlPr>
          </m:sSubSupPr>
          <m:e>
            <m:r>
              <w:rPr>
                <w:rFonts w:ascii="Cambria Math" w:hAnsi="Cambria Math"/>
              </w:rPr>
              <m:t>σ</m:t>
            </m:r>
          </m:e>
          <m:sub>
            <m:r>
              <m:rPr>
                <m:sty m:val="p"/>
              </m:rPr>
              <w:rPr>
                <w:rFonts w:ascii="Cambria Math" w:hAnsi="Cambria Math"/>
              </w:rPr>
              <m:t>A</m:t>
            </m:r>
          </m:sub>
          <m:sup>
            <m:r>
              <m:rPr>
                <m:sty m:val="p"/>
              </m:rPr>
              <w:rPr>
                <w:rFonts w:ascii="Cambria Math" w:hAnsi="Cambria Math"/>
              </w:rPr>
              <m:t>DRN</m:t>
            </m:r>
          </m:sup>
        </m:sSubSup>
      </m:oMath>
      <w:r w:rsidRPr="00251EDE">
        <w:t xml:space="preserve"> </w:t>
      </w:r>
      <w:r>
        <w:t xml:space="preserve">is nearly insensitive to path length. The difference in </w:t>
      </w:r>
      <m:oMath>
        <m:sSubSup>
          <m:sSubSupPr>
            <m:ctrlPr>
              <w:rPr>
                <w:rFonts w:ascii="Cambria Math" w:hAnsi="Cambria Math"/>
              </w:rPr>
            </m:ctrlPr>
          </m:sSubSupPr>
          <m:e>
            <m:r>
              <w:rPr>
                <w:rFonts w:ascii="Cambria Math" w:hAnsi="Cambria Math"/>
              </w:rPr>
              <m:t>σ</m:t>
            </m:r>
          </m:e>
          <m:sub>
            <m:r>
              <m:rPr>
                <m:sty m:val="p"/>
              </m:rPr>
              <w:rPr>
                <w:rFonts w:ascii="Cambria Math" w:hAnsi="Cambria Math"/>
              </w:rPr>
              <m:t>A</m:t>
            </m:r>
          </m:sub>
          <m:sup>
            <m:r>
              <m:rPr>
                <m:sty m:val="p"/>
              </m:rPr>
              <w:rPr>
                <w:rFonts w:ascii="Cambria Math" w:hAnsi="Cambria Math"/>
              </w:rPr>
              <m:t>DRN</m:t>
            </m:r>
          </m:sup>
        </m:sSubSup>
      </m:oMath>
      <w:r w:rsidRPr="00251EDE">
        <w:t xml:space="preserve"> </w:t>
      </w:r>
      <w:r>
        <w:t>between the non-</w:t>
      </w:r>
      <w:r w:rsidR="007D222E">
        <w:t>SAC</w:t>
      </w:r>
      <w:r>
        <w:t xml:space="preserve"> and the </w:t>
      </w:r>
      <w:r w:rsidR="007D222E">
        <w:t>SAC</w:t>
      </w:r>
      <w:r>
        <w:t xml:space="preserve"> results becomes greater than three orders of magnitude as path length reaches 26 </w:t>
      </w:r>
      <w:r w:rsidRPr="00E714B4">
        <w:rPr>
          <w:rFonts w:ascii="Symbol" w:hAnsi="Symbol"/>
        </w:rPr>
        <w:t>m</w:t>
      </w:r>
      <w:r>
        <w:t xml:space="preserve">m, the path length used for the experiment. This </w:t>
      </w:r>
      <w:r w:rsidR="00F639C1">
        <w:t xml:space="preserve">large </w:t>
      </w:r>
      <w:r>
        <w:t xml:space="preserve">difference in </w:t>
      </w:r>
      <m:oMath>
        <m:sSubSup>
          <m:sSubSupPr>
            <m:ctrlPr>
              <w:rPr>
                <w:rFonts w:ascii="Cambria Math" w:hAnsi="Cambria Math"/>
              </w:rPr>
            </m:ctrlPr>
          </m:sSubSupPr>
          <m:e>
            <m:r>
              <w:rPr>
                <w:rFonts w:ascii="Cambria Math" w:hAnsi="Cambria Math"/>
              </w:rPr>
              <m:t>σ</m:t>
            </m:r>
          </m:e>
          <m:sub>
            <m:r>
              <m:rPr>
                <m:sty m:val="p"/>
              </m:rPr>
              <w:rPr>
                <w:rFonts w:ascii="Cambria Math" w:hAnsi="Cambria Math"/>
              </w:rPr>
              <m:t>A</m:t>
            </m:r>
          </m:sub>
          <m:sup>
            <m:r>
              <m:rPr>
                <m:sty m:val="p"/>
              </m:rPr>
              <w:rPr>
                <w:rFonts w:ascii="Cambria Math" w:hAnsi="Cambria Math"/>
              </w:rPr>
              <m:t>DRN</m:t>
            </m:r>
          </m:sup>
        </m:sSubSup>
      </m:oMath>
      <w:r w:rsidRPr="00251EDE">
        <w:t xml:space="preserve"> </w:t>
      </w:r>
      <w:r>
        <w:t xml:space="preserve">is consistent with the orders of magnitude enhancement in SNR by the </w:t>
      </w:r>
      <w:r w:rsidR="007D222E">
        <w:t>SAC</w:t>
      </w:r>
      <w:r>
        <w:t xml:space="preserve"> approach</w:t>
      </w:r>
      <w:r w:rsidR="00F639C1">
        <w:t>. It also</w:t>
      </w:r>
      <w:r>
        <w:t xml:space="preserve"> strongly suggests that </w:t>
      </w:r>
      <m:oMath>
        <m:sSubSup>
          <m:sSubSupPr>
            <m:ctrlPr>
              <w:rPr>
                <w:rFonts w:ascii="Cambria Math" w:hAnsi="Cambria Math"/>
              </w:rPr>
            </m:ctrlPr>
          </m:sSubSupPr>
          <m:e>
            <m:r>
              <w:rPr>
                <w:rFonts w:ascii="Cambria Math" w:hAnsi="Cambria Math"/>
              </w:rPr>
              <m:t>σ</m:t>
            </m:r>
          </m:e>
          <m:sub>
            <m:r>
              <m:rPr>
                <m:sty m:val="p"/>
              </m:rPr>
              <w:rPr>
                <w:rFonts w:ascii="Cambria Math" w:hAnsi="Cambria Math"/>
              </w:rPr>
              <m:t>A</m:t>
            </m:r>
          </m:sub>
          <m:sup>
            <m:r>
              <m:rPr>
                <m:sty m:val="p"/>
              </m:rPr>
              <w:rPr>
                <w:rFonts w:ascii="Cambria Math" w:hAnsi="Cambria Math"/>
              </w:rPr>
              <m:t>DRN</m:t>
            </m:r>
          </m:sup>
        </m:sSubSup>
      </m:oMath>
      <w:r w:rsidRPr="00251EDE">
        <w:t xml:space="preserve"> </w:t>
      </w:r>
      <w:r>
        <w:t>is the dominant noise source in the tested absorption measurement condition.</w:t>
      </w:r>
    </w:p>
    <w:p w14:paraId="2D969830" w14:textId="1A59D342" w:rsidR="004C745D" w:rsidRDefault="004C745D" w:rsidP="004C745D">
      <w:pPr>
        <w:pStyle w:val="TAMainText"/>
      </w:pPr>
      <w:r>
        <w:t>Based on the four noise sources, we calculate the total absorbance noise (</w:t>
      </w:r>
      <m:oMath>
        <m:sSubSup>
          <m:sSubSupPr>
            <m:ctrlPr>
              <w:rPr>
                <w:rFonts w:ascii="Cambria Math" w:hAnsi="Cambria Math"/>
                <w:i/>
              </w:rPr>
            </m:ctrlPr>
          </m:sSubSupPr>
          <m:e>
            <m:r>
              <w:rPr>
                <w:rFonts w:ascii="Cambria Math" w:hAnsi="Cambria Math"/>
              </w:rPr>
              <m:t>σ</m:t>
            </m:r>
          </m:e>
          <m:sub>
            <m:r>
              <w:rPr>
                <w:rFonts w:ascii="Cambria Math" w:hAnsi="Cambria Math"/>
              </w:rPr>
              <m:t>A</m:t>
            </m:r>
          </m:sub>
          <m:sup>
            <m:r>
              <m:rPr>
                <m:sty m:val="p"/>
              </m:rPr>
              <w:rPr>
                <w:rFonts w:ascii="Cambria Math" w:hAnsi="Cambria Math"/>
              </w:rPr>
              <m:t>total</m:t>
            </m:r>
          </m:sup>
        </m:sSubSup>
      </m:oMath>
      <w:r>
        <w:t>) and the corresponding SNR as a function of path length at different frequencies.</w:t>
      </w:r>
    </w:p>
    <w:p w14:paraId="71E5D16C" w14:textId="030A5A8E" w:rsidR="001938F4" w:rsidRDefault="004C745D" w:rsidP="005D5E3C">
      <w:pPr>
        <w:pStyle w:val="TAMainText"/>
        <w:ind w:firstLine="0"/>
      </w:pPr>
      <w:r>
        <w:tab/>
      </w:r>
      <m:oMath>
        <m:r>
          <w:rPr>
            <w:rFonts w:ascii="Cambria Math" w:hAnsi="Cambria Math"/>
          </w:rPr>
          <m:t xml:space="preserve"> </m:t>
        </m:r>
        <m:r>
          <m:rPr>
            <m:sty m:val="p"/>
          </m:rPr>
          <w:rPr>
            <w:rFonts w:ascii="Cambria Math" w:hAnsi="Cambria Math"/>
          </w:rPr>
          <m:t>SNR</m:t>
        </m:r>
        <m:r>
          <w:rPr>
            <w:rFonts w:ascii="Cambria Math" w:hAnsi="Cambria Math"/>
          </w:rPr>
          <m:t>=</m:t>
        </m:r>
        <m:f>
          <m:fPr>
            <m:ctrlPr>
              <w:rPr>
                <w:rFonts w:ascii="Cambria Math" w:hAnsi="Cambria Math"/>
                <w:i/>
              </w:rPr>
            </m:ctrlPr>
          </m:fPr>
          <m:num>
            <m:r>
              <w:rPr>
                <w:rFonts w:ascii="Cambria Math" w:hAnsi="Cambria Math"/>
              </w:rPr>
              <m:t>A</m:t>
            </m:r>
          </m:num>
          <m:den>
            <m:sSubSup>
              <m:sSubSupPr>
                <m:ctrlPr>
                  <w:rPr>
                    <w:rFonts w:ascii="Cambria Math" w:hAnsi="Cambria Math"/>
                    <w:i/>
                  </w:rPr>
                </m:ctrlPr>
              </m:sSubSupPr>
              <m:e>
                <m:r>
                  <w:rPr>
                    <w:rFonts w:ascii="Cambria Math" w:hAnsi="Cambria Math"/>
                  </w:rPr>
                  <m:t>σ</m:t>
                </m:r>
              </m:e>
              <m:sub>
                <m:r>
                  <w:rPr>
                    <w:rFonts w:ascii="Cambria Math" w:hAnsi="Cambria Math"/>
                  </w:rPr>
                  <m:t>A</m:t>
                </m:r>
              </m:sub>
              <m:sup>
                <m:r>
                  <m:rPr>
                    <m:sty m:val="p"/>
                  </m:rPr>
                  <w:rPr>
                    <w:rFonts w:ascii="Cambria Math" w:hAnsi="Cambria Math"/>
                  </w:rPr>
                  <m:t>total</m:t>
                </m:r>
              </m:sup>
            </m:sSubSup>
          </m:den>
        </m:f>
        <m:r>
          <w:rPr>
            <w:rFonts w:ascii="Cambria Math" w:hAnsi="Cambria Math"/>
          </w:rPr>
          <m:t>=</m:t>
        </m:r>
        <m:f>
          <m:fPr>
            <m:type m:val="lin"/>
            <m:ctrlPr>
              <w:rPr>
                <w:rFonts w:ascii="Cambria Math" w:hAnsi="Cambria Math"/>
                <w:i/>
              </w:rPr>
            </m:ctrlPr>
          </m:fPr>
          <m:num>
            <m:r>
              <w:rPr>
                <w:rFonts w:ascii="Cambria Math" w:hAnsi="Cambria Math"/>
              </w:rPr>
              <m:t>A</m:t>
            </m:r>
          </m:num>
          <m:den>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r>
                              <w:rPr>
                                <w:rFonts w:ascii="Cambria Math" w:hAnsi="Cambria Math"/>
                              </w:rPr>
                              <m:t>σ</m:t>
                            </m:r>
                          </m:e>
                          <m:sub>
                            <m:r>
                              <w:rPr>
                                <w:rFonts w:ascii="Cambria Math" w:hAnsi="Cambria Math"/>
                              </w:rPr>
                              <m:t>A</m:t>
                            </m:r>
                          </m:sub>
                          <m:sup>
                            <m:r>
                              <m:rPr>
                                <m:sty m:val="p"/>
                              </m:rPr>
                              <w:rPr>
                                <w:rFonts w:ascii="Cambria Math" w:hAnsi="Cambria Math"/>
                              </w:rPr>
                              <m:t>LN</m:t>
                            </m:r>
                          </m:sup>
                        </m:sSubSup>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r>
                              <w:rPr>
                                <w:rFonts w:ascii="Cambria Math" w:hAnsi="Cambria Math"/>
                              </w:rPr>
                              <m:t>σ</m:t>
                            </m:r>
                          </m:e>
                          <m:sub>
                            <m:r>
                              <w:rPr>
                                <w:rFonts w:ascii="Cambria Math" w:hAnsi="Cambria Math"/>
                              </w:rPr>
                              <m:t>A</m:t>
                            </m:r>
                          </m:sub>
                          <m:sup>
                            <m:r>
                              <m:rPr>
                                <m:sty m:val="p"/>
                              </m:rPr>
                              <w:rPr>
                                <w:rFonts w:ascii="Cambria Math" w:hAnsi="Cambria Math"/>
                              </w:rPr>
                              <m:t>SN</m:t>
                            </m:r>
                          </m:sup>
                        </m:sSubSup>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r>
                              <w:rPr>
                                <w:rFonts w:ascii="Cambria Math" w:hAnsi="Cambria Math"/>
                              </w:rPr>
                              <m:t>σ</m:t>
                            </m:r>
                          </m:e>
                          <m:sub>
                            <m:r>
                              <w:rPr>
                                <w:rFonts w:ascii="Cambria Math" w:hAnsi="Cambria Math"/>
                              </w:rPr>
                              <m:t>A</m:t>
                            </m:r>
                          </m:sub>
                          <m:sup>
                            <m:r>
                              <m:rPr>
                                <m:sty m:val="p"/>
                              </m:rPr>
                              <w:rPr>
                                <w:rFonts w:ascii="Cambria Math" w:hAnsi="Cambria Math"/>
                              </w:rPr>
                              <m:t>DN</m:t>
                            </m:r>
                          </m:sup>
                        </m:sSubSup>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r>
                              <w:rPr>
                                <w:rFonts w:ascii="Cambria Math" w:hAnsi="Cambria Math"/>
                              </w:rPr>
                              <m:t>σ</m:t>
                            </m:r>
                          </m:e>
                          <m:sub>
                            <m:r>
                              <w:rPr>
                                <w:rFonts w:ascii="Cambria Math" w:hAnsi="Cambria Math"/>
                              </w:rPr>
                              <m:t>A</m:t>
                            </m:r>
                          </m:sub>
                          <m:sup>
                            <m:r>
                              <m:rPr>
                                <m:sty m:val="p"/>
                              </m:rPr>
                              <w:rPr>
                                <w:rFonts w:ascii="Cambria Math" w:hAnsi="Cambria Math"/>
                              </w:rPr>
                              <m:t>DRN</m:t>
                            </m:r>
                          </m:sup>
                        </m:sSubSup>
                      </m:e>
                    </m:d>
                  </m:e>
                  <m:sup>
                    <m:r>
                      <w:rPr>
                        <w:rFonts w:ascii="Cambria Math" w:hAnsi="Cambria Math"/>
                      </w:rPr>
                      <m:t>2</m:t>
                    </m:r>
                  </m:sup>
                </m:sSup>
                <m:r>
                  <w:rPr>
                    <w:rFonts w:ascii="Cambria Math" w:hAnsi="Cambria Math"/>
                  </w:rPr>
                  <m:t xml:space="preserve"> </m:t>
                </m:r>
              </m:e>
            </m:rad>
          </m:den>
        </m:f>
      </m:oMath>
      <w:r>
        <w:tab/>
      </w:r>
      <w:r>
        <w:tab/>
      </w:r>
      <w:r>
        <w:tab/>
        <w:t>(14)</w:t>
      </w:r>
    </w:p>
    <w:p w14:paraId="1840A0BF" w14:textId="3F0D19EF" w:rsidR="00644B7E" w:rsidRDefault="004C745D" w:rsidP="005D5E3C">
      <w:pPr>
        <w:pStyle w:val="TAMainText"/>
        <w:ind w:firstLine="0"/>
      </w:pPr>
      <w:r>
        <w:t xml:space="preserve">In </w:t>
      </w:r>
      <w:r w:rsidR="00EE6863">
        <w:t>Figure</w:t>
      </w:r>
      <w:r>
        <w:t xml:space="preserve"> 5e, the SNR plots </w:t>
      </w:r>
      <w:r w:rsidR="00140DB3">
        <w:t xml:space="preserve">are calculated </w:t>
      </w:r>
      <w:r>
        <w:t>at the amide I frequency</w:t>
      </w:r>
      <w:r w:rsidR="00140DB3">
        <w:t xml:space="preserve"> (1656 cm</w:t>
      </w:r>
      <w:r w:rsidR="00140DB3" w:rsidRPr="001369E1">
        <w:rPr>
          <w:vertAlign w:val="superscript"/>
        </w:rPr>
        <w:t>-1</w:t>
      </w:r>
      <w:r w:rsidR="00140DB3">
        <w:t>)</w:t>
      </w:r>
      <w:r>
        <w:t xml:space="preserve"> </w:t>
      </w:r>
      <w:r w:rsidR="00140DB3">
        <w:t xml:space="preserve">and </w:t>
      </w:r>
      <w:r>
        <w:t xml:space="preserve">compared between the </w:t>
      </w:r>
      <w:r w:rsidR="007D222E">
        <w:t>SAC</w:t>
      </w:r>
      <w:r>
        <w:t xml:space="preserve"> and the non-</w:t>
      </w:r>
      <w:r w:rsidR="007D222E">
        <w:t>SAC</w:t>
      </w:r>
      <w:r>
        <w:t xml:space="preserve"> approaches. The SNR from the non-</w:t>
      </w:r>
      <w:r w:rsidR="007D222E">
        <w:t>SAC</w:t>
      </w:r>
      <w:r>
        <w:t xml:space="preserve"> approach reaches the maximum at path length around 6 </w:t>
      </w:r>
      <w:r w:rsidRPr="001369E1">
        <w:rPr>
          <w:rFonts w:ascii="Symbol" w:hAnsi="Symbol"/>
        </w:rPr>
        <w:t></w:t>
      </w:r>
      <w:r>
        <w:t xml:space="preserve">m and decreases rapidly, which is consistent with the path length </w:t>
      </w:r>
      <w:r w:rsidR="006E538D">
        <w:t>commonly used for</w:t>
      </w:r>
      <w:r>
        <w:t xml:space="preserve"> FT-IR </w:t>
      </w:r>
      <w:r w:rsidR="006E538D">
        <w:t>measurements</w:t>
      </w:r>
      <w:r>
        <w:t>.</w:t>
      </w:r>
      <w:r w:rsidRPr="007C1921">
        <w:t xml:space="preserve"> </w:t>
      </w:r>
      <w:r>
        <w:t xml:space="preserve">In contrast, the </w:t>
      </w:r>
      <w:r w:rsidR="000C7A2F">
        <w:t>SNR from</w:t>
      </w:r>
      <w:r>
        <w:t xml:space="preserve"> the </w:t>
      </w:r>
      <w:r w:rsidR="007D222E">
        <w:t>SAC</w:t>
      </w:r>
      <w:r>
        <w:t xml:space="preserve"> approach </w:t>
      </w:r>
      <w:r w:rsidR="00D84DFA">
        <w:t xml:space="preserve">keeps </w:t>
      </w:r>
      <w:r w:rsidR="00AA2999">
        <w:t>increas</w:t>
      </w:r>
      <w:r w:rsidR="00D84DFA">
        <w:t>ing</w:t>
      </w:r>
      <w:r w:rsidR="00AA2999">
        <w:t xml:space="preserve"> </w:t>
      </w:r>
      <w:r w:rsidR="007837EA">
        <w:t xml:space="preserve">until path length reaches </w:t>
      </w:r>
      <w:r>
        <w:rPr>
          <w:rFonts w:ascii="Arial" w:hAnsi="Arial" w:cs="Arial"/>
        </w:rPr>
        <w:t>≈</w:t>
      </w:r>
      <w:r>
        <w:t xml:space="preserve"> 30 </w:t>
      </w:r>
      <w:r w:rsidRPr="001369E1">
        <w:rPr>
          <w:rFonts w:ascii="Symbol" w:hAnsi="Symbol"/>
        </w:rPr>
        <w:t></w:t>
      </w:r>
      <w:r>
        <w:t>m</w:t>
      </w:r>
      <w:r w:rsidR="007837EA">
        <w:t>.</w:t>
      </w:r>
      <w:r>
        <w:t xml:space="preserve"> </w:t>
      </w:r>
      <w:r w:rsidR="000B6745">
        <w:t xml:space="preserve">If the maximum SNR of the </w:t>
      </w:r>
      <w:r w:rsidR="007D222E">
        <w:t>SAC</w:t>
      </w:r>
      <w:r w:rsidR="000B6745">
        <w:t xml:space="preserve"> at 30 </w:t>
      </w:r>
      <w:r w:rsidR="000B6745" w:rsidRPr="001369E1">
        <w:rPr>
          <w:rFonts w:ascii="Symbol" w:hAnsi="Symbol"/>
        </w:rPr>
        <w:t></w:t>
      </w:r>
      <w:r w:rsidR="000B6745">
        <w:t>m is compared to the maximum SNR of the non-</w:t>
      </w:r>
      <w:r w:rsidR="007D222E">
        <w:t>SAC</w:t>
      </w:r>
      <w:r w:rsidR="000B6745">
        <w:t xml:space="preserve"> at 6 </w:t>
      </w:r>
      <w:r w:rsidR="000B6745" w:rsidRPr="001369E1">
        <w:rPr>
          <w:rFonts w:ascii="Symbol" w:hAnsi="Symbol"/>
        </w:rPr>
        <w:t></w:t>
      </w:r>
      <w:r w:rsidR="000B6745">
        <w:t xml:space="preserve">m, the SNR of the </w:t>
      </w:r>
      <w:r w:rsidR="007D222E">
        <w:t>SAC</w:t>
      </w:r>
      <w:r w:rsidR="000B6745">
        <w:t xml:space="preserve"> is still &gt; 10 times greater than that of the non-</w:t>
      </w:r>
      <w:r w:rsidR="007D222E">
        <w:t>SAC</w:t>
      </w:r>
      <w:r w:rsidR="000B6745">
        <w:t xml:space="preserve">. If compared at the </w:t>
      </w:r>
      <w:r w:rsidR="007D222E">
        <w:t>SAC</w:t>
      </w:r>
      <w:r w:rsidR="000B6745">
        <w:t xml:space="preserve">-optimum path length at 30 </w:t>
      </w:r>
      <w:r w:rsidR="000B6745" w:rsidRPr="001369E1">
        <w:rPr>
          <w:rFonts w:ascii="Symbol" w:hAnsi="Symbol"/>
        </w:rPr>
        <w:t></w:t>
      </w:r>
      <w:r w:rsidR="000B6745">
        <w:t xml:space="preserve">m, </w:t>
      </w:r>
      <w:r>
        <w:t>the SNR</w:t>
      </w:r>
      <w:r w:rsidR="00A81720">
        <w:t xml:space="preserve"> </w:t>
      </w:r>
      <w:r w:rsidR="00A851C9">
        <w:t>of</w:t>
      </w:r>
      <w:r w:rsidR="00A81720">
        <w:t xml:space="preserve"> the </w:t>
      </w:r>
      <w:r w:rsidR="007D222E">
        <w:t>SAC</w:t>
      </w:r>
      <w:r w:rsidR="00A81720">
        <w:t xml:space="preserve"> approach</w:t>
      </w:r>
      <w:r w:rsidR="009715C2">
        <w:t xml:space="preserve"> becomes &gt;1000 times greater </w:t>
      </w:r>
      <w:r w:rsidR="00A851C9">
        <w:t>than that of the non-</w:t>
      </w:r>
      <w:r w:rsidR="007D222E">
        <w:t>SAC</w:t>
      </w:r>
      <w:r w:rsidR="00A851C9">
        <w:t xml:space="preserve"> approach. </w:t>
      </w:r>
      <w:r w:rsidR="005278C3">
        <w:t>Although the actual values of the optimum path length and the maximum SNR enhancement can vary depending on the actual noises of the experimental conditions, t</w:t>
      </w:r>
      <w:r w:rsidR="00C86002">
        <w:t xml:space="preserve">his significant enhancement of SNR is consistent with the demonstrated experiment results in </w:t>
      </w:r>
      <w:r w:rsidR="00EE6863">
        <w:t>Figure</w:t>
      </w:r>
      <w:r w:rsidR="00C86002">
        <w:t xml:space="preserve"> 1.</w:t>
      </w:r>
    </w:p>
    <w:p w14:paraId="43618CA7" w14:textId="1EE8DCDF" w:rsidR="005278C3" w:rsidRDefault="00C86002">
      <w:pPr>
        <w:pStyle w:val="TAMainText"/>
      </w:pPr>
      <w:r>
        <w:t xml:space="preserve">Similarly, we </w:t>
      </w:r>
      <w:r w:rsidR="005278C3">
        <w:t xml:space="preserve">analyze the </w:t>
      </w:r>
      <w:r w:rsidR="002979DE">
        <w:t>error</w:t>
      </w:r>
      <w:r w:rsidR="005278C3">
        <w:t>s</w:t>
      </w:r>
      <w:r w:rsidR="002979DE">
        <w:t xml:space="preserve"> </w:t>
      </w:r>
      <w:r w:rsidR="006D2D0A">
        <w:t xml:space="preserve">and </w:t>
      </w:r>
      <w:r w:rsidR="005278C3">
        <w:t xml:space="preserve">the </w:t>
      </w:r>
      <w:r w:rsidR="006D2D0A">
        <w:t xml:space="preserve">SNR </w:t>
      </w:r>
      <w:r w:rsidR="005278C3">
        <w:t>a</w:t>
      </w:r>
      <w:r w:rsidR="006D2D0A">
        <w:t>t the amide II frequency (1548 cm</w:t>
      </w:r>
      <w:r w:rsidR="006D2D0A" w:rsidRPr="001369E1">
        <w:rPr>
          <w:vertAlign w:val="superscript"/>
        </w:rPr>
        <w:t>-1</w:t>
      </w:r>
      <w:r w:rsidR="006D2D0A">
        <w:t>) both</w:t>
      </w:r>
      <w:r w:rsidR="00542078">
        <w:t xml:space="preserve"> in the </w:t>
      </w:r>
      <w:r w:rsidR="007D222E">
        <w:t>SAC</w:t>
      </w:r>
      <w:r w:rsidR="00542078">
        <w:t xml:space="preserve"> and non-</w:t>
      </w:r>
      <w:r w:rsidR="007D222E">
        <w:t>SAC</w:t>
      </w:r>
      <w:r w:rsidR="00542078">
        <w:t xml:space="preserve"> approaches. </w:t>
      </w:r>
      <w:r w:rsidR="006D2D0A">
        <w:t xml:space="preserve">Detailed error plots of the four noise sources and the resulting SNR results </w:t>
      </w:r>
      <w:r w:rsidR="005278C3">
        <w:t>are presented</w:t>
      </w:r>
      <w:r w:rsidR="006D2D0A">
        <w:t xml:space="preserve"> in the </w:t>
      </w:r>
      <w:r w:rsidR="000754A7">
        <w:t>Supporting Information</w:t>
      </w:r>
      <w:r w:rsidR="006D2D0A">
        <w:t xml:space="preserve">. </w:t>
      </w:r>
      <w:r w:rsidR="005278C3">
        <w:t>In the non-</w:t>
      </w:r>
      <w:r w:rsidR="007D222E">
        <w:t>SAC</w:t>
      </w:r>
      <w:r w:rsidR="005278C3">
        <w:t xml:space="preserve"> approach, the contribution of the dominant noise source, </w:t>
      </w:r>
      <m:oMath>
        <m:sSubSup>
          <m:sSubSupPr>
            <m:ctrlPr>
              <w:rPr>
                <w:rFonts w:ascii="Cambria Math" w:hAnsi="Cambria Math"/>
              </w:rPr>
            </m:ctrlPr>
          </m:sSubSupPr>
          <m:e>
            <m:r>
              <w:rPr>
                <w:rFonts w:ascii="Cambria Math" w:hAnsi="Cambria Math"/>
              </w:rPr>
              <m:t>σ</m:t>
            </m:r>
          </m:e>
          <m:sub>
            <m:r>
              <m:rPr>
                <m:sty m:val="p"/>
              </m:rPr>
              <w:rPr>
                <w:rFonts w:ascii="Cambria Math" w:hAnsi="Cambria Math"/>
              </w:rPr>
              <m:t>A</m:t>
            </m:r>
          </m:sub>
          <m:sup>
            <m:r>
              <m:rPr>
                <m:sty m:val="p"/>
              </m:rPr>
              <w:rPr>
                <w:rFonts w:ascii="Cambria Math" w:hAnsi="Cambria Math"/>
              </w:rPr>
              <m:t>DRN</m:t>
            </m:r>
          </m:sup>
        </m:sSubSup>
      </m:oMath>
      <w:r w:rsidR="005278C3">
        <w:t>, is significantly reduced at the amide II frequency b</w:t>
      </w:r>
      <w:r w:rsidR="00542078">
        <w:t>ecause t</w:t>
      </w:r>
      <w:r>
        <w:t>he t</w:t>
      </w:r>
      <w:r w:rsidR="00F8476A">
        <w:t>ransmi</w:t>
      </w:r>
      <w:r w:rsidR="00542078">
        <w:t>ttance</w:t>
      </w:r>
      <w:r w:rsidR="00F8476A">
        <w:t xml:space="preserve"> </w:t>
      </w:r>
      <w:r w:rsidR="00542078">
        <w:t xml:space="preserve">of </w:t>
      </w:r>
      <w:r w:rsidR="00542078">
        <w:rPr>
          <w:rFonts w:ascii="Arial" w:hAnsi="Arial" w:cs="Arial"/>
        </w:rPr>
        <w:t>≈</w:t>
      </w:r>
      <w:r w:rsidR="00542078">
        <w:t xml:space="preserve"> 10 % at the amide II frequency</w:t>
      </w:r>
      <w:r w:rsidR="00F8476A">
        <w:t xml:space="preserve"> </w:t>
      </w:r>
      <w:r w:rsidR="00542078">
        <w:t xml:space="preserve">is </w:t>
      </w:r>
      <w:r w:rsidR="00041E00">
        <w:t xml:space="preserve">much larger </w:t>
      </w:r>
      <w:r w:rsidR="00FB613D">
        <w:t>compared to</w:t>
      </w:r>
      <w:r w:rsidR="00041E00">
        <w:t xml:space="preserve"> </w:t>
      </w:r>
      <w:r w:rsidR="00FB613D">
        <w:rPr>
          <w:rFonts w:ascii="Arial" w:hAnsi="Arial" w:cs="Arial"/>
        </w:rPr>
        <w:t xml:space="preserve">≈ </w:t>
      </w:r>
      <w:r w:rsidR="00FB613D">
        <w:t>0.003%</w:t>
      </w:r>
      <w:r w:rsidR="00F96AA2">
        <w:t xml:space="preserve"> at</w:t>
      </w:r>
      <w:r w:rsidR="00F35227">
        <w:t xml:space="preserve"> the </w:t>
      </w:r>
      <w:r w:rsidR="00F86CC1">
        <w:t>amide I</w:t>
      </w:r>
      <w:r w:rsidR="00F96AA2">
        <w:t xml:space="preserve"> frequency</w:t>
      </w:r>
      <w:r w:rsidR="005278C3">
        <w:t>.</w:t>
      </w:r>
      <w:r w:rsidR="00551DA9">
        <w:t xml:space="preserve"> </w:t>
      </w:r>
      <w:r w:rsidR="005278C3">
        <w:t>As a result, the</w:t>
      </w:r>
      <w:r w:rsidR="00542078">
        <w:t xml:space="preserve"> </w:t>
      </w:r>
      <w:r w:rsidR="00FB613D">
        <w:t>SNR curve</w:t>
      </w:r>
      <w:r w:rsidR="005278C3">
        <w:t xml:space="preserve"> shows a much greater value at the amide II frequency than at the amide I frequency, as shown in</w:t>
      </w:r>
      <w:r w:rsidR="00FB613D">
        <w:t xml:space="preserve"> </w:t>
      </w:r>
      <w:r w:rsidR="00542078">
        <w:t>Fig</w:t>
      </w:r>
      <w:r w:rsidR="00EE6863">
        <w:t>ures</w:t>
      </w:r>
      <w:r w:rsidR="00542078">
        <w:t xml:space="preserve"> </w:t>
      </w:r>
      <w:r w:rsidR="005278C3">
        <w:t xml:space="preserve">5e and </w:t>
      </w:r>
      <w:r w:rsidR="00542078">
        <w:t>5f</w:t>
      </w:r>
      <w:r w:rsidR="005278C3">
        <w:t>.</w:t>
      </w:r>
      <w:r w:rsidR="00542078">
        <w:t xml:space="preserve"> </w:t>
      </w:r>
      <w:r w:rsidR="005278C3">
        <w:t xml:space="preserve">In contrast, in the </w:t>
      </w:r>
      <w:r w:rsidR="007D222E">
        <w:t>SAC</w:t>
      </w:r>
      <w:r w:rsidR="005278C3">
        <w:t xml:space="preserve"> approach, all the noise characteristics are almost identical between the amide I and II frequencies because the transmitted light intensity is equalized</w:t>
      </w:r>
      <w:r w:rsidR="005278C3" w:rsidRPr="005278C3">
        <w:t xml:space="preserve"> </w:t>
      </w:r>
      <w:r w:rsidR="005278C3">
        <w:t>at all wavelengths. The only difference is that the SNR of the amide II is smaller by half than that of the amide I, due to the smaller absorbance</w:t>
      </w:r>
      <w:r w:rsidR="005278C3" w:rsidRPr="005278C3">
        <w:t xml:space="preserve"> </w:t>
      </w:r>
      <w:r w:rsidR="005278C3">
        <w:t xml:space="preserve">of the amide II band. A comparison between the </w:t>
      </w:r>
      <w:r w:rsidR="007D222E">
        <w:t>SAC</w:t>
      </w:r>
      <w:r w:rsidR="005278C3">
        <w:t xml:space="preserve"> and the non-</w:t>
      </w:r>
      <w:r w:rsidR="007D222E">
        <w:t>SAC</w:t>
      </w:r>
      <w:r w:rsidR="005278C3">
        <w:t xml:space="preserve"> results of the amide II band in </w:t>
      </w:r>
      <w:r w:rsidR="00EE6863">
        <w:t>Figure</w:t>
      </w:r>
      <w:r w:rsidR="005278C3">
        <w:t xml:space="preserve"> 5f shows that the SNR is higher in the </w:t>
      </w:r>
      <w:r w:rsidR="007D222E">
        <w:t>SAC</w:t>
      </w:r>
      <w:r w:rsidR="005278C3">
        <w:t xml:space="preserve"> approach than in the non-</w:t>
      </w:r>
      <w:r w:rsidR="007D222E">
        <w:t>SAC</w:t>
      </w:r>
      <w:r w:rsidR="005278C3">
        <w:t xml:space="preserve"> approach until the dynamic range noise becomes smaller than the detector noise at a long path length. This analysis result is also consistent with the observed incremental enhancement in SNR for the amide II band in </w:t>
      </w:r>
      <w:r w:rsidR="00EE6863">
        <w:t>Figure</w:t>
      </w:r>
      <w:r w:rsidR="005278C3">
        <w:t xml:space="preserve"> 1.</w:t>
      </w:r>
    </w:p>
    <w:p w14:paraId="130AEF01" w14:textId="17F9E0E8" w:rsidR="00FA3574" w:rsidRDefault="005278C3" w:rsidP="00D9627F">
      <w:pPr>
        <w:pStyle w:val="TAMainText"/>
      </w:pPr>
      <w:r w:rsidRPr="006B759D">
        <w:t xml:space="preserve">We need to note that the error analysis of </w:t>
      </w:r>
      <w:r w:rsidR="00FA3574" w:rsidRPr="005278C3">
        <w:t>FT</w:t>
      </w:r>
      <w:r w:rsidRPr="006B759D">
        <w:t>-</w:t>
      </w:r>
      <w:r w:rsidR="00FA3574" w:rsidRPr="005278C3">
        <w:t>IR</w:t>
      </w:r>
      <w:r w:rsidRPr="006B759D">
        <w:t xml:space="preserve"> is quite different from this scanning-wavelength approach. The FT method is based on time-dependent signals consisting of the entire</w:t>
      </w:r>
      <w:r w:rsidR="00FA3574" w:rsidRPr="005278C3">
        <w:t xml:space="preserve"> wavelengths at the same time</w:t>
      </w:r>
      <w:r w:rsidRPr="006B759D">
        <w:t>. The dynamic range of a detector cannot be directly transferrable to the dynamic range of a specific frequency intensity. This all-frequency signal is more likely dominated by a strong absorption band of a solvent, resulting in a</w:t>
      </w:r>
      <w:r w:rsidR="00F639C1">
        <w:t>n effectively</w:t>
      </w:r>
      <w:r w:rsidRPr="006B759D">
        <w:t xml:space="preserve"> </w:t>
      </w:r>
      <w:r w:rsidR="00F639C1">
        <w:t>narrow</w:t>
      </w:r>
      <w:r w:rsidRPr="006B759D">
        <w:t xml:space="preserve"> dynamic range to </w:t>
      </w:r>
      <w:r w:rsidR="00F639C1">
        <w:t xml:space="preserve">resolve </w:t>
      </w:r>
      <w:r w:rsidRPr="006B759D">
        <w:t xml:space="preserve">relatively weak analyte </w:t>
      </w:r>
      <w:r w:rsidR="00F639C1">
        <w:t>signal</w:t>
      </w:r>
      <w:r w:rsidRPr="006B759D">
        <w:t xml:space="preserve">s. Also, </w:t>
      </w:r>
      <w:r>
        <w:t xml:space="preserve">we note that our </w:t>
      </w:r>
      <w:r w:rsidR="007D222E">
        <w:t>SAC</w:t>
      </w:r>
      <w:r>
        <w:t xml:space="preserve"> approach equalizes </w:t>
      </w:r>
      <w:r w:rsidR="004B788F">
        <w:t xml:space="preserve">the </w:t>
      </w:r>
      <w:r>
        <w:t xml:space="preserve">light intensity constant over the entire frequency range so that the signal remains within the </w:t>
      </w:r>
      <w:r w:rsidRPr="006B759D">
        <w:rPr>
          <w:i/>
          <w:iCs/>
        </w:rPr>
        <w:t>linearity dynamic range</w:t>
      </w:r>
      <w:r>
        <w:t xml:space="preserve"> of the detector. The limited linearity of absorbance to concentration has been a problem </w:t>
      </w:r>
      <w:r w:rsidR="004B788F">
        <w:t xml:space="preserve">in </w:t>
      </w:r>
      <w:r>
        <w:t xml:space="preserve">quantitative analysis of the protein concentration in an aqueous solution. This new </w:t>
      </w:r>
      <w:r w:rsidR="007D222E">
        <w:t>SAC</w:t>
      </w:r>
      <w:r>
        <w:t xml:space="preserve"> method allows for quantitative IR spectra to be acquired over a wide wavelength range for a wide linear concentration range of protein in water.</w:t>
      </w:r>
    </w:p>
    <w:p w14:paraId="10EFA26E" w14:textId="77777777" w:rsidR="003848AB" w:rsidRDefault="003848AB" w:rsidP="00D9627F">
      <w:pPr>
        <w:pStyle w:val="TAMainText"/>
      </w:pPr>
    </w:p>
    <w:p w14:paraId="3C105655" w14:textId="77777777" w:rsidR="00DA2082" w:rsidRDefault="00DA2082" w:rsidP="00BA559B">
      <w:pPr>
        <w:pStyle w:val="TAMainText"/>
        <w:ind w:firstLine="0"/>
        <w:rPr>
          <w:b/>
        </w:rPr>
      </w:pPr>
      <w:r>
        <w:rPr>
          <w:b/>
        </w:rPr>
        <w:t>CONCLUSION</w:t>
      </w:r>
    </w:p>
    <w:p w14:paraId="1EE76C9A" w14:textId="594A2B81" w:rsidR="00DA2082" w:rsidRDefault="00DA2082">
      <w:pPr>
        <w:pStyle w:val="TAMainText"/>
      </w:pPr>
      <w:r>
        <w:t>We have demonstrate</w:t>
      </w:r>
      <w:r w:rsidR="79B87578">
        <w:t>d</w:t>
      </w:r>
      <w:r>
        <w:t xml:space="preserve"> </w:t>
      </w:r>
      <w:r w:rsidR="00BB0D80">
        <w:t>a</w:t>
      </w:r>
      <w:r w:rsidR="009A5C85">
        <w:t>n adaptive</w:t>
      </w:r>
      <w:r w:rsidR="003F2366">
        <w:t xml:space="preserve"> </w:t>
      </w:r>
      <w:r w:rsidR="007D222E">
        <w:t>SAC</w:t>
      </w:r>
      <w:r w:rsidR="003F2366">
        <w:t xml:space="preserve"> </w:t>
      </w:r>
      <w:r w:rsidR="00162A3F">
        <w:t xml:space="preserve">technique </w:t>
      </w:r>
      <w:r w:rsidR="00BB0D80">
        <w:t xml:space="preserve">that </w:t>
      </w:r>
      <w:r w:rsidR="003F2366">
        <w:t xml:space="preserve">can </w:t>
      </w:r>
      <w:r w:rsidR="003B7B3B">
        <w:t xml:space="preserve">enhance </w:t>
      </w:r>
      <w:r>
        <w:t xml:space="preserve">the </w:t>
      </w:r>
      <w:r w:rsidR="009A5C85">
        <w:t>signal-to-noise ratio</w:t>
      </w:r>
      <w:r>
        <w:t xml:space="preserve"> of </w:t>
      </w:r>
      <w:r w:rsidR="00863C8C">
        <w:t>QCL</w:t>
      </w:r>
      <w:r w:rsidR="003B7B3B">
        <w:t>-</w:t>
      </w:r>
      <w:r>
        <w:t>IR absorption spectroscopy for the characterization of proteins in aqueous solutions</w:t>
      </w:r>
      <w:r w:rsidR="00504D42">
        <w:t xml:space="preserve"> by </w:t>
      </w:r>
      <w:r w:rsidR="00AD51B2">
        <w:t xml:space="preserve">mitigating </w:t>
      </w:r>
      <w:r w:rsidR="00504D42">
        <w:t>t</w:t>
      </w:r>
      <w:r w:rsidR="00F54B74">
        <w:t>h</w:t>
      </w:r>
      <w:r>
        <w:t xml:space="preserve">e </w:t>
      </w:r>
      <w:r w:rsidR="00AD51B2">
        <w:t>high background absor</w:t>
      </w:r>
      <w:r w:rsidR="002A222B">
        <w:t>ption by</w:t>
      </w:r>
      <w:r w:rsidR="00AD51B2">
        <w:t xml:space="preserve"> water </w:t>
      </w:r>
      <w:r w:rsidR="007A4E4C">
        <w:t>near</w:t>
      </w:r>
      <w:r w:rsidR="00AD51B2">
        <w:t xml:space="preserve"> the amide I band.</w:t>
      </w:r>
      <w:r>
        <w:t xml:space="preserve"> </w:t>
      </w:r>
      <w:r w:rsidR="00250B53">
        <w:t xml:space="preserve">Our </w:t>
      </w:r>
      <w:r>
        <w:t xml:space="preserve">advanced QCL-IR spectroscopy </w:t>
      </w:r>
      <w:r w:rsidR="00AD51B2">
        <w:t xml:space="preserve">has </w:t>
      </w:r>
      <w:r>
        <w:t xml:space="preserve">good linearity of absorbance </w:t>
      </w:r>
      <w:r w:rsidR="00AD51B2">
        <w:t xml:space="preserve">for </w:t>
      </w:r>
      <w:r>
        <w:t xml:space="preserve">the amide I and II bands of protein solutions from 100 mg/mL to 0.1 mg/mL, which corresponds to </w:t>
      </w:r>
      <w:r w:rsidR="002168A9">
        <w:t xml:space="preserve">a </w:t>
      </w:r>
      <w:r w:rsidR="000F3BD9">
        <w:t>higher concentration sensitivity than</w:t>
      </w:r>
      <w:r>
        <w:t xml:space="preserve"> </w:t>
      </w:r>
      <w:r w:rsidR="00C83FBA">
        <w:t>non-</w:t>
      </w:r>
      <w:r w:rsidR="007D222E">
        <w:t xml:space="preserve">SAC </w:t>
      </w:r>
      <w:r w:rsidR="00C83FBA">
        <w:t>configurations</w:t>
      </w:r>
      <w:r>
        <w:t xml:space="preserve">. </w:t>
      </w:r>
      <w:r w:rsidR="005278C3">
        <w:t xml:space="preserve">We also have demonstrated that multivariate analysis of the broad spectra presents good predictability of the mass fractions of BSA and NISTmAb in mixture solutions. </w:t>
      </w:r>
      <w:r w:rsidR="00CA01F9">
        <w:t>We appl</w:t>
      </w:r>
      <w:r w:rsidR="00CF74AF">
        <w:t xml:space="preserve">y </w:t>
      </w:r>
      <w:r>
        <w:t>this non-invasive, high-sensitivity method</w:t>
      </w:r>
      <w:r w:rsidR="00CF74AF">
        <w:t xml:space="preserve"> to </w:t>
      </w:r>
      <w:r>
        <w:t xml:space="preserve">monitor </w:t>
      </w:r>
      <w:r w:rsidR="003C03C7" w:rsidRPr="03066021">
        <w:rPr>
          <w:i/>
          <w:iCs/>
        </w:rPr>
        <w:t>in-situ</w:t>
      </w:r>
      <w:r w:rsidR="003C03C7">
        <w:t xml:space="preserve"> </w:t>
      </w:r>
      <w:r>
        <w:t>the secondary structure chang</w:t>
      </w:r>
      <w:r w:rsidR="00CF74AF">
        <w:t>e</w:t>
      </w:r>
      <w:r>
        <w:t xml:space="preserve"> during insulin </w:t>
      </w:r>
      <w:r w:rsidR="00D2143C">
        <w:t xml:space="preserve">fibrillation </w:t>
      </w:r>
      <w:r>
        <w:t xml:space="preserve">at </w:t>
      </w:r>
      <w:r w:rsidR="003C03C7">
        <w:t>elevated</w:t>
      </w:r>
      <w:r>
        <w:t xml:space="preserve"> temperature. </w:t>
      </w:r>
      <w:r w:rsidR="00A40571">
        <w:t xml:space="preserve">Results </w:t>
      </w:r>
      <w:r w:rsidR="00A664AD">
        <w:t xml:space="preserve">of </w:t>
      </w:r>
      <w:r>
        <w:t>the</w:t>
      </w:r>
      <w:r w:rsidR="00A664AD">
        <w:t xml:space="preserve"> time-resolved IR spectra</w:t>
      </w:r>
      <w:r w:rsidR="00A40571">
        <w:t>l measurements</w:t>
      </w:r>
      <w:r w:rsidR="00D2143C">
        <w:t xml:space="preserve"> at two </w:t>
      </w:r>
      <w:r w:rsidR="00F100C0">
        <w:t xml:space="preserve">representative </w:t>
      </w:r>
      <w:r w:rsidR="00D2143C">
        <w:t>clinical</w:t>
      </w:r>
      <w:r w:rsidR="00F100C0">
        <w:t xml:space="preserve"> </w:t>
      </w:r>
      <w:r w:rsidR="00D2143C">
        <w:t xml:space="preserve">concentrations </w:t>
      </w:r>
      <w:r w:rsidR="00296B18">
        <w:t xml:space="preserve">have been used </w:t>
      </w:r>
      <w:r w:rsidR="00F417D5">
        <w:t xml:space="preserve">to </w:t>
      </w:r>
      <w:r w:rsidR="00F100C0">
        <w:t xml:space="preserve">describe and analyze </w:t>
      </w:r>
      <w:r>
        <w:t>the isothermal kinetics using simple kinetic models for protein fibrillation.</w:t>
      </w:r>
      <w:r w:rsidR="008820CE">
        <w:t xml:space="preserve"> Th</w:t>
      </w:r>
      <w:r w:rsidR="00374045">
        <w:t>ese</w:t>
      </w:r>
      <w:r w:rsidR="008820CE">
        <w:t xml:space="preserve"> </w:t>
      </w:r>
      <w:r w:rsidR="007D222E">
        <w:t>SAC</w:t>
      </w:r>
      <w:r w:rsidR="001C5E62">
        <w:t>-</w:t>
      </w:r>
      <w:r w:rsidR="002417FD">
        <w:t xml:space="preserve">IR spectroscopy </w:t>
      </w:r>
      <w:r w:rsidR="00374045">
        <w:t xml:space="preserve">results show a simple </w:t>
      </w:r>
      <w:r w:rsidR="0019243E">
        <w:t xml:space="preserve">optical technique </w:t>
      </w:r>
      <w:r w:rsidR="00F417D5">
        <w:t xml:space="preserve">that </w:t>
      </w:r>
      <w:r w:rsidR="0019243E">
        <w:t>enhance</w:t>
      </w:r>
      <w:r w:rsidR="00F417D5">
        <w:t>s</w:t>
      </w:r>
      <w:r w:rsidR="0019243E">
        <w:t xml:space="preserve"> the </w:t>
      </w:r>
      <w:r w:rsidR="00D8429C">
        <w:t xml:space="preserve">sensitivity by </w:t>
      </w:r>
      <w:r w:rsidR="00F417D5">
        <w:t xml:space="preserve">two </w:t>
      </w:r>
      <w:r w:rsidR="00D8429C">
        <w:t>orders of magnitude</w:t>
      </w:r>
      <w:r w:rsidR="00AA3505">
        <w:t xml:space="preserve"> </w:t>
      </w:r>
      <w:r w:rsidR="008969CB">
        <w:t xml:space="preserve">without </w:t>
      </w:r>
      <w:r w:rsidR="001F7564">
        <w:t>changing</w:t>
      </w:r>
      <w:r w:rsidR="00AF403B">
        <w:t xml:space="preserve"> the detection system</w:t>
      </w:r>
      <w:r w:rsidR="00806F71">
        <w:t>.</w:t>
      </w:r>
      <w:r w:rsidR="00A77EE5">
        <w:t xml:space="preserve"> </w:t>
      </w:r>
      <w:r w:rsidR="009A5C85" w:rsidRPr="000C4007">
        <w:t xml:space="preserve">The </w:t>
      </w:r>
      <w:r w:rsidR="009A5C85" w:rsidRPr="005D7AC7">
        <w:t xml:space="preserve">same </w:t>
      </w:r>
      <w:r w:rsidR="00A77EE5" w:rsidRPr="005D7AC7">
        <w:t xml:space="preserve">SAC </w:t>
      </w:r>
      <w:r w:rsidR="009A5C85" w:rsidRPr="005D7AC7">
        <w:t xml:space="preserve">approach </w:t>
      </w:r>
      <w:r w:rsidR="009A5C85">
        <w:t xml:space="preserve">can be applied to other types of absorption spectroscopy that investigate samples in strongly absorbing solvents to improve the sensitivity and the detection limit of the methods. </w:t>
      </w:r>
      <w:r w:rsidR="00806F71">
        <w:t>T</w:t>
      </w:r>
      <w:r w:rsidR="001C5E62">
        <w:t xml:space="preserve">he </w:t>
      </w:r>
      <w:r w:rsidR="00806F71">
        <w:t xml:space="preserve">longer </w:t>
      </w:r>
      <w:r w:rsidR="001C5E62">
        <w:t>path length</w:t>
      </w:r>
      <w:r w:rsidR="00806F71">
        <w:t xml:space="preserve"> allows for </w:t>
      </w:r>
      <w:r w:rsidR="009A5C85">
        <w:t>broader applications</w:t>
      </w:r>
      <w:r w:rsidR="004B788F">
        <w:t>,</w:t>
      </w:r>
      <w:r w:rsidR="009A5C85">
        <w:t xml:space="preserve"> including </w:t>
      </w:r>
      <w:r w:rsidR="00AD64EC">
        <w:t xml:space="preserve">microfluidic sample </w:t>
      </w:r>
      <w:r w:rsidR="003223BF">
        <w:t>introduction</w:t>
      </w:r>
      <w:r w:rsidR="00AD64EC">
        <w:t xml:space="preserve">, which </w:t>
      </w:r>
      <w:r w:rsidR="00F417D5">
        <w:t>facilitate</w:t>
      </w:r>
      <w:r w:rsidR="00AA3505">
        <w:t>s</w:t>
      </w:r>
      <w:r w:rsidR="00F417D5">
        <w:t xml:space="preserve"> </w:t>
      </w:r>
      <w:r w:rsidR="002A3F2B">
        <w:t xml:space="preserve">other </w:t>
      </w:r>
      <w:r w:rsidR="00F417D5">
        <w:t>applications</w:t>
      </w:r>
      <w:r w:rsidR="00AD64EC">
        <w:t xml:space="preserve"> </w:t>
      </w:r>
      <w:r w:rsidR="00F417D5">
        <w:t>in</w:t>
      </w:r>
      <w:r w:rsidR="00BC3570">
        <w:t xml:space="preserve"> process analytical technology </w:t>
      </w:r>
      <w:r w:rsidR="00F417D5">
        <w:t xml:space="preserve">for </w:t>
      </w:r>
      <w:r w:rsidR="00BC3570">
        <w:t>biopharmaceutical product</w:t>
      </w:r>
      <w:r w:rsidR="00F417D5">
        <w:t>ion</w:t>
      </w:r>
      <w:r w:rsidR="00BC3570">
        <w:t xml:space="preserve"> </w:t>
      </w:r>
      <w:r w:rsidR="003223BF">
        <w:t>control</w:t>
      </w:r>
      <w:r w:rsidR="00B76B22">
        <w:t>.</w:t>
      </w:r>
    </w:p>
    <w:p w14:paraId="78D9BA9E" w14:textId="77777777" w:rsidR="00DA2082" w:rsidRPr="007172E9" w:rsidRDefault="00DA2082">
      <w:pPr>
        <w:pStyle w:val="TAMainText"/>
        <w:rPr>
          <w:rFonts w:ascii="Times New Roman" w:hAnsi="Times New Roman"/>
          <w:bCs/>
          <w:szCs w:val="24"/>
        </w:rPr>
      </w:pPr>
    </w:p>
    <w:p w14:paraId="1E0F684C" w14:textId="2FE551FB" w:rsidR="00B146C3" w:rsidRPr="007172E9" w:rsidRDefault="00B146C3" w:rsidP="00E04143">
      <w:pPr>
        <w:pStyle w:val="TDAckTitle"/>
        <w:rPr>
          <w:rFonts w:ascii="Times New Roman" w:hAnsi="Times New Roman"/>
          <w:sz w:val="24"/>
        </w:rPr>
      </w:pPr>
      <w:r w:rsidRPr="007172E9">
        <w:rPr>
          <w:rFonts w:ascii="Times New Roman" w:hAnsi="Times New Roman" w:hint="eastAsia"/>
          <w:sz w:val="24"/>
        </w:rPr>
        <w:t>ACKNOWLEDGMENT</w:t>
      </w:r>
      <w:r w:rsidR="00680FCC">
        <w:rPr>
          <w:rFonts w:ascii="Times New Roman" w:hAnsi="Times New Roman"/>
          <w:sz w:val="24"/>
        </w:rPr>
        <w:t>S</w:t>
      </w:r>
    </w:p>
    <w:p w14:paraId="4EA01C24" w14:textId="1796E69E" w:rsidR="00DE357D" w:rsidRDefault="00B146C3">
      <w:pPr>
        <w:pStyle w:val="TDAcknowledgments"/>
        <w:rPr>
          <w:rFonts w:ascii="Myriad Pro Light" w:hAnsi="Myriad Pro Light" w:hint="eastAsia"/>
          <w:b/>
          <w:kern w:val="23"/>
        </w:rPr>
      </w:pPr>
      <w:r w:rsidRPr="00BC429F">
        <w:t xml:space="preserve">We thank the nSoft Consortium and the NIST Biomanufacturing Initiative for financial support. </w:t>
      </w:r>
      <w:r>
        <w:t xml:space="preserve">We thank Travis Gallagher for sharing the crystallographic data of NISTmAb </w:t>
      </w:r>
      <w:r w:rsidRPr="006C2B5E">
        <w:t>based o</w:t>
      </w:r>
      <w:r>
        <w:t>n</w:t>
      </w:r>
      <w:r w:rsidRPr="006C2B5E">
        <w:t xml:space="preserve"> the individual </w:t>
      </w:r>
      <w:r w:rsidRPr="000861DD">
        <w:rPr>
          <w:i/>
          <w:iCs/>
        </w:rPr>
        <w:t>F</w:t>
      </w:r>
      <w:r w:rsidRPr="00F667CE">
        <w:rPr>
          <w:vertAlign w:val="subscript"/>
        </w:rPr>
        <w:t>c</w:t>
      </w:r>
      <w:r w:rsidRPr="006C2B5E">
        <w:t xml:space="preserve"> and </w:t>
      </w:r>
      <w:r w:rsidRPr="000861DD">
        <w:rPr>
          <w:i/>
          <w:iCs/>
        </w:rPr>
        <w:t>F</w:t>
      </w:r>
      <w:r w:rsidRPr="00F667CE">
        <w:rPr>
          <w:vertAlign w:val="subscript"/>
        </w:rPr>
        <w:t>ab</w:t>
      </w:r>
      <w:r w:rsidRPr="006C2B5E">
        <w:t xml:space="preserve"> XRD structures with a grafted hinge</w:t>
      </w:r>
      <w:r>
        <w:t>. We thank Wyatt N. Vreeland and Curtis W. Meuse for critical reviews and comments on the manuscript.</w:t>
      </w:r>
    </w:p>
    <w:p w14:paraId="503A6A01" w14:textId="77777777" w:rsidR="00C33B44" w:rsidRPr="00C33B44" w:rsidRDefault="00C33B44">
      <w:pPr>
        <w:pStyle w:val="TESupportingInfoTitle"/>
      </w:pPr>
      <w:r w:rsidRPr="00C33B44">
        <w:t xml:space="preserve">ASSOCIATED CONTENT </w:t>
      </w:r>
    </w:p>
    <w:p w14:paraId="451F5004" w14:textId="6B0091EF" w:rsidR="00C33B44" w:rsidRPr="00951B1A" w:rsidRDefault="00C33B44" w:rsidP="00951B1A">
      <w:pPr>
        <w:shd w:val="clear" w:color="auto" w:fill="FFFFFF"/>
        <w:spacing w:before="180" w:after="180" w:line="480" w:lineRule="auto"/>
        <w:rPr>
          <w:rFonts w:ascii="Times New Roman" w:hAnsi="Times New Roman"/>
          <w:szCs w:val="24"/>
        </w:rPr>
      </w:pPr>
      <w:r w:rsidRPr="00C33B44">
        <w:rPr>
          <w:rFonts w:ascii="Times New Roman" w:hAnsi="Times New Roman"/>
          <w:b/>
          <w:bCs/>
          <w:color w:val="333333"/>
          <w:szCs w:val="24"/>
          <w:lang w:eastAsia="ko-KR"/>
        </w:rPr>
        <w:t>Supporting Information</w:t>
      </w:r>
      <w:r w:rsidR="00951B1A">
        <w:rPr>
          <w:rFonts w:ascii="Times New Roman" w:hAnsi="Times New Roman"/>
          <w:b/>
          <w:bCs/>
          <w:color w:val="333333"/>
          <w:szCs w:val="24"/>
          <w:lang w:eastAsia="ko-KR"/>
        </w:rPr>
        <w:t>.</w:t>
      </w:r>
      <w:r w:rsidR="00951B1A" w:rsidRPr="00951B1A">
        <w:rPr>
          <w:rFonts w:ascii="Times New Roman" w:hAnsi="Times New Roman"/>
          <w:b/>
          <w:bCs/>
          <w:szCs w:val="24"/>
          <w:shd w:val="clear" w:color="auto" w:fill="FFFFFF"/>
        </w:rPr>
        <w:t xml:space="preserve"> </w:t>
      </w:r>
      <w:bookmarkStart w:id="23" w:name="_Hlk56431243"/>
      <w:r w:rsidR="00951B1A" w:rsidRPr="00951B1A">
        <w:rPr>
          <w:rFonts w:ascii="Times New Roman" w:hAnsi="Times New Roman"/>
          <w:szCs w:val="24"/>
          <w:shd w:val="clear" w:color="auto" w:fill="FFFFFF"/>
        </w:rPr>
        <w:t xml:space="preserve">The results of PCA, 2DCOS, and peak fitting of the </w:t>
      </w:r>
      <w:r w:rsidR="00951B1A" w:rsidRPr="00951B1A">
        <w:rPr>
          <w:rFonts w:ascii="Times New Roman" w:hAnsi="Times New Roman"/>
          <w:i/>
          <w:iCs/>
          <w:szCs w:val="24"/>
          <w:shd w:val="clear" w:color="auto" w:fill="FFFFFF"/>
        </w:rPr>
        <w:t>in situ</w:t>
      </w:r>
      <w:r w:rsidR="00951B1A" w:rsidRPr="00951B1A">
        <w:rPr>
          <w:rFonts w:ascii="Times New Roman" w:hAnsi="Times New Roman"/>
          <w:szCs w:val="24"/>
          <w:shd w:val="clear" w:color="auto" w:fill="FFFFFF"/>
        </w:rPr>
        <w:t xml:space="preserve"> IR spectra of insulin (Figures S1−S4). The SNR analysis results of the amide II band (Figure </w:t>
      </w:r>
      <w:r w:rsidR="00AD787C" w:rsidRPr="00951B1A">
        <w:rPr>
          <w:rFonts w:ascii="Times New Roman" w:hAnsi="Times New Roman"/>
          <w:szCs w:val="24"/>
          <w:shd w:val="clear" w:color="auto" w:fill="FFFFFF"/>
        </w:rPr>
        <w:t>S</w:t>
      </w:r>
      <w:r w:rsidR="00AD787C">
        <w:rPr>
          <w:rFonts w:ascii="Times New Roman" w:hAnsi="Times New Roman"/>
          <w:szCs w:val="24"/>
          <w:shd w:val="clear" w:color="auto" w:fill="FFFFFF"/>
        </w:rPr>
        <w:t>5</w:t>
      </w:r>
      <w:r w:rsidR="00951B1A" w:rsidRPr="00951B1A">
        <w:rPr>
          <w:rFonts w:ascii="Times New Roman" w:hAnsi="Times New Roman"/>
          <w:szCs w:val="24"/>
          <w:shd w:val="clear" w:color="auto" w:fill="FFFFFF"/>
        </w:rPr>
        <w:t>).</w:t>
      </w:r>
      <w:bookmarkEnd w:id="23"/>
      <w:r w:rsidR="00951B1A">
        <w:rPr>
          <w:rFonts w:ascii="Times New Roman" w:hAnsi="Times New Roman"/>
          <w:szCs w:val="24"/>
          <w:shd w:val="clear" w:color="auto" w:fill="FFFFFF"/>
        </w:rPr>
        <w:t xml:space="preserve"> This material</w:t>
      </w:r>
      <w:r w:rsidR="001323AE" w:rsidRPr="00BA559B">
        <w:rPr>
          <w:rFonts w:ascii="Times New Roman" w:hAnsi="Times New Roman"/>
          <w:b/>
          <w:bCs/>
          <w:szCs w:val="24"/>
          <w:shd w:val="clear" w:color="auto" w:fill="FFFFFF"/>
        </w:rPr>
        <w:t xml:space="preserve"> </w:t>
      </w:r>
      <w:r w:rsidRPr="00C33B44">
        <w:rPr>
          <w:rFonts w:ascii="Times New Roman" w:hAnsi="Times New Roman"/>
          <w:bCs/>
          <w:szCs w:val="24"/>
          <w:shd w:val="clear" w:color="auto" w:fill="FFFFFF"/>
        </w:rPr>
        <w:t xml:space="preserve">is available </w:t>
      </w:r>
      <w:r w:rsidRPr="00951B1A">
        <w:rPr>
          <w:rFonts w:ascii="Times New Roman" w:hAnsi="Times New Roman"/>
          <w:bCs/>
          <w:szCs w:val="24"/>
          <w:shd w:val="clear" w:color="auto" w:fill="FFFFFF"/>
        </w:rPr>
        <w:t>free of charge via the Internet at http://pubs.acs.org.</w:t>
      </w:r>
    </w:p>
    <w:p w14:paraId="2B9C2756" w14:textId="73081C47" w:rsidR="00951B1A" w:rsidRPr="00951B1A" w:rsidRDefault="00951B1A" w:rsidP="00951B1A">
      <w:pPr>
        <w:pStyle w:val="AuthorInformationTitle"/>
        <w:spacing w:line="480" w:lineRule="auto"/>
        <w:rPr>
          <w:rFonts w:ascii="Times New Roman" w:hAnsi="Times New Roman"/>
          <w:sz w:val="24"/>
          <w:szCs w:val="24"/>
        </w:rPr>
      </w:pPr>
      <w:r w:rsidRPr="00951B1A">
        <w:rPr>
          <w:rFonts w:ascii="Times New Roman" w:hAnsi="Times New Roman"/>
          <w:sz w:val="24"/>
          <w:szCs w:val="24"/>
        </w:rPr>
        <w:t>AUTHOR INFORMATION</w:t>
      </w:r>
    </w:p>
    <w:p w14:paraId="3DAD9D1B" w14:textId="50B01F52" w:rsidR="00E04143" w:rsidRDefault="00951B1A" w:rsidP="00B146C3">
      <w:pPr>
        <w:pStyle w:val="FAAuthorInfoSubtitle"/>
        <w:spacing w:line="480" w:lineRule="auto"/>
        <w:rPr>
          <w:rFonts w:ascii="Times New Roman" w:hAnsi="Times New Roman"/>
          <w:sz w:val="24"/>
          <w:szCs w:val="24"/>
        </w:rPr>
      </w:pPr>
      <w:r w:rsidRPr="00951B1A">
        <w:rPr>
          <w:rFonts w:ascii="Times New Roman" w:hAnsi="Times New Roman"/>
          <w:sz w:val="24"/>
          <w:szCs w:val="24"/>
        </w:rPr>
        <w:t>Corresponding Author</w:t>
      </w:r>
    </w:p>
    <w:p w14:paraId="20D3A5EC" w14:textId="6F8FBD0E" w:rsidR="00951B1A" w:rsidRPr="00B146C3" w:rsidRDefault="00680FCC" w:rsidP="00B146C3">
      <w:pPr>
        <w:pStyle w:val="FAAuthorInfoSubtitle"/>
        <w:spacing w:line="480" w:lineRule="auto"/>
        <w:rPr>
          <w:rFonts w:hint="eastAsia"/>
          <w:b w:val="0"/>
        </w:rPr>
      </w:pPr>
      <w:r>
        <w:rPr>
          <w:rFonts w:ascii="Times New Roman" w:hAnsi="Times New Roman"/>
          <w:sz w:val="24"/>
          <w:szCs w:val="24"/>
        </w:rPr>
        <w:tab/>
        <w:t>Young Jong Lee –</w:t>
      </w:r>
      <w:r w:rsidR="00951B1A" w:rsidRPr="00B146C3">
        <w:rPr>
          <w:rFonts w:ascii="Times New Roman" w:hAnsi="Times New Roman"/>
          <w:b w:val="0"/>
          <w:sz w:val="24"/>
          <w:szCs w:val="24"/>
        </w:rPr>
        <w:t xml:space="preserve"> </w:t>
      </w:r>
      <w:r>
        <w:rPr>
          <w:rFonts w:ascii="Times New Roman" w:hAnsi="Times New Roman"/>
          <w:b w:val="0"/>
          <w:sz w:val="24"/>
          <w:szCs w:val="24"/>
        </w:rPr>
        <w:t>orcid.org/</w:t>
      </w:r>
      <w:r w:rsidRPr="00680FCC">
        <w:rPr>
          <w:rFonts w:ascii="Times New Roman" w:hAnsi="Times New Roman"/>
          <w:b w:val="0"/>
          <w:sz w:val="24"/>
          <w:szCs w:val="24"/>
        </w:rPr>
        <w:t>0000-0001-7754-3001</w:t>
      </w:r>
      <w:r>
        <w:rPr>
          <w:rFonts w:ascii="Times New Roman" w:hAnsi="Times New Roman"/>
          <w:b w:val="0"/>
          <w:sz w:val="24"/>
          <w:szCs w:val="24"/>
        </w:rPr>
        <w:t xml:space="preserve">; </w:t>
      </w:r>
      <w:r w:rsidR="00951B1A" w:rsidRPr="00B146C3">
        <w:rPr>
          <w:rFonts w:ascii="Times New Roman" w:hAnsi="Times New Roman"/>
          <w:b w:val="0"/>
          <w:sz w:val="24"/>
          <w:szCs w:val="24"/>
        </w:rPr>
        <w:t>Email: youngjong.lee@nist.gov</w:t>
      </w:r>
    </w:p>
    <w:p w14:paraId="62623F73" w14:textId="37887808" w:rsidR="00680FCC" w:rsidRPr="005D7AC7" w:rsidRDefault="00680FCC" w:rsidP="00E04143">
      <w:pPr>
        <w:pStyle w:val="TDAcknowledgments"/>
        <w:rPr>
          <w:b/>
          <w:bCs/>
        </w:rPr>
      </w:pPr>
      <w:r w:rsidRPr="005D7AC7">
        <w:rPr>
          <w:b/>
          <w:bCs/>
        </w:rPr>
        <w:t>Authors</w:t>
      </w:r>
    </w:p>
    <w:p w14:paraId="417CFFA9" w14:textId="7A843E8C" w:rsidR="00680FCC" w:rsidRDefault="00680FCC" w:rsidP="00E04143">
      <w:pPr>
        <w:pStyle w:val="TDAcknowledgments"/>
      </w:pPr>
      <w:r>
        <w:tab/>
      </w:r>
      <w:r w:rsidRPr="005D7AC7">
        <w:rPr>
          <w:b/>
          <w:bCs/>
        </w:rPr>
        <w:t>Bonghwan Chon</w:t>
      </w:r>
      <w:r>
        <w:t xml:space="preserve"> </w:t>
      </w:r>
      <w:r w:rsidRPr="00680FCC">
        <w:t>–</w:t>
      </w:r>
      <w:r w:rsidRPr="005D7AC7">
        <w:t xml:space="preserve"> orcid.org/</w:t>
      </w:r>
      <w:r w:rsidRPr="00680FCC">
        <w:t>0000-0002-3882-1045</w:t>
      </w:r>
      <w:r>
        <w:t xml:space="preserve"> </w:t>
      </w:r>
    </w:p>
    <w:p w14:paraId="4BE917A9" w14:textId="0BBDDDB8" w:rsidR="00680FCC" w:rsidRPr="00EB6507" w:rsidRDefault="00680FCC" w:rsidP="005D7AC7">
      <w:r>
        <w:tab/>
      </w:r>
      <w:r w:rsidRPr="005D7AC7">
        <w:rPr>
          <w:b/>
          <w:bCs/>
        </w:rPr>
        <w:t>Shuyu Xu</w:t>
      </w:r>
      <w:r>
        <w:t xml:space="preserve"> </w:t>
      </w:r>
      <w:r>
        <w:rPr>
          <w:rFonts w:ascii="Times New Roman" w:hAnsi="Times New Roman"/>
          <w:szCs w:val="24"/>
        </w:rPr>
        <w:t>–</w:t>
      </w:r>
      <w:r w:rsidRPr="00B146C3">
        <w:rPr>
          <w:rFonts w:ascii="Times New Roman" w:hAnsi="Times New Roman"/>
          <w:b/>
          <w:szCs w:val="24"/>
        </w:rPr>
        <w:t xml:space="preserve"> </w:t>
      </w:r>
      <w:r w:rsidRPr="007172E9">
        <w:rPr>
          <w:rFonts w:ascii="Times New Roman" w:hAnsi="Times New Roman"/>
          <w:bCs/>
          <w:szCs w:val="24"/>
        </w:rPr>
        <w:t>orcid.org/</w:t>
      </w:r>
      <w:r w:rsidRPr="00680FCC">
        <w:rPr>
          <w:rFonts w:ascii="Times New Roman" w:hAnsi="Times New Roman"/>
          <w:bCs/>
          <w:szCs w:val="24"/>
        </w:rPr>
        <w:t>0000-0001-6313-3773</w:t>
      </w:r>
    </w:p>
    <w:p w14:paraId="68A83C51" w14:textId="77777777" w:rsidR="00680FCC" w:rsidRPr="00F667CE" w:rsidRDefault="00680FCC" w:rsidP="00680FCC">
      <w:pPr>
        <w:pStyle w:val="TDAckTitle"/>
        <w:rPr>
          <w:rFonts w:ascii="Times New Roman" w:hAnsi="Times New Roman"/>
          <w:sz w:val="24"/>
        </w:rPr>
      </w:pPr>
      <w:r w:rsidRPr="00F667CE">
        <w:rPr>
          <w:rFonts w:ascii="Times New Roman" w:hAnsi="Times New Roman" w:hint="eastAsia"/>
          <w:sz w:val="24"/>
        </w:rPr>
        <w:t>Author Contributions</w:t>
      </w:r>
    </w:p>
    <w:p w14:paraId="191EDF26" w14:textId="77777777" w:rsidR="00680FCC" w:rsidRPr="00BC429F" w:rsidRDefault="00680FCC" w:rsidP="00680FCC">
      <w:pPr>
        <w:pStyle w:val="TDAcknowledgments"/>
        <w:rPr>
          <w:rStyle w:val="FAAuthorInfoSubtitleChar"/>
          <w:rFonts w:ascii="Times New Roman" w:hAnsi="Times New Roman"/>
          <w:sz w:val="24"/>
          <w:szCs w:val="24"/>
        </w:rPr>
      </w:pPr>
      <w:r w:rsidRPr="00BC429F">
        <w:rPr>
          <w:rFonts w:hint="eastAsia"/>
        </w:rPr>
        <w:t xml:space="preserve">The manuscript was written through </w:t>
      </w:r>
      <w:r>
        <w:t xml:space="preserve">the </w:t>
      </w:r>
      <w:r w:rsidRPr="00BC429F">
        <w:rPr>
          <w:rFonts w:hint="eastAsia"/>
        </w:rPr>
        <w:t xml:space="preserve">contributions of all authors. All authors have </w:t>
      </w:r>
      <w:r>
        <w:t>approved</w:t>
      </w:r>
      <w:r w:rsidRPr="00BC429F">
        <w:rPr>
          <w:rFonts w:hint="eastAsia"/>
        </w:rPr>
        <w:t xml:space="preserve"> the final version of the manuscript.</w:t>
      </w:r>
    </w:p>
    <w:p w14:paraId="5C816054" w14:textId="25C63F74" w:rsidR="00951B1A" w:rsidRPr="005D7AC7" w:rsidRDefault="00951B1A" w:rsidP="007172E9">
      <w:pPr>
        <w:pStyle w:val="TDAcknowledgments"/>
        <w:rPr>
          <w:b/>
          <w:bCs/>
        </w:rPr>
      </w:pPr>
      <w:r w:rsidRPr="005D7AC7">
        <w:rPr>
          <w:b/>
          <w:bCs/>
        </w:rPr>
        <w:t>Notes</w:t>
      </w:r>
    </w:p>
    <w:p w14:paraId="64865DB3" w14:textId="64329EAC" w:rsidR="00B146C3" w:rsidRDefault="00951B1A">
      <w:pPr>
        <w:pStyle w:val="TDAcknowledgments"/>
      </w:pPr>
      <w:r w:rsidRPr="00F667CE">
        <w:t>The authors declare that they have no conflict of interest.</w:t>
      </w:r>
    </w:p>
    <w:p w14:paraId="4028A9D5" w14:textId="77777777" w:rsidR="00E04143" w:rsidRDefault="00E04143" w:rsidP="00E04143">
      <w:pPr>
        <w:pStyle w:val="TDAcknowledgments"/>
        <w:rPr>
          <w:b/>
          <w:bCs/>
        </w:rPr>
      </w:pPr>
    </w:p>
    <w:p w14:paraId="5729AF21" w14:textId="1ACCDC35" w:rsidR="00E04143" w:rsidRPr="007172E9" w:rsidRDefault="00E04143">
      <w:pPr>
        <w:pStyle w:val="TDAcknowledgments"/>
        <w:rPr>
          <w:b/>
          <w:bCs/>
        </w:rPr>
      </w:pPr>
      <w:r w:rsidRPr="007172E9">
        <w:rPr>
          <w:b/>
          <w:bCs/>
        </w:rPr>
        <w:t>DISCLAIMER</w:t>
      </w:r>
    </w:p>
    <w:p w14:paraId="7D0788FA" w14:textId="548EAEDF" w:rsidR="00E04143" w:rsidRDefault="00951B1A" w:rsidP="00E04143">
      <w:pPr>
        <w:pStyle w:val="TDAcknowledgments"/>
      </w:pPr>
      <w:r w:rsidRPr="00F667CE">
        <w:t>Certain commercial equipment, instruments, or materials are identified in this paper to foster understanding. Such identification does not imply endorsement by NIST, nor does it imply that the materials or equipment identified are necessarily the best available for the purpose.</w:t>
      </w:r>
    </w:p>
    <w:p w14:paraId="6A594F27" w14:textId="27081B2E" w:rsidR="00951B1A" w:rsidRPr="00951B1A" w:rsidRDefault="00951B1A">
      <w:pPr>
        <w:pStyle w:val="TDAcknowledgments"/>
      </w:pPr>
      <w:r w:rsidRPr="00F667CE">
        <w:rPr>
          <w:noProof/>
          <w:lang w:val="en-GB"/>
        </w:rPr>
        <w:t>Official</w:t>
      </w:r>
      <w:r w:rsidRPr="00F667CE">
        <w:rPr>
          <w:lang w:val="en-GB"/>
        </w:rPr>
        <w:t xml:space="preserve"> contribution of the National Institute of Standards and Technology; not subject to copyright in the United States.</w:t>
      </w:r>
    </w:p>
    <w:p w14:paraId="2FEF7D59" w14:textId="77777777" w:rsidR="00101716" w:rsidRPr="00F667CE" w:rsidRDefault="00101716">
      <w:pPr>
        <w:pStyle w:val="TDAckTitle"/>
        <w:rPr>
          <w:rFonts w:hint="eastAsia"/>
        </w:rPr>
      </w:pPr>
    </w:p>
    <w:p w14:paraId="11A89A4C" w14:textId="77777777" w:rsidR="00101716" w:rsidRPr="00F667CE" w:rsidRDefault="00101716">
      <w:pPr>
        <w:pStyle w:val="TDAckTitle"/>
        <w:rPr>
          <w:rFonts w:hint="eastAsia"/>
        </w:rPr>
      </w:pPr>
      <w:r w:rsidRPr="00F667CE">
        <w:rPr>
          <w:rFonts w:hint="eastAsia"/>
        </w:rPr>
        <w:t>REFERENCES</w:t>
      </w:r>
    </w:p>
    <w:p w14:paraId="29B3C5F7" w14:textId="4C746D83" w:rsidR="000C4007" w:rsidRPr="000C4007" w:rsidRDefault="0052771C" w:rsidP="000C4007">
      <w:pPr>
        <w:widowControl w:val="0"/>
        <w:autoSpaceDE w:val="0"/>
        <w:autoSpaceDN w:val="0"/>
        <w:adjustRightInd w:val="0"/>
        <w:spacing w:before="180" w:after="60"/>
        <w:ind w:left="640" w:hanging="640"/>
        <w:rPr>
          <w:rFonts w:ascii="Myriad Pro Light" w:hAnsi="Myriad Pro Light"/>
          <w:noProof/>
          <w:sz w:val="20"/>
          <w:szCs w:val="24"/>
        </w:rPr>
      </w:pPr>
      <w:r>
        <w:rPr>
          <w:rFonts w:hint="eastAsia"/>
          <w:szCs w:val="24"/>
        </w:rPr>
        <w:fldChar w:fldCharType="begin" w:fldLock="1"/>
      </w:r>
      <w:r>
        <w:rPr>
          <w:rFonts w:hint="eastAsia"/>
          <w:szCs w:val="24"/>
        </w:rPr>
        <w:instrText xml:space="preserve">ADDIN Mendeley Bibliography CSL_BIBLIOGRAPHY </w:instrText>
      </w:r>
      <w:r>
        <w:rPr>
          <w:rFonts w:hint="eastAsia"/>
          <w:szCs w:val="24"/>
        </w:rPr>
        <w:fldChar w:fldCharType="separate"/>
      </w:r>
      <w:r w:rsidR="000C4007" w:rsidRPr="000C4007">
        <w:rPr>
          <w:rFonts w:ascii="Myriad Pro Light" w:hAnsi="Myriad Pro Light"/>
          <w:noProof/>
          <w:sz w:val="20"/>
          <w:szCs w:val="24"/>
        </w:rPr>
        <w:t xml:space="preserve">(1) </w:t>
      </w:r>
      <w:r w:rsidR="000C4007" w:rsidRPr="000C4007">
        <w:rPr>
          <w:rFonts w:ascii="Myriad Pro Light" w:hAnsi="Myriad Pro Light"/>
          <w:noProof/>
          <w:sz w:val="20"/>
          <w:szCs w:val="24"/>
        </w:rPr>
        <w:tab/>
        <w:t xml:space="preserve">Baker, M. J.; Trevisan, J.; Bassan, P.; Bhargava, R.; Butler, H. J.; Dorling, K. M.; Fielden, P. R.; Fogarty, S. W.; Fullwood, N. J.; Heys, K. A.; Hughes, C.; Lasch, P.; Martin-Hirsch, P. L.; Obinaju, B.; Sockalingum, G. D.; Sulé-Suso, J.; Strong, R. J.; Walsh, M. J.; Wood, B. R.; Gardner, P.; Martin, F. L. Using Fourier Transform IR Spectroscopy to Analyze Biological Materials. </w:t>
      </w:r>
      <w:r w:rsidR="000C4007" w:rsidRPr="000C4007">
        <w:rPr>
          <w:rFonts w:ascii="Myriad Pro Light" w:hAnsi="Myriad Pro Light"/>
          <w:i/>
          <w:iCs/>
          <w:noProof/>
          <w:sz w:val="20"/>
          <w:szCs w:val="24"/>
        </w:rPr>
        <w:t>Nat. Protoc.</w:t>
      </w:r>
      <w:r w:rsidR="000C4007" w:rsidRPr="000C4007">
        <w:rPr>
          <w:rFonts w:ascii="Myriad Pro Light" w:hAnsi="Myriad Pro Light"/>
          <w:noProof/>
          <w:sz w:val="20"/>
          <w:szCs w:val="24"/>
        </w:rPr>
        <w:t xml:space="preserve"> </w:t>
      </w:r>
      <w:r w:rsidR="000C4007" w:rsidRPr="000C4007">
        <w:rPr>
          <w:rFonts w:ascii="Myriad Pro Light" w:hAnsi="Myriad Pro Light"/>
          <w:b/>
          <w:bCs/>
          <w:noProof/>
          <w:sz w:val="20"/>
          <w:szCs w:val="24"/>
        </w:rPr>
        <w:t>2014</w:t>
      </w:r>
      <w:r w:rsidR="000C4007" w:rsidRPr="000C4007">
        <w:rPr>
          <w:rFonts w:ascii="Myriad Pro Light" w:hAnsi="Myriad Pro Light"/>
          <w:noProof/>
          <w:sz w:val="20"/>
          <w:szCs w:val="24"/>
        </w:rPr>
        <w:t xml:space="preserve">, </w:t>
      </w:r>
      <w:r w:rsidR="000C4007" w:rsidRPr="000C4007">
        <w:rPr>
          <w:rFonts w:ascii="Myriad Pro Light" w:hAnsi="Myriad Pro Light"/>
          <w:i/>
          <w:iCs/>
          <w:noProof/>
          <w:sz w:val="20"/>
          <w:szCs w:val="24"/>
        </w:rPr>
        <w:t>9</w:t>
      </w:r>
      <w:r w:rsidR="000C4007" w:rsidRPr="000C4007">
        <w:rPr>
          <w:rFonts w:ascii="Myriad Pro Light" w:hAnsi="Myriad Pro Light"/>
          <w:noProof/>
          <w:sz w:val="20"/>
          <w:szCs w:val="24"/>
        </w:rPr>
        <w:t xml:space="preserve"> (8), 1771–1791.</w:t>
      </w:r>
    </w:p>
    <w:p w14:paraId="70BE5551" w14:textId="77777777" w:rsidR="000C4007" w:rsidRPr="000C4007" w:rsidRDefault="000C4007" w:rsidP="000C4007">
      <w:pPr>
        <w:widowControl w:val="0"/>
        <w:autoSpaceDE w:val="0"/>
        <w:autoSpaceDN w:val="0"/>
        <w:adjustRightInd w:val="0"/>
        <w:spacing w:before="180" w:after="60"/>
        <w:ind w:left="640" w:hanging="640"/>
        <w:rPr>
          <w:rFonts w:ascii="Myriad Pro Light" w:hAnsi="Myriad Pro Light"/>
          <w:noProof/>
          <w:sz w:val="20"/>
          <w:szCs w:val="24"/>
        </w:rPr>
      </w:pPr>
      <w:r w:rsidRPr="000C4007">
        <w:rPr>
          <w:rFonts w:ascii="Myriad Pro Light" w:hAnsi="Myriad Pro Light"/>
          <w:noProof/>
          <w:sz w:val="20"/>
          <w:szCs w:val="24"/>
        </w:rPr>
        <w:t xml:space="preserve">(2) </w:t>
      </w:r>
      <w:r w:rsidRPr="000C4007">
        <w:rPr>
          <w:rFonts w:ascii="Myriad Pro Light" w:hAnsi="Myriad Pro Light"/>
          <w:noProof/>
          <w:sz w:val="20"/>
          <w:szCs w:val="24"/>
        </w:rPr>
        <w:tab/>
        <w:t xml:space="preserve">Jackson, M.; Mantsch, H. H. The Use and Misuse of FTIR Spectroscopy in the Determination of Protein Structure. </w:t>
      </w:r>
      <w:r w:rsidRPr="000C4007">
        <w:rPr>
          <w:rFonts w:ascii="Myriad Pro Light" w:hAnsi="Myriad Pro Light"/>
          <w:i/>
          <w:iCs/>
          <w:noProof/>
          <w:sz w:val="20"/>
          <w:szCs w:val="24"/>
        </w:rPr>
        <w:t>Crit. Rev. Biochem. Mol. Biol.</w:t>
      </w:r>
      <w:r w:rsidRPr="000C4007">
        <w:rPr>
          <w:rFonts w:ascii="Myriad Pro Light" w:hAnsi="Myriad Pro Light"/>
          <w:noProof/>
          <w:sz w:val="20"/>
          <w:szCs w:val="24"/>
        </w:rPr>
        <w:t xml:space="preserve"> </w:t>
      </w:r>
      <w:r w:rsidRPr="000C4007">
        <w:rPr>
          <w:rFonts w:ascii="Myriad Pro Light" w:hAnsi="Myriad Pro Light"/>
          <w:b/>
          <w:bCs/>
          <w:noProof/>
          <w:sz w:val="20"/>
          <w:szCs w:val="24"/>
        </w:rPr>
        <w:t>1995</w:t>
      </w:r>
      <w:r w:rsidRPr="000C4007">
        <w:rPr>
          <w:rFonts w:ascii="Myriad Pro Light" w:hAnsi="Myriad Pro Light"/>
          <w:noProof/>
          <w:sz w:val="20"/>
          <w:szCs w:val="24"/>
        </w:rPr>
        <w:t xml:space="preserve">, </w:t>
      </w:r>
      <w:r w:rsidRPr="000C4007">
        <w:rPr>
          <w:rFonts w:ascii="Myriad Pro Light" w:hAnsi="Myriad Pro Light"/>
          <w:i/>
          <w:iCs/>
          <w:noProof/>
          <w:sz w:val="20"/>
          <w:szCs w:val="24"/>
        </w:rPr>
        <w:t>30</w:t>
      </w:r>
      <w:r w:rsidRPr="000C4007">
        <w:rPr>
          <w:rFonts w:ascii="Myriad Pro Light" w:hAnsi="Myriad Pro Light"/>
          <w:noProof/>
          <w:sz w:val="20"/>
          <w:szCs w:val="24"/>
        </w:rPr>
        <w:t xml:space="preserve"> (2), 95–120.</w:t>
      </w:r>
    </w:p>
    <w:p w14:paraId="50DBF44B" w14:textId="77777777" w:rsidR="000C4007" w:rsidRPr="000C4007" w:rsidRDefault="000C4007" w:rsidP="000C4007">
      <w:pPr>
        <w:widowControl w:val="0"/>
        <w:autoSpaceDE w:val="0"/>
        <w:autoSpaceDN w:val="0"/>
        <w:adjustRightInd w:val="0"/>
        <w:spacing w:before="180" w:after="60"/>
        <w:ind w:left="640" w:hanging="640"/>
        <w:rPr>
          <w:rFonts w:ascii="Myriad Pro Light" w:hAnsi="Myriad Pro Light"/>
          <w:noProof/>
          <w:sz w:val="20"/>
          <w:szCs w:val="24"/>
        </w:rPr>
      </w:pPr>
      <w:r w:rsidRPr="000C4007">
        <w:rPr>
          <w:rFonts w:ascii="Myriad Pro Light" w:hAnsi="Myriad Pro Light"/>
          <w:noProof/>
          <w:sz w:val="20"/>
          <w:szCs w:val="24"/>
        </w:rPr>
        <w:t xml:space="preserve">(3) </w:t>
      </w:r>
      <w:r w:rsidRPr="000C4007">
        <w:rPr>
          <w:rFonts w:ascii="Myriad Pro Light" w:hAnsi="Myriad Pro Light"/>
          <w:noProof/>
          <w:sz w:val="20"/>
          <w:szCs w:val="24"/>
        </w:rPr>
        <w:tab/>
        <w:t xml:space="preserve">Yang, H.; Yang, S.; Kong, J.; Dong, A.; Yu, S. Obtaining Information about Protein Secondary Structures in Aqueous Solution Using Fourier Transform IR Spectroscopy. </w:t>
      </w:r>
      <w:r w:rsidRPr="000C4007">
        <w:rPr>
          <w:rFonts w:ascii="Myriad Pro Light" w:hAnsi="Myriad Pro Light"/>
          <w:i/>
          <w:iCs/>
          <w:noProof/>
          <w:sz w:val="20"/>
          <w:szCs w:val="24"/>
        </w:rPr>
        <w:t>Nat. Protoc.</w:t>
      </w:r>
      <w:r w:rsidRPr="000C4007">
        <w:rPr>
          <w:rFonts w:ascii="Myriad Pro Light" w:hAnsi="Myriad Pro Light"/>
          <w:noProof/>
          <w:sz w:val="20"/>
          <w:szCs w:val="24"/>
        </w:rPr>
        <w:t xml:space="preserve"> </w:t>
      </w:r>
      <w:r w:rsidRPr="000C4007">
        <w:rPr>
          <w:rFonts w:ascii="Myriad Pro Light" w:hAnsi="Myriad Pro Light"/>
          <w:b/>
          <w:bCs/>
          <w:noProof/>
          <w:sz w:val="20"/>
          <w:szCs w:val="24"/>
        </w:rPr>
        <w:t>2015</w:t>
      </w:r>
      <w:r w:rsidRPr="000C4007">
        <w:rPr>
          <w:rFonts w:ascii="Myriad Pro Light" w:hAnsi="Myriad Pro Light"/>
          <w:noProof/>
          <w:sz w:val="20"/>
          <w:szCs w:val="24"/>
        </w:rPr>
        <w:t xml:space="preserve">, </w:t>
      </w:r>
      <w:r w:rsidRPr="000C4007">
        <w:rPr>
          <w:rFonts w:ascii="Myriad Pro Light" w:hAnsi="Myriad Pro Light"/>
          <w:i/>
          <w:iCs/>
          <w:noProof/>
          <w:sz w:val="20"/>
          <w:szCs w:val="24"/>
        </w:rPr>
        <w:t>10</w:t>
      </w:r>
      <w:r w:rsidRPr="000C4007">
        <w:rPr>
          <w:rFonts w:ascii="Myriad Pro Light" w:hAnsi="Myriad Pro Light"/>
          <w:noProof/>
          <w:sz w:val="20"/>
          <w:szCs w:val="24"/>
        </w:rPr>
        <w:t xml:space="preserve"> (3), 382–396.</w:t>
      </w:r>
    </w:p>
    <w:p w14:paraId="2137C26E" w14:textId="77777777" w:rsidR="000C4007" w:rsidRPr="000C4007" w:rsidRDefault="000C4007" w:rsidP="000C4007">
      <w:pPr>
        <w:widowControl w:val="0"/>
        <w:autoSpaceDE w:val="0"/>
        <w:autoSpaceDN w:val="0"/>
        <w:adjustRightInd w:val="0"/>
        <w:spacing w:before="180" w:after="60"/>
        <w:ind w:left="640" w:hanging="640"/>
        <w:rPr>
          <w:rFonts w:ascii="Myriad Pro Light" w:hAnsi="Myriad Pro Light"/>
          <w:noProof/>
          <w:sz w:val="20"/>
          <w:szCs w:val="24"/>
        </w:rPr>
      </w:pPr>
      <w:r w:rsidRPr="000C4007">
        <w:rPr>
          <w:rFonts w:ascii="Myriad Pro Light" w:hAnsi="Myriad Pro Light"/>
          <w:noProof/>
          <w:sz w:val="20"/>
          <w:szCs w:val="24"/>
        </w:rPr>
        <w:t xml:space="preserve">(4) </w:t>
      </w:r>
      <w:r w:rsidRPr="000C4007">
        <w:rPr>
          <w:rFonts w:ascii="Myriad Pro Light" w:hAnsi="Myriad Pro Light"/>
          <w:noProof/>
          <w:sz w:val="20"/>
          <w:szCs w:val="24"/>
        </w:rPr>
        <w:tab/>
        <w:t xml:space="preserve">Perro, A.; Lebourdon, G.; Henry, S.; Lecomte, S.; Servant, L.; Marre, S. Combining Microfluidics and FT-IR Spectroscopy: Towards Spatially Resolved Information on Chemical Processes. </w:t>
      </w:r>
      <w:r w:rsidRPr="000C4007">
        <w:rPr>
          <w:rFonts w:ascii="Myriad Pro Light" w:hAnsi="Myriad Pro Light"/>
          <w:i/>
          <w:iCs/>
          <w:noProof/>
          <w:sz w:val="20"/>
          <w:szCs w:val="24"/>
        </w:rPr>
        <w:t>React. Chem. Eng.</w:t>
      </w:r>
      <w:r w:rsidRPr="000C4007">
        <w:rPr>
          <w:rFonts w:ascii="Myriad Pro Light" w:hAnsi="Myriad Pro Light"/>
          <w:noProof/>
          <w:sz w:val="20"/>
          <w:szCs w:val="24"/>
        </w:rPr>
        <w:t xml:space="preserve"> </w:t>
      </w:r>
      <w:r w:rsidRPr="000C4007">
        <w:rPr>
          <w:rFonts w:ascii="Myriad Pro Light" w:hAnsi="Myriad Pro Light"/>
          <w:b/>
          <w:bCs/>
          <w:noProof/>
          <w:sz w:val="20"/>
          <w:szCs w:val="24"/>
        </w:rPr>
        <w:t>2016</w:t>
      </w:r>
      <w:r w:rsidRPr="000C4007">
        <w:rPr>
          <w:rFonts w:ascii="Myriad Pro Light" w:hAnsi="Myriad Pro Light"/>
          <w:noProof/>
          <w:sz w:val="20"/>
          <w:szCs w:val="24"/>
        </w:rPr>
        <w:t xml:space="preserve">, </w:t>
      </w:r>
      <w:r w:rsidRPr="000C4007">
        <w:rPr>
          <w:rFonts w:ascii="Myriad Pro Light" w:hAnsi="Myriad Pro Light"/>
          <w:i/>
          <w:iCs/>
          <w:noProof/>
          <w:sz w:val="20"/>
          <w:szCs w:val="24"/>
        </w:rPr>
        <w:t>1</w:t>
      </w:r>
      <w:r w:rsidRPr="000C4007">
        <w:rPr>
          <w:rFonts w:ascii="Myriad Pro Light" w:hAnsi="Myriad Pro Light"/>
          <w:noProof/>
          <w:sz w:val="20"/>
          <w:szCs w:val="24"/>
        </w:rPr>
        <w:t xml:space="preserve"> (6), 577–594.</w:t>
      </w:r>
    </w:p>
    <w:p w14:paraId="732ABFFD" w14:textId="77777777" w:rsidR="000C4007" w:rsidRPr="000C4007" w:rsidRDefault="000C4007" w:rsidP="000C4007">
      <w:pPr>
        <w:widowControl w:val="0"/>
        <w:autoSpaceDE w:val="0"/>
        <w:autoSpaceDN w:val="0"/>
        <w:adjustRightInd w:val="0"/>
        <w:spacing w:before="180" w:after="60"/>
        <w:ind w:left="640" w:hanging="640"/>
        <w:rPr>
          <w:rFonts w:ascii="Myriad Pro Light" w:hAnsi="Myriad Pro Light"/>
          <w:noProof/>
          <w:sz w:val="20"/>
          <w:szCs w:val="24"/>
        </w:rPr>
      </w:pPr>
      <w:r w:rsidRPr="000C4007">
        <w:rPr>
          <w:rFonts w:ascii="Myriad Pro Light" w:hAnsi="Myriad Pro Light"/>
          <w:noProof/>
          <w:sz w:val="20"/>
          <w:szCs w:val="24"/>
        </w:rPr>
        <w:t xml:space="preserve">(5) </w:t>
      </w:r>
      <w:r w:rsidRPr="000C4007">
        <w:rPr>
          <w:rFonts w:ascii="Myriad Pro Light" w:hAnsi="Myriad Pro Light"/>
          <w:noProof/>
          <w:sz w:val="20"/>
          <w:szCs w:val="24"/>
        </w:rPr>
        <w:tab/>
        <w:t xml:space="preserve">Childs, D. T. D.; Hogg, R. A.; Revin, D. G.; Rehman, I. U.; Cockburn, J. W.; Matcher, S. J. Sensitivity Advantage of QCL Tunable-Laser Mid-Infrared Spectroscopy over FTIR Spectroscopy. </w:t>
      </w:r>
      <w:r w:rsidRPr="000C4007">
        <w:rPr>
          <w:rFonts w:ascii="Myriad Pro Light" w:hAnsi="Myriad Pro Light"/>
          <w:i/>
          <w:iCs/>
          <w:noProof/>
          <w:sz w:val="20"/>
          <w:szCs w:val="24"/>
        </w:rPr>
        <w:t>Appl. Spectrosc. Rev.</w:t>
      </w:r>
      <w:r w:rsidRPr="000C4007">
        <w:rPr>
          <w:rFonts w:ascii="Myriad Pro Light" w:hAnsi="Myriad Pro Light"/>
          <w:noProof/>
          <w:sz w:val="20"/>
          <w:szCs w:val="24"/>
        </w:rPr>
        <w:t xml:space="preserve"> </w:t>
      </w:r>
      <w:r w:rsidRPr="000C4007">
        <w:rPr>
          <w:rFonts w:ascii="Myriad Pro Light" w:hAnsi="Myriad Pro Light"/>
          <w:b/>
          <w:bCs/>
          <w:noProof/>
          <w:sz w:val="20"/>
          <w:szCs w:val="24"/>
        </w:rPr>
        <w:t>2015</w:t>
      </w:r>
      <w:r w:rsidRPr="000C4007">
        <w:rPr>
          <w:rFonts w:ascii="Myriad Pro Light" w:hAnsi="Myriad Pro Light"/>
          <w:noProof/>
          <w:sz w:val="20"/>
          <w:szCs w:val="24"/>
        </w:rPr>
        <w:t xml:space="preserve">, </w:t>
      </w:r>
      <w:r w:rsidRPr="000C4007">
        <w:rPr>
          <w:rFonts w:ascii="Myriad Pro Light" w:hAnsi="Myriad Pro Light"/>
          <w:i/>
          <w:iCs/>
          <w:noProof/>
          <w:sz w:val="20"/>
          <w:szCs w:val="24"/>
        </w:rPr>
        <w:t>50</w:t>
      </w:r>
      <w:r w:rsidRPr="000C4007">
        <w:rPr>
          <w:rFonts w:ascii="Myriad Pro Light" w:hAnsi="Myriad Pro Light"/>
          <w:noProof/>
          <w:sz w:val="20"/>
          <w:szCs w:val="24"/>
        </w:rPr>
        <w:t xml:space="preserve"> (10), 822–839.</w:t>
      </w:r>
    </w:p>
    <w:p w14:paraId="4A14386F" w14:textId="77777777" w:rsidR="000C4007" w:rsidRPr="000C4007" w:rsidRDefault="000C4007" w:rsidP="000C4007">
      <w:pPr>
        <w:widowControl w:val="0"/>
        <w:autoSpaceDE w:val="0"/>
        <w:autoSpaceDN w:val="0"/>
        <w:adjustRightInd w:val="0"/>
        <w:spacing w:before="180" w:after="60"/>
        <w:ind w:left="640" w:hanging="640"/>
        <w:rPr>
          <w:rFonts w:ascii="Myriad Pro Light" w:hAnsi="Myriad Pro Light"/>
          <w:noProof/>
          <w:sz w:val="20"/>
          <w:szCs w:val="24"/>
        </w:rPr>
      </w:pPr>
      <w:r w:rsidRPr="000C4007">
        <w:rPr>
          <w:rFonts w:ascii="Myriad Pro Light" w:hAnsi="Myriad Pro Light"/>
          <w:noProof/>
          <w:sz w:val="20"/>
          <w:szCs w:val="24"/>
        </w:rPr>
        <w:t xml:space="preserve">(6) </w:t>
      </w:r>
      <w:r w:rsidRPr="000C4007">
        <w:rPr>
          <w:rFonts w:ascii="Myriad Pro Light" w:hAnsi="Myriad Pro Light"/>
          <w:noProof/>
          <w:sz w:val="20"/>
          <w:szCs w:val="24"/>
        </w:rPr>
        <w:tab/>
        <w:t xml:space="preserve">Yeh, K.; Kenkel, S.; Liu, J. N.; Bhargava, R. Fast Infrared Chemical Imaging with a Quantum Cascade Laser. </w:t>
      </w:r>
      <w:r w:rsidRPr="000C4007">
        <w:rPr>
          <w:rFonts w:ascii="Myriad Pro Light" w:hAnsi="Myriad Pro Light"/>
          <w:i/>
          <w:iCs/>
          <w:noProof/>
          <w:sz w:val="20"/>
          <w:szCs w:val="24"/>
        </w:rPr>
        <w:t>Anal. Chem.</w:t>
      </w:r>
      <w:r w:rsidRPr="000C4007">
        <w:rPr>
          <w:rFonts w:ascii="Myriad Pro Light" w:hAnsi="Myriad Pro Light"/>
          <w:noProof/>
          <w:sz w:val="20"/>
          <w:szCs w:val="24"/>
        </w:rPr>
        <w:t xml:space="preserve"> </w:t>
      </w:r>
      <w:r w:rsidRPr="000C4007">
        <w:rPr>
          <w:rFonts w:ascii="Myriad Pro Light" w:hAnsi="Myriad Pro Light"/>
          <w:b/>
          <w:bCs/>
          <w:noProof/>
          <w:sz w:val="20"/>
          <w:szCs w:val="24"/>
        </w:rPr>
        <w:t>2015</w:t>
      </w:r>
      <w:r w:rsidRPr="000C4007">
        <w:rPr>
          <w:rFonts w:ascii="Myriad Pro Light" w:hAnsi="Myriad Pro Light"/>
          <w:noProof/>
          <w:sz w:val="20"/>
          <w:szCs w:val="24"/>
        </w:rPr>
        <w:t xml:space="preserve">, </w:t>
      </w:r>
      <w:r w:rsidRPr="000C4007">
        <w:rPr>
          <w:rFonts w:ascii="Myriad Pro Light" w:hAnsi="Myriad Pro Light"/>
          <w:i/>
          <w:iCs/>
          <w:noProof/>
          <w:sz w:val="20"/>
          <w:szCs w:val="24"/>
        </w:rPr>
        <w:t>87</w:t>
      </w:r>
      <w:r w:rsidRPr="000C4007">
        <w:rPr>
          <w:rFonts w:ascii="Myriad Pro Light" w:hAnsi="Myriad Pro Light"/>
          <w:noProof/>
          <w:sz w:val="20"/>
          <w:szCs w:val="24"/>
        </w:rPr>
        <w:t xml:space="preserve"> (1), 485–493.</w:t>
      </w:r>
    </w:p>
    <w:p w14:paraId="04C5C6FB" w14:textId="77777777" w:rsidR="000C4007" w:rsidRPr="000C4007" w:rsidRDefault="000C4007" w:rsidP="000C4007">
      <w:pPr>
        <w:widowControl w:val="0"/>
        <w:autoSpaceDE w:val="0"/>
        <w:autoSpaceDN w:val="0"/>
        <w:adjustRightInd w:val="0"/>
        <w:spacing w:before="180" w:after="60"/>
        <w:ind w:left="640" w:hanging="640"/>
        <w:rPr>
          <w:rFonts w:ascii="Myriad Pro Light" w:hAnsi="Myriad Pro Light"/>
          <w:noProof/>
          <w:sz w:val="20"/>
          <w:szCs w:val="24"/>
        </w:rPr>
      </w:pPr>
      <w:r w:rsidRPr="000C4007">
        <w:rPr>
          <w:rFonts w:ascii="Myriad Pro Light" w:hAnsi="Myriad Pro Light"/>
          <w:noProof/>
          <w:sz w:val="20"/>
          <w:szCs w:val="24"/>
        </w:rPr>
        <w:t xml:space="preserve">(7) </w:t>
      </w:r>
      <w:r w:rsidRPr="000C4007">
        <w:rPr>
          <w:rFonts w:ascii="Myriad Pro Light" w:hAnsi="Myriad Pro Light"/>
          <w:noProof/>
          <w:sz w:val="20"/>
          <w:szCs w:val="24"/>
        </w:rPr>
        <w:tab/>
        <w:t xml:space="preserve">Zhang, D.; Li, C.; Zhang, C.; Slipchenko, M. N.; Eakins, G.; Cheng, J. Depth-Resolved Mid-Infrared Photothermal Imaging of Living Cells and Organisms with Submicrometer Spatial Resolution. </w:t>
      </w:r>
      <w:r w:rsidRPr="000C4007">
        <w:rPr>
          <w:rFonts w:ascii="Myriad Pro Light" w:hAnsi="Myriad Pro Light"/>
          <w:i/>
          <w:iCs/>
          <w:noProof/>
          <w:sz w:val="20"/>
          <w:szCs w:val="24"/>
        </w:rPr>
        <w:t>Sci. Adv.</w:t>
      </w:r>
      <w:r w:rsidRPr="000C4007">
        <w:rPr>
          <w:rFonts w:ascii="Myriad Pro Light" w:hAnsi="Myriad Pro Light"/>
          <w:noProof/>
          <w:sz w:val="20"/>
          <w:szCs w:val="24"/>
        </w:rPr>
        <w:t xml:space="preserve"> </w:t>
      </w:r>
      <w:r w:rsidRPr="000C4007">
        <w:rPr>
          <w:rFonts w:ascii="Myriad Pro Light" w:hAnsi="Myriad Pro Light"/>
          <w:b/>
          <w:bCs/>
          <w:noProof/>
          <w:sz w:val="20"/>
          <w:szCs w:val="24"/>
        </w:rPr>
        <w:t>2016</w:t>
      </w:r>
      <w:r w:rsidRPr="000C4007">
        <w:rPr>
          <w:rFonts w:ascii="Myriad Pro Light" w:hAnsi="Myriad Pro Light"/>
          <w:noProof/>
          <w:sz w:val="20"/>
          <w:szCs w:val="24"/>
        </w:rPr>
        <w:t xml:space="preserve">, </w:t>
      </w:r>
      <w:r w:rsidRPr="000C4007">
        <w:rPr>
          <w:rFonts w:ascii="Myriad Pro Light" w:hAnsi="Myriad Pro Light"/>
          <w:i/>
          <w:iCs/>
          <w:noProof/>
          <w:sz w:val="20"/>
          <w:szCs w:val="24"/>
        </w:rPr>
        <w:t>2</w:t>
      </w:r>
      <w:r w:rsidRPr="000C4007">
        <w:rPr>
          <w:rFonts w:ascii="Myriad Pro Light" w:hAnsi="Myriad Pro Light"/>
          <w:noProof/>
          <w:sz w:val="20"/>
          <w:szCs w:val="24"/>
        </w:rPr>
        <w:t xml:space="preserve"> (September), e1600521.</w:t>
      </w:r>
    </w:p>
    <w:p w14:paraId="326F37B1" w14:textId="77777777" w:rsidR="000C4007" w:rsidRPr="000C4007" w:rsidRDefault="000C4007" w:rsidP="000C4007">
      <w:pPr>
        <w:widowControl w:val="0"/>
        <w:autoSpaceDE w:val="0"/>
        <w:autoSpaceDN w:val="0"/>
        <w:adjustRightInd w:val="0"/>
        <w:spacing w:before="180" w:after="60"/>
        <w:ind w:left="640" w:hanging="640"/>
        <w:rPr>
          <w:rFonts w:ascii="Myriad Pro Light" w:hAnsi="Myriad Pro Light"/>
          <w:noProof/>
          <w:sz w:val="20"/>
          <w:szCs w:val="24"/>
        </w:rPr>
      </w:pPr>
      <w:r w:rsidRPr="000C4007">
        <w:rPr>
          <w:rFonts w:ascii="Myriad Pro Light" w:hAnsi="Myriad Pro Light"/>
          <w:noProof/>
          <w:sz w:val="20"/>
          <w:szCs w:val="24"/>
        </w:rPr>
        <w:t xml:space="preserve">(8) </w:t>
      </w:r>
      <w:r w:rsidRPr="000C4007">
        <w:rPr>
          <w:rFonts w:ascii="Myriad Pro Light" w:hAnsi="Myriad Pro Light"/>
          <w:noProof/>
          <w:sz w:val="20"/>
          <w:szCs w:val="24"/>
        </w:rPr>
        <w:tab/>
        <w:t xml:space="preserve">Faist, J.; Capasso, F.; Sivco, D. L.; Sirtori, C.; Hutchinson, A. L.; Cho, A. Y. Quantum Cascade Laser. </w:t>
      </w:r>
      <w:r w:rsidRPr="000C4007">
        <w:rPr>
          <w:rFonts w:ascii="Myriad Pro Light" w:hAnsi="Myriad Pro Light"/>
          <w:i/>
          <w:iCs/>
          <w:noProof/>
          <w:sz w:val="20"/>
          <w:szCs w:val="24"/>
        </w:rPr>
        <w:t>Science</w:t>
      </w:r>
      <w:r w:rsidRPr="000C4007">
        <w:rPr>
          <w:rFonts w:ascii="Myriad Pro Light" w:hAnsi="Myriad Pro Light"/>
          <w:noProof/>
          <w:sz w:val="20"/>
          <w:szCs w:val="24"/>
        </w:rPr>
        <w:t xml:space="preserve"> </w:t>
      </w:r>
      <w:r w:rsidRPr="000C4007">
        <w:rPr>
          <w:rFonts w:ascii="Myriad Pro Light" w:hAnsi="Myriad Pro Light"/>
          <w:b/>
          <w:bCs/>
          <w:noProof/>
          <w:sz w:val="20"/>
          <w:szCs w:val="24"/>
        </w:rPr>
        <w:t>1994</w:t>
      </w:r>
      <w:r w:rsidRPr="000C4007">
        <w:rPr>
          <w:rFonts w:ascii="Myriad Pro Light" w:hAnsi="Myriad Pro Light"/>
          <w:noProof/>
          <w:sz w:val="20"/>
          <w:szCs w:val="24"/>
        </w:rPr>
        <w:t xml:space="preserve">, </w:t>
      </w:r>
      <w:r w:rsidRPr="000C4007">
        <w:rPr>
          <w:rFonts w:ascii="Myriad Pro Light" w:hAnsi="Myriad Pro Light"/>
          <w:i/>
          <w:iCs/>
          <w:noProof/>
          <w:sz w:val="20"/>
          <w:szCs w:val="24"/>
        </w:rPr>
        <w:t>264</w:t>
      </w:r>
      <w:r w:rsidRPr="000C4007">
        <w:rPr>
          <w:rFonts w:ascii="Myriad Pro Light" w:hAnsi="Myriad Pro Light"/>
          <w:noProof/>
          <w:sz w:val="20"/>
          <w:szCs w:val="24"/>
        </w:rPr>
        <w:t xml:space="preserve"> (5158), 553–556.</w:t>
      </w:r>
    </w:p>
    <w:p w14:paraId="6FB85717" w14:textId="77777777" w:rsidR="000C4007" w:rsidRPr="000C4007" w:rsidRDefault="000C4007" w:rsidP="000C4007">
      <w:pPr>
        <w:widowControl w:val="0"/>
        <w:autoSpaceDE w:val="0"/>
        <w:autoSpaceDN w:val="0"/>
        <w:adjustRightInd w:val="0"/>
        <w:spacing w:before="180" w:after="60"/>
        <w:ind w:left="640" w:hanging="640"/>
        <w:rPr>
          <w:rFonts w:ascii="Myriad Pro Light" w:hAnsi="Myriad Pro Light"/>
          <w:noProof/>
          <w:sz w:val="20"/>
          <w:szCs w:val="24"/>
        </w:rPr>
      </w:pPr>
      <w:r w:rsidRPr="000C4007">
        <w:rPr>
          <w:rFonts w:ascii="Myriad Pro Light" w:hAnsi="Myriad Pro Light"/>
          <w:noProof/>
          <w:sz w:val="20"/>
          <w:szCs w:val="24"/>
        </w:rPr>
        <w:t xml:space="preserve">(9) </w:t>
      </w:r>
      <w:r w:rsidRPr="000C4007">
        <w:rPr>
          <w:rFonts w:ascii="Myriad Pro Light" w:hAnsi="Myriad Pro Light"/>
          <w:noProof/>
          <w:sz w:val="20"/>
          <w:szCs w:val="24"/>
        </w:rPr>
        <w:tab/>
        <w:t xml:space="preserve">Alcaráz, M. R.; Schwaighofer, A.; Kristament, C.; Ramer, G.; Brandstetter, M.; Goicoechea, H.; Lendl, B. External-Cavity Quantum Cascade Laser Spectroscopy for Mid-IR Transmission Measurements of Proteins in Aqueous Solution. </w:t>
      </w:r>
      <w:r w:rsidRPr="000C4007">
        <w:rPr>
          <w:rFonts w:ascii="Myriad Pro Light" w:hAnsi="Myriad Pro Light"/>
          <w:i/>
          <w:iCs/>
          <w:noProof/>
          <w:sz w:val="20"/>
          <w:szCs w:val="24"/>
        </w:rPr>
        <w:t>Anal. Chem.</w:t>
      </w:r>
      <w:r w:rsidRPr="000C4007">
        <w:rPr>
          <w:rFonts w:ascii="Myriad Pro Light" w:hAnsi="Myriad Pro Light"/>
          <w:noProof/>
          <w:sz w:val="20"/>
          <w:szCs w:val="24"/>
        </w:rPr>
        <w:t xml:space="preserve"> </w:t>
      </w:r>
      <w:r w:rsidRPr="000C4007">
        <w:rPr>
          <w:rFonts w:ascii="Myriad Pro Light" w:hAnsi="Myriad Pro Light"/>
          <w:b/>
          <w:bCs/>
          <w:noProof/>
          <w:sz w:val="20"/>
          <w:szCs w:val="24"/>
        </w:rPr>
        <w:t>2015</w:t>
      </w:r>
      <w:r w:rsidRPr="000C4007">
        <w:rPr>
          <w:rFonts w:ascii="Myriad Pro Light" w:hAnsi="Myriad Pro Light"/>
          <w:noProof/>
          <w:sz w:val="20"/>
          <w:szCs w:val="24"/>
        </w:rPr>
        <w:t xml:space="preserve">, </w:t>
      </w:r>
      <w:r w:rsidRPr="000C4007">
        <w:rPr>
          <w:rFonts w:ascii="Myriad Pro Light" w:hAnsi="Myriad Pro Light"/>
          <w:i/>
          <w:iCs/>
          <w:noProof/>
          <w:sz w:val="20"/>
          <w:szCs w:val="24"/>
        </w:rPr>
        <w:t>87</w:t>
      </w:r>
      <w:r w:rsidRPr="000C4007">
        <w:rPr>
          <w:rFonts w:ascii="Myriad Pro Light" w:hAnsi="Myriad Pro Light"/>
          <w:noProof/>
          <w:sz w:val="20"/>
          <w:szCs w:val="24"/>
        </w:rPr>
        <w:t xml:space="preserve"> (13), 6980–6987.</w:t>
      </w:r>
    </w:p>
    <w:p w14:paraId="0DF20CBD" w14:textId="77777777" w:rsidR="000C4007" w:rsidRPr="000C4007" w:rsidRDefault="000C4007" w:rsidP="000C4007">
      <w:pPr>
        <w:widowControl w:val="0"/>
        <w:autoSpaceDE w:val="0"/>
        <w:autoSpaceDN w:val="0"/>
        <w:adjustRightInd w:val="0"/>
        <w:spacing w:before="180" w:after="60"/>
        <w:ind w:left="640" w:hanging="640"/>
        <w:rPr>
          <w:rFonts w:ascii="Myriad Pro Light" w:hAnsi="Myriad Pro Light"/>
          <w:noProof/>
          <w:sz w:val="20"/>
          <w:szCs w:val="24"/>
        </w:rPr>
      </w:pPr>
      <w:r w:rsidRPr="000C4007">
        <w:rPr>
          <w:rFonts w:ascii="Myriad Pro Light" w:hAnsi="Myriad Pro Light"/>
          <w:noProof/>
          <w:sz w:val="20"/>
          <w:szCs w:val="24"/>
        </w:rPr>
        <w:t xml:space="preserve">(10) </w:t>
      </w:r>
      <w:r w:rsidRPr="000C4007">
        <w:rPr>
          <w:rFonts w:ascii="Myriad Pro Light" w:hAnsi="Myriad Pro Light"/>
          <w:noProof/>
          <w:sz w:val="20"/>
          <w:szCs w:val="24"/>
        </w:rPr>
        <w:tab/>
        <w:t xml:space="preserve">Tittel, F. K.; Richter, D.; Fried, A. Mid-Infrared Laser Applications in Spectroscopy. </w:t>
      </w:r>
      <w:r w:rsidRPr="000C4007">
        <w:rPr>
          <w:rFonts w:ascii="Myriad Pro Light" w:hAnsi="Myriad Pro Light"/>
          <w:i/>
          <w:iCs/>
          <w:noProof/>
          <w:sz w:val="20"/>
          <w:szCs w:val="24"/>
        </w:rPr>
        <w:t>Solid-State Mid-Infrared Laser Sources</w:t>
      </w:r>
      <w:r w:rsidRPr="000C4007">
        <w:rPr>
          <w:rFonts w:ascii="Myriad Pro Light" w:hAnsi="Myriad Pro Light"/>
          <w:noProof/>
          <w:sz w:val="20"/>
          <w:szCs w:val="24"/>
        </w:rPr>
        <w:t xml:space="preserve"> </w:t>
      </w:r>
      <w:r w:rsidRPr="000C4007">
        <w:rPr>
          <w:rFonts w:ascii="Myriad Pro Light" w:hAnsi="Myriad Pro Light"/>
          <w:b/>
          <w:bCs/>
          <w:noProof/>
          <w:sz w:val="20"/>
          <w:szCs w:val="24"/>
        </w:rPr>
        <w:t>2007</w:t>
      </w:r>
      <w:r w:rsidRPr="000C4007">
        <w:rPr>
          <w:rFonts w:ascii="Myriad Pro Light" w:hAnsi="Myriad Pro Light"/>
          <w:noProof/>
          <w:sz w:val="20"/>
          <w:szCs w:val="24"/>
        </w:rPr>
        <w:t xml:space="preserve">, </w:t>
      </w:r>
      <w:r w:rsidRPr="000C4007">
        <w:rPr>
          <w:rFonts w:ascii="Myriad Pro Light" w:hAnsi="Myriad Pro Light"/>
          <w:i/>
          <w:iCs/>
          <w:noProof/>
          <w:sz w:val="20"/>
          <w:szCs w:val="24"/>
        </w:rPr>
        <w:t>516</w:t>
      </w:r>
      <w:r w:rsidRPr="000C4007">
        <w:rPr>
          <w:rFonts w:ascii="Myriad Pro Light" w:hAnsi="Myriad Pro Light"/>
          <w:noProof/>
          <w:sz w:val="20"/>
          <w:szCs w:val="24"/>
        </w:rPr>
        <w:t xml:space="preserve"> (7), 458–529.</w:t>
      </w:r>
    </w:p>
    <w:p w14:paraId="19DF5A0C" w14:textId="77777777" w:rsidR="000C4007" w:rsidRPr="000C4007" w:rsidRDefault="000C4007" w:rsidP="000C4007">
      <w:pPr>
        <w:widowControl w:val="0"/>
        <w:autoSpaceDE w:val="0"/>
        <w:autoSpaceDN w:val="0"/>
        <w:adjustRightInd w:val="0"/>
        <w:spacing w:before="180" w:after="60"/>
        <w:ind w:left="640" w:hanging="640"/>
        <w:rPr>
          <w:rFonts w:ascii="Myriad Pro Light" w:hAnsi="Myriad Pro Light"/>
          <w:noProof/>
          <w:sz w:val="20"/>
          <w:szCs w:val="24"/>
        </w:rPr>
      </w:pPr>
      <w:r w:rsidRPr="000C4007">
        <w:rPr>
          <w:rFonts w:ascii="Myriad Pro Light" w:hAnsi="Myriad Pro Light"/>
          <w:noProof/>
          <w:sz w:val="20"/>
          <w:szCs w:val="24"/>
        </w:rPr>
        <w:t xml:space="preserve">(11) </w:t>
      </w:r>
      <w:r w:rsidRPr="000C4007">
        <w:rPr>
          <w:rFonts w:ascii="Myriad Pro Light" w:hAnsi="Myriad Pro Light"/>
          <w:noProof/>
          <w:sz w:val="20"/>
          <w:szCs w:val="24"/>
        </w:rPr>
        <w:tab/>
        <w:t xml:space="preserve">Kendrick, B. S.; Gabrielson, J. P.; Solsberg, C. W.; Ma, E.; Wang, L. Determining Spectroscopic Quantitation Limits for Misfolded Structures. </w:t>
      </w:r>
      <w:r w:rsidRPr="000C4007">
        <w:rPr>
          <w:rFonts w:ascii="Myriad Pro Light" w:hAnsi="Myriad Pro Light"/>
          <w:i/>
          <w:iCs/>
          <w:noProof/>
          <w:sz w:val="20"/>
          <w:szCs w:val="24"/>
        </w:rPr>
        <w:t>J. Pharm. Sci.</w:t>
      </w:r>
      <w:r w:rsidRPr="000C4007">
        <w:rPr>
          <w:rFonts w:ascii="Myriad Pro Light" w:hAnsi="Myriad Pro Light"/>
          <w:noProof/>
          <w:sz w:val="20"/>
          <w:szCs w:val="24"/>
        </w:rPr>
        <w:t xml:space="preserve"> </w:t>
      </w:r>
      <w:r w:rsidRPr="000C4007">
        <w:rPr>
          <w:rFonts w:ascii="Myriad Pro Light" w:hAnsi="Myriad Pro Light"/>
          <w:b/>
          <w:bCs/>
          <w:noProof/>
          <w:sz w:val="20"/>
          <w:szCs w:val="24"/>
        </w:rPr>
        <w:t>2019</w:t>
      </w:r>
      <w:r w:rsidRPr="000C4007">
        <w:rPr>
          <w:rFonts w:ascii="Myriad Pro Light" w:hAnsi="Myriad Pro Light"/>
          <w:noProof/>
          <w:sz w:val="20"/>
          <w:szCs w:val="24"/>
        </w:rPr>
        <w:t xml:space="preserve">, </w:t>
      </w:r>
      <w:r w:rsidRPr="000C4007">
        <w:rPr>
          <w:rFonts w:ascii="Myriad Pro Light" w:hAnsi="Myriad Pro Light"/>
          <w:i/>
          <w:iCs/>
          <w:noProof/>
          <w:sz w:val="20"/>
          <w:szCs w:val="24"/>
        </w:rPr>
        <w:t>109</w:t>
      </w:r>
      <w:r w:rsidRPr="000C4007">
        <w:rPr>
          <w:rFonts w:ascii="Myriad Pro Light" w:hAnsi="Myriad Pro Light"/>
          <w:noProof/>
          <w:sz w:val="20"/>
          <w:szCs w:val="24"/>
        </w:rPr>
        <w:t xml:space="preserve"> (1), 933–936.</w:t>
      </w:r>
    </w:p>
    <w:p w14:paraId="288E385B" w14:textId="77777777" w:rsidR="000C4007" w:rsidRPr="000C4007" w:rsidRDefault="000C4007" w:rsidP="000C4007">
      <w:pPr>
        <w:widowControl w:val="0"/>
        <w:autoSpaceDE w:val="0"/>
        <w:autoSpaceDN w:val="0"/>
        <w:adjustRightInd w:val="0"/>
        <w:spacing w:before="180" w:after="60"/>
        <w:ind w:left="640" w:hanging="640"/>
        <w:rPr>
          <w:rFonts w:ascii="Myriad Pro Light" w:hAnsi="Myriad Pro Light"/>
          <w:noProof/>
          <w:sz w:val="20"/>
          <w:szCs w:val="24"/>
        </w:rPr>
      </w:pPr>
      <w:r w:rsidRPr="000C4007">
        <w:rPr>
          <w:rFonts w:ascii="Myriad Pro Light" w:hAnsi="Myriad Pro Light"/>
          <w:noProof/>
          <w:sz w:val="20"/>
          <w:szCs w:val="24"/>
        </w:rPr>
        <w:t xml:space="preserve">(12) </w:t>
      </w:r>
      <w:r w:rsidRPr="000C4007">
        <w:rPr>
          <w:rFonts w:ascii="Myriad Pro Light" w:hAnsi="Myriad Pro Light"/>
          <w:noProof/>
          <w:sz w:val="20"/>
          <w:szCs w:val="24"/>
        </w:rPr>
        <w:tab/>
        <w:t xml:space="preserve">Akhgar, C. K.; Ramer, G.; Żbik, M.; Trajnerowicz, A.; Pawluczyk, J.; Schwaighofer, A.; Lendl, B. The Next Generation of IR Spectroscopy: EC-QCL-Based Mid-IR Transmission Spectroscopy of Proteins with Balanced Detection. </w:t>
      </w:r>
      <w:r w:rsidRPr="000C4007">
        <w:rPr>
          <w:rFonts w:ascii="Myriad Pro Light" w:hAnsi="Myriad Pro Light"/>
          <w:i/>
          <w:iCs/>
          <w:noProof/>
          <w:sz w:val="20"/>
          <w:szCs w:val="24"/>
        </w:rPr>
        <w:t>Anal. Chem.</w:t>
      </w:r>
      <w:r w:rsidRPr="000C4007">
        <w:rPr>
          <w:rFonts w:ascii="Myriad Pro Light" w:hAnsi="Myriad Pro Light"/>
          <w:noProof/>
          <w:sz w:val="20"/>
          <w:szCs w:val="24"/>
        </w:rPr>
        <w:t xml:space="preserve"> </w:t>
      </w:r>
      <w:r w:rsidRPr="000C4007">
        <w:rPr>
          <w:rFonts w:ascii="Myriad Pro Light" w:hAnsi="Myriad Pro Light"/>
          <w:b/>
          <w:bCs/>
          <w:noProof/>
          <w:sz w:val="20"/>
          <w:szCs w:val="24"/>
        </w:rPr>
        <w:t>2020</w:t>
      </w:r>
      <w:r w:rsidRPr="000C4007">
        <w:rPr>
          <w:rFonts w:ascii="Myriad Pro Light" w:hAnsi="Myriad Pro Light"/>
          <w:noProof/>
          <w:sz w:val="20"/>
          <w:szCs w:val="24"/>
        </w:rPr>
        <w:t xml:space="preserve">, </w:t>
      </w:r>
      <w:r w:rsidRPr="000C4007">
        <w:rPr>
          <w:rFonts w:ascii="Myriad Pro Light" w:hAnsi="Myriad Pro Light"/>
          <w:i/>
          <w:iCs/>
          <w:noProof/>
          <w:sz w:val="20"/>
          <w:szCs w:val="24"/>
        </w:rPr>
        <w:t>92</w:t>
      </w:r>
      <w:r w:rsidRPr="000C4007">
        <w:rPr>
          <w:rFonts w:ascii="Myriad Pro Light" w:hAnsi="Myriad Pro Light"/>
          <w:noProof/>
          <w:sz w:val="20"/>
          <w:szCs w:val="24"/>
        </w:rPr>
        <w:t xml:space="preserve"> (14), 9901–9907.</w:t>
      </w:r>
    </w:p>
    <w:p w14:paraId="7314C529" w14:textId="77777777" w:rsidR="000C4007" w:rsidRPr="000C4007" w:rsidRDefault="000C4007" w:rsidP="000C4007">
      <w:pPr>
        <w:widowControl w:val="0"/>
        <w:autoSpaceDE w:val="0"/>
        <w:autoSpaceDN w:val="0"/>
        <w:adjustRightInd w:val="0"/>
        <w:spacing w:before="180" w:after="60"/>
        <w:ind w:left="640" w:hanging="640"/>
        <w:rPr>
          <w:rFonts w:ascii="Myriad Pro Light" w:hAnsi="Myriad Pro Light"/>
          <w:noProof/>
          <w:sz w:val="20"/>
          <w:szCs w:val="24"/>
        </w:rPr>
      </w:pPr>
      <w:r w:rsidRPr="000C4007">
        <w:rPr>
          <w:rFonts w:ascii="Myriad Pro Light" w:hAnsi="Myriad Pro Light"/>
          <w:noProof/>
          <w:sz w:val="20"/>
          <w:szCs w:val="24"/>
        </w:rPr>
        <w:t xml:space="preserve">(13) </w:t>
      </w:r>
      <w:r w:rsidRPr="000C4007">
        <w:rPr>
          <w:rFonts w:ascii="Myriad Pro Light" w:hAnsi="Myriad Pro Light"/>
          <w:noProof/>
          <w:sz w:val="20"/>
          <w:szCs w:val="24"/>
        </w:rPr>
        <w:tab/>
        <w:t xml:space="preserve">Hua, Q. X.; Weiss, M. A. Mechanism of Insulin Fibrillation: The Structure of Insulin under Amyloidogenic Conditions Resembles a Protein-Folding Intermediate. </w:t>
      </w:r>
      <w:r w:rsidRPr="000C4007">
        <w:rPr>
          <w:rFonts w:ascii="Myriad Pro Light" w:hAnsi="Myriad Pro Light"/>
          <w:i/>
          <w:iCs/>
          <w:noProof/>
          <w:sz w:val="20"/>
          <w:szCs w:val="24"/>
        </w:rPr>
        <w:t>J. Biol. Chem.</w:t>
      </w:r>
      <w:r w:rsidRPr="000C4007">
        <w:rPr>
          <w:rFonts w:ascii="Myriad Pro Light" w:hAnsi="Myriad Pro Light"/>
          <w:noProof/>
          <w:sz w:val="20"/>
          <w:szCs w:val="24"/>
        </w:rPr>
        <w:t xml:space="preserve"> </w:t>
      </w:r>
      <w:r w:rsidRPr="000C4007">
        <w:rPr>
          <w:rFonts w:ascii="Myriad Pro Light" w:hAnsi="Myriad Pro Light"/>
          <w:b/>
          <w:bCs/>
          <w:noProof/>
          <w:sz w:val="20"/>
          <w:szCs w:val="24"/>
        </w:rPr>
        <w:t>2004</w:t>
      </w:r>
      <w:r w:rsidRPr="000C4007">
        <w:rPr>
          <w:rFonts w:ascii="Myriad Pro Light" w:hAnsi="Myriad Pro Light"/>
          <w:noProof/>
          <w:sz w:val="20"/>
          <w:szCs w:val="24"/>
        </w:rPr>
        <w:t xml:space="preserve">, </w:t>
      </w:r>
      <w:r w:rsidRPr="000C4007">
        <w:rPr>
          <w:rFonts w:ascii="Myriad Pro Light" w:hAnsi="Myriad Pro Light"/>
          <w:i/>
          <w:iCs/>
          <w:noProof/>
          <w:sz w:val="20"/>
          <w:szCs w:val="24"/>
        </w:rPr>
        <w:t>279</w:t>
      </w:r>
      <w:r w:rsidRPr="000C4007">
        <w:rPr>
          <w:rFonts w:ascii="Myriad Pro Light" w:hAnsi="Myriad Pro Light"/>
          <w:noProof/>
          <w:sz w:val="20"/>
          <w:szCs w:val="24"/>
        </w:rPr>
        <w:t xml:space="preserve"> (20), 21449–21460.</w:t>
      </w:r>
    </w:p>
    <w:p w14:paraId="7EDCA862" w14:textId="77777777" w:rsidR="000C4007" w:rsidRPr="000C4007" w:rsidRDefault="000C4007" w:rsidP="000C4007">
      <w:pPr>
        <w:widowControl w:val="0"/>
        <w:autoSpaceDE w:val="0"/>
        <w:autoSpaceDN w:val="0"/>
        <w:adjustRightInd w:val="0"/>
        <w:spacing w:before="180" w:after="60"/>
        <w:ind w:left="640" w:hanging="640"/>
        <w:rPr>
          <w:rFonts w:ascii="Myriad Pro Light" w:hAnsi="Myriad Pro Light"/>
          <w:noProof/>
          <w:sz w:val="20"/>
          <w:szCs w:val="24"/>
        </w:rPr>
      </w:pPr>
      <w:r w:rsidRPr="000C4007">
        <w:rPr>
          <w:rFonts w:ascii="Myriad Pro Light" w:hAnsi="Myriad Pro Light"/>
          <w:noProof/>
          <w:sz w:val="20"/>
          <w:szCs w:val="24"/>
        </w:rPr>
        <w:t xml:space="preserve">(14) </w:t>
      </w:r>
      <w:r w:rsidRPr="000C4007">
        <w:rPr>
          <w:rFonts w:ascii="Myriad Pro Light" w:hAnsi="Myriad Pro Light"/>
          <w:noProof/>
          <w:sz w:val="20"/>
          <w:szCs w:val="24"/>
        </w:rPr>
        <w:tab/>
        <w:t xml:space="preserve">Sanchez-Ruiz, J. M. Theoretical Analysis of Lumry-Eyring Models in Differential Scanning Calorimetry. </w:t>
      </w:r>
      <w:r w:rsidRPr="000C4007">
        <w:rPr>
          <w:rFonts w:ascii="Myriad Pro Light" w:hAnsi="Myriad Pro Light"/>
          <w:i/>
          <w:iCs/>
          <w:noProof/>
          <w:sz w:val="20"/>
          <w:szCs w:val="24"/>
        </w:rPr>
        <w:t>Biophys. J.</w:t>
      </w:r>
      <w:r w:rsidRPr="000C4007">
        <w:rPr>
          <w:rFonts w:ascii="Myriad Pro Light" w:hAnsi="Myriad Pro Light"/>
          <w:noProof/>
          <w:sz w:val="20"/>
          <w:szCs w:val="24"/>
        </w:rPr>
        <w:t xml:space="preserve"> </w:t>
      </w:r>
      <w:r w:rsidRPr="000C4007">
        <w:rPr>
          <w:rFonts w:ascii="Myriad Pro Light" w:hAnsi="Myriad Pro Light"/>
          <w:b/>
          <w:bCs/>
          <w:noProof/>
          <w:sz w:val="20"/>
          <w:szCs w:val="24"/>
        </w:rPr>
        <w:t>1992</w:t>
      </w:r>
      <w:r w:rsidRPr="000C4007">
        <w:rPr>
          <w:rFonts w:ascii="Myriad Pro Light" w:hAnsi="Myriad Pro Light"/>
          <w:noProof/>
          <w:sz w:val="20"/>
          <w:szCs w:val="24"/>
        </w:rPr>
        <w:t xml:space="preserve">, </w:t>
      </w:r>
      <w:r w:rsidRPr="000C4007">
        <w:rPr>
          <w:rFonts w:ascii="Myriad Pro Light" w:hAnsi="Myriad Pro Light"/>
          <w:i/>
          <w:iCs/>
          <w:noProof/>
          <w:sz w:val="20"/>
          <w:szCs w:val="24"/>
        </w:rPr>
        <w:t>61</w:t>
      </w:r>
      <w:r w:rsidRPr="000C4007">
        <w:rPr>
          <w:rFonts w:ascii="Myriad Pro Light" w:hAnsi="Myriad Pro Light"/>
          <w:noProof/>
          <w:sz w:val="20"/>
          <w:szCs w:val="24"/>
        </w:rPr>
        <w:t xml:space="preserve"> (4), 921–935.</w:t>
      </w:r>
    </w:p>
    <w:p w14:paraId="7234A66B" w14:textId="77777777" w:rsidR="000C4007" w:rsidRPr="000C4007" w:rsidRDefault="000C4007" w:rsidP="000C4007">
      <w:pPr>
        <w:widowControl w:val="0"/>
        <w:autoSpaceDE w:val="0"/>
        <w:autoSpaceDN w:val="0"/>
        <w:adjustRightInd w:val="0"/>
        <w:spacing w:before="180" w:after="60"/>
        <w:ind w:left="640" w:hanging="640"/>
        <w:rPr>
          <w:rFonts w:ascii="Myriad Pro Light" w:hAnsi="Myriad Pro Light"/>
          <w:noProof/>
          <w:sz w:val="20"/>
          <w:szCs w:val="24"/>
        </w:rPr>
      </w:pPr>
      <w:r w:rsidRPr="000C4007">
        <w:rPr>
          <w:rFonts w:ascii="Myriad Pro Light" w:hAnsi="Myriad Pro Light"/>
          <w:noProof/>
          <w:sz w:val="20"/>
          <w:szCs w:val="24"/>
        </w:rPr>
        <w:t xml:space="preserve">(15) </w:t>
      </w:r>
      <w:r w:rsidRPr="000C4007">
        <w:rPr>
          <w:rFonts w:ascii="Myriad Pro Light" w:hAnsi="Myriad Pro Light"/>
          <w:noProof/>
          <w:sz w:val="20"/>
          <w:szCs w:val="24"/>
        </w:rPr>
        <w:tab/>
        <w:t xml:space="preserve">Greenfield, N. J. Using Circular Dichroism Spectra to Estimate Protein Secondary Structure. </w:t>
      </w:r>
      <w:r w:rsidRPr="000C4007">
        <w:rPr>
          <w:rFonts w:ascii="Myriad Pro Light" w:hAnsi="Myriad Pro Light"/>
          <w:i/>
          <w:iCs/>
          <w:noProof/>
          <w:sz w:val="20"/>
          <w:szCs w:val="24"/>
        </w:rPr>
        <w:t>Nat. Protoc.</w:t>
      </w:r>
      <w:r w:rsidRPr="000C4007">
        <w:rPr>
          <w:rFonts w:ascii="Myriad Pro Light" w:hAnsi="Myriad Pro Light"/>
          <w:noProof/>
          <w:sz w:val="20"/>
          <w:szCs w:val="24"/>
        </w:rPr>
        <w:t xml:space="preserve"> </w:t>
      </w:r>
      <w:r w:rsidRPr="000C4007">
        <w:rPr>
          <w:rFonts w:ascii="Myriad Pro Light" w:hAnsi="Myriad Pro Light"/>
          <w:b/>
          <w:bCs/>
          <w:noProof/>
          <w:sz w:val="20"/>
          <w:szCs w:val="24"/>
        </w:rPr>
        <w:t>2007</w:t>
      </w:r>
      <w:r w:rsidRPr="000C4007">
        <w:rPr>
          <w:rFonts w:ascii="Myriad Pro Light" w:hAnsi="Myriad Pro Light"/>
          <w:noProof/>
          <w:sz w:val="20"/>
          <w:szCs w:val="24"/>
        </w:rPr>
        <w:t xml:space="preserve">, </w:t>
      </w:r>
      <w:r w:rsidRPr="000C4007">
        <w:rPr>
          <w:rFonts w:ascii="Myriad Pro Light" w:hAnsi="Myriad Pro Light"/>
          <w:i/>
          <w:iCs/>
          <w:noProof/>
          <w:sz w:val="20"/>
          <w:szCs w:val="24"/>
        </w:rPr>
        <w:t>1</w:t>
      </w:r>
      <w:r w:rsidRPr="000C4007">
        <w:rPr>
          <w:rFonts w:ascii="Myriad Pro Light" w:hAnsi="Myriad Pro Light"/>
          <w:noProof/>
          <w:sz w:val="20"/>
          <w:szCs w:val="24"/>
        </w:rPr>
        <w:t xml:space="preserve"> (6), 2876–2890.</w:t>
      </w:r>
    </w:p>
    <w:p w14:paraId="68E14996" w14:textId="77777777" w:rsidR="000C4007" w:rsidRPr="000C4007" w:rsidRDefault="000C4007" w:rsidP="000C4007">
      <w:pPr>
        <w:widowControl w:val="0"/>
        <w:autoSpaceDE w:val="0"/>
        <w:autoSpaceDN w:val="0"/>
        <w:adjustRightInd w:val="0"/>
        <w:spacing w:before="180" w:after="60"/>
        <w:ind w:left="640" w:hanging="640"/>
        <w:rPr>
          <w:rFonts w:ascii="Myriad Pro Light" w:hAnsi="Myriad Pro Light"/>
          <w:noProof/>
          <w:sz w:val="20"/>
          <w:szCs w:val="24"/>
        </w:rPr>
      </w:pPr>
      <w:r w:rsidRPr="000C4007">
        <w:rPr>
          <w:rFonts w:ascii="Myriad Pro Light" w:hAnsi="Myriad Pro Light"/>
          <w:noProof/>
          <w:sz w:val="20"/>
          <w:szCs w:val="24"/>
        </w:rPr>
        <w:t xml:space="preserve">(16) </w:t>
      </w:r>
      <w:r w:rsidRPr="000C4007">
        <w:rPr>
          <w:rFonts w:ascii="Myriad Pro Light" w:hAnsi="Myriad Pro Light"/>
          <w:noProof/>
          <w:sz w:val="20"/>
          <w:szCs w:val="24"/>
        </w:rPr>
        <w:tab/>
        <w:t xml:space="preserve">Xue, C.; Lin, T. Y.; Chang, D.; Guo, Z. Thioflavin T as an Amyloid Dye: Fibril Quantification, Optimal Concentration and Effect on Aggregation. </w:t>
      </w:r>
      <w:r w:rsidRPr="000C4007">
        <w:rPr>
          <w:rFonts w:ascii="Myriad Pro Light" w:hAnsi="Myriad Pro Light"/>
          <w:i/>
          <w:iCs/>
          <w:noProof/>
          <w:sz w:val="20"/>
          <w:szCs w:val="24"/>
        </w:rPr>
        <w:t>R. Soc. Open Sci.</w:t>
      </w:r>
      <w:r w:rsidRPr="000C4007">
        <w:rPr>
          <w:rFonts w:ascii="Myriad Pro Light" w:hAnsi="Myriad Pro Light"/>
          <w:noProof/>
          <w:sz w:val="20"/>
          <w:szCs w:val="24"/>
        </w:rPr>
        <w:t xml:space="preserve"> </w:t>
      </w:r>
      <w:r w:rsidRPr="000C4007">
        <w:rPr>
          <w:rFonts w:ascii="Myriad Pro Light" w:hAnsi="Myriad Pro Light"/>
          <w:b/>
          <w:bCs/>
          <w:noProof/>
          <w:sz w:val="20"/>
          <w:szCs w:val="24"/>
        </w:rPr>
        <w:t>2017</w:t>
      </w:r>
      <w:r w:rsidRPr="000C4007">
        <w:rPr>
          <w:rFonts w:ascii="Myriad Pro Light" w:hAnsi="Myriad Pro Light"/>
          <w:noProof/>
          <w:sz w:val="20"/>
          <w:szCs w:val="24"/>
        </w:rPr>
        <w:t xml:space="preserve">, </w:t>
      </w:r>
      <w:r w:rsidRPr="000C4007">
        <w:rPr>
          <w:rFonts w:ascii="Myriad Pro Light" w:hAnsi="Myriad Pro Light"/>
          <w:i/>
          <w:iCs/>
          <w:noProof/>
          <w:sz w:val="20"/>
          <w:szCs w:val="24"/>
        </w:rPr>
        <w:t>4</w:t>
      </w:r>
      <w:r w:rsidRPr="000C4007">
        <w:rPr>
          <w:rFonts w:ascii="Myriad Pro Light" w:hAnsi="Myriad Pro Light"/>
          <w:noProof/>
          <w:sz w:val="20"/>
          <w:szCs w:val="24"/>
        </w:rPr>
        <w:t xml:space="preserve"> (1), 160696.</w:t>
      </w:r>
    </w:p>
    <w:p w14:paraId="25D0DCEE" w14:textId="77777777" w:rsidR="000C4007" w:rsidRPr="000C4007" w:rsidRDefault="000C4007" w:rsidP="000C4007">
      <w:pPr>
        <w:widowControl w:val="0"/>
        <w:autoSpaceDE w:val="0"/>
        <w:autoSpaceDN w:val="0"/>
        <w:adjustRightInd w:val="0"/>
        <w:spacing w:before="180" w:after="60"/>
        <w:ind w:left="640" w:hanging="640"/>
        <w:rPr>
          <w:rFonts w:ascii="Myriad Pro Light" w:hAnsi="Myriad Pro Light"/>
          <w:noProof/>
          <w:sz w:val="20"/>
          <w:szCs w:val="24"/>
        </w:rPr>
      </w:pPr>
      <w:r w:rsidRPr="000C4007">
        <w:rPr>
          <w:rFonts w:ascii="Myriad Pro Light" w:hAnsi="Myriad Pro Light"/>
          <w:noProof/>
          <w:sz w:val="20"/>
          <w:szCs w:val="24"/>
        </w:rPr>
        <w:t xml:space="preserve">(17) </w:t>
      </w:r>
      <w:r w:rsidRPr="000C4007">
        <w:rPr>
          <w:rFonts w:ascii="Myriad Pro Light" w:hAnsi="Myriad Pro Light"/>
          <w:noProof/>
          <w:sz w:val="20"/>
          <w:szCs w:val="24"/>
        </w:rPr>
        <w:tab/>
        <w:t xml:space="preserve">Schwaighofer, A.; Alcaráz, M. R.; Araman, C.; Goicoechea, H.; Lendl, B. External Cavity-Quantum Cascade Laser Infrared Spectroscopy for Secondary Structure Analysis of Proteins at Low Concentrations. </w:t>
      </w:r>
      <w:r w:rsidRPr="000C4007">
        <w:rPr>
          <w:rFonts w:ascii="Myriad Pro Light" w:hAnsi="Myriad Pro Light"/>
          <w:i/>
          <w:iCs/>
          <w:noProof/>
          <w:sz w:val="20"/>
          <w:szCs w:val="24"/>
        </w:rPr>
        <w:t>Sci. Rep.</w:t>
      </w:r>
      <w:r w:rsidRPr="000C4007">
        <w:rPr>
          <w:rFonts w:ascii="Myriad Pro Light" w:hAnsi="Myriad Pro Light"/>
          <w:noProof/>
          <w:sz w:val="20"/>
          <w:szCs w:val="24"/>
        </w:rPr>
        <w:t xml:space="preserve"> </w:t>
      </w:r>
      <w:r w:rsidRPr="000C4007">
        <w:rPr>
          <w:rFonts w:ascii="Myriad Pro Light" w:hAnsi="Myriad Pro Light"/>
          <w:b/>
          <w:bCs/>
          <w:noProof/>
          <w:sz w:val="20"/>
          <w:szCs w:val="24"/>
        </w:rPr>
        <w:t>2016</w:t>
      </w:r>
      <w:r w:rsidRPr="000C4007">
        <w:rPr>
          <w:rFonts w:ascii="Myriad Pro Light" w:hAnsi="Myriad Pro Light"/>
          <w:noProof/>
          <w:sz w:val="20"/>
          <w:szCs w:val="24"/>
        </w:rPr>
        <w:t xml:space="preserve">, </w:t>
      </w:r>
      <w:r w:rsidRPr="000C4007">
        <w:rPr>
          <w:rFonts w:ascii="Myriad Pro Light" w:hAnsi="Myriad Pro Light"/>
          <w:i/>
          <w:iCs/>
          <w:noProof/>
          <w:sz w:val="20"/>
          <w:szCs w:val="24"/>
        </w:rPr>
        <w:t>6</w:t>
      </w:r>
      <w:r w:rsidRPr="000C4007">
        <w:rPr>
          <w:rFonts w:ascii="Myriad Pro Light" w:hAnsi="Myriad Pro Light"/>
          <w:noProof/>
          <w:sz w:val="20"/>
          <w:szCs w:val="24"/>
        </w:rPr>
        <w:t xml:space="preserve"> (April), 33556.</w:t>
      </w:r>
    </w:p>
    <w:p w14:paraId="58B85D58" w14:textId="77777777" w:rsidR="000C4007" w:rsidRPr="000C4007" w:rsidRDefault="000C4007" w:rsidP="000C4007">
      <w:pPr>
        <w:widowControl w:val="0"/>
        <w:autoSpaceDE w:val="0"/>
        <w:autoSpaceDN w:val="0"/>
        <w:adjustRightInd w:val="0"/>
        <w:spacing w:before="180" w:after="60"/>
        <w:ind w:left="640" w:hanging="640"/>
        <w:rPr>
          <w:rFonts w:ascii="Myriad Pro Light" w:hAnsi="Myriad Pro Light"/>
          <w:noProof/>
          <w:sz w:val="20"/>
          <w:szCs w:val="24"/>
        </w:rPr>
      </w:pPr>
      <w:r w:rsidRPr="000C4007">
        <w:rPr>
          <w:rFonts w:ascii="Myriad Pro Light" w:hAnsi="Myriad Pro Light"/>
          <w:noProof/>
          <w:sz w:val="20"/>
          <w:szCs w:val="24"/>
        </w:rPr>
        <w:t xml:space="preserve">(18) </w:t>
      </w:r>
      <w:r w:rsidRPr="000C4007">
        <w:rPr>
          <w:rFonts w:ascii="Myriad Pro Light" w:hAnsi="Myriad Pro Light"/>
          <w:noProof/>
          <w:sz w:val="20"/>
          <w:szCs w:val="24"/>
        </w:rPr>
        <w:tab/>
        <w:t xml:space="preserve">Schwaighofer, A.; Alcaraz, M. R.; Lux, L.; Lendl, B. PH Titration of β-Lactoglobulin Monitored by Laser-Based Mid-IR Transmission Spectroscopy Coupled to Chemometric Analysis. </w:t>
      </w:r>
      <w:r w:rsidRPr="000C4007">
        <w:rPr>
          <w:rFonts w:ascii="Myriad Pro Light" w:hAnsi="Myriad Pro Light"/>
          <w:i/>
          <w:iCs/>
          <w:noProof/>
          <w:sz w:val="20"/>
          <w:szCs w:val="24"/>
        </w:rPr>
        <w:t>Spectrochim. Acta - Part A Mol. Biomol. Spectrosc.</w:t>
      </w:r>
      <w:r w:rsidRPr="000C4007">
        <w:rPr>
          <w:rFonts w:ascii="Myriad Pro Light" w:hAnsi="Myriad Pro Light"/>
          <w:noProof/>
          <w:sz w:val="20"/>
          <w:szCs w:val="24"/>
        </w:rPr>
        <w:t xml:space="preserve"> </w:t>
      </w:r>
      <w:r w:rsidRPr="000C4007">
        <w:rPr>
          <w:rFonts w:ascii="Myriad Pro Light" w:hAnsi="Myriad Pro Light"/>
          <w:b/>
          <w:bCs/>
          <w:noProof/>
          <w:sz w:val="20"/>
          <w:szCs w:val="24"/>
        </w:rPr>
        <w:t>2020</w:t>
      </w:r>
      <w:r w:rsidRPr="000C4007">
        <w:rPr>
          <w:rFonts w:ascii="Myriad Pro Light" w:hAnsi="Myriad Pro Light"/>
          <w:noProof/>
          <w:sz w:val="20"/>
          <w:szCs w:val="24"/>
        </w:rPr>
        <w:t xml:space="preserve">, </w:t>
      </w:r>
      <w:r w:rsidRPr="000C4007">
        <w:rPr>
          <w:rFonts w:ascii="Myriad Pro Light" w:hAnsi="Myriad Pro Light"/>
          <w:i/>
          <w:iCs/>
          <w:noProof/>
          <w:sz w:val="20"/>
          <w:szCs w:val="24"/>
        </w:rPr>
        <w:t>226</w:t>
      </w:r>
      <w:r w:rsidRPr="000C4007">
        <w:rPr>
          <w:rFonts w:ascii="Myriad Pro Light" w:hAnsi="Myriad Pro Light"/>
          <w:noProof/>
          <w:sz w:val="20"/>
          <w:szCs w:val="24"/>
        </w:rPr>
        <w:t>, 117636.</w:t>
      </w:r>
    </w:p>
    <w:p w14:paraId="33E1CC5D" w14:textId="77777777" w:rsidR="000C4007" w:rsidRPr="000C4007" w:rsidRDefault="000C4007" w:rsidP="000C4007">
      <w:pPr>
        <w:widowControl w:val="0"/>
        <w:autoSpaceDE w:val="0"/>
        <w:autoSpaceDN w:val="0"/>
        <w:adjustRightInd w:val="0"/>
        <w:spacing w:before="180" w:after="60"/>
        <w:ind w:left="640" w:hanging="640"/>
        <w:rPr>
          <w:rFonts w:ascii="Myriad Pro Light" w:hAnsi="Myriad Pro Light"/>
          <w:noProof/>
          <w:sz w:val="20"/>
          <w:szCs w:val="24"/>
        </w:rPr>
      </w:pPr>
      <w:r w:rsidRPr="000C4007">
        <w:rPr>
          <w:rFonts w:ascii="Myriad Pro Light" w:hAnsi="Myriad Pro Light"/>
          <w:noProof/>
          <w:sz w:val="20"/>
          <w:szCs w:val="24"/>
        </w:rPr>
        <w:t xml:space="preserve">(19) </w:t>
      </w:r>
      <w:r w:rsidRPr="000C4007">
        <w:rPr>
          <w:rFonts w:ascii="Myriad Pro Light" w:hAnsi="Myriad Pro Light"/>
          <w:noProof/>
          <w:sz w:val="20"/>
          <w:szCs w:val="24"/>
        </w:rPr>
        <w:tab/>
        <w:t xml:space="preserve">Segal, A. R.; Sayed, N. El. Are You Ready for More Insulin Concentrations? </w:t>
      </w:r>
      <w:r w:rsidRPr="000C4007">
        <w:rPr>
          <w:rFonts w:ascii="Myriad Pro Light" w:hAnsi="Myriad Pro Light"/>
          <w:i/>
          <w:iCs/>
          <w:noProof/>
          <w:sz w:val="20"/>
          <w:szCs w:val="24"/>
        </w:rPr>
        <w:t>J. Diabetes Sci. Technol.</w:t>
      </w:r>
      <w:r w:rsidRPr="000C4007">
        <w:rPr>
          <w:rFonts w:ascii="Myriad Pro Light" w:hAnsi="Myriad Pro Light"/>
          <w:noProof/>
          <w:sz w:val="20"/>
          <w:szCs w:val="24"/>
        </w:rPr>
        <w:t xml:space="preserve"> </w:t>
      </w:r>
      <w:r w:rsidRPr="000C4007">
        <w:rPr>
          <w:rFonts w:ascii="Myriad Pro Light" w:hAnsi="Myriad Pro Light"/>
          <w:b/>
          <w:bCs/>
          <w:noProof/>
          <w:sz w:val="20"/>
          <w:szCs w:val="24"/>
        </w:rPr>
        <w:t>2015</w:t>
      </w:r>
      <w:r w:rsidRPr="000C4007">
        <w:rPr>
          <w:rFonts w:ascii="Myriad Pro Light" w:hAnsi="Myriad Pro Light"/>
          <w:noProof/>
          <w:sz w:val="20"/>
          <w:szCs w:val="24"/>
        </w:rPr>
        <w:t xml:space="preserve">, </w:t>
      </w:r>
      <w:r w:rsidRPr="000C4007">
        <w:rPr>
          <w:rFonts w:ascii="Myriad Pro Light" w:hAnsi="Myriad Pro Light"/>
          <w:i/>
          <w:iCs/>
          <w:noProof/>
          <w:sz w:val="20"/>
          <w:szCs w:val="24"/>
        </w:rPr>
        <w:t>9</w:t>
      </w:r>
      <w:r w:rsidRPr="000C4007">
        <w:rPr>
          <w:rFonts w:ascii="Myriad Pro Light" w:hAnsi="Myriad Pro Light"/>
          <w:noProof/>
          <w:sz w:val="20"/>
          <w:szCs w:val="24"/>
        </w:rPr>
        <w:t xml:space="preserve"> (2), 331–338.</w:t>
      </w:r>
    </w:p>
    <w:p w14:paraId="7869EBFD" w14:textId="77777777" w:rsidR="000C4007" w:rsidRPr="000C4007" w:rsidRDefault="000C4007" w:rsidP="000C4007">
      <w:pPr>
        <w:widowControl w:val="0"/>
        <w:autoSpaceDE w:val="0"/>
        <w:autoSpaceDN w:val="0"/>
        <w:adjustRightInd w:val="0"/>
        <w:spacing w:before="180" w:after="60"/>
        <w:ind w:left="640" w:hanging="640"/>
        <w:rPr>
          <w:rFonts w:ascii="Myriad Pro Light" w:hAnsi="Myriad Pro Light"/>
          <w:noProof/>
          <w:sz w:val="20"/>
          <w:szCs w:val="24"/>
        </w:rPr>
      </w:pPr>
      <w:r w:rsidRPr="000C4007">
        <w:rPr>
          <w:rFonts w:ascii="Myriad Pro Light" w:hAnsi="Myriad Pro Light"/>
          <w:noProof/>
          <w:sz w:val="20"/>
          <w:szCs w:val="24"/>
        </w:rPr>
        <w:t xml:space="preserve">(20) </w:t>
      </w:r>
      <w:r w:rsidRPr="000C4007">
        <w:rPr>
          <w:rFonts w:ascii="Myriad Pro Light" w:hAnsi="Myriad Pro Light"/>
          <w:noProof/>
          <w:sz w:val="20"/>
          <w:szCs w:val="24"/>
        </w:rPr>
        <w:tab/>
        <w:t xml:space="preserve">Groenning, M.; Frokjaer, S.; Vestergaard, B. Formation Mechanism of Insulin Fibrils and Structural Aspects of the Insulin Fibrillation Process. </w:t>
      </w:r>
      <w:r w:rsidRPr="000C4007">
        <w:rPr>
          <w:rFonts w:ascii="Myriad Pro Light" w:hAnsi="Myriad Pro Light"/>
          <w:i/>
          <w:iCs/>
          <w:noProof/>
          <w:sz w:val="20"/>
          <w:szCs w:val="24"/>
        </w:rPr>
        <w:t>Curr. Protein Pept. Sci.</w:t>
      </w:r>
      <w:r w:rsidRPr="000C4007">
        <w:rPr>
          <w:rFonts w:ascii="Myriad Pro Light" w:hAnsi="Myriad Pro Light"/>
          <w:noProof/>
          <w:sz w:val="20"/>
          <w:szCs w:val="24"/>
        </w:rPr>
        <w:t xml:space="preserve"> </w:t>
      </w:r>
      <w:r w:rsidRPr="000C4007">
        <w:rPr>
          <w:rFonts w:ascii="Myriad Pro Light" w:hAnsi="Myriad Pro Light"/>
          <w:b/>
          <w:bCs/>
          <w:noProof/>
          <w:sz w:val="20"/>
          <w:szCs w:val="24"/>
        </w:rPr>
        <w:t>2009</w:t>
      </w:r>
      <w:r w:rsidRPr="000C4007">
        <w:rPr>
          <w:rFonts w:ascii="Myriad Pro Light" w:hAnsi="Myriad Pro Light"/>
          <w:noProof/>
          <w:sz w:val="20"/>
          <w:szCs w:val="24"/>
        </w:rPr>
        <w:t xml:space="preserve">, </w:t>
      </w:r>
      <w:r w:rsidRPr="000C4007">
        <w:rPr>
          <w:rFonts w:ascii="Myriad Pro Light" w:hAnsi="Myriad Pro Light"/>
          <w:i/>
          <w:iCs/>
          <w:noProof/>
          <w:sz w:val="20"/>
          <w:szCs w:val="24"/>
        </w:rPr>
        <w:t>10</w:t>
      </w:r>
      <w:r w:rsidRPr="000C4007">
        <w:rPr>
          <w:rFonts w:ascii="Myriad Pro Light" w:hAnsi="Myriad Pro Light"/>
          <w:noProof/>
          <w:sz w:val="20"/>
          <w:szCs w:val="24"/>
        </w:rPr>
        <w:t xml:space="preserve"> (5), 509–528.</w:t>
      </w:r>
    </w:p>
    <w:p w14:paraId="128F51CF" w14:textId="77777777" w:rsidR="000C4007" w:rsidRPr="005D7AC7" w:rsidRDefault="000C4007" w:rsidP="000C4007">
      <w:pPr>
        <w:widowControl w:val="0"/>
        <w:autoSpaceDE w:val="0"/>
        <w:autoSpaceDN w:val="0"/>
        <w:adjustRightInd w:val="0"/>
        <w:spacing w:before="180" w:after="60"/>
        <w:ind w:left="640" w:hanging="640"/>
        <w:rPr>
          <w:rFonts w:ascii="Myriad Pro Light" w:hAnsi="Myriad Pro Light"/>
          <w:noProof/>
          <w:sz w:val="20"/>
          <w:szCs w:val="24"/>
        </w:rPr>
      </w:pPr>
      <w:r w:rsidRPr="000C4007">
        <w:rPr>
          <w:rFonts w:ascii="Myriad Pro Light" w:hAnsi="Myriad Pro Light"/>
          <w:noProof/>
          <w:sz w:val="20"/>
          <w:szCs w:val="24"/>
        </w:rPr>
        <w:t xml:space="preserve">(21) </w:t>
      </w:r>
      <w:r w:rsidRPr="000C4007">
        <w:rPr>
          <w:rFonts w:ascii="Myriad Pro Light" w:hAnsi="Myriad Pro Light"/>
          <w:noProof/>
          <w:sz w:val="20"/>
          <w:szCs w:val="24"/>
        </w:rPr>
        <w:tab/>
      </w:r>
      <w:r w:rsidRPr="005D7AC7">
        <w:rPr>
          <w:rFonts w:ascii="Myriad Pro Light" w:hAnsi="Myriad Pro Light"/>
          <w:noProof/>
          <w:sz w:val="20"/>
          <w:szCs w:val="24"/>
        </w:rPr>
        <w:t xml:space="preserve">Schultz, B. J.; Mohrmann, H.; Lorenz-Fonfria, V. A.; Heberle, J. Protein Dynamics Observed by Tunable Mid-IR Quantum Cascade Lasers across the Time Range from 10 Ns to 1 S. </w:t>
      </w:r>
      <w:r w:rsidRPr="005D7AC7">
        <w:rPr>
          <w:rFonts w:ascii="Myriad Pro Light" w:hAnsi="Myriad Pro Light"/>
          <w:i/>
          <w:iCs/>
          <w:noProof/>
          <w:sz w:val="20"/>
          <w:szCs w:val="24"/>
        </w:rPr>
        <w:t>Spectrochim. Acta - Part A Mol. Biomol. Spectrosc.</w:t>
      </w:r>
      <w:r w:rsidRPr="005D7AC7">
        <w:rPr>
          <w:rFonts w:ascii="Myriad Pro Light" w:hAnsi="Myriad Pro Light"/>
          <w:noProof/>
          <w:sz w:val="20"/>
          <w:szCs w:val="24"/>
        </w:rPr>
        <w:t xml:space="preserve"> </w:t>
      </w:r>
      <w:r w:rsidRPr="005D7AC7">
        <w:rPr>
          <w:rFonts w:ascii="Myriad Pro Light" w:hAnsi="Myriad Pro Light"/>
          <w:b/>
          <w:bCs/>
          <w:noProof/>
          <w:sz w:val="20"/>
          <w:szCs w:val="24"/>
        </w:rPr>
        <w:t>2018</w:t>
      </w:r>
      <w:r w:rsidRPr="005D7AC7">
        <w:rPr>
          <w:rFonts w:ascii="Myriad Pro Light" w:hAnsi="Myriad Pro Light"/>
          <w:noProof/>
          <w:sz w:val="20"/>
          <w:szCs w:val="24"/>
        </w:rPr>
        <w:t xml:space="preserve">, </w:t>
      </w:r>
      <w:r w:rsidRPr="005D7AC7">
        <w:rPr>
          <w:rFonts w:ascii="Myriad Pro Light" w:hAnsi="Myriad Pro Light"/>
          <w:i/>
          <w:iCs/>
          <w:noProof/>
          <w:sz w:val="20"/>
          <w:szCs w:val="24"/>
        </w:rPr>
        <w:t>188</w:t>
      </w:r>
      <w:r w:rsidRPr="005D7AC7">
        <w:rPr>
          <w:rFonts w:ascii="Myriad Pro Light" w:hAnsi="Myriad Pro Light"/>
          <w:noProof/>
          <w:sz w:val="20"/>
          <w:szCs w:val="24"/>
        </w:rPr>
        <w:t>, 666</w:t>
      </w:r>
      <w:r w:rsidRPr="005D7AC7">
        <w:rPr>
          <w:rFonts w:ascii="Myriad Pro Light" w:hAnsi="Myriad Pro Light" w:hint="eastAsia"/>
          <w:noProof/>
          <w:sz w:val="20"/>
          <w:szCs w:val="24"/>
        </w:rPr>
        <w:t>–</w:t>
      </w:r>
      <w:r w:rsidRPr="005D7AC7">
        <w:rPr>
          <w:rFonts w:ascii="Myriad Pro Light" w:hAnsi="Myriad Pro Light"/>
          <w:noProof/>
          <w:sz w:val="20"/>
          <w:szCs w:val="24"/>
        </w:rPr>
        <w:t>674.</w:t>
      </w:r>
    </w:p>
    <w:p w14:paraId="1F422048" w14:textId="77777777" w:rsidR="000C4007" w:rsidRPr="000C4007" w:rsidRDefault="000C4007" w:rsidP="000C4007">
      <w:pPr>
        <w:widowControl w:val="0"/>
        <w:autoSpaceDE w:val="0"/>
        <w:autoSpaceDN w:val="0"/>
        <w:adjustRightInd w:val="0"/>
        <w:spacing w:before="180" w:after="60"/>
        <w:ind w:left="640" w:hanging="640"/>
        <w:rPr>
          <w:rFonts w:ascii="Myriad Pro Light" w:hAnsi="Myriad Pro Light"/>
          <w:noProof/>
          <w:sz w:val="20"/>
          <w:szCs w:val="24"/>
        </w:rPr>
      </w:pPr>
      <w:r w:rsidRPr="000C4007">
        <w:rPr>
          <w:rFonts w:ascii="Myriad Pro Light" w:hAnsi="Myriad Pro Light"/>
          <w:noProof/>
          <w:sz w:val="20"/>
          <w:szCs w:val="24"/>
        </w:rPr>
        <w:t xml:space="preserve">(22) </w:t>
      </w:r>
      <w:r w:rsidRPr="000C4007">
        <w:rPr>
          <w:rFonts w:ascii="Myriad Pro Light" w:hAnsi="Myriad Pro Light"/>
          <w:noProof/>
          <w:sz w:val="20"/>
          <w:szCs w:val="24"/>
        </w:rPr>
        <w:tab/>
        <w:t xml:space="preserve">Carter, D. C.; Ho, J. X. Structure of Serum Albumin. </w:t>
      </w:r>
      <w:r w:rsidRPr="000C4007">
        <w:rPr>
          <w:rFonts w:ascii="Myriad Pro Light" w:hAnsi="Myriad Pro Light"/>
          <w:i/>
          <w:iCs/>
          <w:noProof/>
          <w:sz w:val="20"/>
          <w:szCs w:val="24"/>
        </w:rPr>
        <w:t>Adv. Protein Chem.</w:t>
      </w:r>
      <w:r w:rsidRPr="000C4007">
        <w:rPr>
          <w:rFonts w:ascii="Myriad Pro Light" w:hAnsi="Myriad Pro Light"/>
          <w:noProof/>
          <w:sz w:val="20"/>
          <w:szCs w:val="24"/>
        </w:rPr>
        <w:t xml:space="preserve"> </w:t>
      </w:r>
      <w:r w:rsidRPr="000C4007">
        <w:rPr>
          <w:rFonts w:ascii="Myriad Pro Light" w:hAnsi="Myriad Pro Light"/>
          <w:b/>
          <w:bCs/>
          <w:noProof/>
          <w:sz w:val="20"/>
          <w:szCs w:val="24"/>
        </w:rPr>
        <w:t>1994</w:t>
      </w:r>
      <w:r w:rsidRPr="000C4007">
        <w:rPr>
          <w:rFonts w:ascii="Myriad Pro Light" w:hAnsi="Myriad Pro Light"/>
          <w:noProof/>
          <w:sz w:val="20"/>
          <w:szCs w:val="24"/>
        </w:rPr>
        <w:t xml:space="preserve">, </w:t>
      </w:r>
      <w:r w:rsidRPr="000C4007">
        <w:rPr>
          <w:rFonts w:ascii="Myriad Pro Light" w:hAnsi="Myriad Pro Light"/>
          <w:i/>
          <w:iCs/>
          <w:noProof/>
          <w:sz w:val="20"/>
          <w:szCs w:val="24"/>
        </w:rPr>
        <w:t>45</w:t>
      </w:r>
      <w:r w:rsidRPr="000C4007">
        <w:rPr>
          <w:rFonts w:ascii="Myriad Pro Light" w:hAnsi="Myriad Pro Light"/>
          <w:noProof/>
          <w:sz w:val="20"/>
          <w:szCs w:val="24"/>
        </w:rPr>
        <w:t xml:space="preserve"> (C), 153–176.</w:t>
      </w:r>
    </w:p>
    <w:p w14:paraId="46DD38D5" w14:textId="77777777" w:rsidR="000C4007" w:rsidRPr="000C4007" w:rsidRDefault="000C4007" w:rsidP="000C4007">
      <w:pPr>
        <w:widowControl w:val="0"/>
        <w:autoSpaceDE w:val="0"/>
        <w:autoSpaceDN w:val="0"/>
        <w:adjustRightInd w:val="0"/>
        <w:spacing w:before="180" w:after="60"/>
        <w:ind w:left="640" w:hanging="640"/>
        <w:rPr>
          <w:rFonts w:ascii="Myriad Pro Light" w:hAnsi="Myriad Pro Light"/>
          <w:noProof/>
          <w:sz w:val="20"/>
          <w:szCs w:val="24"/>
        </w:rPr>
      </w:pPr>
      <w:r w:rsidRPr="000C4007">
        <w:rPr>
          <w:rFonts w:ascii="Myriad Pro Light" w:hAnsi="Myriad Pro Light"/>
          <w:noProof/>
          <w:sz w:val="20"/>
          <w:szCs w:val="24"/>
        </w:rPr>
        <w:t xml:space="preserve">(23) </w:t>
      </w:r>
      <w:r w:rsidRPr="000C4007">
        <w:rPr>
          <w:rFonts w:ascii="Myriad Pro Light" w:hAnsi="Myriad Pro Light"/>
          <w:noProof/>
          <w:sz w:val="20"/>
          <w:szCs w:val="24"/>
        </w:rPr>
        <w:tab/>
        <w:t xml:space="preserve">Gokarn, Y.; Agarwal, S.; Arthur, K.; Bepperling, A.; Day, E. S.; Filoti, D.; Greene, D. G.; Hayes, D.; Kroe-Barrett, R.; Laue, T.; Lin, J.; McGarry, B.; Razinkov, V.; Singh, S.; Taing, R.; Venkataramani, S.; Weiss, W.; Yang, D.; Zarraga, I. E. Biophysical Techniques for Characterizing the Higher Order Structure and Interactions of Monoclonal Antibodies. </w:t>
      </w:r>
      <w:r w:rsidRPr="000C4007">
        <w:rPr>
          <w:rFonts w:ascii="Myriad Pro Light" w:hAnsi="Myriad Pro Light"/>
          <w:i/>
          <w:iCs/>
          <w:noProof/>
          <w:sz w:val="20"/>
          <w:szCs w:val="24"/>
        </w:rPr>
        <w:t>ACS Symp. Ser.</w:t>
      </w:r>
      <w:r w:rsidRPr="000C4007">
        <w:rPr>
          <w:rFonts w:ascii="Myriad Pro Light" w:hAnsi="Myriad Pro Light"/>
          <w:noProof/>
          <w:sz w:val="20"/>
          <w:szCs w:val="24"/>
        </w:rPr>
        <w:t xml:space="preserve"> </w:t>
      </w:r>
      <w:r w:rsidRPr="000C4007">
        <w:rPr>
          <w:rFonts w:ascii="Myriad Pro Light" w:hAnsi="Myriad Pro Light"/>
          <w:b/>
          <w:bCs/>
          <w:noProof/>
          <w:sz w:val="20"/>
          <w:szCs w:val="24"/>
        </w:rPr>
        <w:t>2015</w:t>
      </w:r>
      <w:r w:rsidRPr="000C4007">
        <w:rPr>
          <w:rFonts w:ascii="Myriad Pro Light" w:hAnsi="Myriad Pro Light"/>
          <w:noProof/>
          <w:sz w:val="20"/>
          <w:szCs w:val="24"/>
        </w:rPr>
        <w:t xml:space="preserve">, </w:t>
      </w:r>
      <w:r w:rsidRPr="000C4007">
        <w:rPr>
          <w:rFonts w:ascii="Myriad Pro Light" w:hAnsi="Myriad Pro Light"/>
          <w:i/>
          <w:iCs/>
          <w:noProof/>
          <w:sz w:val="20"/>
          <w:szCs w:val="24"/>
        </w:rPr>
        <w:t>1201</w:t>
      </w:r>
      <w:r w:rsidRPr="000C4007">
        <w:rPr>
          <w:rFonts w:ascii="Myriad Pro Light" w:hAnsi="Myriad Pro Light"/>
          <w:noProof/>
          <w:sz w:val="20"/>
          <w:szCs w:val="24"/>
        </w:rPr>
        <w:t>, 285–327.</w:t>
      </w:r>
    </w:p>
    <w:p w14:paraId="2FDA1294" w14:textId="77777777" w:rsidR="000C4007" w:rsidRPr="000C4007" w:rsidRDefault="000C4007" w:rsidP="000C4007">
      <w:pPr>
        <w:widowControl w:val="0"/>
        <w:autoSpaceDE w:val="0"/>
        <w:autoSpaceDN w:val="0"/>
        <w:adjustRightInd w:val="0"/>
        <w:spacing w:before="180" w:after="60"/>
        <w:ind w:left="640" w:hanging="640"/>
        <w:rPr>
          <w:rFonts w:ascii="Myriad Pro Light" w:hAnsi="Myriad Pro Light"/>
          <w:noProof/>
          <w:sz w:val="20"/>
          <w:szCs w:val="24"/>
        </w:rPr>
      </w:pPr>
      <w:r w:rsidRPr="000C4007">
        <w:rPr>
          <w:rFonts w:ascii="Myriad Pro Light" w:hAnsi="Myriad Pro Light"/>
          <w:noProof/>
          <w:sz w:val="20"/>
          <w:szCs w:val="24"/>
        </w:rPr>
        <w:t xml:space="preserve">(24) </w:t>
      </w:r>
      <w:r w:rsidRPr="000C4007">
        <w:rPr>
          <w:rFonts w:ascii="Myriad Pro Light" w:hAnsi="Myriad Pro Light"/>
          <w:noProof/>
          <w:sz w:val="20"/>
          <w:szCs w:val="24"/>
        </w:rPr>
        <w:tab/>
        <w:t xml:space="preserve">Amenabar, I.; Poly, S.; Nuansing, W.; Hubrich, E. H.; Govyadinov, A. A.; Huth, F.; Krutokhvostov, R.; Zhang, L.; Knez, M.; Heberle, J.; Bittner, A. M.; Hillenbrand, R. Structural Analysis and Mapping of Individual Protein Complexes by Infrared Nanospectroscopy. </w:t>
      </w:r>
      <w:r w:rsidRPr="000C4007">
        <w:rPr>
          <w:rFonts w:ascii="Myriad Pro Light" w:hAnsi="Myriad Pro Light"/>
          <w:i/>
          <w:iCs/>
          <w:noProof/>
          <w:sz w:val="20"/>
          <w:szCs w:val="24"/>
        </w:rPr>
        <w:t>Nat. Commun.</w:t>
      </w:r>
      <w:r w:rsidRPr="000C4007">
        <w:rPr>
          <w:rFonts w:ascii="Myriad Pro Light" w:hAnsi="Myriad Pro Light"/>
          <w:noProof/>
          <w:sz w:val="20"/>
          <w:szCs w:val="24"/>
        </w:rPr>
        <w:t xml:space="preserve"> </w:t>
      </w:r>
      <w:r w:rsidRPr="000C4007">
        <w:rPr>
          <w:rFonts w:ascii="Myriad Pro Light" w:hAnsi="Myriad Pro Light"/>
          <w:b/>
          <w:bCs/>
          <w:noProof/>
          <w:sz w:val="20"/>
          <w:szCs w:val="24"/>
        </w:rPr>
        <w:t>2013</w:t>
      </w:r>
      <w:r w:rsidRPr="000C4007">
        <w:rPr>
          <w:rFonts w:ascii="Myriad Pro Light" w:hAnsi="Myriad Pro Light"/>
          <w:noProof/>
          <w:sz w:val="20"/>
          <w:szCs w:val="24"/>
        </w:rPr>
        <w:t xml:space="preserve">, </w:t>
      </w:r>
      <w:r w:rsidRPr="000C4007">
        <w:rPr>
          <w:rFonts w:ascii="Myriad Pro Light" w:hAnsi="Myriad Pro Light"/>
          <w:i/>
          <w:iCs/>
          <w:noProof/>
          <w:sz w:val="20"/>
          <w:szCs w:val="24"/>
        </w:rPr>
        <w:t>4</w:t>
      </w:r>
      <w:r w:rsidRPr="000C4007">
        <w:rPr>
          <w:rFonts w:ascii="Myriad Pro Light" w:hAnsi="Myriad Pro Light"/>
          <w:noProof/>
          <w:sz w:val="20"/>
          <w:szCs w:val="24"/>
        </w:rPr>
        <w:t>, 2890.</w:t>
      </w:r>
    </w:p>
    <w:p w14:paraId="5C079161" w14:textId="77777777" w:rsidR="000C4007" w:rsidRPr="000C4007" w:rsidRDefault="000C4007" w:rsidP="000C4007">
      <w:pPr>
        <w:widowControl w:val="0"/>
        <w:autoSpaceDE w:val="0"/>
        <w:autoSpaceDN w:val="0"/>
        <w:adjustRightInd w:val="0"/>
        <w:spacing w:before="180" w:after="60"/>
        <w:ind w:left="640" w:hanging="640"/>
        <w:rPr>
          <w:rFonts w:ascii="Myriad Pro Light" w:hAnsi="Myriad Pro Light"/>
          <w:noProof/>
          <w:sz w:val="20"/>
          <w:szCs w:val="24"/>
        </w:rPr>
      </w:pPr>
      <w:r w:rsidRPr="000C4007">
        <w:rPr>
          <w:rFonts w:ascii="Myriad Pro Light" w:hAnsi="Myriad Pro Light"/>
          <w:noProof/>
          <w:sz w:val="20"/>
          <w:szCs w:val="24"/>
        </w:rPr>
        <w:t xml:space="preserve">(25) </w:t>
      </w:r>
      <w:r w:rsidRPr="000C4007">
        <w:rPr>
          <w:rFonts w:ascii="Myriad Pro Light" w:hAnsi="Myriad Pro Light"/>
          <w:noProof/>
          <w:sz w:val="20"/>
          <w:szCs w:val="24"/>
        </w:rPr>
        <w:tab/>
        <w:t xml:space="preserve">Bro, R.; Smilde, A. K. Principal Component Analysis. </w:t>
      </w:r>
      <w:r w:rsidRPr="000C4007">
        <w:rPr>
          <w:rFonts w:ascii="Myriad Pro Light" w:hAnsi="Myriad Pro Light"/>
          <w:i/>
          <w:iCs/>
          <w:noProof/>
          <w:sz w:val="20"/>
          <w:szCs w:val="24"/>
        </w:rPr>
        <w:t>Anal. Methods</w:t>
      </w:r>
      <w:r w:rsidRPr="000C4007">
        <w:rPr>
          <w:rFonts w:ascii="Myriad Pro Light" w:hAnsi="Myriad Pro Light"/>
          <w:noProof/>
          <w:sz w:val="20"/>
          <w:szCs w:val="24"/>
        </w:rPr>
        <w:t xml:space="preserve"> </w:t>
      </w:r>
      <w:r w:rsidRPr="000C4007">
        <w:rPr>
          <w:rFonts w:ascii="Myriad Pro Light" w:hAnsi="Myriad Pro Light"/>
          <w:b/>
          <w:bCs/>
          <w:noProof/>
          <w:sz w:val="20"/>
          <w:szCs w:val="24"/>
        </w:rPr>
        <w:t>2014</w:t>
      </w:r>
      <w:r w:rsidRPr="000C4007">
        <w:rPr>
          <w:rFonts w:ascii="Myriad Pro Light" w:hAnsi="Myriad Pro Light"/>
          <w:noProof/>
          <w:sz w:val="20"/>
          <w:szCs w:val="24"/>
        </w:rPr>
        <w:t xml:space="preserve">, </w:t>
      </w:r>
      <w:r w:rsidRPr="000C4007">
        <w:rPr>
          <w:rFonts w:ascii="Myriad Pro Light" w:hAnsi="Myriad Pro Light"/>
          <w:i/>
          <w:iCs/>
          <w:noProof/>
          <w:sz w:val="20"/>
          <w:szCs w:val="24"/>
        </w:rPr>
        <w:t>6</w:t>
      </w:r>
      <w:r w:rsidRPr="000C4007">
        <w:rPr>
          <w:rFonts w:ascii="Myriad Pro Light" w:hAnsi="Myriad Pro Light"/>
          <w:noProof/>
          <w:sz w:val="20"/>
          <w:szCs w:val="24"/>
        </w:rPr>
        <w:t xml:space="preserve"> (9), 2812–2831.</w:t>
      </w:r>
    </w:p>
    <w:p w14:paraId="2961195F" w14:textId="77777777" w:rsidR="000C4007" w:rsidRPr="000C4007" w:rsidRDefault="000C4007" w:rsidP="000C4007">
      <w:pPr>
        <w:widowControl w:val="0"/>
        <w:autoSpaceDE w:val="0"/>
        <w:autoSpaceDN w:val="0"/>
        <w:adjustRightInd w:val="0"/>
        <w:spacing w:before="180" w:after="60"/>
        <w:ind w:left="640" w:hanging="640"/>
        <w:rPr>
          <w:rFonts w:ascii="Myriad Pro Light" w:hAnsi="Myriad Pro Light"/>
          <w:noProof/>
          <w:sz w:val="20"/>
          <w:szCs w:val="24"/>
        </w:rPr>
      </w:pPr>
      <w:r w:rsidRPr="000C4007">
        <w:rPr>
          <w:rFonts w:ascii="Myriad Pro Light" w:hAnsi="Myriad Pro Light"/>
          <w:noProof/>
          <w:sz w:val="20"/>
          <w:szCs w:val="24"/>
        </w:rPr>
        <w:t xml:space="preserve">(26) </w:t>
      </w:r>
      <w:r w:rsidRPr="000C4007">
        <w:rPr>
          <w:rFonts w:ascii="Myriad Pro Light" w:hAnsi="Myriad Pro Light"/>
          <w:noProof/>
          <w:sz w:val="20"/>
          <w:szCs w:val="24"/>
        </w:rPr>
        <w:tab/>
        <w:t xml:space="preserve">Noda, I. Vibrational Two-Dimensional Correlation Spectroscopy (2DCOS) Study of Proteins. </w:t>
      </w:r>
      <w:r w:rsidRPr="000C4007">
        <w:rPr>
          <w:rFonts w:ascii="Myriad Pro Light" w:hAnsi="Myriad Pro Light"/>
          <w:i/>
          <w:iCs/>
          <w:noProof/>
          <w:sz w:val="20"/>
          <w:szCs w:val="24"/>
        </w:rPr>
        <w:t>Spectrochim. Acta - Part A Mol. Biomol. Spectrosc.</w:t>
      </w:r>
      <w:r w:rsidRPr="000C4007">
        <w:rPr>
          <w:rFonts w:ascii="Myriad Pro Light" w:hAnsi="Myriad Pro Light"/>
          <w:noProof/>
          <w:sz w:val="20"/>
          <w:szCs w:val="24"/>
        </w:rPr>
        <w:t xml:space="preserve"> </w:t>
      </w:r>
      <w:r w:rsidRPr="000C4007">
        <w:rPr>
          <w:rFonts w:ascii="Myriad Pro Light" w:hAnsi="Myriad Pro Light"/>
          <w:b/>
          <w:bCs/>
          <w:noProof/>
          <w:sz w:val="20"/>
          <w:szCs w:val="24"/>
        </w:rPr>
        <w:t>2017</w:t>
      </w:r>
      <w:r w:rsidRPr="000C4007">
        <w:rPr>
          <w:rFonts w:ascii="Myriad Pro Light" w:hAnsi="Myriad Pro Light"/>
          <w:noProof/>
          <w:sz w:val="20"/>
          <w:szCs w:val="24"/>
        </w:rPr>
        <w:t xml:space="preserve">, </w:t>
      </w:r>
      <w:r w:rsidRPr="000C4007">
        <w:rPr>
          <w:rFonts w:ascii="Myriad Pro Light" w:hAnsi="Myriad Pro Light"/>
          <w:i/>
          <w:iCs/>
          <w:noProof/>
          <w:sz w:val="20"/>
          <w:szCs w:val="24"/>
        </w:rPr>
        <w:t>187</w:t>
      </w:r>
      <w:r w:rsidRPr="000C4007">
        <w:rPr>
          <w:rFonts w:ascii="Myriad Pro Light" w:hAnsi="Myriad Pro Light"/>
          <w:noProof/>
          <w:sz w:val="20"/>
          <w:szCs w:val="24"/>
        </w:rPr>
        <w:t>, 119–129.</w:t>
      </w:r>
    </w:p>
    <w:p w14:paraId="0D1710E8" w14:textId="77777777" w:rsidR="000C4007" w:rsidRPr="000C4007" w:rsidRDefault="000C4007" w:rsidP="000C4007">
      <w:pPr>
        <w:widowControl w:val="0"/>
        <w:autoSpaceDE w:val="0"/>
        <w:autoSpaceDN w:val="0"/>
        <w:adjustRightInd w:val="0"/>
        <w:spacing w:before="180" w:after="60"/>
        <w:ind w:left="640" w:hanging="640"/>
        <w:rPr>
          <w:rFonts w:ascii="Myriad Pro Light" w:hAnsi="Myriad Pro Light"/>
          <w:noProof/>
          <w:sz w:val="20"/>
          <w:szCs w:val="24"/>
        </w:rPr>
      </w:pPr>
      <w:r w:rsidRPr="000C4007">
        <w:rPr>
          <w:rFonts w:ascii="Myriad Pro Light" w:hAnsi="Myriad Pro Light"/>
          <w:noProof/>
          <w:sz w:val="20"/>
          <w:szCs w:val="24"/>
        </w:rPr>
        <w:t xml:space="preserve">(27) </w:t>
      </w:r>
      <w:r w:rsidRPr="000C4007">
        <w:rPr>
          <w:rFonts w:ascii="Myriad Pro Light" w:hAnsi="Myriad Pro Light"/>
          <w:noProof/>
          <w:sz w:val="20"/>
          <w:szCs w:val="24"/>
        </w:rPr>
        <w:tab/>
        <w:t xml:space="preserve">Knowles, T. P. J.; Waudby, C. A.; Devlin, G. L.; Cohen, S. I. A.; Aguzzi, A.; Vendruscolo, M.; Terentjev, E. M.; Welland, M. E.; Dobson, C. M. An Analytical Solution to the Kinetics of Breakable Filament Assembly. </w:t>
      </w:r>
      <w:r w:rsidRPr="000C4007">
        <w:rPr>
          <w:rFonts w:ascii="Myriad Pro Light" w:hAnsi="Myriad Pro Light"/>
          <w:i/>
          <w:iCs/>
          <w:noProof/>
          <w:sz w:val="20"/>
          <w:szCs w:val="24"/>
        </w:rPr>
        <w:t>Science</w:t>
      </w:r>
      <w:r w:rsidRPr="000C4007">
        <w:rPr>
          <w:rFonts w:ascii="Myriad Pro Light" w:hAnsi="Myriad Pro Light"/>
          <w:noProof/>
          <w:sz w:val="20"/>
          <w:szCs w:val="24"/>
        </w:rPr>
        <w:t xml:space="preserve"> </w:t>
      </w:r>
      <w:r w:rsidRPr="000C4007">
        <w:rPr>
          <w:rFonts w:ascii="Myriad Pro Light" w:hAnsi="Myriad Pro Light"/>
          <w:b/>
          <w:bCs/>
          <w:noProof/>
          <w:sz w:val="20"/>
          <w:szCs w:val="24"/>
        </w:rPr>
        <w:t>2009</w:t>
      </w:r>
      <w:r w:rsidRPr="000C4007">
        <w:rPr>
          <w:rFonts w:ascii="Myriad Pro Light" w:hAnsi="Myriad Pro Light"/>
          <w:noProof/>
          <w:sz w:val="20"/>
          <w:szCs w:val="24"/>
        </w:rPr>
        <w:t xml:space="preserve">, </w:t>
      </w:r>
      <w:r w:rsidRPr="000C4007">
        <w:rPr>
          <w:rFonts w:ascii="Myriad Pro Light" w:hAnsi="Myriad Pro Light"/>
          <w:i/>
          <w:iCs/>
          <w:noProof/>
          <w:sz w:val="20"/>
          <w:szCs w:val="24"/>
        </w:rPr>
        <w:t>326</w:t>
      </w:r>
      <w:r w:rsidRPr="000C4007">
        <w:rPr>
          <w:rFonts w:ascii="Myriad Pro Light" w:hAnsi="Myriad Pro Light"/>
          <w:noProof/>
          <w:sz w:val="20"/>
          <w:szCs w:val="24"/>
        </w:rPr>
        <w:t xml:space="preserve"> (5959), 1533–1537.</w:t>
      </w:r>
    </w:p>
    <w:p w14:paraId="48F03B05" w14:textId="77777777" w:rsidR="000C4007" w:rsidRPr="000C4007" w:rsidRDefault="000C4007" w:rsidP="000C4007">
      <w:pPr>
        <w:widowControl w:val="0"/>
        <w:autoSpaceDE w:val="0"/>
        <w:autoSpaceDN w:val="0"/>
        <w:adjustRightInd w:val="0"/>
        <w:spacing w:before="180" w:after="60"/>
        <w:ind w:left="640" w:hanging="640"/>
        <w:rPr>
          <w:rFonts w:ascii="Myriad Pro Light" w:hAnsi="Myriad Pro Light"/>
          <w:noProof/>
          <w:sz w:val="20"/>
          <w:szCs w:val="24"/>
        </w:rPr>
      </w:pPr>
      <w:r w:rsidRPr="000C4007">
        <w:rPr>
          <w:rFonts w:ascii="Myriad Pro Light" w:hAnsi="Myriad Pro Light"/>
          <w:noProof/>
          <w:sz w:val="20"/>
          <w:szCs w:val="24"/>
        </w:rPr>
        <w:t xml:space="preserve">(28) </w:t>
      </w:r>
      <w:r w:rsidRPr="000C4007">
        <w:rPr>
          <w:rFonts w:ascii="Myriad Pro Light" w:hAnsi="Myriad Pro Light"/>
          <w:noProof/>
          <w:sz w:val="20"/>
          <w:szCs w:val="24"/>
        </w:rPr>
        <w:tab/>
        <w:t xml:space="preserve">Morris, A. M.; Watzky, M. A.; Agar, J. N.; Finke, R. G. Fitting Neurological Protein Aggregation Kinetic Data via a 2-Step, Minimal/"Ockham’s Razor" Model: The Finke-Watzky Mechanism of Nucleation Followed by Autocatalytic Surface Growth. </w:t>
      </w:r>
      <w:r w:rsidRPr="000C4007">
        <w:rPr>
          <w:rFonts w:ascii="Myriad Pro Light" w:hAnsi="Myriad Pro Light"/>
          <w:i/>
          <w:iCs/>
          <w:noProof/>
          <w:sz w:val="20"/>
          <w:szCs w:val="24"/>
        </w:rPr>
        <w:t>Biochemistry</w:t>
      </w:r>
      <w:r w:rsidRPr="000C4007">
        <w:rPr>
          <w:rFonts w:ascii="Myriad Pro Light" w:hAnsi="Myriad Pro Light"/>
          <w:noProof/>
          <w:sz w:val="20"/>
          <w:szCs w:val="24"/>
        </w:rPr>
        <w:t xml:space="preserve"> </w:t>
      </w:r>
      <w:r w:rsidRPr="000C4007">
        <w:rPr>
          <w:rFonts w:ascii="Myriad Pro Light" w:hAnsi="Myriad Pro Light"/>
          <w:b/>
          <w:bCs/>
          <w:noProof/>
          <w:sz w:val="20"/>
          <w:szCs w:val="24"/>
        </w:rPr>
        <w:t>2008</w:t>
      </w:r>
      <w:r w:rsidRPr="000C4007">
        <w:rPr>
          <w:rFonts w:ascii="Myriad Pro Light" w:hAnsi="Myriad Pro Light"/>
          <w:noProof/>
          <w:sz w:val="20"/>
          <w:szCs w:val="24"/>
        </w:rPr>
        <w:t xml:space="preserve">, </w:t>
      </w:r>
      <w:r w:rsidRPr="000C4007">
        <w:rPr>
          <w:rFonts w:ascii="Myriad Pro Light" w:hAnsi="Myriad Pro Light"/>
          <w:i/>
          <w:iCs/>
          <w:noProof/>
          <w:sz w:val="20"/>
          <w:szCs w:val="24"/>
        </w:rPr>
        <w:t>47</w:t>
      </w:r>
      <w:r w:rsidRPr="000C4007">
        <w:rPr>
          <w:rFonts w:ascii="Myriad Pro Light" w:hAnsi="Myriad Pro Light"/>
          <w:noProof/>
          <w:sz w:val="20"/>
          <w:szCs w:val="24"/>
        </w:rPr>
        <w:t xml:space="preserve"> (8), 2413–2427.</w:t>
      </w:r>
    </w:p>
    <w:p w14:paraId="43150522" w14:textId="77777777" w:rsidR="000C4007" w:rsidRPr="000C4007" w:rsidRDefault="000C4007" w:rsidP="000C4007">
      <w:pPr>
        <w:widowControl w:val="0"/>
        <w:autoSpaceDE w:val="0"/>
        <w:autoSpaceDN w:val="0"/>
        <w:adjustRightInd w:val="0"/>
        <w:spacing w:before="180" w:after="60"/>
        <w:ind w:left="640" w:hanging="640"/>
        <w:rPr>
          <w:rFonts w:ascii="Myriad Pro Light" w:hAnsi="Myriad Pro Light"/>
          <w:noProof/>
          <w:sz w:val="20"/>
          <w:szCs w:val="24"/>
        </w:rPr>
      </w:pPr>
      <w:r w:rsidRPr="000C4007">
        <w:rPr>
          <w:rFonts w:ascii="Myriad Pro Light" w:hAnsi="Myriad Pro Light"/>
          <w:noProof/>
          <w:sz w:val="20"/>
          <w:szCs w:val="24"/>
        </w:rPr>
        <w:t xml:space="preserve">(29) </w:t>
      </w:r>
      <w:r w:rsidRPr="000C4007">
        <w:rPr>
          <w:rFonts w:ascii="Myriad Pro Light" w:hAnsi="Myriad Pro Light"/>
          <w:noProof/>
          <w:sz w:val="20"/>
          <w:szCs w:val="24"/>
        </w:rPr>
        <w:tab/>
        <w:t xml:space="preserve">Cohen, S. I. A.; Vendruscolo, M.; Welland, M. E.; Dobson, C. M.; Terentjev, E. M.; Knowles, T. P. J. Nucleated Polymerization with Secondary Pathways. I. Time Evolution of the Principal Moments. </w:t>
      </w:r>
      <w:r w:rsidRPr="000C4007">
        <w:rPr>
          <w:rFonts w:ascii="Myriad Pro Light" w:hAnsi="Myriad Pro Light"/>
          <w:i/>
          <w:iCs/>
          <w:noProof/>
          <w:sz w:val="20"/>
          <w:szCs w:val="24"/>
        </w:rPr>
        <w:t>J. Chem. Phys.</w:t>
      </w:r>
      <w:r w:rsidRPr="000C4007">
        <w:rPr>
          <w:rFonts w:ascii="Myriad Pro Light" w:hAnsi="Myriad Pro Light"/>
          <w:noProof/>
          <w:sz w:val="20"/>
          <w:szCs w:val="24"/>
        </w:rPr>
        <w:t xml:space="preserve"> </w:t>
      </w:r>
      <w:r w:rsidRPr="000C4007">
        <w:rPr>
          <w:rFonts w:ascii="Myriad Pro Light" w:hAnsi="Myriad Pro Light"/>
          <w:b/>
          <w:bCs/>
          <w:noProof/>
          <w:sz w:val="20"/>
          <w:szCs w:val="24"/>
        </w:rPr>
        <w:t>2011</w:t>
      </w:r>
      <w:r w:rsidRPr="000C4007">
        <w:rPr>
          <w:rFonts w:ascii="Myriad Pro Light" w:hAnsi="Myriad Pro Light"/>
          <w:noProof/>
          <w:sz w:val="20"/>
          <w:szCs w:val="24"/>
        </w:rPr>
        <w:t xml:space="preserve">, </w:t>
      </w:r>
      <w:r w:rsidRPr="000C4007">
        <w:rPr>
          <w:rFonts w:ascii="Myriad Pro Light" w:hAnsi="Myriad Pro Light"/>
          <w:i/>
          <w:iCs/>
          <w:noProof/>
          <w:sz w:val="20"/>
          <w:szCs w:val="24"/>
        </w:rPr>
        <w:t>135</w:t>
      </w:r>
      <w:r w:rsidRPr="000C4007">
        <w:rPr>
          <w:rFonts w:ascii="Myriad Pro Light" w:hAnsi="Myriad Pro Light"/>
          <w:noProof/>
          <w:sz w:val="20"/>
          <w:szCs w:val="24"/>
        </w:rPr>
        <w:t xml:space="preserve"> (6), 065105.</w:t>
      </w:r>
    </w:p>
    <w:p w14:paraId="1872CCC9" w14:textId="77777777" w:rsidR="000C4007" w:rsidRPr="000C4007" w:rsidRDefault="000C4007" w:rsidP="000C4007">
      <w:pPr>
        <w:widowControl w:val="0"/>
        <w:autoSpaceDE w:val="0"/>
        <w:autoSpaceDN w:val="0"/>
        <w:adjustRightInd w:val="0"/>
        <w:spacing w:before="180" w:after="60"/>
        <w:ind w:left="640" w:hanging="640"/>
        <w:rPr>
          <w:rFonts w:ascii="Myriad Pro Light" w:hAnsi="Myriad Pro Light"/>
          <w:noProof/>
          <w:sz w:val="20"/>
          <w:szCs w:val="24"/>
        </w:rPr>
      </w:pPr>
      <w:r w:rsidRPr="000C4007">
        <w:rPr>
          <w:rFonts w:ascii="Myriad Pro Light" w:hAnsi="Myriad Pro Light"/>
          <w:noProof/>
          <w:sz w:val="20"/>
          <w:szCs w:val="24"/>
        </w:rPr>
        <w:t xml:space="preserve">(30) </w:t>
      </w:r>
      <w:r w:rsidRPr="000C4007">
        <w:rPr>
          <w:rFonts w:ascii="Myriad Pro Light" w:hAnsi="Myriad Pro Light"/>
          <w:noProof/>
          <w:sz w:val="20"/>
          <w:szCs w:val="24"/>
        </w:rPr>
        <w:tab/>
        <w:t xml:space="preserve">Newbury, N. R.; Coddington, I.; Swann, W. Sensitivity of Coherent Dual-Comb Spectroscopy. </w:t>
      </w:r>
      <w:r w:rsidRPr="000C4007">
        <w:rPr>
          <w:rFonts w:ascii="Myriad Pro Light" w:hAnsi="Myriad Pro Light"/>
          <w:i/>
          <w:iCs/>
          <w:noProof/>
          <w:sz w:val="20"/>
          <w:szCs w:val="24"/>
        </w:rPr>
        <w:t>Opt. Express</w:t>
      </w:r>
      <w:r w:rsidRPr="000C4007">
        <w:rPr>
          <w:rFonts w:ascii="Myriad Pro Light" w:hAnsi="Myriad Pro Light"/>
          <w:noProof/>
          <w:sz w:val="20"/>
          <w:szCs w:val="24"/>
        </w:rPr>
        <w:t xml:space="preserve"> </w:t>
      </w:r>
      <w:r w:rsidRPr="000C4007">
        <w:rPr>
          <w:rFonts w:ascii="Myriad Pro Light" w:hAnsi="Myriad Pro Light"/>
          <w:b/>
          <w:bCs/>
          <w:noProof/>
          <w:sz w:val="20"/>
          <w:szCs w:val="24"/>
        </w:rPr>
        <w:t>2010</w:t>
      </w:r>
      <w:r w:rsidRPr="000C4007">
        <w:rPr>
          <w:rFonts w:ascii="Myriad Pro Light" w:hAnsi="Myriad Pro Light"/>
          <w:noProof/>
          <w:sz w:val="20"/>
          <w:szCs w:val="24"/>
        </w:rPr>
        <w:t xml:space="preserve">, </w:t>
      </w:r>
      <w:r w:rsidRPr="000C4007">
        <w:rPr>
          <w:rFonts w:ascii="Myriad Pro Light" w:hAnsi="Myriad Pro Light"/>
          <w:i/>
          <w:iCs/>
          <w:noProof/>
          <w:sz w:val="20"/>
          <w:szCs w:val="24"/>
        </w:rPr>
        <w:t>18</w:t>
      </w:r>
      <w:r w:rsidRPr="000C4007">
        <w:rPr>
          <w:rFonts w:ascii="Myriad Pro Light" w:hAnsi="Myriad Pro Light"/>
          <w:noProof/>
          <w:sz w:val="20"/>
          <w:szCs w:val="24"/>
        </w:rPr>
        <w:t xml:space="preserve"> (8), 7929–7945.</w:t>
      </w:r>
    </w:p>
    <w:p w14:paraId="0726EFEC" w14:textId="77777777" w:rsidR="000C4007" w:rsidRPr="000C4007" w:rsidRDefault="000C4007" w:rsidP="000C4007">
      <w:pPr>
        <w:widowControl w:val="0"/>
        <w:autoSpaceDE w:val="0"/>
        <w:autoSpaceDN w:val="0"/>
        <w:adjustRightInd w:val="0"/>
        <w:spacing w:before="180" w:after="60"/>
        <w:ind w:left="640" w:hanging="640"/>
        <w:rPr>
          <w:rFonts w:ascii="Myriad Pro Light" w:hAnsi="Myriad Pro Light"/>
          <w:noProof/>
          <w:sz w:val="20"/>
        </w:rPr>
      </w:pPr>
      <w:r w:rsidRPr="000C4007">
        <w:rPr>
          <w:rFonts w:ascii="Myriad Pro Light" w:hAnsi="Myriad Pro Light"/>
          <w:noProof/>
          <w:sz w:val="20"/>
          <w:szCs w:val="24"/>
        </w:rPr>
        <w:t xml:space="preserve">(31) </w:t>
      </w:r>
      <w:r w:rsidRPr="000C4007">
        <w:rPr>
          <w:rFonts w:ascii="Myriad Pro Light" w:hAnsi="Myriad Pro Light"/>
          <w:noProof/>
          <w:sz w:val="20"/>
          <w:szCs w:val="24"/>
        </w:rPr>
        <w:tab/>
        <w:t xml:space="preserve">Huber, M.; Trubetskov, M.; Hussain, S. A.; Schweinberger, W.; Hofer, C.; Pupeza, I. Optimum Sample Thickness for Trace Analyte Detection with Field-Resolved Infrared Spectroscopy. </w:t>
      </w:r>
      <w:r w:rsidRPr="000C4007">
        <w:rPr>
          <w:rFonts w:ascii="Myriad Pro Light" w:hAnsi="Myriad Pro Light"/>
          <w:i/>
          <w:iCs/>
          <w:noProof/>
          <w:sz w:val="20"/>
          <w:szCs w:val="24"/>
        </w:rPr>
        <w:t>Anal. Chem.</w:t>
      </w:r>
      <w:r w:rsidRPr="000C4007">
        <w:rPr>
          <w:rFonts w:ascii="Myriad Pro Light" w:hAnsi="Myriad Pro Light"/>
          <w:noProof/>
          <w:sz w:val="20"/>
          <w:szCs w:val="24"/>
        </w:rPr>
        <w:t xml:space="preserve"> </w:t>
      </w:r>
      <w:r w:rsidRPr="000C4007">
        <w:rPr>
          <w:rFonts w:ascii="Myriad Pro Light" w:hAnsi="Myriad Pro Light"/>
          <w:b/>
          <w:bCs/>
          <w:noProof/>
          <w:sz w:val="20"/>
          <w:szCs w:val="24"/>
        </w:rPr>
        <w:t>2020</w:t>
      </w:r>
      <w:r w:rsidRPr="000C4007">
        <w:rPr>
          <w:rFonts w:ascii="Myriad Pro Light" w:hAnsi="Myriad Pro Light"/>
          <w:noProof/>
          <w:sz w:val="20"/>
          <w:szCs w:val="24"/>
        </w:rPr>
        <w:t xml:space="preserve">, </w:t>
      </w:r>
      <w:r w:rsidRPr="000C4007">
        <w:rPr>
          <w:rFonts w:ascii="Myriad Pro Light" w:hAnsi="Myriad Pro Light"/>
          <w:i/>
          <w:iCs/>
          <w:noProof/>
          <w:sz w:val="20"/>
          <w:szCs w:val="24"/>
        </w:rPr>
        <w:t>92</w:t>
      </w:r>
      <w:r w:rsidRPr="000C4007">
        <w:rPr>
          <w:rFonts w:ascii="Myriad Pro Light" w:hAnsi="Myriad Pro Light"/>
          <w:noProof/>
          <w:sz w:val="20"/>
          <w:szCs w:val="24"/>
        </w:rPr>
        <w:t xml:space="preserve"> (11), 7508–7514.</w:t>
      </w:r>
    </w:p>
    <w:p w14:paraId="1F1F0685" w14:textId="674C7B97" w:rsidR="00B146C3" w:rsidRDefault="0052771C">
      <w:pPr>
        <w:spacing w:after="160" w:line="259" w:lineRule="auto"/>
        <w:jc w:val="left"/>
        <w:rPr>
          <w:rFonts w:ascii="Times New Roman" w:eastAsia="Batang" w:hAnsi="Times New Roman"/>
          <w:b/>
          <w:kern w:val="23"/>
          <w:szCs w:val="32"/>
        </w:rPr>
      </w:pPr>
      <w:r>
        <w:rPr>
          <w:rFonts w:ascii="Myriad Pro Light" w:eastAsia="Batang" w:hAnsi="Myriad Pro Light" w:hint="eastAsia"/>
          <w:kern w:val="23"/>
          <w:sz w:val="21"/>
          <w:szCs w:val="24"/>
        </w:rPr>
        <w:fldChar w:fldCharType="end"/>
      </w:r>
      <w:r w:rsidR="00B146C3">
        <w:rPr>
          <w:rFonts w:ascii="Times New Roman" w:hAnsi="Times New Roman"/>
          <w:szCs w:val="32"/>
        </w:rPr>
        <w:br w:type="page"/>
      </w:r>
    </w:p>
    <w:p w14:paraId="5C0589BC" w14:textId="1DD8BEDE" w:rsidR="000508CC" w:rsidRDefault="002935A6">
      <w:pPr>
        <w:pStyle w:val="TDAckTitle"/>
        <w:rPr>
          <w:rFonts w:hint="eastAsia"/>
        </w:rPr>
      </w:pPr>
      <w:r w:rsidRPr="00C42015">
        <w:t>TOC</w:t>
      </w:r>
    </w:p>
    <w:p w14:paraId="6012D55E" w14:textId="77777777" w:rsidR="00F25906" w:rsidRPr="00C42015" w:rsidRDefault="00F25906">
      <w:pPr>
        <w:pStyle w:val="TDAckTitle"/>
        <w:rPr>
          <w:rFonts w:hint="eastAsia"/>
        </w:rPr>
      </w:pPr>
    </w:p>
    <w:p w14:paraId="35E5FA41" w14:textId="411A4097" w:rsidR="002935A6" w:rsidRPr="00BC429F" w:rsidRDefault="00C4096F" w:rsidP="005D7AC7">
      <w:pPr>
        <w:pStyle w:val="TDAckTitle"/>
        <w:rPr>
          <w:rFonts w:hint="eastAsia"/>
        </w:rPr>
      </w:pPr>
      <w:r>
        <w:rPr>
          <w:rFonts w:hint="eastAsia"/>
          <w:noProof/>
        </w:rPr>
        <w:drawing>
          <wp:inline distT="0" distB="0" distL="0" distR="0" wp14:anchorId="272CB381" wp14:editId="3BAC8BDF">
            <wp:extent cx="3554233" cy="3116789"/>
            <wp:effectExtent l="0" t="0" r="8255" b="762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s for submission-TOC3.tif"/>
                    <pic:cNvPicPr/>
                  </pic:nvPicPr>
                  <pic:blipFill rotWithShape="1">
                    <a:blip r:embed="rId16" cstate="print">
                      <a:extLst>
                        <a:ext uri="{28A0092B-C50C-407E-A947-70E740481C1C}">
                          <a14:useLocalDpi xmlns:a14="http://schemas.microsoft.com/office/drawing/2010/main" val="0"/>
                        </a:ext>
                      </a:extLst>
                    </a:blip>
                    <a:srcRect l="26762" t="14387" r="30523" b="19089"/>
                    <a:stretch/>
                  </pic:blipFill>
                  <pic:spPr bwMode="auto">
                    <a:xfrm>
                      <a:off x="0" y="0"/>
                      <a:ext cx="3560412" cy="3122207"/>
                    </a:xfrm>
                    <a:prstGeom prst="rect">
                      <a:avLst/>
                    </a:prstGeom>
                    <a:ln>
                      <a:noFill/>
                    </a:ln>
                    <a:extLst>
                      <a:ext uri="{53640926-AAD7-44D8-BBD7-CCE9431645EC}">
                        <a14:shadowObscured xmlns:a14="http://schemas.microsoft.com/office/drawing/2010/main"/>
                      </a:ext>
                    </a:extLst>
                  </pic:spPr>
                </pic:pic>
              </a:graphicData>
            </a:graphic>
          </wp:inline>
        </w:drawing>
      </w:r>
    </w:p>
    <w:sectPr w:rsidR="002935A6" w:rsidRPr="00BC429F">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C91AF2" w14:textId="77777777" w:rsidR="00F47129" w:rsidRDefault="00F47129" w:rsidP="00A823A0">
      <w:pPr>
        <w:spacing w:after="0"/>
      </w:pPr>
      <w:r>
        <w:separator/>
      </w:r>
    </w:p>
  </w:endnote>
  <w:endnote w:type="continuationSeparator" w:id="0">
    <w:p w14:paraId="38678A56" w14:textId="77777777" w:rsidR="00F47129" w:rsidRDefault="00F47129" w:rsidP="00A823A0">
      <w:pPr>
        <w:spacing w:after="0"/>
      </w:pPr>
      <w:r>
        <w:continuationSeparator/>
      </w:r>
    </w:p>
  </w:endnote>
  <w:endnote w:type="continuationNotice" w:id="1">
    <w:p w14:paraId="74744802" w14:textId="77777777" w:rsidR="00F47129" w:rsidRDefault="00F4712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altName w:val="Times New Roman"/>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inion">
    <w:altName w:val="Cambria"/>
    <w:panose1 w:val="00000000000000000000"/>
    <w:charset w:val="00"/>
    <w:family w:val="roman"/>
    <w:notTrueType/>
    <w:pitch w:val="default"/>
    <w:sig w:usb0="00000003" w:usb1="00000000" w:usb2="00000000" w:usb3="00000000" w:csb0="00000001" w:csb1="00000000"/>
  </w:font>
  <w:font w:name="Arno Pro">
    <w:altName w:val="Cambria"/>
    <w:panose1 w:val="00000000000000000000"/>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yriad Pro Light">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5654370"/>
      <w:docPartObj>
        <w:docPartGallery w:val="Page Numbers (Bottom of Page)"/>
        <w:docPartUnique/>
      </w:docPartObj>
    </w:sdtPr>
    <w:sdtEndPr>
      <w:rPr>
        <w:noProof/>
      </w:rPr>
    </w:sdtEndPr>
    <w:sdtContent>
      <w:p w14:paraId="32A5F365" w14:textId="77777777" w:rsidR="00F47129" w:rsidRDefault="00F4712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77343F" w14:textId="77777777" w:rsidR="00F47129" w:rsidRDefault="00F471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D645C9" w14:textId="77777777" w:rsidR="00F47129" w:rsidRDefault="00F47129" w:rsidP="00A823A0">
      <w:pPr>
        <w:spacing w:after="0"/>
      </w:pPr>
      <w:r>
        <w:separator/>
      </w:r>
    </w:p>
  </w:footnote>
  <w:footnote w:type="continuationSeparator" w:id="0">
    <w:p w14:paraId="114636F2" w14:textId="77777777" w:rsidR="00F47129" w:rsidRDefault="00F47129" w:rsidP="00A823A0">
      <w:pPr>
        <w:spacing w:after="0"/>
      </w:pPr>
      <w:r>
        <w:continuationSeparator/>
      </w:r>
    </w:p>
  </w:footnote>
  <w:footnote w:type="continuationNotice" w:id="1">
    <w:p w14:paraId="73738DA2" w14:textId="77777777" w:rsidR="00F47129" w:rsidRDefault="00F47129">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960684"/>
    <w:multiLevelType w:val="hybridMultilevel"/>
    <w:tmpl w:val="8B4EC0AA"/>
    <w:lvl w:ilvl="0" w:tplc="9F1EF13E">
      <w:numFmt w:val="bullet"/>
      <w:lvlText w:val="-"/>
      <w:lvlJc w:val="left"/>
      <w:pPr>
        <w:ind w:left="720" w:hanging="360"/>
      </w:pPr>
      <w:rPr>
        <w:rFonts w:ascii="Times" w:eastAsia="Times New Roman"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D50D7D"/>
    <w:multiLevelType w:val="hybridMultilevel"/>
    <w:tmpl w:val="AC7EC9C2"/>
    <w:lvl w:ilvl="0" w:tplc="1256D444">
      <w:start w:val="6"/>
      <w:numFmt w:val="bullet"/>
      <w:lvlText w:val="-"/>
      <w:lvlJc w:val="left"/>
      <w:pPr>
        <w:ind w:left="562" w:hanging="360"/>
      </w:pPr>
      <w:rPr>
        <w:rFonts w:ascii="Times" w:eastAsia="Times New Roman" w:hAnsi="Times" w:cs="Times" w:hint="default"/>
      </w:rPr>
    </w:lvl>
    <w:lvl w:ilvl="1" w:tplc="04090003" w:tentative="1">
      <w:start w:val="1"/>
      <w:numFmt w:val="bullet"/>
      <w:lvlText w:val="o"/>
      <w:lvlJc w:val="left"/>
      <w:pPr>
        <w:ind w:left="1282" w:hanging="360"/>
      </w:pPr>
      <w:rPr>
        <w:rFonts w:ascii="Courier New" w:hAnsi="Courier New" w:cs="Courier New"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cs="Courier New"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cs="Courier New" w:hint="default"/>
      </w:rPr>
    </w:lvl>
    <w:lvl w:ilvl="8" w:tplc="04090005" w:tentative="1">
      <w:start w:val="1"/>
      <w:numFmt w:val="bullet"/>
      <w:lvlText w:val=""/>
      <w:lvlJc w:val="left"/>
      <w:pPr>
        <w:ind w:left="6322" w:hanging="360"/>
      </w:pPr>
      <w:rPr>
        <w:rFonts w:ascii="Wingdings" w:hAnsi="Wingdings" w:hint="default"/>
      </w:rPr>
    </w:lvl>
  </w:abstractNum>
  <w:abstractNum w:abstractNumId="2" w15:restartNumberingAfterBreak="0">
    <w:nsid w:val="7DC67A2B"/>
    <w:multiLevelType w:val="hybridMultilevel"/>
    <w:tmpl w:val="37703E16"/>
    <w:lvl w:ilvl="0" w:tplc="4E4870B4">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662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AzNbQwMTI2tjAzMjFW0lEKTi0uzszPAykwNLCoBQC77ThkLgAAAA=="/>
  </w:docVars>
  <w:rsids>
    <w:rsidRoot w:val="00101716"/>
    <w:rsid w:val="000007AD"/>
    <w:rsid w:val="00000A1C"/>
    <w:rsid w:val="00000C31"/>
    <w:rsid w:val="00000C8C"/>
    <w:rsid w:val="0000116D"/>
    <w:rsid w:val="000012AE"/>
    <w:rsid w:val="000029AD"/>
    <w:rsid w:val="0000383A"/>
    <w:rsid w:val="00003A25"/>
    <w:rsid w:val="0000406E"/>
    <w:rsid w:val="00004474"/>
    <w:rsid w:val="00006EEC"/>
    <w:rsid w:val="000079CC"/>
    <w:rsid w:val="00007B90"/>
    <w:rsid w:val="00010069"/>
    <w:rsid w:val="00010869"/>
    <w:rsid w:val="00010F85"/>
    <w:rsid w:val="00011285"/>
    <w:rsid w:val="00011FA3"/>
    <w:rsid w:val="000123AE"/>
    <w:rsid w:val="00012948"/>
    <w:rsid w:val="00012B2A"/>
    <w:rsid w:val="00012C58"/>
    <w:rsid w:val="00013883"/>
    <w:rsid w:val="000139AB"/>
    <w:rsid w:val="000145A4"/>
    <w:rsid w:val="000153B4"/>
    <w:rsid w:val="00015420"/>
    <w:rsid w:val="00015998"/>
    <w:rsid w:val="000168B6"/>
    <w:rsid w:val="00016D94"/>
    <w:rsid w:val="00017644"/>
    <w:rsid w:val="000200AB"/>
    <w:rsid w:val="00020524"/>
    <w:rsid w:val="00020820"/>
    <w:rsid w:val="00020AE4"/>
    <w:rsid w:val="00020D17"/>
    <w:rsid w:val="00020D8A"/>
    <w:rsid w:val="000214C3"/>
    <w:rsid w:val="00022281"/>
    <w:rsid w:val="00022574"/>
    <w:rsid w:val="00023740"/>
    <w:rsid w:val="00023BCD"/>
    <w:rsid w:val="0002442F"/>
    <w:rsid w:val="00025339"/>
    <w:rsid w:val="00025679"/>
    <w:rsid w:val="000260AC"/>
    <w:rsid w:val="000269B6"/>
    <w:rsid w:val="000270AF"/>
    <w:rsid w:val="00027FE7"/>
    <w:rsid w:val="00030DCE"/>
    <w:rsid w:val="000317DB"/>
    <w:rsid w:val="00031E52"/>
    <w:rsid w:val="00032342"/>
    <w:rsid w:val="00032C91"/>
    <w:rsid w:val="00032F77"/>
    <w:rsid w:val="0003341F"/>
    <w:rsid w:val="0003494F"/>
    <w:rsid w:val="00035EAE"/>
    <w:rsid w:val="0003603E"/>
    <w:rsid w:val="0003792B"/>
    <w:rsid w:val="00040512"/>
    <w:rsid w:val="00040A6B"/>
    <w:rsid w:val="00041113"/>
    <w:rsid w:val="000419BC"/>
    <w:rsid w:val="00041E00"/>
    <w:rsid w:val="00041EC2"/>
    <w:rsid w:val="00042A67"/>
    <w:rsid w:val="00042AC3"/>
    <w:rsid w:val="000434BB"/>
    <w:rsid w:val="00043849"/>
    <w:rsid w:val="00044E72"/>
    <w:rsid w:val="00045361"/>
    <w:rsid w:val="00045B5D"/>
    <w:rsid w:val="00046414"/>
    <w:rsid w:val="00046499"/>
    <w:rsid w:val="00046B78"/>
    <w:rsid w:val="00046BEB"/>
    <w:rsid w:val="00046F51"/>
    <w:rsid w:val="00047188"/>
    <w:rsid w:val="00047F47"/>
    <w:rsid w:val="00047FD2"/>
    <w:rsid w:val="0005012A"/>
    <w:rsid w:val="000502B7"/>
    <w:rsid w:val="000506CB"/>
    <w:rsid w:val="000508CC"/>
    <w:rsid w:val="0005092D"/>
    <w:rsid w:val="0005118C"/>
    <w:rsid w:val="0005126E"/>
    <w:rsid w:val="00053112"/>
    <w:rsid w:val="0005336F"/>
    <w:rsid w:val="00053859"/>
    <w:rsid w:val="0005519B"/>
    <w:rsid w:val="000553FA"/>
    <w:rsid w:val="0005617F"/>
    <w:rsid w:val="0005649B"/>
    <w:rsid w:val="00056628"/>
    <w:rsid w:val="00056EBC"/>
    <w:rsid w:val="0005767D"/>
    <w:rsid w:val="00057717"/>
    <w:rsid w:val="00057AA5"/>
    <w:rsid w:val="00057BA3"/>
    <w:rsid w:val="00060856"/>
    <w:rsid w:val="00060919"/>
    <w:rsid w:val="00060C90"/>
    <w:rsid w:val="000617AF"/>
    <w:rsid w:val="00061A70"/>
    <w:rsid w:val="00061DF1"/>
    <w:rsid w:val="00062B96"/>
    <w:rsid w:val="0006311E"/>
    <w:rsid w:val="00063864"/>
    <w:rsid w:val="0006396A"/>
    <w:rsid w:val="00063B00"/>
    <w:rsid w:val="0006415F"/>
    <w:rsid w:val="000645B1"/>
    <w:rsid w:val="000652E2"/>
    <w:rsid w:val="000655F9"/>
    <w:rsid w:val="00065A9D"/>
    <w:rsid w:val="00065E75"/>
    <w:rsid w:val="0006606A"/>
    <w:rsid w:val="0006697B"/>
    <w:rsid w:val="00067860"/>
    <w:rsid w:val="00067C83"/>
    <w:rsid w:val="00070142"/>
    <w:rsid w:val="000708EB"/>
    <w:rsid w:val="000711BE"/>
    <w:rsid w:val="000719E7"/>
    <w:rsid w:val="00071B5F"/>
    <w:rsid w:val="000720F6"/>
    <w:rsid w:val="00072D46"/>
    <w:rsid w:val="000735A7"/>
    <w:rsid w:val="00073777"/>
    <w:rsid w:val="000739A8"/>
    <w:rsid w:val="00073D01"/>
    <w:rsid w:val="00074333"/>
    <w:rsid w:val="00074FC1"/>
    <w:rsid w:val="00075368"/>
    <w:rsid w:val="000754A7"/>
    <w:rsid w:val="00075C47"/>
    <w:rsid w:val="00076603"/>
    <w:rsid w:val="00081570"/>
    <w:rsid w:val="00081EDE"/>
    <w:rsid w:val="000827E3"/>
    <w:rsid w:val="00082BAD"/>
    <w:rsid w:val="00082FBF"/>
    <w:rsid w:val="000831E2"/>
    <w:rsid w:val="00083427"/>
    <w:rsid w:val="00083775"/>
    <w:rsid w:val="00083C43"/>
    <w:rsid w:val="00083CEB"/>
    <w:rsid w:val="00083F5E"/>
    <w:rsid w:val="000842C9"/>
    <w:rsid w:val="00084574"/>
    <w:rsid w:val="00084A96"/>
    <w:rsid w:val="00084EC9"/>
    <w:rsid w:val="00084FF2"/>
    <w:rsid w:val="0008603E"/>
    <w:rsid w:val="000861DD"/>
    <w:rsid w:val="0008646F"/>
    <w:rsid w:val="00086E0F"/>
    <w:rsid w:val="00087963"/>
    <w:rsid w:val="00090249"/>
    <w:rsid w:val="000908C1"/>
    <w:rsid w:val="00090D70"/>
    <w:rsid w:val="00090F40"/>
    <w:rsid w:val="0009103F"/>
    <w:rsid w:val="00091A13"/>
    <w:rsid w:val="00092524"/>
    <w:rsid w:val="000925FD"/>
    <w:rsid w:val="00092643"/>
    <w:rsid w:val="00092B68"/>
    <w:rsid w:val="00093143"/>
    <w:rsid w:val="0009334B"/>
    <w:rsid w:val="00093CE0"/>
    <w:rsid w:val="00093E39"/>
    <w:rsid w:val="0009418D"/>
    <w:rsid w:val="00094358"/>
    <w:rsid w:val="00094739"/>
    <w:rsid w:val="000952BB"/>
    <w:rsid w:val="00096D6A"/>
    <w:rsid w:val="00096DBD"/>
    <w:rsid w:val="0009724D"/>
    <w:rsid w:val="0009796B"/>
    <w:rsid w:val="00097CD8"/>
    <w:rsid w:val="00097CDF"/>
    <w:rsid w:val="00097EA3"/>
    <w:rsid w:val="000A142C"/>
    <w:rsid w:val="000A24D4"/>
    <w:rsid w:val="000A2B3C"/>
    <w:rsid w:val="000A3556"/>
    <w:rsid w:val="000A3F33"/>
    <w:rsid w:val="000A4A01"/>
    <w:rsid w:val="000A4F61"/>
    <w:rsid w:val="000A536E"/>
    <w:rsid w:val="000A60C7"/>
    <w:rsid w:val="000A6406"/>
    <w:rsid w:val="000A6433"/>
    <w:rsid w:val="000A6810"/>
    <w:rsid w:val="000A6DA6"/>
    <w:rsid w:val="000A7436"/>
    <w:rsid w:val="000A7CA0"/>
    <w:rsid w:val="000B04B6"/>
    <w:rsid w:val="000B0B25"/>
    <w:rsid w:val="000B0BF8"/>
    <w:rsid w:val="000B0C5C"/>
    <w:rsid w:val="000B0DD8"/>
    <w:rsid w:val="000B141F"/>
    <w:rsid w:val="000B15F1"/>
    <w:rsid w:val="000B1672"/>
    <w:rsid w:val="000B1794"/>
    <w:rsid w:val="000B199E"/>
    <w:rsid w:val="000B201E"/>
    <w:rsid w:val="000B2104"/>
    <w:rsid w:val="000B2644"/>
    <w:rsid w:val="000B2AE4"/>
    <w:rsid w:val="000B4806"/>
    <w:rsid w:val="000B50AD"/>
    <w:rsid w:val="000B5846"/>
    <w:rsid w:val="000B648B"/>
    <w:rsid w:val="000B6745"/>
    <w:rsid w:val="000B6B74"/>
    <w:rsid w:val="000B783E"/>
    <w:rsid w:val="000C0096"/>
    <w:rsid w:val="000C0823"/>
    <w:rsid w:val="000C0911"/>
    <w:rsid w:val="000C1186"/>
    <w:rsid w:val="000C1BFE"/>
    <w:rsid w:val="000C29C8"/>
    <w:rsid w:val="000C2E4D"/>
    <w:rsid w:val="000C3011"/>
    <w:rsid w:val="000C3150"/>
    <w:rsid w:val="000C4007"/>
    <w:rsid w:val="000C4050"/>
    <w:rsid w:val="000C40B6"/>
    <w:rsid w:val="000C598F"/>
    <w:rsid w:val="000C605F"/>
    <w:rsid w:val="000C6210"/>
    <w:rsid w:val="000C6242"/>
    <w:rsid w:val="000C6841"/>
    <w:rsid w:val="000C6D04"/>
    <w:rsid w:val="000C7303"/>
    <w:rsid w:val="000C733C"/>
    <w:rsid w:val="000C79B4"/>
    <w:rsid w:val="000C7A2F"/>
    <w:rsid w:val="000C7FE6"/>
    <w:rsid w:val="000D055C"/>
    <w:rsid w:val="000D082C"/>
    <w:rsid w:val="000D1305"/>
    <w:rsid w:val="000D1428"/>
    <w:rsid w:val="000D22A6"/>
    <w:rsid w:val="000D24EF"/>
    <w:rsid w:val="000D298B"/>
    <w:rsid w:val="000D3545"/>
    <w:rsid w:val="000D403F"/>
    <w:rsid w:val="000D574C"/>
    <w:rsid w:val="000D5912"/>
    <w:rsid w:val="000D5BF1"/>
    <w:rsid w:val="000D617F"/>
    <w:rsid w:val="000D6BB5"/>
    <w:rsid w:val="000D7108"/>
    <w:rsid w:val="000D7AA6"/>
    <w:rsid w:val="000E02C2"/>
    <w:rsid w:val="000E02D9"/>
    <w:rsid w:val="000E0F3E"/>
    <w:rsid w:val="000E2147"/>
    <w:rsid w:val="000E218E"/>
    <w:rsid w:val="000E2C5C"/>
    <w:rsid w:val="000E42F9"/>
    <w:rsid w:val="000E52AB"/>
    <w:rsid w:val="000E5E84"/>
    <w:rsid w:val="000E6186"/>
    <w:rsid w:val="000E62DB"/>
    <w:rsid w:val="000E652C"/>
    <w:rsid w:val="000E6596"/>
    <w:rsid w:val="000E685D"/>
    <w:rsid w:val="000F0AB4"/>
    <w:rsid w:val="000F1114"/>
    <w:rsid w:val="000F1639"/>
    <w:rsid w:val="000F36CC"/>
    <w:rsid w:val="000F3BD9"/>
    <w:rsid w:val="000F406E"/>
    <w:rsid w:val="000F45DC"/>
    <w:rsid w:val="000F5301"/>
    <w:rsid w:val="000F606E"/>
    <w:rsid w:val="000F6076"/>
    <w:rsid w:val="000F6120"/>
    <w:rsid w:val="000F65B6"/>
    <w:rsid w:val="000F6669"/>
    <w:rsid w:val="000F7035"/>
    <w:rsid w:val="000F7485"/>
    <w:rsid w:val="000F7FB6"/>
    <w:rsid w:val="00100135"/>
    <w:rsid w:val="00100478"/>
    <w:rsid w:val="001009FF"/>
    <w:rsid w:val="00100BFC"/>
    <w:rsid w:val="001015F1"/>
    <w:rsid w:val="00101716"/>
    <w:rsid w:val="00101A1A"/>
    <w:rsid w:val="00101B4C"/>
    <w:rsid w:val="001031BF"/>
    <w:rsid w:val="001035BD"/>
    <w:rsid w:val="00103BCF"/>
    <w:rsid w:val="00104807"/>
    <w:rsid w:val="00107ADA"/>
    <w:rsid w:val="001101E7"/>
    <w:rsid w:val="00110E64"/>
    <w:rsid w:val="0011224C"/>
    <w:rsid w:val="00112292"/>
    <w:rsid w:val="001126C5"/>
    <w:rsid w:val="0011283A"/>
    <w:rsid w:val="00112DB7"/>
    <w:rsid w:val="00114A6A"/>
    <w:rsid w:val="0011529E"/>
    <w:rsid w:val="0011617E"/>
    <w:rsid w:val="001164F5"/>
    <w:rsid w:val="0011676E"/>
    <w:rsid w:val="0011700A"/>
    <w:rsid w:val="0011777D"/>
    <w:rsid w:val="00117818"/>
    <w:rsid w:val="00117ACB"/>
    <w:rsid w:val="00117B71"/>
    <w:rsid w:val="0012043C"/>
    <w:rsid w:val="00121506"/>
    <w:rsid w:val="00121600"/>
    <w:rsid w:val="00121EF2"/>
    <w:rsid w:val="00123A0D"/>
    <w:rsid w:val="0012419B"/>
    <w:rsid w:val="00124484"/>
    <w:rsid w:val="00124EDE"/>
    <w:rsid w:val="00125457"/>
    <w:rsid w:val="001255C0"/>
    <w:rsid w:val="00125EB1"/>
    <w:rsid w:val="001260BD"/>
    <w:rsid w:val="00126344"/>
    <w:rsid w:val="001265CE"/>
    <w:rsid w:val="00126613"/>
    <w:rsid w:val="001270A3"/>
    <w:rsid w:val="0012738C"/>
    <w:rsid w:val="00127447"/>
    <w:rsid w:val="00127879"/>
    <w:rsid w:val="001301F3"/>
    <w:rsid w:val="00130644"/>
    <w:rsid w:val="00130E12"/>
    <w:rsid w:val="00131BC5"/>
    <w:rsid w:val="00131E93"/>
    <w:rsid w:val="001323AE"/>
    <w:rsid w:val="0013292E"/>
    <w:rsid w:val="001334FC"/>
    <w:rsid w:val="0013485A"/>
    <w:rsid w:val="001348B3"/>
    <w:rsid w:val="00134A3C"/>
    <w:rsid w:val="001350BB"/>
    <w:rsid w:val="001350F6"/>
    <w:rsid w:val="00135373"/>
    <w:rsid w:val="001359B1"/>
    <w:rsid w:val="00136388"/>
    <w:rsid w:val="001371BB"/>
    <w:rsid w:val="00137C6A"/>
    <w:rsid w:val="0014067D"/>
    <w:rsid w:val="0014088A"/>
    <w:rsid w:val="00140DB3"/>
    <w:rsid w:val="00142664"/>
    <w:rsid w:val="001430ED"/>
    <w:rsid w:val="0014353E"/>
    <w:rsid w:val="00143D88"/>
    <w:rsid w:val="0014501C"/>
    <w:rsid w:val="00145475"/>
    <w:rsid w:val="00145568"/>
    <w:rsid w:val="001457C7"/>
    <w:rsid w:val="00145A7E"/>
    <w:rsid w:val="0014636F"/>
    <w:rsid w:val="00146A40"/>
    <w:rsid w:val="00147542"/>
    <w:rsid w:val="00147803"/>
    <w:rsid w:val="00147F59"/>
    <w:rsid w:val="00150B4F"/>
    <w:rsid w:val="0015152D"/>
    <w:rsid w:val="00151B3C"/>
    <w:rsid w:val="001525A3"/>
    <w:rsid w:val="00153341"/>
    <w:rsid w:val="0015350F"/>
    <w:rsid w:val="00153653"/>
    <w:rsid w:val="00153DF5"/>
    <w:rsid w:val="00153F46"/>
    <w:rsid w:val="00154900"/>
    <w:rsid w:val="0015508E"/>
    <w:rsid w:val="001558B8"/>
    <w:rsid w:val="00155AD6"/>
    <w:rsid w:val="00155C3C"/>
    <w:rsid w:val="00155F18"/>
    <w:rsid w:val="00157179"/>
    <w:rsid w:val="0015785C"/>
    <w:rsid w:val="00157D36"/>
    <w:rsid w:val="001602FE"/>
    <w:rsid w:val="00161B45"/>
    <w:rsid w:val="00161BEF"/>
    <w:rsid w:val="001628AC"/>
    <w:rsid w:val="00162A3F"/>
    <w:rsid w:val="00162ADE"/>
    <w:rsid w:val="00163C3D"/>
    <w:rsid w:val="0016460E"/>
    <w:rsid w:val="001649EE"/>
    <w:rsid w:val="00164C31"/>
    <w:rsid w:val="00164EBE"/>
    <w:rsid w:val="001652FC"/>
    <w:rsid w:val="00165DCF"/>
    <w:rsid w:val="00166A03"/>
    <w:rsid w:val="001671D1"/>
    <w:rsid w:val="001673B3"/>
    <w:rsid w:val="001676CD"/>
    <w:rsid w:val="00171075"/>
    <w:rsid w:val="0017134E"/>
    <w:rsid w:val="0017140C"/>
    <w:rsid w:val="00171D07"/>
    <w:rsid w:val="00171EF5"/>
    <w:rsid w:val="00171F12"/>
    <w:rsid w:val="00172B9D"/>
    <w:rsid w:val="00172BCB"/>
    <w:rsid w:val="0017380B"/>
    <w:rsid w:val="001738F8"/>
    <w:rsid w:val="00173AFB"/>
    <w:rsid w:val="00173FF5"/>
    <w:rsid w:val="00174187"/>
    <w:rsid w:val="00174707"/>
    <w:rsid w:val="00174DC7"/>
    <w:rsid w:val="00175779"/>
    <w:rsid w:val="001757F7"/>
    <w:rsid w:val="001760D9"/>
    <w:rsid w:val="00176B2E"/>
    <w:rsid w:val="001771F6"/>
    <w:rsid w:val="001776CF"/>
    <w:rsid w:val="00177DAE"/>
    <w:rsid w:val="00180B49"/>
    <w:rsid w:val="00180FBB"/>
    <w:rsid w:val="00181036"/>
    <w:rsid w:val="00182CF9"/>
    <w:rsid w:val="00183A89"/>
    <w:rsid w:val="00185CFB"/>
    <w:rsid w:val="001860F0"/>
    <w:rsid w:val="001863DE"/>
    <w:rsid w:val="00186643"/>
    <w:rsid w:val="00186BEE"/>
    <w:rsid w:val="00187100"/>
    <w:rsid w:val="001871B3"/>
    <w:rsid w:val="00190963"/>
    <w:rsid w:val="00191A50"/>
    <w:rsid w:val="0019243E"/>
    <w:rsid w:val="00192996"/>
    <w:rsid w:val="001938F4"/>
    <w:rsid w:val="00194FD6"/>
    <w:rsid w:val="001956A0"/>
    <w:rsid w:val="0019602C"/>
    <w:rsid w:val="0019773C"/>
    <w:rsid w:val="0019774D"/>
    <w:rsid w:val="001A1C24"/>
    <w:rsid w:val="001A2B28"/>
    <w:rsid w:val="001A2FD9"/>
    <w:rsid w:val="001A340A"/>
    <w:rsid w:val="001A3776"/>
    <w:rsid w:val="001A4585"/>
    <w:rsid w:val="001A46F9"/>
    <w:rsid w:val="001A4A44"/>
    <w:rsid w:val="001A4CFF"/>
    <w:rsid w:val="001A53A7"/>
    <w:rsid w:val="001A5655"/>
    <w:rsid w:val="001A5A33"/>
    <w:rsid w:val="001A5A66"/>
    <w:rsid w:val="001A6578"/>
    <w:rsid w:val="001A6FB6"/>
    <w:rsid w:val="001B0371"/>
    <w:rsid w:val="001B0463"/>
    <w:rsid w:val="001B04AF"/>
    <w:rsid w:val="001B07EA"/>
    <w:rsid w:val="001B07EE"/>
    <w:rsid w:val="001B08B6"/>
    <w:rsid w:val="001B0E8E"/>
    <w:rsid w:val="001B0F8F"/>
    <w:rsid w:val="001B13CB"/>
    <w:rsid w:val="001B14ED"/>
    <w:rsid w:val="001B1519"/>
    <w:rsid w:val="001B1609"/>
    <w:rsid w:val="001B185F"/>
    <w:rsid w:val="001B1B89"/>
    <w:rsid w:val="001B2355"/>
    <w:rsid w:val="001B2DFA"/>
    <w:rsid w:val="001B3CB6"/>
    <w:rsid w:val="001B4474"/>
    <w:rsid w:val="001B4F8E"/>
    <w:rsid w:val="001B584D"/>
    <w:rsid w:val="001B6346"/>
    <w:rsid w:val="001B64DB"/>
    <w:rsid w:val="001B742D"/>
    <w:rsid w:val="001B7699"/>
    <w:rsid w:val="001C11D6"/>
    <w:rsid w:val="001C12E0"/>
    <w:rsid w:val="001C19BC"/>
    <w:rsid w:val="001C2952"/>
    <w:rsid w:val="001C3133"/>
    <w:rsid w:val="001C34D2"/>
    <w:rsid w:val="001C36ED"/>
    <w:rsid w:val="001C39B1"/>
    <w:rsid w:val="001C3EEF"/>
    <w:rsid w:val="001C45FA"/>
    <w:rsid w:val="001C48AC"/>
    <w:rsid w:val="001C4E4D"/>
    <w:rsid w:val="001C4FC3"/>
    <w:rsid w:val="001C508C"/>
    <w:rsid w:val="001C5239"/>
    <w:rsid w:val="001C529D"/>
    <w:rsid w:val="001C5BC3"/>
    <w:rsid w:val="001C5D93"/>
    <w:rsid w:val="001C5E62"/>
    <w:rsid w:val="001C7102"/>
    <w:rsid w:val="001C74F1"/>
    <w:rsid w:val="001C7BE3"/>
    <w:rsid w:val="001D02D6"/>
    <w:rsid w:val="001D13D3"/>
    <w:rsid w:val="001D14B1"/>
    <w:rsid w:val="001D1B14"/>
    <w:rsid w:val="001D1E88"/>
    <w:rsid w:val="001D28AB"/>
    <w:rsid w:val="001D2B7C"/>
    <w:rsid w:val="001D330A"/>
    <w:rsid w:val="001D3A4D"/>
    <w:rsid w:val="001D559D"/>
    <w:rsid w:val="001D5EE2"/>
    <w:rsid w:val="001D7378"/>
    <w:rsid w:val="001D7665"/>
    <w:rsid w:val="001D7DB1"/>
    <w:rsid w:val="001E000C"/>
    <w:rsid w:val="001E09BE"/>
    <w:rsid w:val="001E0B1E"/>
    <w:rsid w:val="001E127E"/>
    <w:rsid w:val="001E130B"/>
    <w:rsid w:val="001E1490"/>
    <w:rsid w:val="001E15E2"/>
    <w:rsid w:val="001E1726"/>
    <w:rsid w:val="001E1D52"/>
    <w:rsid w:val="001E38B4"/>
    <w:rsid w:val="001E3944"/>
    <w:rsid w:val="001E4D9A"/>
    <w:rsid w:val="001E604A"/>
    <w:rsid w:val="001E64C7"/>
    <w:rsid w:val="001E67E9"/>
    <w:rsid w:val="001E70F8"/>
    <w:rsid w:val="001E7531"/>
    <w:rsid w:val="001E786A"/>
    <w:rsid w:val="001E792F"/>
    <w:rsid w:val="001F0105"/>
    <w:rsid w:val="001F071D"/>
    <w:rsid w:val="001F0A48"/>
    <w:rsid w:val="001F0C32"/>
    <w:rsid w:val="001F130A"/>
    <w:rsid w:val="001F1544"/>
    <w:rsid w:val="001F1E12"/>
    <w:rsid w:val="001F2047"/>
    <w:rsid w:val="001F2B54"/>
    <w:rsid w:val="001F2BD6"/>
    <w:rsid w:val="001F363E"/>
    <w:rsid w:val="001F3A79"/>
    <w:rsid w:val="001F3C66"/>
    <w:rsid w:val="001F4289"/>
    <w:rsid w:val="001F4779"/>
    <w:rsid w:val="001F480C"/>
    <w:rsid w:val="001F54D9"/>
    <w:rsid w:val="001F5861"/>
    <w:rsid w:val="001F5BBE"/>
    <w:rsid w:val="001F5C85"/>
    <w:rsid w:val="001F62DA"/>
    <w:rsid w:val="001F6B80"/>
    <w:rsid w:val="001F6D5A"/>
    <w:rsid w:val="001F7564"/>
    <w:rsid w:val="001F7F19"/>
    <w:rsid w:val="00200AEE"/>
    <w:rsid w:val="00200B15"/>
    <w:rsid w:val="00200F9C"/>
    <w:rsid w:val="0020166C"/>
    <w:rsid w:val="00201917"/>
    <w:rsid w:val="00201E1B"/>
    <w:rsid w:val="00201F26"/>
    <w:rsid w:val="00202C3A"/>
    <w:rsid w:val="00203168"/>
    <w:rsid w:val="0020340D"/>
    <w:rsid w:val="00203424"/>
    <w:rsid w:val="0020357C"/>
    <w:rsid w:val="0020457C"/>
    <w:rsid w:val="0020481C"/>
    <w:rsid w:val="0020488F"/>
    <w:rsid w:val="00204E15"/>
    <w:rsid w:val="00206605"/>
    <w:rsid w:val="00206647"/>
    <w:rsid w:val="00206C2C"/>
    <w:rsid w:val="00207BE9"/>
    <w:rsid w:val="002106B1"/>
    <w:rsid w:val="002107A2"/>
    <w:rsid w:val="00211092"/>
    <w:rsid w:val="00211595"/>
    <w:rsid w:val="00211EE9"/>
    <w:rsid w:val="00213D62"/>
    <w:rsid w:val="0021544E"/>
    <w:rsid w:val="002161EC"/>
    <w:rsid w:val="002167C2"/>
    <w:rsid w:val="002168A9"/>
    <w:rsid w:val="002170BF"/>
    <w:rsid w:val="002204BF"/>
    <w:rsid w:val="00220ABF"/>
    <w:rsid w:val="00221563"/>
    <w:rsid w:val="00222756"/>
    <w:rsid w:val="00222B46"/>
    <w:rsid w:val="00222DDE"/>
    <w:rsid w:val="00223B87"/>
    <w:rsid w:val="0022511C"/>
    <w:rsid w:val="00225140"/>
    <w:rsid w:val="002259B8"/>
    <w:rsid w:val="00225CF8"/>
    <w:rsid w:val="00227328"/>
    <w:rsid w:val="00230CC1"/>
    <w:rsid w:val="00231931"/>
    <w:rsid w:val="00231D55"/>
    <w:rsid w:val="00232FD9"/>
    <w:rsid w:val="0023305C"/>
    <w:rsid w:val="00233821"/>
    <w:rsid w:val="002363BB"/>
    <w:rsid w:val="00236713"/>
    <w:rsid w:val="00236886"/>
    <w:rsid w:val="00236BFB"/>
    <w:rsid w:val="002378EA"/>
    <w:rsid w:val="002400EA"/>
    <w:rsid w:val="00240207"/>
    <w:rsid w:val="00241307"/>
    <w:rsid w:val="002417FD"/>
    <w:rsid w:val="00241B2D"/>
    <w:rsid w:val="00241C07"/>
    <w:rsid w:val="002428FB"/>
    <w:rsid w:val="00243B55"/>
    <w:rsid w:val="00243B89"/>
    <w:rsid w:val="00244A9B"/>
    <w:rsid w:val="00244F49"/>
    <w:rsid w:val="00245C0E"/>
    <w:rsid w:val="0024729E"/>
    <w:rsid w:val="002473F8"/>
    <w:rsid w:val="002479DF"/>
    <w:rsid w:val="002504F3"/>
    <w:rsid w:val="00250B53"/>
    <w:rsid w:val="00250D62"/>
    <w:rsid w:val="002516E7"/>
    <w:rsid w:val="00251EDE"/>
    <w:rsid w:val="0025228C"/>
    <w:rsid w:val="002523CB"/>
    <w:rsid w:val="002525CA"/>
    <w:rsid w:val="0025263E"/>
    <w:rsid w:val="00253C3C"/>
    <w:rsid w:val="00254101"/>
    <w:rsid w:val="002544B0"/>
    <w:rsid w:val="002553C1"/>
    <w:rsid w:val="00256561"/>
    <w:rsid w:val="0025702B"/>
    <w:rsid w:val="0025742D"/>
    <w:rsid w:val="00260DA8"/>
    <w:rsid w:val="00260F65"/>
    <w:rsid w:val="00260FE5"/>
    <w:rsid w:val="0026163E"/>
    <w:rsid w:val="002616E4"/>
    <w:rsid w:val="00263C34"/>
    <w:rsid w:val="0026584F"/>
    <w:rsid w:val="002658B9"/>
    <w:rsid w:val="00265A4C"/>
    <w:rsid w:val="00265BCA"/>
    <w:rsid w:val="0026634B"/>
    <w:rsid w:val="00266934"/>
    <w:rsid w:val="00270444"/>
    <w:rsid w:val="0027068C"/>
    <w:rsid w:val="00270B8B"/>
    <w:rsid w:val="00271D97"/>
    <w:rsid w:val="00271DB7"/>
    <w:rsid w:val="00272509"/>
    <w:rsid w:val="00273C90"/>
    <w:rsid w:val="0027403C"/>
    <w:rsid w:val="00274F3D"/>
    <w:rsid w:val="0027513C"/>
    <w:rsid w:val="00275AF3"/>
    <w:rsid w:val="00276C95"/>
    <w:rsid w:val="00277054"/>
    <w:rsid w:val="002801A7"/>
    <w:rsid w:val="0028029F"/>
    <w:rsid w:val="00281328"/>
    <w:rsid w:val="002824C4"/>
    <w:rsid w:val="00283F7D"/>
    <w:rsid w:val="00284183"/>
    <w:rsid w:val="0028639B"/>
    <w:rsid w:val="00286A82"/>
    <w:rsid w:val="00286ABB"/>
    <w:rsid w:val="00286BE9"/>
    <w:rsid w:val="00286E9F"/>
    <w:rsid w:val="0028754D"/>
    <w:rsid w:val="00290543"/>
    <w:rsid w:val="002905E3"/>
    <w:rsid w:val="00290E82"/>
    <w:rsid w:val="00290E94"/>
    <w:rsid w:val="002917AE"/>
    <w:rsid w:val="00291E4E"/>
    <w:rsid w:val="0029239E"/>
    <w:rsid w:val="00292CB8"/>
    <w:rsid w:val="00293234"/>
    <w:rsid w:val="002935A6"/>
    <w:rsid w:val="002946FB"/>
    <w:rsid w:val="002949D5"/>
    <w:rsid w:val="00294F2E"/>
    <w:rsid w:val="00295973"/>
    <w:rsid w:val="00296B18"/>
    <w:rsid w:val="00296FF7"/>
    <w:rsid w:val="00297302"/>
    <w:rsid w:val="002979DE"/>
    <w:rsid w:val="00297BAD"/>
    <w:rsid w:val="002A046E"/>
    <w:rsid w:val="002A0AFF"/>
    <w:rsid w:val="002A0FED"/>
    <w:rsid w:val="002A1515"/>
    <w:rsid w:val="002A1B35"/>
    <w:rsid w:val="002A222B"/>
    <w:rsid w:val="002A293E"/>
    <w:rsid w:val="002A2CE8"/>
    <w:rsid w:val="002A3069"/>
    <w:rsid w:val="002A39FE"/>
    <w:rsid w:val="002A3F0D"/>
    <w:rsid w:val="002A3F2B"/>
    <w:rsid w:val="002A438C"/>
    <w:rsid w:val="002A46B0"/>
    <w:rsid w:val="002A4E3C"/>
    <w:rsid w:val="002A4FDB"/>
    <w:rsid w:val="002A581B"/>
    <w:rsid w:val="002A5A3C"/>
    <w:rsid w:val="002A5D0F"/>
    <w:rsid w:val="002A6159"/>
    <w:rsid w:val="002A64D1"/>
    <w:rsid w:val="002A65BC"/>
    <w:rsid w:val="002A71AE"/>
    <w:rsid w:val="002A7686"/>
    <w:rsid w:val="002A7907"/>
    <w:rsid w:val="002B0020"/>
    <w:rsid w:val="002B0AA8"/>
    <w:rsid w:val="002B132B"/>
    <w:rsid w:val="002B1A92"/>
    <w:rsid w:val="002B27F8"/>
    <w:rsid w:val="002B33F6"/>
    <w:rsid w:val="002B3A86"/>
    <w:rsid w:val="002B59BE"/>
    <w:rsid w:val="002B7CF4"/>
    <w:rsid w:val="002B7F13"/>
    <w:rsid w:val="002B7F36"/>
    <w:rsid w:val="002C07CB"/>
    <w:rsid w:val="002C07D9"/>
    <w:rsid w:val="002C1B3A"/>
    <w:rsid w:val="002C280D"/>
    <w:rsid w:val="002C2EAA"/>
    <w:rsid w:val="002C38CA"/>
    <w:rsid w:val="002C4401"/>
    <w:rsid w:val="002C4428"/>
    <w:rsid w:val="002C4958"/>
    <w:rsid w:val="002C729A"/>
    <w:rsid w:val="002C7482"/>
    <w:rsid w:val="002C7F04"/>
    <w:rsid w:val="002D0EA1"/>
    <w:rsid w:val="002D153A"/>
    <w:rsid w:val="002D1C43"/>
    <w:rsid w:val="002D1FBC"/>
    <w:rsid w:val="002D297A"/>
    <w:rsid w:val="002D29A9"/>
    <w:rsid w:val="002D2AB1"/>
    <w:rsid w:val="002D40A1"/>
    <w:rsid w:val="002D4A82"/>
    <w:rsid w:val="002D5580"/>
    <w:rsid w:val="002D5DB4"/>
    <w:rsid w:val="002D673F"/>
    <w:rsid w:val="002D6E19"/>
    <w:rsid w:val="002D7AFB"/>
    <w:rsid w:val="002E0CE1"/>
    <w:rsid w:val="002E0F31"/>
    <w:rsid w:val="002E1578"/>
    <w:rsid w:val="002E19F4"/>
    <w:rsid w:val="002E1D0E"/>
    <w:rsid w:val="002E1DDD"/>
    <w:rsid w:val="002E3358"/>
    <w:rsid w:val="002E39B7"/>
    <w:rsid w:val="002E3BD6"/>
    <w:rsid w:val="002E4E2E"/>
    <w:rsid w:val="002E5601"/>
    <w:rsid w:val="002E574F"/>
    <w:rsid w:val="002E6716"/>
    <w:rsid w:val="002E725C"/>
    <w:rsid w:val="002E7D05"/>
    <w:rsid w:val="002F07BD"/>
    <w:rsid w:val="002F11A4"/>
    <w:rsid w:val="002F1882"/>
    <w:rsid w:val="002F23C3"/>
    <w:rsid w:val="002F2CCD"/>
    <w:rsid w:val="002F3085"/>
    <w:rsid w:val="002F4491"/>
    <w:rsid w:val="002F4667"/>
    <w:rsid w:val="002F46B1"/>
    <w:rsid w:val="002F47A3"/>
    <w:rsid w:val="002F5DE5"/>
    <w:rsid w:val="002F5E34"/>
    <w:rsid w:val="002F7749"/>
    <w:rsid w:val="002F7E60"/>
    <w:rsid w:val="002F7EAA"/>
    <w:rsid w:val="0030050A"/>
    <w:rsid w:val="00300593"/>
    <w:rsid w:val="00300D9C"/>
    <w:rsid w:val="00300FC2"/>
    <w:rsid w:val="0030248E"/>
    <w:rsid w:val="0030316E"/>
    <w:rsid w:val="003037E8"/>
    <w:rsid w:val="00303A31"/>
    <w:rsid w:val="0030418A"/>
    <w:rsid w:val="003049FC"/>
    <w:rsid w:val="00306B4C"/>
    <w:rsid w:val="00307C27"/>
    <w:rsid w:val="00307DB0"/>
    <w:rsid w:val="003105BE"/>
    <w:rsid w:val="0031080D"/>
    <w:rsid w:val="00310E1A"/>
    <w:rsid w:val="003110F0"/>
    <w:rsid w:val="00311142"/>
    <w:rsid w:val="00311722"/>
    <w:rsid w:val="00312877"/>
    <w:rsid w:val="003128B9"/>
    <w:rsid w:val="00314364"/>
    <w:rsid w:val="0031442F"/>
    <w:rsid w:val="0031444F"/>
    <w:rsid w:val="003146C0"/>
    <w:rsid w:val="00314820"/>
    <w:rsid w:val="003150F2"/>
    <w:rsid w:val="00315637"/>
    <w:rsid w:val="00315C27"/>
    <w:rsid w:val="00316352"/>
    <w:rsid w:val="00317B07"/>
    <w:rsid w:val="00317B94"/>
    <w:rsid w:val="00317E13"/>
    <w:rsid w:val="003201A1"/>
    <w:rsid w:val="003211FB"/>
    <w:rsid w:val="0032161D"/>
    <w:rsid w:val="0032180C"/>
    <w:rsid w:val="00321A5D"/>
    <w:rsid w:val="00321C3E"/>
    <w:rsid w:val="00321C5C"/>
    <w:rsid w:val="00321D5F"/>
    <w:rsid w:val="003223BF"/>
    <w:rsid w:val="00322422"/>
    <w:rsid w:val="00322848"/>
    <w:rsid w:val="0032286E"/>
    <w:rsid w:val="0032286F"/>
    <w:rsid w:val="00322A2C"/>
    <w:rsid w:val="003231EE"/>
    <w:rsid w:val="003237EE"/>
    <w:rsid w:val="00324E0E"/>
    <w:rsid w:val="00325555"/>
    <w:rsid w:val="00325571"/>
    <w:rsid w:val="003256EC"/>
    <w:rsid w:val="00325E19"/>
    <w:rsid w:val="0032648B"/>
    <w:rsid w:val="00326A8B"/>
    <w:rsid w:val="00326B10"/>
    <w:rsid w:val="003273BC"/>
    <w:rsid w:val="00327ABB"/>
    <w:rsid w:val="00330163"/>
    <w:rsid w:val="00330C68"/>
    <w:rsid w:val="00330CE9"/>
    <w:rsid w:val="003310AC"/>
    <w:rsid w:val="003311AA"/>
    <w:rsid w:val="003318F8"/>
    <w:rsid w:val="003323B2"/>
    <w:rsid w:val="0033317B"/>
    <w:rsid w:val="003334FE"/>
    <w:rsid w:val="003339C4"/>
    <w:rsid w:val="00333F01"/>
    <w:rsid w:val="00335445"/>
    <w:rsid w:val="003361EA"/>
    <w:rsid w:val="00336DAF"/>
    <w:rsid w:val="00336DF4"/>
    <w:rsid w:val="00337F5B"/>
    <w:rsid w:val="0034005F"/>
    <w:rsid w:val="003409CF"/>
    <w:rsid w:val="00340F69"/>
    <w:rsid w:val="00341210"/>
    <w:rsid w:val="00341EBF"/>
    <w:rsid w:val="003439BD"/>
    <w:rsid w:val="0034426A"/>
    <w:rsid w:val="00345092"/>
    <w:rsid w:val="0034654F"/>
    <w:rsid w:val="00346D0A"/>
    <w:rsid w:val="003476CC"/>
    <w:rsid w:val="0035039E"/>
    <w:rsid w:val="00350AE8"/>
    <w:rsid w:val="00350D33"/>
    <w:rsid w:val="00350D43"/>
    <w:rsid w:val="00350E91"/>
    <w:rsid w:val="00351730"/>
    <w:rsid w:val="00352076"/>
    <w:rsid w:val="003522CA"/>
    <w:rsid w:val="00353B46"/>
    <w:rsid w:val="00354123"/>
    <w:rsid w:val="003547C8"/>
    <w:rsid w:val="003553F8"/>
    <w:rsid w:val="0035545F"/>
    <w:rsid w:val="003554DA"/>
    <w:rsid w:val="003577A6"/>
    <w:rsid w:val="00357F82"/>
    <w:rsid w:val="0036049F"/>
    <w:rsid w:val="00360C5B"/>
    <w:rsid w:val="00361F4C"/>
    <w:rsid w:val="00362633"/>
    <w:rsid w:val="00362B02"/>
    <w:rsid w:val="00363066"/>
    <w:rsid w:val="003634AA"/>
    <w:rsid w:val="00363EF3"/>
    <w:rsid w:val="00363F1A"/>
    <w:rsid w:val="00364D2E"/>
    <w:rsid w:val="00366C5C"/>
    <w:rsid w:val="003672E0"/>
    <w:rsid w:val="00367887"/>
    <w:rsid w:val="00370D50"/>
    <w:rsid w:val="0037205C"/>
    <w:rsid w:val="003724FB"/>
    <w:rsid w:val="003732EA"/>
    <w:rsid w:val="00373826"/>
    <w:rsid w:val="00373E37"/>
    <w:rsid w:val="00373E4A"/>
    <w:rsid w:val="00374039"/>
    <w:rsid w:val="00374045"/>
    <w:rsid w:val="00374CB2"/>
    <w:rsid w:val="00374E14"/>
    <w:rsid w:val="00375337"/>
    <w:rsid w:val="00375C43"/>
    <w:rsid w:val="00380961"/>
    <w:rsid w:val="00380A6C"/>
    <w:rsid w:val="00380F75"/>
    <w:rsid w:val="0038134C"/>
    <w:rsid w:val="003813C4"/>
    <w:rsid w:val="00381439"/>
    <w:rsid w:val="003814D5"/>
    <w:rsid w:val="0038161F"/>
    <w:rsid w:val="003824BB"/>
    <w:rsid w:val="00382926"/>
    <w:rsid w:val="00382E7A"/>
    <w:rsid w:val="003830DF"/>
    <w:rsid w:val="003832D2"/>
    <w:rsid w:val="00383398"/>
    <w:rsid w:val="003848AB"/>
    <w:rsid w:val="00384A0F"/>
    <w:rsid w:val="00384C96"/>
    <w:rsid w:val="00384F0D"/>
    <w:rsid w:val="00385977"/>
    <w:rsid w:val="00385C9F"/>
    <w:rsid w:val="00386D37"/>
    <w:rsid w:val="00386D3F"/>
    <w:rsid w:val="0038723D"/>
    <w:rsid w:val="00387E15"/>
    <w:rsid w:val="0039132E"/>
    <w:rsid w:val="00391616"/>
    <w:rsid w:val="00391970"/>
    <w:rsid w:val="00391E55"/>
    <w:rsid w:val="003926ED"/>
    <w:rsid w:val="00394967"/>
    <w:rsid w:val="00397CF6"/>
    <w:rsid w:val="00397EA1"/>
    <w:rsid w:val="003A1885"/>
    <w:rsid w:val="003A189D"/>
    <w:rsid w:val="003A1BCF"/>
    <w:rsid w:val="003A2B3C"/>
    <w:rsid w:val="003A2DC4"/>
    <w:rsid w:val="003A4195"/>
    <w:rsid w:val="003A473F"/>
    <w:rsid w:val="003A5A63"/>
    <w:rsid w:val="003A601A"/>
    <w:rsid w:val="003A70CC"/>
    <w:rsid w:val="003A7D4D"/>
    <w:rsid w:val="003A7F18"/>
    <w:rsid w:val="003B07A7"/>
    <w:rsid w:val="003B0C78"/>
    <w:rsid w:val="003B0D7F"/>
    <w:rsid w:val="003B1B18"/>
    <w:rsid w:val="003B34D9"/>
    <w:rsid w:val="003B3A1E"/>
    <w:rsid w:val="003B3CD3"/>
    <w:rsid w:val="003B42F3"/>
    <w:rsid w:val="003B51BE"/>
    <w:rsid w:val="003B5887"/>
    <w:rsid w:val="003B6357"/>
    <w:rsid w:val="003B6D77"/>
    <w:rsid w:val="003B7790"/>
    <w:rsid w:val="003B7807"/>
    <w:rsid w:val="003B7AEC"/>
    <w:rsid w:val="003B7B3B"/>
    <w:rsid w:val="003B7E55"/>
    <w:rsid w:val="003C03C7"/>
    <w:rsid w:val="003C0894"/>
    <w:rsid w:val="003C2526"/>
    <w:rsid w:val="003C3778"/>
    <w:rsid w:val="003C3F4D"/>
    <w:rsid w:val="003C46B8"/>
    <w:rsid w:val="003C4F46"/>
    <w:rsid w:val="003C5F4C"/>
    <w:rsid w:val="003C677C"/>
    <w:rsid w:val="003C6E77"/>
    <w:rsid w:val="003D0190"/>
    <w:rsid w:val="003D0DF7"/>
    <w:rsid w:val="003D0E97"/>
    <w:rsid w:val="003D17BB"/>
    <w:rsid w:val="003D1BE5"/>
    <w:rsid w:val="003D2834"/>
    <w:rsid w:val="003D3E20"/>
    <w:rsid w:val="003D475E"/>
    <w:rsid w:val="003D4C3E"/>
    <w:rsid w:val="003D4EA2"/>
    <w:rsid w:val="003D56DE"/>
    <w:rsid w:val="003D5AB8"/>
    <w:rsid w:val="003D5D9D"/>
    <w:rsid w:val="003D5E7F"/>
    <w:rsid w:val="003D689B"/>
    <w:rsid w:val="003D6D55"/>
    <w:rsid w:val="003D6E06"/>
    <w:rsid w:val="003D79C5"/>
    <w:rsid w:val="003D79E5"/>
    <w:rsid w:val="003E09D5"/>
    <w:rsid w:val="003E0C4B"/>
    <w:rsid w:val="003E0CD6"/>
    <w:rsid w:val="003E0FAA"/>
    <w:rsid w:val="003E2C2F"/>
    <w:rsid w:val="003E359B"/>
    <w:rsid w:val="003E37A1"/>
    <w:rsid w:val="003E3E1A"/>
    <w:rsid w:val="003E5C47"/>
    <w:rsid w:val="003E6CF1"/>
    <w:rsid w:val="003E6D04"/>
    <w:rsid w:val="003E7890"/>
    <w:rsid w:val="003E7FA9"/>
    <w:rsid w:val="003F0922"/>
    <w:rsid w:val="003F0C4A"/>
    <w:rsid w:val="003F2366"/>
    <w:rsid w:val="003F2F54"/>
    <w:rsid w:val="003F6CD5"/>
    <w:rsid w:val="003F7920"/>
    <w:rsid w:val="0040052C"/>
    <w:rsid w:val="0040087C"/>
    <w:rsid w:val="0040107D"/>
    <w:rsid w:val="00401D2D"/>
    <w:rsid w:val="00402B98"/>
    <w:rsid w:val="004031FD"/>
    <w:rsid w:val="0040350D"/>
    <w:rsid w:val="0040464D"/>
    <w:rsid w:val="00404859"/>
    <w:rsid w:val="00405B04"/>
    <w:rsid w:val="004061A1"/>
    <w:rsid w:val="00406AA9"/>
    <w:rsid w:val="00406B77"/>
    <w:rsid w:val="00406D62"/>
    <w:rsid w:val="00406E59"/>
    <w:rsid w:val="004070F4"/>
    <w:rsid w:val="00407E8D"/>
    <w:rsid w:val="004100A2"/>
    <w:rsid w:val="004100E9"/>
    <w:rsid w:val="004106B8"/>
    <w:rsid w:val="004110F9"/>
    <w:rsid w:val="00411F67"/>
    <w:rsid w:val="0041256A"/>
    <w:rsid w:val="004129CB"/>
    <w:rsid w:val="004133B6"/>
    <w:rsid w:val="00413ABE"/>
    <w:rsid w:val="0041661E"/>
    <w:rsid w:val="00416B25"/>
    <w:rsid w:val="00417089"/>
    <w:rsid w:val="0041741A"/>
    <w:rsid w:val="0041779D"/>
    <w:rsid w:val="0042033F"/>
    <w:rsid w:val="00420874"/>
    <w:rsid w:val="00420BE3"/>
    <w:rsid w:val="00420CF3"/>
    <w:rsid w:val="0042118D"/>
    <w:rsid w:val="00421ECF"/>
    <w:rsid w:val="0042225B"/>
    <w:rsid w:val="00422FF1"/>
    <w:rsid w:val="0042316B"/>
    <w:rsid w:val="004231EB"/>
    <w:rsid w:val="004237C7"/>
    <w:rsid w:val="00423A04"/>
    <w:rsid w:val="00423B3C"/>
    <w:rsid w:val="00424D47"/>
    <w:rsid w:val="00425266"/>
    <w:rsid w:val="00425AE9"/>
    <w:rsid w:val="00426750"/>
    <w:rsid w:val="004269D5"/>
    <w:rsid w:val="00427061"/>
    <w:rsid w:val="004306B1"/>
    <w:rsid w:val="00431CAC"/>
    <w:rsid w:val="00432045"/>
    <w:rsid w:val="004331F8"/>
    <w:rsid w:val="00433408"/>
    <w:rsid w:val="00433A43"/>
    <w:rsid w:val="00433D70"/>
    <w:rsid w:val="00434271"/>
    <w:rsid w:val="00434278"/>
    <w:rsid w:val="0043431F"/>
    <w:rsid w:val="0043475A"/>
    <w:rsid w:val="0043513C"/>
    <w:rsid w:val="00435BC8"/>
    <w:rsid w:val="00435D6F"/>
    <w:rsid w:val="00436476"/>
    <w:rsid w:val="00436CE2"/>
    <w:rsid w:val="00436DD7"/>
    <w:rsid w:val="004375B8"/>
    <w:rsid w:val="004377B0"/>
    <w:rsid w:val="004400B6"/>
    <w:rsid w:val="004400BA"/>
    <w:rsid w:val="00440F3D"/>
    <w:rsid w:val="004410B1"/>
    <w:rsid w:val="00441423"/>
    <w:rsid w:val="00442B52"/>
    <w:rsid w:val="00442EF8"/>
    <w:rsid w:val="00442F9C"/>
    <w:rsid w:val="00443A3F"/>
    <w:rsid w:val="00444CDC"/>
    <w:rsid w:val="004451F4"/>
    <w:rsid w:val="00445240"/>
    <w:rsid w:val="00445409"/>
    <w:rsid w:val="00445E21"/>
    <w:rsid w:val="004460D1"/>
    <w:rsid w:val="0044642B"/>
    <w:rsid w:val="00446C68"/>
    <w:rsid w:val="0044737C"/>
    <w:rsid w:val="004475F0"/>
    <w:rsid w:val="00447950"/>
    <w:rsid w:val="004517E4"/>
    <w:rsid w:val="0045214C"/>
    <w:rsid w:val="0045278C"/>
    <w:rsid w:val="004529BB"/>
    <w:rsid w:val="0045317B"/>
    <w:rsid w:val="00453B7B"/>
    <w:rsid w:val="00453C35"/>
    <w:rsid w:val="00454533"/>
    <w:rsid w:val="0045495D"/>
    <w:rsid w:val="00454EA6"/>
    <w:rsid w:val="00454EDB"/>
    <w:rsid w:val="00455125"/>
    <w:rsid w:val="004555F3"/>
    <w:rsid w:val="004558F2"/>
    <w:rsid w:val="00455B45"/>
    <w:rsid w:val="00455BB2"/>
    <w:rsid w:val="0045628E"/>
    <w:rsid w:val="00456987"/>
    <w:rsid w:val="00457056"/>
    <w:rsid w:val="004609D8"/>
    <w:rsid w:val="00460A7B"/>
    <w:rsid w:val="00460DC0"/>
    <w:rsid w:val="00461B3A"/>
    <w:rsid w:val="004621AE"/>
    <w:rsid w:val="00462A1E"/>
    <w:rsid w:val="00465AB9"/>
    <w:rsid w:val="00465B53"/>
    <w:rsid w:val="00466C45"/>
    <w:rsid w:val="0046710D"/>
    <w:rsid w:val="004676E2"/>
    <w:rsid w:val="004676F4"/>
    <w:rsid w:val="00467C0B"/>
    <w:rsid w:val="00467F05"/>
    <w:rsid w:val="00470265"/>
    <w:rsid w:val="0047058C"/>
    <w:rsid w:val="0047065D"/>
    <w:rsid w:val="0047085A"/>
    <w:rsid w:val="00470F54"/>
    <w:rsid w:val="00471359"/>
    <w:rsid w:val="00471F45"/>
    <w:rsid w:val="00472680"/>
    <w:rsid w:val="004726B5"/>
    <w:rsid w:val="00472A7F"/>
    <w:rsid w:val="0047341B"/>
    <w:rsid w:val="00473426"/>
    <w:rsid w:val="004739E6"/>
    <w:rsid w:val="00475228"/>
    <w:rsid w:val="0047581D"/>
    <w:rsid w:val="004759C8"/>
    <w:rsid w:val="0047622A"/>
    <w:rsid w:val="00476267"/>
    <w:rsid w:val="00476486"/>
    <w:rsid w:val="00476592"/>
    <w:rsid w:val="004774E5"/>
    <w:rsid w:val="00477ABB"/>
    <w:rsid w:val="004805BC"/>
    <w:rsid w:val="00480F97"/>
    <w:rsid w:val="00481A96"/>
    <w:rsid w:val="00481AA3"/>
    <w:rsid w:val="004825B2"/>
    <w:rsid w:val="00482AFA"/>
    <w:rsid w:val="00482B08"/>
    <w:rsid w:val="00483709"/>
    <w:rsid w:val="00483EF6"/>
    <w:rsid w:val="004840EC"/>
    <w:rsid w:val="00484EAC"/>
    <w:rsid w:val="00485310"/>
    <w:rsid w:val="00485767"/>
    <w:rsid w:val="004861F4"/>
    <w:rsid w:val="00487E5B"/>
    <w:rsid w:val="00487E79"/>
    <w:rsid w:val="004900F3"/>
    <w:rsid w:val="004906ED"/>
    <w:rsid w:val="00490D29"/>
    <w:rsid w:val="004911B6"/>
    <w:rsid w:val="004921E2"/>
    <w:rsid w:val="00492295"/>
    <w:rsid w:val="00492F26"/>
    <w:rsid w:val="00493739"/>
    <w:rsid w:val="004957D2"/>
    <w:rsid w:val="004966D7"/>
    <w:rsid w:val="00497482"/>
    <w:rsid w:val="00497812"/>
    <w:rsid w:val="00497B1A"/>
    <w:rsid w:val="00497B2B"/>
    <w:rsid w:val="00497BDE"/>
    <w:rsid w:val="00497C2F"/>
    <w:rsid w:val="004A00A2"/>
    <w:rsid w:val="004A0E27"/>
    <w:rsid w:val="004A1C19"/>
    <w:rsid w:val="004A1DF6"/>
    <w:rsid w:val="004A1EAC"/>
    <w:rsid w:val="004A2339"/>
    <w:rsid w:val="004A2CF3"/>
    <w:rsid w:val="004A3106"/>
    <w:rsid w:val="004A3A05"/>
    <w:rsid w:val="004A3C4D"/>
    <w:rsid w:val="004A3CB1"/>
    <w:rsid w:val="004A4204"/>
    <w:rsid w:val="004A4336"/>
    <w:rsid w:val="004A4460"/>
    <w:rsid w:val="004A4ADC"/>
    <w:rsid w:val="004A5802"/>
    <w:rsid w:val="004A67BE"/>
    <w:rsid w:val="004A6A3C"/>
    <w:rsid w:val="004A79A8"/>
    <w:rsid w:val="004A7FAA"/>
    <w:rsid w:val="004B16FC"/>
    <w:rsid w:val="004B1CC7"/>
    <w:rsid w:val="004B1D80"/>
    <w:rsid w:val="004B2081"/>
    <w:rsid w:val="004B215F"/>
    <w:rsid w:val="004B277A"/>
    <w:rsid w:val="004B3D2C"/>
    <w:rsid w:val="004B3EFA"/>
    <w:rsid w:val="004B4566"/>
    <w:rsid w:val="004B4D44"/>
    <w:rsid w:val="004B4FCA"/>
    <w:rsid w:val="004B5809"/>
    <w:rsid w:val="004B5964"/>
    <w:rsid w:val="004B61E2"/>
    <w:rsid w:val="004B663C"/>
    <w:rsid w:val="004B788F"/>
    <w:rsid w:val="004B7F14"/>
    <w:rsid w:val="004C0602"/>
    <w:rsid w:val="004C0F3F"/>
    <w:rsid w:val="004C102B"/>
    <w:rsid w:val="004C296B"/>
    <w:rsid w:val="004C42B3"/>
    <w:rsid w:val="004C5376"/>
    <w:rsid w:val="004C679F"/>
    <w:rsid w:val="004C6848"/>
    <w:rsid w:val="004C6F66"/>
    <w:rsid w:val="004C745D"/>
    <w:rsid w:val="004C75D3"/>
    <w:rsid w:val="004C77DC"/>
    <w:rsid w:val="004C77E4"/>
    <w:rsid w:val="004C79F4"/>
    <w:rsid w:val="004C7DC8"/>
    <w:rsid w:val="004D019E"/>
    <w:rsid w:val="004D18A0"/>
    <w:rsid w:val="004D201D"/>
    <w:rsid w:val="004D379B"/>
    <w:rsid w:val="004D3AF2"/>
    <w:rsid w:val="004D48EA"/>
    <w:rsid w:val="004D4A78"/>
    <w:rsid w:val="004D4E4E"/>
    <w:rsid w:val="004D62D2"/>
    <w:rsid w:val="004D66B0"/>
    <w:rsid w:val="004D6949"/>
    <w:rsid w:val="004D6A7C"/>
    <w:rsid w:val="004D7068"/>
    <w:rsid w:val="004E1C68"/>
    <w:rsid w:val="004E1D8A"/>
    <w:rsid w:val="004E337D"/>
    <w:rsid w:val="004E38F4"/>
    <w:rsid w:val="004E47C5"/>
    <w:rsid w:val="004E4A38"/>
    <w:rsid w:val="004E52CD"/>
    <w:rsid w:val="004E612F"/>
    <w:rsid w:val="004E6C4C"/>
    <w:rsid w:val="004E704A"/>
    <w:rsid w:val="004F0AE1"/>
    <w:rsid w:val="004F2F18"/>
    <w:rsid w:val="004F3C45"/>
    <w:rsid w:val="004F462D"/>
    <w:rsid w:val="004F4929"/>
    <w:rsid w:val="004F4F3B"/>
    <w:rsid w:val="004F523C"/>
    <w:rsid w:val="004F530C"/>
    <w:rsid w:val="004F5F31"/>
    <w:rsid w:val="004F6979"/>
    <w:rsid w:val="004F6E1B"/>
    <w:rsid w:val="004F76CD"/>
    <w:rsid w:val="004F7BCC"/>
    <w:rsid w:val="004F7DF5"/>
    <w:rsid w:val="005008BA"/>
    <w:rsid w:val="00500D1A"/>
    <w:rsid w:val="00500EA1"/>
    <w:rsid w:val="0050146E"/>
    <w:rsid w:val="00501ACF"/>
    <w:rsid w:val="005022F2"/>
    <w:rsid w:val="005028CB"/>
    <w:rsid w:val="005034A2"/>
    <w:rsid w:val="0050405A"/>
    <w:rsid w:val="005040A0"/>
    <w:rsid w:val="00504D42"/>
    <w:rsid w:val="00505081"/>
    <w:rsid w:val="005057DB"/>
    <w:rsid w:val="00507550"/>
    <w:rsid w:val="00507AE5"/>
    <w:rsid w:val="0051027D"/>
    <w:rsid w:val="00510ACE"/>
    <w:rsid w:val="005112F7"/>
    <w:rsid w:val="00512BF5"/>
    <w:rsid w:val="00514F9E"/>
    <w:rsid w:val="00515796"/>
    <w:rsid w:val="00515D4F"/>
    <w:rsid w:val="005161F3"/>
    <w:rsid w:val="005163AE"/>
    <w:rsid w:val="00516C88"/>
    <w:rsid w:val="00517136"/>
    <w:rsid w:val="00517774"/>
    <w:rsid w:val="00521D7F"/>
    <w:rsid w:val="005222E6"/>
    <w:rsid w:val="00524A93"/>
    <w:rsid w:val="00524AAD"/>
    <w:rsid w:val="005260C1"/>
    <w:rsid w:val="00526623"/>
    <w:rsid w:val="005269E6"/>
    <w:rsid w:val="00527696"/>
    <w:rsid w:val="0052771C"/>
    <w:rsid w:val="00527852"/>
    <w:rsid w:val="005278C3"/>
    <w:rsid w:val="00527E70"/>
    <w:rsid w:val="00530974"/>
    <w:rsid w:val="00530978"/>
    <w:rsid w:val="00531B16"/>
    <w:rsid w:val="00532120"/>
    <w:rsid w:val="005326C2"/>
    <w:rsid w:val="00533137"/>
    <w:rsid w:val="00533CFC"/>
    <w:rsid w:val="00533D66"/>
    <w:rsid w:val="00533EF5"/>
    <w:rsid w:val="00534BDF"/>
    <w:rsid w:val="005356F8"/>
    <w:rsid w:val="00535E25"/>
    <w:rsid w:val="005369D3"/>
    <w:rsid w:val="005369FB"/>
    <w:rsid w:val="00536E25"/>
    <w:rsid w:val="00537FDF"/>
    <w:rsid w:val="00540EFD"/>
    <w:rsid w:val="00541211"/>
    <w:rsid w:val="00541FF3"/>
    <w:rsid w:val="00542078"/>
    <w:rsid w:val="00542B49"/>
    <w:rsid w:val="005430FD"/>
    <w:rsid w:val="005437F3"/>
    <w:rsid w:val="00543BA2"/>
    <w:rsid w:val="00543F44"/>
    <w:rsid w:val="00544E7C"/>
    <w:rsid w:val="00545CEF"/>
    <w:rsid w:val="00546204"/>
    <w:rsid w:val="00546223"/>
    <w:rsid w:val="00546320"/>
    <w:rsid w:val="00546BB7"/>
    <w:rsid w:val="00547B03"/>
    <w:rsid w:val="00550BFE"/>
    <w:rsid w:val="00550E10"/>
    <w:rsid w:val="0055102A"/>
    <w:rsid w:val="0055175C"/>
    <w:rsid w:val="00551DA9"/>
    <w:rsid w:val="00551ED7"/>
    <w:rsid w:val="0055215F"/>
    <w:rsid w:val="005521A3"/>
    <w:rsid w:val="00552FD4"/>
    <w:rsid w:val="00554091"/>
    <w:rsid w:val="005540BC"/>
    <w:rsid w:val="00554325"/>
    <w:rsid w:val="00554591"/>
    <w:rsid w:val="00554D93"/>
    <w:rsid w:val="00555EB9"/>
    <w:rsid w:val="00555F69"/>
    <w:rsid w:val="005567D4"/>
    <w:rsid w:val="00560559"/>
    <w:rsid w:val="00561419"/>
    <w:rsid w:val="00562096"/>
    <w:rsid w:val="00562257"/>
    <w:rsid w:val="005623A6"/>
    <w:rsid w:val="00562F5C"/>
    <w:rsid w:val="00562F67"/>
    <w:rsid w:val="0056390A"/>
    <w:rsid w:val="00564135"/>
    <w:rsid w:val="00564B35"/>
    <w:rsid w:val="0056589B"/>
    <w:rsid w:val="00565C76"/>
    <w:rsid w:val="00566367"/>
    <w:rsid w:val="005669A8"/>
    <w:rsid w:val="00566ACD"/>
    <w:rsid w:val="00566D98"/>
    <w:rsid w:val="0056707B"/>
    <w:rsid w:val="0056738B"/>
    <w:rsid w:val="005673C3"/>
    <w:rsid w:val="00567641"/>
    <w:rsid w:val="005678F3"/>
    <w:rsid w:val="0057069C"/>
    <w:rsid w:val="005709A4"/>
    <w:rsid w:val="00570B99"/>
    <w:rsid w:val="00570E7A"/>
    <w:rsid w:val="00571BB3"/>
    <w:rsid w:val="00571D87"/>
    <w:rsid w:val="005721CB"/>
    <w:rsid w:val="00572324"/>
    <w:rsid w:val="00573B8D"/>
    <w:rsid w:val="00573D9E"/>
    <w:rsid w:val="00574011"/>
    <w:rsid w:val="005749D7"/>
    <w:rsid w:val="00574E9C"/>
    <w:rsid w:val="00575305"/>
    <w:rsid w:val="00575B26"/>
    <w:rsid w:val="005763CB"/>
    <w:rsid w:val="005768A4"/>
    <w:rsid w:val="00576E3E"/>
    <w:rsid w:val="00576F99"/>
    <w:rsid w:val="0058089C"/>
    <w:rsid w:val="00581224"/>
    <w:rsid w:val="005812F1"/>
    <w:rsid w:val="005817AF"/>
    <w:rsid w:val="00581937"/>
    <w:rsid w:val="00582473"/>
    <w:rsid w:val="00583CD7"/>
    <w:rsid w:val="0058488F"/>
    <w:rsid w:val="005850CF"/>
    <w:rsid w:val="00586193"/>
    <w:rsid w:val="005861F2"/>
    <w:rsid w:val="005875E6"/>
    <w:rsid w:val="0058789D"/>
    <w:rsid w:val="00590028"/>
    <w:rsid w:val="005902F2"/>
    <w:rsid w:val="00590A73"/>
    <w:rsid w:val="00591575"/>
    <w:rsid w:val="0059246C"/>
    <w:rsid w:val="005929DE"/>
    <w:rsid w:val="0059376D"/>
    <w:rsid w:val="00593B91"/>
    <w:rsid w:val="00593C98"/>
    <w:rsid w:val="00593DCA"/>
    <w:rsid w:val="0059417E"/>
    <w:rsid w:val="005948B7"/>
    <w:rsid w:val="00594912"/>
    <w:rsid w:val="00594C51"/>
    <w:rsid w:val="00596781"/>
    <w:rsid w:val="00596E94"/>
    <w:rsid w:val="005976DE"/>
    <w:rsid w:val="005A045D"/>
    <w:rsid w:val="005A05AA"/>
    <w:rsid w:val="005A0D1C"/>
    <w:rsid w:val="005A2172"/>
    <w:rsid w:val="005A238B"/>
    <w:rsid w:val="005A2CFA"/>
    <w:rsid w:val="005A3128"/>
    <w:rsid w:val="005A332E"/>
    <w:rsid w:val="005A4006"/>
    <w:rsid w:val="005A403D"/>
    <w:rsid w:val="005A417D"/>
    <w:rsid w:val="005A5847"/>
    <w:rsid w:val="005A5C24"/>
    <w:rsid w:val="005A5DCC"/>
    <w:rsid w:val="005A652A"/>
    <w:rsid w:val="005A6979"/>
    <w:rsid w:val="005A7444"/>
    <w:rsid w:val="005B0811"/>
    <w:rsid w:val="005B0942"/>
    <w:rsid w:val="005B1821"/>
    <w:rsid w:val="005B2D62"/>
    <w:rsid w:val="005B2DE2"/>
    <w:rsid w:val="005B2F52"/>
    <w:rsid w:val="005B3760"/>
    <w:rsid w:val="005B396C"/>
    <w:rsid w:val="005B4108"/>
    <w:rsid w:val="005B42F5"/>
    <w:rsid w:val="005B4A94"/>
    <w:rsid w:val="005B4ABC"/>
    <w:rsid w:val="005B4AE8"/>
    <w:rsid w:val="005B6058"/>
    <w:rsid w:val="005B7155"/>
    <w:rsid w:val="005B74BF"/>
    <w:rsid w:val="005B75B9"/>
    <w:rsid w:val="005B7713"/>
    <w:rsid w:val="005B77AB"/>
    <w:rsid w:val="005C05A5"/>
    <w:rsid w:val="005C06AE"/>
    <w:rsid w:val="005C1B90"/>
    <w:rsid w:val="005C231E"/>
    <w:rsid w:val="005C24B0"/>
    <w:rsid w:val="005C324A"/>
    <w:rsid w:val="005C346B"/>
    <w:rsid w:val="005C356E"/>
    <w:rsid w:val="005C3B7C"/>
    <w:rsid w:val="005C4134"/>
    <w:rsid w:val="005C44C4"/>
    <w:rsid w:val="005C45D8"/>
    <w:rsid w:val="005C4CE0"/>
    <w:rsid w:val="005C4D84"/>
    <w:rsid w:val="005C4EFC"/>
    <w:rsid w:val="005C5505"/>
    <w:rsid w:val="005C5AD4"/>
    <w:rsid w:val="005C6521"/>
    <w:rsid w:val="005C66C2"/>
    <w:rsid w:val="005C723B"/>
    <w:rsid w:val="005C775A"/>
    <w:rsid w:val="005C7CA6"/>
    <w:rsid w:val="005C7CAF"/>
    <w:rsid w:val="005D0D51"/>
    <w:rsid w:val="005D1374"/>
    <w:rsid w:val="005D17D0"/>
    <w:rsid w:val="005D1DF8"/>
    <w:rsid w:val="005D30A0"/>
    <w:rsid w:val="005D3F69"/>
    <w:rsid w:val="005D3F8E"/>
    <w:rsid w:val="005D4006"/>
    <w:rsid w:val="005D4536"/>
    <w:rsid w:val="005D5316"/>
    <w:rsid w:val="005D55B3"/>
    <w:rsid w:val="005D5E3C"/>
    <w:rsid w:val="005D7316"/>
    <w:rsid w:val="005D7721"/>
    <w:rsid w:val="005D7AC7"/>
    <w:rsid w:val="005D7D0D"/>
    <w:rsid w:val="005E2122"/>
    <w:rsid w:val="005E33B0"/>
    <w:rsid w:val="005E41D7"/>
    <w:rsid w:val="005E432F"/>
    <w:rsid w:val="005E57C7"/>
    <w:rsid w:val="005E5B6D"/>
    <w:rsid w:val="005E62A8"/>
    <w:rsid w:val="005E70DC"/>
    <w:rsid w:val="005E745B"/>
    <w:rsid w:val="005E77E0"/>
    <w:rsid w:val="005E7D4D"/>
    <w:rsid w:val="005F0670"/>
    <w:rsid w:val="005F0BF8"/>
    <w:rsid w:val="005F18D5"/>
    <w:rsid w:val="005F19A9"/>
    <w:rsid w:val="005F1A49"/>
    <w:rsid w:val="005F1D2B"/>
    <w:rsid w:val="005F3A2B"/>
    <w:rsid w:val="005F3B73"/>
    <w:rsid w:val="005F3C4D"/>
    <w:rsid w:val="005F44E7"/>
    <w:rsid w:val="005F44F2"/>
    <w:rsid w:val="005F470A"/>
    <w:rsid w:val="005F4C30"/>
    <w:rsid w:val="005F5941"/>
    <w:rsid w:val="005F5F4F"/>
    <w:rsid w:val="005F6294"/>
    <w:rsid w:val="005F62BE"/>
    <w:rsid w:val="005F73CD"/>
    <w:rsid w:val="00600023"/>
    <w:rsid w:val="006009EE"/>
    <w:rsid w:val="00601467"/>
    <w:rsid w:val="006015FB"/>
    <w:rsid w:val="00601D69"/>
    <w:rsid w:val="00601E70"/>
    <w:rsid w:val="00601FF2"/>
    <w:rsid w:val="00602072"/>
    <w:rsid w:val="0060306D"/>
    <w:rsid w:val="0060349D"/>
    <w:rsid w:val="00603ACA"/>
    <w:rsid w:val="00603C76"/>
    <w:rsid w:val="00603CFA"/>
    <w:rsid w:val="00603E7D"/>
    <w:rsid w:val="0060560D"/>
    <w:rsid w:val="00605E5E"/>
    <w:rsid w:val="00605FE8"/>
    <w:rsid w:val="006060F5"/>
    <w:rsid w:val="00610536"/>
    <w:rsid w:val="006107EC"/>
    <w:rsid w:val="00612427"/>
    <w:rsid w:val="00612842"/>
    <w:rsid w:val="00612C90"/>
    <w:rsid w:val="00613753"/>
    <w:rsid w:val="00613AA8"/>
    <w:rsid w:val="00613BB0"/>
    <w:rsid w:val="0061410E"/>
    <w:rsid w:val="00614A45"/>
    <w:rsid w:val="00614C33"/>
    <w:rsid w:val="00615738"/>
    <w:rsid w:val="00616B8F"/>
    <w:rsid w:val="00620131"/>
    <w:rsid w:val="0062020A"/>
    <w:rsid w:val="0062118F"/>
    <w:rsid w:val="006217E8"/>
    <w:rsid w:val="00621A08"/>
    <w:rsid w:val="00622B22"/>
    <w:rsid w:val="00622C2B"/>
    <w:rsid w:val="00623AE6"/>
    <w:rsid w:val="00623ED0"/>
    <w:rsid w:val="0062436B"/>
    <w:rsid w:val="0062476D"/>
    <w:rsid w:val="006248F6"/>
    <w:rsid w:val="00624ADE"/>
    <w:rsid w:val="00625061"/>
    <w:rsid w:val="006265A2"/>
    <w:rsid w:val="00626D3C"/>
    <w:rsid w:val="00627A58"/>
    <w:rsid w:val="00627CD6"/>
    <w:rsid w:val="00630697"/>
    <w:rsid w:val="0063084A"/>
    <w:rsid w:val="006309B9"/>
    <w:rsid w:val="00630D3F"/>
    <w:rsid w:val="006313D7"/>
    <w:rsid w:val="00631D6A"/>
    <w:rsid w:val="006324B0"/>
    <w:rsid w:val="0063251F"/>
    <w:rsid w:val="00632813"/>
    <w:rsid w:val="0063293B"/>
    <w:rsid w:val="00632D61"/>
    <w:rsid w:val="00633B3A"/>
    <w:rsid w:val="00633B65"/>
    <w:rsid w:val="00633DB4"/>
    <w:rsid w:val="006343BA"/>
    <w:rsid w:val="0063570F"/>
    <w:rsid w:val="006373B9"/>
    <w:rsid w:val="00637B3A"/>
    <w:rsid w:val="0064023A"/>
    <w:rsid w:val="00641D26"/>
    <w:rsid w:val="00641F43"/>
    <w:rsid w:val="006425B3"/>
    <w:rsid w:val="0064354B"/>
    <w:rsid w:val="006435AB"/>
    <w:rsid w:val="00644319"/>
    <w:rsid w:val="0064451A"/>
    <w:rsid w:val="00644A00"/>
    <w:rsid w:val="00644B7E"/>
    <w:rsid w:val="00645016"/>
    <w:rsid w:val="006451FC"/>
    <w:rsid w:val="006468C2"/>
    <w:rsid w:val="006507EC"/>
    <w:rsid w:val="00651472"/>
    <w:rsid w:val="0065230D"/>
    <w:rsid w:val="00652E09"/>
    <w:rsid w:val="00652E2A"/>
    <w:rsid w:val="00653774"/>
    <w:rsid w:val="00653CF9"/>
    <w:rsid w:val="00654075"/>
    <w:rsid w:val="0065524F"/>
    <w:rsid w:val="006554D5"/>
    <w:rsid w:val="006554F4"/>
    <w:rsid w:val="006559A7"/>
    <w:rsid w:val="00655BE0"/>
    <w:rsid w:val="00655F84"/>
    <w:rsid w:val="00656285"/>
    <w:rsid w:val="006569DB"/>
    <w:rsid w:val="00657B23"/>
    <w:rsid w:val="00660DD5"/>
    <w:rsid w:val="006610EE"/>
    <w:rsid w:val="0066122E"/>
    <w:rsid w:val="00661ABD"/>
    <w:rsid w:val="00662BD6"/>
    <w:rsid w:val="00662BFA"/>
    <w:rsid w:val="0066326F"/>
    <w:rsid w:val="00663378"/>
    <w:rsid w:val="00663589"/>
    <w:rsid w:val="00663FA3"/>
    <w:rsid w:val="00664242"/>
    <w:rsid w:val="006648FA"/>
    <w:rsid w:val="00665860"/>
    <w:rsid w:val="00665B06"/>
    <w:rsid w:val="00667D6A"/>
    <w:rsid w:val="006700DF"/>
    <w:rsid w:val="006711B3"/>
    <w:rsid w:val="00671355"/>
    <w:rsid w:val="006714A1"/>
    <w:rsid w:val="00671BA8"/>
    <w:rsid w:val="0067291C"/>
    <w:rsid w:val="00672B02"/>
    <w:rsid w:val="006730A3"/>
    <w:rsid w:val="00673866"/>
    <w:rsid w:val="00673F5F"/>
    <w:rsid w:val="00674148"/>
    <w:rsid w:val="00675326"/>
    <w:rsid w:val="0067571D"/>
    <w:rsid w:val="0067636B"/>
    <w:rsid w:val="006777D2"/>
    <w:rsid w:val="006779E7"/>
    <w:rsid w:val="00677C8D"/>
    <w:rsid w:val="00680FCC"/>
    <w:rsid w:val="00682F62"/>
    <w:rsid w:val="00683D56"/>
    <w:rsid w:val="00684230"/>
    <w:rsid w:val="00684260"/>
    <w:rsid w:val="006844AD"/>
    <w:rsid w:val="00684825"/>
    <w:rsid w:val="00684859"/>
    <w:rsid w:val="00684F5B"/>
    <w:rsid w:val="0068657F"/>
    <w:rsid w:val="00686FD5"/>
    <w:rsid w:val="00687151"/>
    <w:rsid w:val="006871E1"/>
    <w:rsid w:val="0068767F"/>
    <w:rsid w:val="00687B1A"/>
    <w:rsid w:val="00687E75"/>
    <w:rsid w:val="0069142B"/>
    <w:rsid w:val="00691A13"/>
    <w:rsid w:val="00691D60"/>
    <w:rsid w:val="00692AD0"/>
    <w:rsid w:val="00693CCA"/>
    <w:rsid w:val="0069458F"/>
    <w:rsid w:val="00694DB5"/>
    <w:rsid w:val="00695017"/>
    <w:rsid w:val="00695587"/>
    <w:rsid w:val="0069563A"/>
    <w:rsid w:val="00695DA8"/>
    <w:rsid w:val="006969F5"/>
    <w:rsid w:val="00696BA6"/>
    <w:rsid w:val="00697729"/>
    <w:rsid w:val="006A0B67"/>
    <w:rsid w:val="006A0FCB"/>
    <w:rsid w:val="006A10CF"/>
    <w:rsid w:val="006A172E"/>
    <w:rsid w:val="006A1AD8"/>
    <w:rsid w:val="006A35A8"/>
    <w:rsid w:val="006A394E"/>
    <w:rsid w:val="006A3B55"/>
    <w:rsid w:val="006A43AC"/>
    <w:rsid w:val="006A569C"/>
    <w:rsid w:val="006A58EF"/>
    <w:rsid w:val="006B0824"/>
    <w:rsid w:val="006B1B72"/>
    <w:rsid w:val="006B27B5"/>
    <w:rsid w:val="006B2856"/>
    <w:rsid w:val="006B3228"/>
    <w:rsid w:val="006B32A9"/>
    <w:rsid w:val="006B3596"/>
    <w:rsid w:val="006B44ED"/>
    <w:rsid w:val="006B4605"/>
    <w:rsid w:val="006B4C95"/>
    <w:rsid w:val="006B5FA0"/>
    <w:rsid w:val="006B72D1"/>
    <w:rsid w:val="006B7493"/>
    <w:rsid w:val="006B759D"/>
    <w:rsid w:val="006C0879"/>
    <w:rsid w:val="006C10A9"/>
    <w:rsid w:val="006C143F"/>
    <w:rsid w:val="006C1C71"/>
    <w:rsid w:val="006C1EE2"/>
    <w:rsid w:val="006C1F1D"/>
    <w:rsid w:val="006C20AA"/>
    <w:rsid w:val="006C20D0"/>
    <w:rsid w:val="006C2B5E"/>
    <w:rsid w:val="006C3388"/>
    <w:rsid w:val="006C5984"/>
    <w:rsid w:val="006C5D86"/>
    <w:rsid w:val="006C6398"/>
    <w:rsid w:val="006C6D18"/>
    <w:rsid w:val="006C717B"/>
    <w:rsid w:val="006C71BB"/>
    <w:rsid w:val="006C73A6"/>
    <w:rsid w:val="006C7653"/>
    <w:rsid w:val="006C7CF8"/>
    <w:rsid w:val="006C7E9E"/>
    <w:rsid w:val="006D0FA2"/>
    <w:rsid w:val="006D105F"/>
    <w:rsid w:val="006D138F"/>
    <w:rsid w:val="006D1644"/>
    <w:rsid w:val="006D1D44"/>
    <w:rsid w:val="006D25FA"/>
    <w:rsid w:val="006D27DF"/>
    <w:rsid w:val="006D2991"/>
    <w:rsid w:val="006D2B6E"/>
    <w:rsid w:val="006D2C0A"/>
    <w:rsid w:val="006D2D0A"/>
    <w:rsid w:val="006D4C19"/>
    <w:rsid w:val="006D4C2E"/>
    <w:rsid w:val="006D5054"/>
    <w:rsid w:val="006D601D"/>
    <w:rsid w:val="006D61B0"/>
    <w:rsid w:val="006D69FD"/>
    <w:rsid w:val="006D7185"/>
    <w:rsid w:val="006E0067"/>
    <w:rsid w:val="006E0CB7"/>
    <w:rsid w:val="006E243E"/>
    <w:rsid w:val="006E2491"/>
    <w:rsid w:val="006E365D"/>
    <w:rsid w:val="006E43E0"/>
    <w:rsid w:val="006E44E6"/>
    <w:rsid w:val="006E48FA"/>
    <w:rsid w:val="006E538D"/>
    <w:rsid w:val="006E7207"/>
    <w:rsid w:val="006E78E1"/>
    <w:rsid w:val="006F196F"/>
    <w:rsid w:val="006F2C31"/>
    <w:rsid w:val="006F3683"/>
    <w:rsid w:val="006F37FD"/>
    <w:rsid w:val="006F477E"/>
    <w:rsid w:val="006F5958"/>
    <w:rsid w:val="006F5B21"/>
    <w:rsid w:val="006F64CD"/>
    <w:rsid w:val="006F66B6"/>
    <w:rsid w:val="006F6B55"/>
    <w:rsid w:val="006F6C0E"/>
    <w:rsid w:val="006F6D21"/>
    <w:rsid w:val="006F765A"/>
    <w:rsid w:val="006F7EBC"/>
    <w:rsid w:val="0070047B"/>
    <w:rsid w:val="00700B53"/>
    <w:rsid w:val="00700D05"/>
    <w:rsid w:val="00703688"/>
    <w:rsid w:val="007039A9"/>
    <w:rsid w:val="00703DE4"/>
    <w:rsid w:val="00703E31"/>
    <w:rsid w:val="007045B8"/>
    <w:rsid w:val="007046F8"/>
    <w:rsid w:val="007050A3"/>
    <w:rsid w:val="0070524B"/>
    <w:rsid w:val="007057A5"/>
    <w:rsid w:val="00705921"/>
    <w:rsid w:val="0070604E"/>
    <w:rsid w:val="0070612D"/>
    <w:rsid w:val="00706C25"/>
    <w:rsid w:val="00706F50"/>
    <w:rsid w:val="0070725E"/>
    <w:rsid w:val="0070749F"/>
    <w:rsid w:val="00710EFB"/>
    <w:rsid w:val="00711542"/>
    <w:rsid w:val="00711945"/>
    <w:rsid w:val="00712E81"/>
    <w:rsid w:val="0071538E"/>
    <w:rsid w:val="00716B3C"/>
    <w:rsid w:val="007172E9"/>
    <w:rsid w:val="00720715"/>
    <w:rsid w:val="00720A68"/>
    <w:rsid w:val="00720C9A"/>
    <w:rsid w:val="007211A9"/>
    <w:rsid w:val="00721596"/>
    <w:rsid w:val="007218C7"/>
    <w:rsid w:val="00721F12"/>
    <w:rsid w:val="0072211F"/>
    <w:rsid w:val="0072297A"/>
    <w:rsid w:val="00722FD2"/>
    <w:rsid w:val="00723D7C"/>
    <w:rsid w:val="00723E24"/>
    <w:rsid w:val="00724535"/>
    <w:rsid w:val="00724A75"/>
    <w:rsid w:val="00725925"/>
    <w:rsid w:val="00726463"/>
    <w:rsid w:val="00726B15"/>
    <w:rsid w:val="00726EBC"/>
    <w:rsid w:val="00727453"/>
    <w:rsid w:val="007308B6"/>
    <w:rsid w:val="00730CDC"/>
    <w:rsid w:val="007311C6"/>
    <w:rsid w:val="00731437"/>
    <w:rsid w:val="007319A4"/>
    <w:rsid w:val="007324AD"/>
    <w:rsid w:val="007327F7"/>
    <w:rsid w:val="0073317C"/>
    <w:rsid w:val="00733AAD"/>
    <w:rsid w:val="00734B54"/>
    <w:rsid w:val="00734F6C"/>
    <w:rsid w:val="00735189"/>
    <w:rsid w:val="00735283"/>
    <w:rsid w:val="00735531"/>
    <w:rsid w:val="00735686"/>
    <w:rsid w:val="00735F39"/>
    <w:rsid w:val="00736566"/>
    <w:rsid w:val="00736D92"/>
    <w:rsid w:val="00742E86"/>
    <w:rsid w:val="007440B1"/>
    <w:rsid w:val="00745034"/>
    <w:rsid w:val="007459DA"/>
    <w:rsid w:val="00746747"/>
    <w:rsid w:val="007469D5"/>
    <w:rsid w:val="00746A7D"/>
    <w:rsid w:val="00750488"/>
    <w:rsid w:val="0075074D"/>
    <w:rsid w:val="007508E0"/>
    <w:rsid w:val="0075100B"/>
    <w:rsid w:val="007521BD"/>
    <w:rsid w:val="0075228E"/>
    <w:rsid w:val="00752703"/>
    <w:rsid w:val="00752A15"/>
    <w:rsid w:val="007534B6"/>
    <w:rsid w:val="00753E04"/>
    <w:rsid w:val="007544F6"/>
    <w:rsid w:val="0075451E"/>
    <w:rsid w:val="00754B25"/>
    <w:rsid w:val="00754D27"/>
    <w:rsid w:val="00754E08"/>
    <w:rsid w:val="00755644"/>
    <w:rsid w:val="00755710"/>
    <w:rsid w:val="00755B53"/>
    <w:rsid w:val="007561D9"/>
    <w:rsid w:val="007562D3"/>
    <w:rsid w:val="0075688E"/>
    <w:rsid w:val="00756DAF"/>
    <w:rsid w:val="00757D76"/>
    <w:rsid w:val="00760679"/>
    <w:rsid w:val="00760885"/>
    <w:rsid w:val="00760F0A"/>
    <w:rsid w:val="0076154A"/>
    <w:rsid w:val="007618E8"/>
    <w:rsid w:val="00761C62"/>
    <w:rsid w:val="00761CE5"/>
    <w:rsid w:val="007621FD"/>
    <w:rsid w:val="007622F3"/>
    <w:rsid w:val="00763064"/>
    <w:rsid w:val="0076310A"/>
    <w:rsid w:val="00763FA8"/>
    <w:rsid w:val="00763FF5"/>
    <w:rsid w:val="00764ACB"/>
    <w:rsid w:val="00764AF4"/>
    <w:rsid w:val="00764DF8"/>
    <w:rsid w:val="00765B2C"/>
    <w:rsid w:val="00766E5C"/>
    <w:rsid w:val="00766F99"/>
    <w:rsid w:val="007675BE"/>
    <w:rsid w:val="00767F3B"/>
    <w:rsid w:val="00770D08"/>
    <w:rsid w:val="007713D3"/>
    <w:rsid w:val="007731D8"/>
    <w:rsid w:val="0077376F"/>
    <w:rsid w:val="00773771"/>
    <w:rsid w:val="00774420"/>
    <w:rsid w:val="007745C4"/>
    <w:rsid w:val="007752A4"/>
    <w:rsid w:val="007763D0"/>
    <w:rsid w:val="00776C0D"/>
    <w:rsid w:val="00777C2E"/>
    <w:rsid w:val="00777CE2"/>
    <w:rsid w:val="00781379"/>
    <w:rsid w:val="00781C25"/>
    <w:rsid w:val="007824D7"/>
    <w:rsid w:val="007829BA"/>
    <w:rsid w:val="00782ADB"/>
    <w:rsid w:val="00782C45"/>
    <w:rsid w:val="00783591"/>
    <w:rsid w:val="007837EA"/>
    <w:rsid w:val="00784327"/>
    <w:rsid w:val="0078457A"/>
    <w:rsid w:val="00784C07"/>
    <w:rsid w:val="007852C0"/>
    <w:rsid w:val="00785722"/>
    <w:rsid w:val="00785EBC"/>
    <w:rsid w:val="00790BB8"/>
    <w:rsid w:val="00790C94"/>
    <w:rsid w:val="00790F6B"/>
    <w:rsid w:val="00792A47"/>
    <w:rsid w:val="00793EC3"/>
    <w:rsid w:val="00796153"/>
    <w:rsid w:val="00797161"/>
    <w:rsid w:val="007975FC"/>
    <w:rsid w:val="00797827"/>
    <w:rsid w:val="00797BD9"/>
    <w:rsid w:val="00797E74"/>
    <w:rsid w:val="007A0582"/>
    <w:rsid w:val="007A0608"/>
    <w:rsid w:val="007A105E"/>
    <w:rsid w:val="007A165E"/>
    <w:rsid w:val="007A18E8"/>
    <w:rsid w:val="007A2B0A"/>
    <w:rsid w:val="007A4E4C"/>
    <w:rsid w:val="007A5D5E"/>
    <w:rsid w:val="007A6351"/>
    <w:rsid w:val="007A6EFF"/>
    <w:rsid w:val="007A7101"/>
    <w:rsid w:val="007A7483"/>
    <w:rsid w:val="007A7D0D"/>
    <w:rsid w:val="007B0082"/>
    <w:rsid w:val="007B01F4"/>
    <w:rsid w:val="007B0983"/>
    <w:rsid w:val="007B1312"/>
    <w:rsid w:val="007B1DF3"/>
    <w:rsid w:val="007B252F"/>
    <w:rsid w:val="007B25E1"/>
    <w:rsid w:val="007B4749"/>
    <w:rsid w:val="007B4F42"/>
    <w:rsid w:val="007B5421"/>
    <w:rsid w:val="007B5E64"/>
    <w:rsid w:val="007B72B0"/>
    <w:rsid w:val="007C04EC"/>
    <w:rsid w:val="007C08DE"/>
    <w:rsid w:val="007C09A1"/>
    <w:rsid w:val="007C1913"/>
    <w:rsid w:val="007C1921"/>
    <w:rsid w:val="007C1968"/>
    <w:rsid w:val="007C2DC3"/>
    <w:rsid w:val="007C31AD"/>
    <w:rsid w:val="007C3283"/>
    <w:rsid w:val="007C3436"/>
    <w:rsid w:val="007C37E7"/>
    <w:rsid w:val="007C38DE"/>
    <w:rsid w:val="007C5AA7"/>
    <w:rsid w:val="007C73C0"/>
    <w:rsid w:val="007C7A2A"/>
    <w:rsid w:val="007C7F10"/>
    <w:rsid w:val="007D054A"/>
    <w:rsid w:val="007D0C97"/>
    <w:rsid w:val="007D1320"/>
    <w:rsid w:val="007D1E07"/>
    <w:rsid w:val="007D1F51"/>
    <w:rsid w:val="007D222E"/>
    <w:rsid w:val="007D2822"/>
    <w:rsid w:val="007D2AFC"/>
    <w:rsid w:val="007D3209"/>
    <w:rsid w:val="007D3D2D"/>
    <w:rsid w:val="007D3E8C"/>
    <w:rsid w:val="007D3EBC"/>
    <w:rsid w:val="007D49F1"/>
    <w:rsid w:val="007D4F62"/>
    <w:rsid w:val="007D58BA"/>
    <w:rsid w:val="007D597A"/>
    <w:rsid w:val="007D5B84"/>
    <w:rsid w:val="007D77C4"/>
    <w:rsid w:val="007D7FB2"/>
    <w:rsid w:val="007E094E"/>
    <w:rsid w:val="007E2100"/>
    <w:rsid w:val="007E2F48"/>
    <w:rsid w:val="007E37C8"/>
    <w:rsid w:val="007E37D7"/>
    <w:rsid w:val="007E38A0"/>
    <w:rsid w:val="007E3C42"/>
    <w:rsid w:val="007E3C98"/>
    <w:rsid w:val="007E448C"/>
    <w:rsid w:val="007E477D"/>
    <w:rsid w:val="007E4D3D"/>
    <w:rsid w:val="007E4DE7"/>
    <w:rsid w:val="007E5A8D"/>
    <w:rsid w:val="007E5B15"/>
    <w:rsid w:val="007E5E90"/>
    <w:rsid w:val="007E6046"/>
    <w:rsid w:val="007E606A"/>
    <w:rsid w:val="007E67EE"/>
    <w:rsid w:val="007E78B1"/>
    <w:rsid w:val="007E7960"/>
    <w:rsid w:val="007E7B0A"/>
    <w:rsid w:val="007E7DBB"/>
    <w:rsid w:val="007F112B"/>
    <w:rsid w:val="007F1810"/>
    <w:rsid w:val="007F2FEE"/>
    <w:rsid w:val="007F3336"/>
    <w:rsid w:val="007F43AA"/>
    <w:rsid w:val="007F48EA"/>
    <w:rsid w:val="007F4CD1"/>
    <w:rsid w:val="007F6141"/>
    <w:rsid w:val="007F64CA"/>
    <w:rsid w:val="007F6517"/>
    <w:rsid w:val="007F7A52"/>
    <w:rsid w:val="008004BB"/>
    <w:rsid w:val="008012AF"/>
    <w:rsid w:val="00801B75"/>
    <w:rsid w:val="008022C8"/>
    <w:rsid w:val="00802322"/>
    <w:rsid w:val="008025F4"/>
    <w:rsid w:val="0080277C"/>
    <w:rsid w:val="00803493"/>
    <w:rsid w:val="008050AB"/>
    <w:rsid w:val="00805B61"/>
    <w:rsid w:val="00805F41"/>
    <w:rsid w:val="008063E9"/>
    <w:rsid w:val="008065C9"/>
    <w:rsid w:val="008068C6"/>
    <w:rsid w:val="00806F71"/>
    <w:rsid w:val="0080799E"/>
    <w:rsid w:val="00807B54"/>
    <w:rsid w:val="00807F83"/>
    <w:rsid w:val="00810F7A"/>
    <w:rsid w:val="00811116"/>
    <w:rsid w:val="0081149C"/>
    <w:rsid w:val="0081263E"/>
    <w:rsid w:val="00813379"/>
    <w:rsid w:val="00813BB4"/>
    <w:rsid w:val="0081416D"/>
    <w:rsid w:val="008141FC"/>
    <w:rsid w:val="008143CF"/>
    <w:rsid w:val="008149B8"/>
    <w:rsid w:val="00814B27"/>
    <w:rsid w:val="00814FBA"/>
    <w:rsid w:val="008159B5"/>
    <w:rsid w:val="00815A4E"/>
    <w:rsid w:val="00815A51"/>
    <w:rsid w:val="00815CE7"/>
    <w:rsid w:val="00816233"/>
    <w:rsid w:val="0081628C"/>
    <w:rsid w:val="008168D2"/>
    <w:rsid w:val="00816DE8"/>
    <w:rsid w:val="00817BC0"/>
    <w:rsid w:val="00817C99"/>
    <w:rsid w:val="00817E59"/>
    <w:rsid w:val="0082012C"/>
    <w:rsid w:val="0082090D"/>
    <w:rsid w:val="008218D5"/>
    <w:rsid w:val="0082196B"/>
    <w:rsid w:val="008219D9"/>
    <w:rsid w:val="00821DE3"/>
    <w:rsid w:val="008221FD"/>
    <w:rsid w:val="008223E8"/>
    <w:rsid w:val="0082274D"/>
    <w:rsid w:val="00822D52"/>
    <w:rsid w:val="00823D20"/>
    <w:rsid w:val="00824AB7"/>
    <w:rsid w:val="0082588D"/>
    <w:rsid w:val="008264BB"/>
    <w:rsid w:val="008269DE"/>
    <w:rsid w:val="00826C4B"/>
    <w:rsid w:val="0082710E"/>
    <w:rsid w:val="00827BB6"/>
    <w:rsid w:val="008303E9"/>
    <w:rsid w:val="0083091B"/>
    <w:rsid w:val="00830C5A"/>
    <w:rsid w:val="008321C8"/>
    <w:rsid w:val="008324A2"/>
    <w:rsid w:val="00832791"/>
    <w:rsid w:val="00833843"/>
    <w:rsid w:val="00833873"/>
    <w:rsid w:val="008338B4"/>
    <w:rsid w:val="00833E7D"/>
    <w:rsid w:val="00834C73"/>
    <w:rsid w:val="00834D99"/>
    <w:rsid w:val="008352E6"/>
    <w:rsid w:val="008354D2"/>
    <w:rsid w:val="00835984"/>
    <w:rsid w:val="00835DD4"/>
    <w:rsid w:val="0083608F"/>
    <w:rsid w:val="00836576"/>
    <w:rsid w:val="00836799"/>
    <w:rsid w:val="00836A22"/>
    <w:rsid w:val="0084083B"/>
    <w:rsid w:val="00840B24"/>
    <w:rsid w:val="00840B9D"/>
    <w:rsid w:val="0084182F"/>
    <w:rsid w:val="00841849"/>
    <w:rsid w:val="008418A2"/>
    <w:rsid w:val="008418B8"/>
    <w:rsid w:val="00843E6D"/>
    <w:rsid w:val="00843F7D"/>
    <w:rsid w:val="00844443"/>
    <w:rsid w:val="0084453F"/>
    <w:rsid w:val="00847A00"/>
    <w:rsid w:val="00851090"/>
    <w:rsid w:val="00851163"/>
    <w:rsid w:val="008514EA"/>
    <w:rsid w:val="00851D0F"/>
    <w:rsid w:val="00852E0C"/>
    <w:rsid w:val="00853C45"/>
    <w:rsid w:val="00853E5A"/>
    <w:rsid w:val="008540EF"/>
    <w:rsid w:val="008547F6"/>
    <w:rsid w:val="008552E3"/>
    <w:rsid w:val="008552F0"/>
    <w:rsid w:val="00855308"/>
    <w:rsid w:val="00855C83"/>
    <w:rsid w:val="00860220"/>
    <w:rsid w:val="00860704"/>
    <w:rsid w:val="00861385"/>
    <w:rsid w:val="00862A8C"/>
    <w:rsid w:val="00862BD0"/>
    <w:rsid w:val="00862D4E"/>
    <w:rsid w:val="00862E85"/>
    <w:rsid w:val="008639CA"/>
    <w:rsid w:val="00863C8C"/>
    <w:rsid w:val="00863D82"/>
    <w:rsid w:val="00863F27"/>
    <w:rsid w:val="0086468E"/>
    <w:rsid w:val="008649AC"/>
    <w:rsid w:val="008654A4"/>
    <w:rsid w:val="00865673"/>
    <w:rsid w:val="0086635D"/>
    <w:rsid w:val="008668D7"/>
    <w:rsid w:val="00867246"/>
    <w:rsid w:val="0086729D"/>
    <w:rsid w:val="008675A1"/>
    <w:rsid w:val="00867EBE"/>
    <w:rsid w:val="00870950"/>
    <w:rsid w:val="00873218"/>
    <w:rsid w:val="00873510"/>
    <w:rsid w:val="008735AF"/>
    <w:rsid w:val="00873831"/>
    <w:rsid w:val="008753D8"/>
    <w:rsid w:val="0087579F"/>
    <w:rsid w:val="00876CA7"/>
    <w:rsid w:val="00877537"/>
    <w:rsid w:val="00877A46"/>
    <w:rsid w:val="00880231"/>
    <w:rsid w:val="00880C6D"/>
    <w:rsid w:val="008820CE"/>
    <w:rsid w:val="00883183"/>
    <w:rsid w:val="00885056"/>
    <w:rsid w:val="0088509D"/>
    <w:rsid w:val="0088567B"/>
    <w:rsid w:val="0088572A"/>
    <w:rsid w:val="00886360"/>
    <w:rsid w:val="00886F89"/>
    <w:rsid w:val="008873D5"/>
    <w:rsid w:val="00890129"/>
    <w:rsid w:val="00890A65"/>
    <w:rsid w:val="00891B1C"/>
    <w:rsid w:val="00891B2D"/>
    <w:rsid w:val="00891E84"/>
    <w:rsid w:val="008937F9"/>
    <w:rsid w:val="00895F5B"/>
    <w:rsid w:val="00896535"/>
    <w:rsid w:val="008969CB"/>
    <w:rsid w:val="008978DE"/>
    <w:rsid w:val="008A0158"/>
    <w:rsid w:val="008A1844"/>
    <w:rsid w:val="008A1A34"/>
    <w:rsid w:val="008A2269"/>
    <w:rsid w:val="008A2B5D"/>
    <w:rsid w:val="008A3131"/>
    <w:rsid w:val="008A34CF"/>
    <w:rsid w:val="008A3E03"/>
    <w:rsid w:val="008A5641"/>
    <w:rsid w:val="008A5DD6"/>
    <w:rsid w:val="008A5EA2"/>
    <w:rsid w:val="008A6A37"/>
    <w:rsid w:val="008A6BE0"/>
    <w:rsid w:val="008A71B7"/>
    <w:rsid w:val="008B14CB"/>
    <w:rsid w:val="008B1981"/>
    <w:rsid w:val="008B1B1D"/>
    <w:rsid w:val="008B1D22"/>
    <w:rsid w:val="008B1F29"/>
    <w:rsid w:val="008B1FDB"/>
    <w:rsid w:val="008B216E"/>
    <w:rsid w:val="008B280D"/>
    <w:rsid w:val="008B310E"/>
    <w:rsid w:val="008B37D5"/>
    <w:rsid w:val="008B3BD9"/>
    <w:rsid w:val="008B3E22"/>
    <w:rsid w:val="008B3F11"/>
    <w:rsid w:val="008B44C6"/>
    <w:rsid w:val="008B452F"/>
    <w:rsid w:val="008B4605"/>
    <w:rsid w:val="008B6701"/>
    <w:rsid w:val="008B6AA5"/>
    <w:rsid w:val="008B6B69"/>
    <w:rsid w:val="008B7B1D"/>
    <w:rsid w:val="008C0C50"/>
    <w:rsid w:val="008C20B8"/>
    <w:rsid w:val="008C2286"/>
    <w:rsid w:val="008C548E"/>
    <w:rsid w:val="008C56EC"/>
    <w:rsid w:val="008C5EFB"/>
    <w:rsid w:val="008C5F6F"/>
    <w:rsid w:val="008C673A"/>
    <w:rsid w:val="008C697B"/>
    <w:rsid w:val="008C77B3"/>
    <w:rsid w:val="008C79B6"/>
    <w:rsid w:val="008C7A07"/>
    <w:rsid w:val="008C7A5C"/>
    <w:rsid w:val="008D0BEE"/>
    <w:rsid w:val="008D124E"/>
    <w:rsid w:val="008D174E"/>
    <w:rsid w:val="008D2789"/>
    <w:rsid w:val="008D3499"/>
    <w:rsid w:val="008D3E1A"/>
    <w:rsid w:val="008D41BF"/>
    <w:rsid w:val="008D51E2"/>
    <w:rsid w:val="008D5BE9"/>
    <w:rsid w:val="008D65C9"/>
    <w:rsid w:val="008D6E99"/>
    <w:rsid w:val="008D70EC"/>
    <w:rsid w:val="008E004D"/>
    <w:rsid w:val="008E041D"/>
    <w:rsid w:val="008E065F"/>
    <w:rsid w:val="008E06AC"/>
    <w:rsid w:val="008E1672"/>
    <w:rsid w:val="008E1E0D"/>
    <w:rsid w:val="008E2490"/>
    <w:rsid w:val="008E3B94"/>
    <w:rsid w:val="008E42C2"/>
    <w:rsid w:val="008E45CB"/>
    <w:rsid w:val="008E6127"/>
    <w:rsid w:val="008E7107"/>
    <w:rsid w:val="008E71D1"/>
    <w:rsid w:val="008E74D6"/>
    <w:rsid w:val="008E7B18"/>
    <w:rsid w:val="008E7CA3"/>
    <w:rsid w:val="008F0F4C"/>
    <w:rsid w:val="008F0F6C"/>
    <w:rsid w:val="008F1B67"/>
    <w:rsid w:val="008F2D9F"/>
    <w:rsid w:val="008F3333"/>
    <w:rsid w:val="008F3EEA"/>
    <w:rsid w:val="008F4DD9"/>
    <w:rsid w:val="008F4EC8"/>
    <w:rsid w:val="008F5191"/>
    <w:rsid w:val="008F5CC7"/>
    <w:rsid w:val="008F65B0"/>
    <w:rsid w:val="008F68BB"/>
    <w:rsid w:val="008F708C"/>
    <w:rsid w:val="00902DBD"/>
    <w:rsid w:val="00902E3E"/>
    <w:rsid w:val="00903704"/>
    <w:rsid w:val="0090376E"/>
    <w:rsid w:val="00903F5A"/>
    <w:rsid w:val="009046AF"/>
    <w:rsid w:val="00904A03"/>
    <w:rsid w:val="00904E98"/>
    <w:rsid w:val="00904F52"/>
    <w:rsid w:val="00904FF0"/>
    <w:rsid w:val="00905C0D"/>
    <w:rsid w:val="009066C7"/>
    <w:rsid w:val="00907125"/>
    <w:rsid w:val="009074C9"/>
    <w:rsid w:val="00907CC7"/>
    <w:rsid w:val="0091058D"/>
    <w:rsid w:val="0091092C"/>
    <w:rsid w:val="00910936"/>
    <w:rsid w:val="00910A0A"/>
    <w:rsid w:val="00910D0D"/>
    <w:rsid w:val="009112FD"/>
    <w:rsid w:val="00911570"/>
    <w:rsid w:val="009125E4"/>
    <w:rsid w:val="00912A27"/>
    <w:rsid w:val="009134EC"/>
    <w:rsid w:val="009136D2"/>
    <w:rsid w:val="00913988"/>
    <w:rsid w:val="00913995"/>
    <w:rsid w:val="00913D3C"/>
    <w:rsid w:val="00915367"/>
    <w:rsid w:val="00915478"/>
    <w:rsid w:val="00915BFE"/>
    <w:rsid w:val="0091778F"/>
    <w:rsid w:val="00917DA6"/>
    <w:rsid w:val="009204BA"/>
    <w:rsid w:val="00920625"/>
    <w:rsid w:val="009219B0"/>
    <w:rsid w:val="00921FE0"/>
    <w:rsid w:val="009237A6"/>
    <w:rsid w:val="00924483"/>
    <w:rsid w:val="00924FAD"/>
    <w:rsid w:val="0092563A"/>
    <w:rsid w:val="009261DB"/>
    <w:rsid w:val="00926CBC"/>
    <w:rsid w:val="00927451"/>
    <w:rsid w:val="00927514"/>
    <w:rsid w:val="00927713"/>
    <w:rsid w:val="00927BB6"/>
    <w:rsid w:val="00927BD9"/>
    <w:rsid w:val="00927C3A"/>
    <w:rsid w:val="00930258"/>
    <w:rsid w:val="0093096E"/>
    <w:rsid w:val="00930C9B"/>
    <w:rsid w:val="00930E04"/>
    <w:rsid w:val="00931331"/>
    <w:rsid w:val="0093142D"/>
    <w:rsid w:val="0093159B"/>
    <w:rsid w:val="0093175F"/>
    <w:rsid w:val="00933303"/>
    <w:rsid w:val="0093363D"/>
    <w:rsid w:val="009340D8"/>
    <w:rsid w:val="00934A00"/>
    <w:rsid w:val="00934AE7"/>
    <w:rsid w:val="00935178"/>
    <w:rsid w:val="009355AF"/>
    <w:rsid w:val="0093625C"/>
    <w:rsid w:val="0093647F"/>
    <w:rsid w:val="00936A65"/>
    <w:rsid w:val="00937C4E"/>
    <w:rsid w:val="00940B7B"/>
    <w:rsid w:val="0094155D"/>
    <w:rsid w:val="00943207"/>
    <w:rsid w:val="0094350F"/>
    <w:rsid w:val="00943600"/>
    <w:rsid w:val="00944152"/>
    <w:rsid w:val="00944875"/>
    <w:rsid w:val="00944DAC"/>
    <w:rsid w:val="00945546"/>
    <w:rsid w:val="00945AE2"/>
    <w:rsid w:val="00945BA6"/>
    <w:rsid w:val="00945E06"/>
    <w:rsid w:val="00946440"/>
    <w:rsid w:val="00946B36"/>
    <w:rsid w:val="00946C91"/>
    <w:rsid w:val="00950C9D"/>
    <w:rsid w:val="00951394"/>
    <w:rsid w:val="00951B1A"/>
    <w:rsid w:val="009521F6"/>
    <w:rsid w:val="00952A98"/>
    <w:rsid w:val="00952F82"/>
    <w:rsid w:val="00954640"/>
    <w:rsid w:val="00954965"/>
    <w:rsid w:val="0095544D"/>
    <w:rsid w:val="009554EF"/>
    <w:rsid w:val="009558B3"/>
    <w:rsid w:val="00955D21"/>
    <w:rsid w:val="00957169"/>
    <w:rsid w:val="00957194"/>
    <w:rsid w:val="00957961"/>
    <w:rsid w:val="00957D9F"/>
    <w:rsid w:val="00960B89"/>
    <w:rsid w:val="00960D53"/>
    <w:rsid w:val="00961540"/>
    <w:rsid w:val="00961C86"/>
    <w:rsid w:val="00962267"/>
    <w:rsid w:val="00962751"/>
    <w:rsid w:val="0096282C"/>
    <w:rsid w:val="00962EC2"/>
    <w:rsid w:val="00963036"/>
    <w:rsid w:val="009637BB"/>
    <w:rsid w:val="00964154"/>
    <w:rsid w:val="0096462A"/>
    <w:rsid w:val="0096465E"/>
    <w:rsid w:val="009648A8"/>
    <w:rsid w:val="00965F83"/>
    <w:rsid w:val="00965FDD"/>
    <w:rsid w:val="0096657C"/>
    <w:rsid w:val="009678AB"/>
    <w:rsid w:val="00967E55"/>
    <w:rsid w:val="00970054"/>
    <w:rsid w:val="00970876"/>
    <w:rsid w:val="00970FE0"/>
    <w:rsid w:val="00971052"/>
    <w:rsid w:val="0097109C"/>
    <w:rsid w:val="009715C2"/>
    <w:rsid w:val="00973D55"/>
    <w:rsid w:val="0097409A"/>
    <w:rsid w:val="009745B0"/>
    <w:rsid w:val="00974886"/>
    <w:rsid w:val="00974921"/>
    <w:rsid w:val="00975D19"/>
    <w:rsid w:val="00975E7D"/>
    <w:rsid w:val="009761B4"/>
    <w:rsid w:val="0097628F"/>
    <w:rsid w:val="00976F61"/>
    <w:rsid w:val="0097741C"/>
    <w:rsid w:val="0097778A"/>
    <w:rsid w:val="0098000F"/>
    <w:rsid w:val="00980264"/>
    <w:rsid w:val="0098059E"/>
    <w:rsid w:val="00980926"/>
    <w:rsid w:val="00980E15"/>
    <w:rsid w:val="00980EE9"/>
    <w:rsid w:val="0098182F"/>
    <w:rsid w:val="00982EF0"/>
    <w:rsid w:val="009839C8"/>
    <w:rsid w:val="00984F2D"/>
    <w:rsid w:val="00984F2E"/>
    <w:rsid w:val="00985194"/>
    <w:rsid w:val="009851FA"/>
    <w:rsid w:val="00985A67"/>
    <w:rsid w:val="0098718E"/>
    <w:rsid w:val="00987B15"/>
    <w:rsid w:val="00987EE3"/>
    <w:rsid w:val="00987F02"/>
    <w:rsid w:val="00987FFA"/>
    <w:rsid w:val="00990336"/>
    <w:rsid w:val="009903A8"/>
    <w:rsid w:val="00990DC4"/>
    <w:rsid w:val="00991683"/>
    <w:rsid w:val="00991944"/>
    <w:rsid w:val="00991A23"/>
    <w:rsid w:val="009921B8"/>
    <w:rsid w:val="009938B0"/>
    <w:rsid w:val="009943CD"/>
    <w:rsid w:val="009945E3"/>
    <w:rsid w:val="0099563E"/>
    <w:rsid w:val="00995F8B"/>
    <w:rsid w:val="0099677D"/>
    <w:rsid w:val="00996859"/>
    <w:rsid w:val="00996F74"/>
    <w:rsid w:val="00997235"/>
    <w:rsid w:val="00997A57"/>
    <w:rsid w:val="00997DDB"/>
    <w:rsid w:val="00997F45"/>
    <w:rsid w:val="009A0F36"/>
    <w:rsid w:val="009A1BA9"/>
    <w:rsid w:val="009A1BBC"/>
    <w:rsid w:val="009A2379"/>
    <w:rsid w:val="009A30D1"/>
    <w:rsid w:val="009A446C"/>
    <w:rsid w:val="009A475F"/>
    <w:rsid w:val="009A49B9"/>
    <w:rsid w:val="009A49D6"/>
    <w:rsid w:val="009A4DE8"/>
    <w:rsid w:val="009A5532"/>
    <w:rsid w:val="009A5C85"/>
    <w:rsid w:val="009A5E55"/>
    <w:rsid w:val="009A612F"/>
    <w:rsid w:val="009A67B3"/>
    <w:rsid w:val="009A69DF"/>
    <w:rsid w:val="009A722A"/>
    <w:rsid w:val="009A79CB"/>
    <w:rsid w:val="009A7E64"/>
    <w:rsid w:val="009B134E"/>
    <w:rsid w:val="009B1ADF"/>
    <w:rsid w:val="009B1E80"/>
    <w:rsid w:val="009B270D"/>
    <w:rsid w:val="009B287C"/>
    <w:rsid w:val="009B2C8D"/>
    <w:rsid w:val="009B2F0C"/>
    <w:rsid w:val="009B2FAB"/>
    <w:rsid w:val="009B35C7"/>
    <w:rsid w:val="009B3D55"/>
    <w:rsid w:val="009B413C"/>
    <w:rsid w:val="009B43AA"/>
    <w:rsid w:val="009B4555"/>
    <w:rsid w:val="009B4EFA"/>
    <w:rsid w:val="009B532B"/>
    <w:rsid w:val="009B6D2F"/>
    <w:rsid w:val="009C0488"/>
    <w:rsid w:val="009C092F"/>
    <w:rsid w:val="009C10F8"/>
    <w:rsid w:val="009C1356"/>
    <w:rsid w:val="009C1411"/>
    <w:rsid w:val="009C1502"/>
    <w:rsid w:val="009C25E5"/>
    <w:rsid w:val="009C2DF7"/>
    <w:rsid w:val="009C5EDE"/>
    <w:rsid w:val="009C62E8"/>
    <w:rsid w:val="009C6872"/>
    <w:rsid w:val="009C6CC7"/>
    <w:rsid w:val="009C7A82"/>
    <w:rsid w:val="009D06AD"/>
    <w:rsid w:val="009D0EDB"/>
    <w:rsid w:val="009D106D"/>
    <w:rsid w:val="009D15C1"/>
    <w:rsid w:val="009D1652"/>
    <w:rsid w:val="009D22A1"/>
    <w:rsid w:val="009D25B1"/>
    <w:rsid w:val="009D3751"/>
    <w:rsid w:val="009D411A"/>
    <w:rsid w:val="009D43BA"/>
    <w:rsid w:val="009D48E3"/>
    <w:rsid w:val="009D4FC6"/>
    <w:rsid w:val="009D52D2"/>
    <w:rsid w:val="009D5302"/>
    <w:rsid w:val="009D570B"/>
    <w:rsid w:val="009D5BF4"/>
    <w:rsid w:val="009D65A2"/>
    <w:rsid w:val="009D72BC"/>
    <w:rsid w:val="009E09BC"/>
    <w:rsid w:val="009E1578"/>
    <w:rsid w:val="009E1A96"/>
    <w:rsid w:val="009E20AB"/>
    <w:rsid w:val="009E225C"/>
    <w:rsid w:val="009E2819"/>
    <w:rsid w:val="009E37B9"/>
    <w:rsid w:val="009E51C3"/>
    <w:rsid w:val="009E6335"/>
    <w:rsid w:val="009E6B14"/>
    <w:rsid w:val="009E7343"/>
    <w:rsid w:val="009F0574"/>
    <w:rsid w:val="009F139F"/>
    <w:rsid w:val="009F15F1"/>
    <w:rsid w:val="009F1601"/>
    <w:rsid w:val="009F1D12"/>
    <w:rsid w:val="009F21C9"/>
    <w:rsid w:val="009F2370"/>
    <w:rsid w:val="009F2890"/>
    <w:rsid w:val="009F3499"/>
    <w:rsid w:val="009F3563"/>
    <w:rsid w:val="009F35C8"/>
    <w:rsid w:val="009F3B90"/>
    <w:rsid w:val="009F3E63"/>
    <w:rsid w:val="009F3F28"/>
    <w:rsid w:val="009F3FA3"/>
    <w:rsid w:val="009F4801"/>
    <w:rsid w:val="009F4B91"/>
    <w:rsid w:val="009F5756"/>
    <w:rsid w:val="009F5F51"/>
    <w:rsid w:val="009F6F33"/>
    <w:rsid w:val="009F6F72"/>
    <w:rsid w:val="00A00F52"/>
    <w:rsid w:val="00A011A3"/>
    <w:rsid w:val="00A01260"/>
    <w:rsid w:val="00A01B58"/>
    <w:rsid w:val="00A0444B"/>
    <w:rsid w:val="00A04483"/>
    <w:rsid w:val="00A05165"/>
    <w:rsid w:val="00A0546F"/>
    <w:rsid w:val="00A05D1C"/>
    <w:rsid w:val="00A063CB"/>
    <w:rsid w:val="00A072CA"/>
    <w:rsid w:val="00A0752D"/>
    <w:rsid w:val="00A07A4B"/>
    <w:rsid w:val="00A07DFD"/>
    <w:rsid w:val="00A1079F"/>
    <w:rsid w:val="00A1143E"/>
    <w:rsid w:val="00A116B3"/>
    <w:rsid w:val="00A11CDD"/>
    <w:rsid w:val="00A126D2"/>
    <w:rsid w:val="00A13991"/>
    <w:rsid w:val="00A13FDF"/>
    <w:rsid w:val="00A13FE2"/>
    <w:rsid w:val="00A14071"/>
    <w:rsid w:val="00A140B9"/>
    <w:rsid w:val="00A14635"/>
    <w:rsid w:val="00A151F6"/>
    <w:rsid w:val="00A155F4"/>
    <w:rsid w:val="00A15E95"/>
    <w:rsid w:val="00A160CF"/>
    <w:rsid w:val="00A16288"/>
    <w:rsid w:val="00A168E4"/>
    <w:rsid w:val="00A1799D"/>
    <w:rsid w:val="00A17F4C"/>
    <w:rsid w:val="00A2024D"/>
    <w:rsid w:val="00A21318"/>
    <w:rsid w:val="00A21546"/>
    <w:rsid w:val="00A22169"/>
    <w:rsid w:val="00A22701"/>
    <w:rsid w:val="00A24241"/>
    <w:rsid w:val="00A24809"/>
    <w:rsid w:val="00A24A6F"/>
    <w:rsid w:val="00A24EC2"/>
    <w:rsid w:val="00A24F15"/>
    <w:rsid w:val="00A26FF7"/>
    <w:rsid w:val="00A27088"/>
    <w:rsid w:val="00A27582"/>
    <w:rsid w:val="00A309B1"/>
    <w:rsid w:val="00A32D60"/>
    <w:rsid w:val="00A33FFD"/>
    <w:rsid w:val="00A341FD"/>
    <w:rsid w:val="00A3421F"/>
    <w:rsid w:val="00A34803"/>
    <w:rsid w:val="00A3482A"/>
    <w:rsid w:val="00A36024"/>
    <w:rsid w:val="00A36CA3"/>
    <w:rsid w:val="00A36D93"/>
    <w:rsid w:val="00A36DCA"/>
    <w:rsid w:val="00A36E3C"/>
    <w:rsid w:val="00A37201"/>
    <w:rsid w:val="00A37C41"/>
    <w:rsid w:val="00A4039A"/>
    <w:rsid w:val="00A40571"/>
    <w:rsid w:val="00A40AEB"/>
    <w:rsid w:val="00A41CB7"/>
    <w:rsid w:val="00A42089"/>
    <w:rsid w:val="00A42675"/>
    <w:rsid w:val="00A42BDC"/>
    <w:rsid w:val="00A42CA7"/>
    <w:rsid w:val="00A43FA6"/>
    <w:rsid w:val="00A44493"/>
    <w:rsid w:val="00A4526E"/>
    <w:rsid w:val="00A452B4"/>
    <w:rsid w:val="00A46354"/>
    <w:rsid w:val="00A46591"/>
    <w:rsid w:val="00A46727"/>
    <w:rsid w:val="00A4696D"/>
    <w:rsid w:val="00A46A5C"/>
    <w:rsid w:val="00A46C7B"/>
    <w:rsid w:val="00A4759A"/>
    <w:rsid w:val="00A47834"/>
    <w:rsid w:val="00A47F5B"/>
    <w:rsid w:val="00A51F48"/>
    <w:rsid w:val="00A520D8"/>
    <w:rsid w:val="00A52909"/>
    <w:rsid w:val="00A5293E"/>
    <w:rsid w:val="00A534C0"/>
    <w:rsid w:val="00A534E6"/>
    <w:rsid w:val="00A53976"/>
    <w:rsid w:val="00A549BC"/>
    <w:rsid w:val="00A54AA7"/>
    <w:rsid w:val="00A55460"/>
    <w:rsid w:val="00A55D29"/>
    <w:rsid w:val="00A5600E"/>
    <w:rsid w:val="00A56F8C"/>
    <w:rsid w:val="00A571BD"/>
    <w:rsid w:val="00A60377"/>
    <w:rsid w:val="00A60E4B"/>
    <w:rsid w:val="00A61102"/>
    <w:rsid w:val="00A62713"/>
    <w:rsid w:val="00A62944"/>
    <w:rsid w:val="00A62C8D"/>
    <w:rsid w:val="00A6320B"/>
    <w:rsid w:val="00A632E4"/>
    <w:rsid w:val="00A63B92"/>
    <w:rsid w:val="00A644E9"/>
    <w:rsid w:val="00A645CB"/>
    <w:rsid w:val="00A6483B"/>
    <w:rsid w:val="00A64A47"/>
    <w:rsid w:val="00A64F3E"/>
    <w:rsid w:val="00A664AD"/>
    <w:rsid w:val="00A67011"/>
    <w:rsid w:val="00A675A4"/>
    <w:rsid w:val="00A677C6"/>
    <w:rsid w:val="00A67B1B"/>
    <w:rsid w:val="00A67D97"/>
    <w:rsid w:val="00A67DEE"/>
    <w:rsid w:val="00A7008B"/>
    <w:rsid w:val="00A703F6"/>
    <w:rsid w:val="00A70C47"/>
    <w:rsid w:val="00A714AC"/>
    <w:rsid w:val="00A71627"/>
    <w:rsid w:val="00A71BE9"/>
    <w:rsid w:val="00A726D2"/>
    <w:rsid w:val="00A72C03"/>
    <w:rsid w:val="00A72C33"/>
    <w:rsid w:val="00A73BC1"/>
    <w:rsid w:val="00A7405F"/>
    <w:rsid w:val="00A740C8"/>
    <w:rsid w:val="00A748F6"/>
    <w:rsid w:val="00A749BE"/>
    <w:rsid w:val="00A7532B"/>
    <w:rsid w:val="00A75541"/>
    <w:rsid w:val="00A75B6D"/>
    <w:rsid w:val="00A75D36"/>
    <w:rsid w:val="00A75FC3"/>
    <w:rsid w:val="00A77205"/>
    <w:rsid w:val="00A77584"/>
    <w:rsid w:val="00A77EE5"/>
    <w:rsid w:val="00A80F39"/>
    <w:rsid w:val="00A80F99"/>
    <w:rsid w:val="00A8122D"/>
    <w:rsid w:val="00A81720"/>
    <w:rsid w:val="00A821A8"/>
    <w:rsid w:val="00A823A0"/>
    <w:rsid w:val="00A82CF8"/>
    <w:rsid w:val="00A832B1"/>
    <w:rsid w:val="00A833E5"/>
    <w:rsid w:val="00A83730"/>
    <w:rsid w:val="00A83E8D"/>
    <w:rsid w:val="00A84470"/>
    <w:rsid w:val="00A8510F"/>
    <w:rsid w:val="00A851C9"/>
    <w:rsid w:val="00A85B60"/>
    <w:rsid w:val="00A860DA"/>
    <w:rsid w:val="00A8761F"/>
    <w:rsid w:val="00A879DE"/>
    <w:rsid w:val="00A87B35"/>
    <w:rsid w:val="00A91348"/>
    <w:rsid w:val="00A920C3"/>
    <w:rsid w:val="00A9237C"/>
    <w:rsid w:val="00A925F9"/>
    <w:rsid w:val="00A935D7"/>
    <w:rsid w:val="00A93E3B"/>
    <w:rsid w:val="00A945C8"/>
    <w:rsid w:val="00A950A5"/>
    <w:rsid w:val="00A95452"/>
    <w:rsid w:val="00A9562D"/>
    <w:rsid w:val="00A95D9E"/>
    <w:rsid w:val="00A95EE9"/>
    <w:rsid w:val="00A961AB"/>
    <w:rsid w:val="00A961D3"/>
    <w:rsid w:val="00A96775"/>
    <w:rsid w:val="00A97524"/>
    <w:rsid w:val="00A976DE"/>
    <w:rsid w:val="00A97B60"/>
    <w:rsid w:val="00AA07BF"/>
    <w:rsid w:val="00AA07D8"/>
    <w:rsid w:val="00AA0906"/>
    <w:rsid w:val="00AA0DDC"/>
    <w:rsid w:val="00AA15BD"/>
    <w:rsid w:val="00AA2850"/>
    <w:rsid w:val="00AA2999"/>
    <w:rsid w:val="00AA30F1"/>
    <w:rsid w:val="00AA3505"/>
    <w:rsid w:val="00AA3C54"/>
    <w:rsid w:val="00AA44F8"/>
    <w:rsid w:val="00AA4CA4"/>
    <w:rsid w:val="00AA4F1D"/>
    <w:rsid w:val="00AA58BC"/>
    <w:rsid w:val="00AA63BB"/>
    <w:rsid w:val="00AA6F61"/>
    <w:rsid w:val="00AA6F75"/>
    <w:rsid w:val="00AA7DB0"/>
    <w:rsid w:val="00AB0553"/>
    <w:rsid w:val="00AB0D2A"/>
    <w:rsid w:val="00AB0E77"/>
    <w:rsid w:val="00AB1005"/>
    <w:rsid w:val="00AB19AD"/>
    <w:rsid w:val="00AB1F86"/>
    <w:rsid w:val="00AB2004"/>
    <w:rsid w:val="00AB215F"/>
    <w:rsid w:val="00AB23AE"/>
    <w:rsid w:val="00AB256F"/>
    <w:rsid w:val="00AB27EB"/>
    <w:rsid w:val="00AB2B55"/>
    <w:rsid w:val="00AB2D7A"/>
    <w:rsid w:val="00AB2EEE"/>
    <w:rsid w:val="00AB34E2"/>
    <w:rsid w:val="00AB36DA"/>
    <w:rsid w:val="00AB3B4F"/>
    <w:rsid w:val="00AB463F"/>
    <w:rsid w:val="00AB4776"/>
    <w:rsid w:val="00AB4CCF"/>
    <w:rsid w:val="00AB4E44"/>
    <w:rsid w:val="00AB5849"/>
    <w:rsid w:val="00AB5DFC"/>
    <w:rsid w:val="00AB5FC9"/>
    <w:rsid w:val="00AB7929"/>
    <w:rsid w:val="00AB7BCB"/>
    <w:rsid w:val="00AB7F13"/>
    <w:rsid w:val="00AC079F"/>
    <w:rsid w:val="00AC0EA7"/>
    <w:rsid w:val="00AC154D"/>
    <w:rsid w:val="00AC166F"/>
    <w:rsid w:val="00AC1A0A"/>
    <w:rsid w:val="00AC1A76"/>
    <w:rsid w:val="00AC1CBD"/>
    <w:rsid w:val="00AC1F0B"/>
    <w:rsid w:val="00AC298D"/>
    <w:rsid w:val="00AC3525"/>
    <w:rsid w:val="00AC435C"/>
    <w:rsid w:val="00AC43CC"/>
    <w:rsid w:val="00AC4BB1"/>
    <w:rsid w:val="00AC53BC"/>
    <w:rsid w:val="00AC5C7E"/>
    <w:rsid w:val="00AC5CF9"/>
    <w:rsid w:val="00AC621A"/>
    <w:rsid w:val="00AC7B72"/>
    <w:rsid w:val="00AC7F3C"/>
    <w:rsid w:val="00AC7F4C"/>
    <w:rsid w:val="00AD05BE"/>
    <w:rsid w:val="00AD0CD7"/>
    <w:rsid w:val="00AD19BB"/>
    <w:rsid w:val="00AD3077"/>
    <w:rsid w:val="00AD35D9"/>
    <w:rsid w:val="00AD466C"/>
    <w:rsid w:val="00AD4825"/>
    <w:rsid w:val="00AD4A28"/>
    <w:rsid w:val="00AD4DB4"/>
    <w:rsid w:val="00AD51B2"/>
    <w:rsid w:val="00AD631F"/>
    <w:rsid w:val="00AD64EC"/>
    <w:rsid w:val="00AD7376"/>
    <w:rsid w:val="00AD73B3"/>
    <w:rsid w:val="00AD784E"/>
    <w:rsid w:val="00AD787C"/>
    <w:rsid w:val="00AE0215"/>
    <w:rsid w:val="00AE04FC"/>
    <w:rsid w:val="00AE0990"/>
    <w:rsid w:val="00AE166B"/>
    <w:rsid w:val="00AE1C39"/>
    <w:rsid w:val="00AE22B7"/>
    <w:rsid w:val="00AE262E"/>
    <w:rsid w:val="00AE26C3"/>
    <w:rsid w:val="00AE33EA"/>
    <w:rsid w:val="00AE4C6F"/>
    <w:rsid w:val="00AE4F74"/>
    <w:rsid w:val="00AE5741"/>
    <w:rsid w:val="00AE5833"/>
    <w:rsid w:val="00AE7180"/>
    <w:rsid w:val="00AE7975"/>
    <w:rsid w:val="00AF1221"/>
    <w:rsid w:val="00AF1B0E"/>
    <w:rsid w:val="00AF333F"/>
    <w:rsid w:val="00AF354A"/>
    <w:rsid w:val="00AF3C15"/>
    <w:rsid w:val="00AF403B"/>
    <w:rsid w:val="00AF4BC8"/>
    <w:rsid w:val="00AF5412"/>
    <w:rsid w:val="00AF61E0"/>
    <w:rsid w:val="00AF7273"/>
    <w:rsid w:val="00B00255"/>
    <w:rsid w:val="00B015F0"/>
    <w:rsid w:val="00B02552"/>
    <w:rsid w:val="00B025D1"/>
    <w:rsid w:val="00B02FEA"/>
    <w:rsid w:val="00B0393F"/>
    <w:rsid w:val="00B0451A"/>
    <w:rsid w:val="00B05490"/>
    <w:rsid w:val="00B0594B"/>
    <w:rsid w:val="00B05B72"/>
    <w:rsid w:val="00B1074B"/>
    <w:rsid w:val="00B10DD3"/>
    <w:rsid w:val="00B1193A"/>
    <w:rsid w:val="00B11DEC"/>
    <w:rsid w:val="00B1249B"/>
    <w:rsid w:val="00B133A5"/>
    <w:rsid w:val="00B13703"/>
    <w:rsid w:val="00B13BC7"/>
    <w:rsid w:val="00B13D76"/>
    <w:rsid w:val="00B13E3C"/>
    <w:rsid w:val="00B13FD5"/>
    <w:rsid w:val="00B146C3"/>
    <w:rsid w:val="00B14EE5"/>
    <w:rsid w:val="00B158AC"/>
    <w:rsid w:val="00B158C5"/>
    <w:rsid w:val="00B16101"/>
    <w:rsid w:val="00B177E4"/>
    <w:rsid w:val="00B200B2"/>
    <w:rsid w:val="00B20749"/>
    <w:rsid w:val="00B20F4B"/>
    <w:rsid w:val="00B2134D"/>
    <w:rsid w:val="00B21520"/>
    <w:rsid w:val="00B21538"/>
    <w:rsid w:val="00B21ADE"/>
    <w:rsid w:val="00B21B46"/>
    <w:rsid w:val="00B221DD"/>
    <w:rsid w:val="00B2311F"/>
    <w:rsid w:val="00B2409C"/>
    <w:rsid w:val="00B24994"/>
    <w:rsid w:val="00B25647"/>
    <w:rsid w:val="00B26EAC"/>
    <w:rsid w:val="00B27970"/>
    <w:rsid w:val="00B279E9"/>
    <w:rsid w:val="00B27CE0"/>
    <w:rsid w:val="00B3022E"/>
    <w:rsid w:val="00B304C6"/>
    <w:rsid w:val="00B31016"/>
    <w:rsid w:val="00B31765"/>
    <w:rsid w:val="00B317AC"/>
    <w:rsid w:val="00B3256D"/>
    <w:rsid w:val="00B326A8"/>
    <w:rsid w:val="00B32ECD"/>
    <w:rsid w:val="00B33B7B"/>
    <w:rsid w:val="00B3407A"/>
    <w:rsid w:val="00B348D0"/>
    <w:rsid w:val="00B36BB6"/>
    <w:rsid w:val="00B36D25"/>
    <w:rsid w:val="00B37FBE"/>
    <w:rsid w:val="00B40601"/>
    <w:rsid w:val="00B409C5"/>
    <w:rsid w:val="00B40ACD"/>
    <w:rsid w:val="00B40EAD"/>
    <w:rsid w:val="00B4177E"/>
    <w:rsid w:val="00B41D43"/>
    <w:rsid w:val="00B42651"/>
    <w:rsid w:val="00B42AAB"/>
    <w:rsid w:val="00B44244"/>
    <w:rsid w:val="00B44910"/>
    <w:rsid w:val="00B44B35"/>
    <w:rsid w:val="00B4501A"/>
    <w:rsid w:val="00B4505A"/>
    <w:rsid w:val="00B452D4"/>
    <w:rsid w:val="00B4537B"/>
    <w:rsid w:val="00B4686A"/>
    <w:rsid w:val="00B46890"/>
    <w:rsid w:val="00B47168"/>
    <w:rsid w:val="00B502E9"/>
    <w:rsid w:val="00B509C8"/>
    <w:rsid w:val="00B513BB"/>
    <w:rsid w:val="00B5159C"/>
    <w:rsid w:val="00B519A1"/>
    <w:rsid w:val="00B51CDD"/>
    <w:rsid w:val="00B521EA"/>
    <w:rsid w:val="00B52EC6"/>
    <w:rsid w:val="00B52F36"/>
    <w:rsid w:val="00B5315E"/>
    <w:rsid w:val="00B53AD4"/>
    <w:rsid w:val="00B54340"/>
    <w:rsid w:val="00B5457A"/>
    <w:rsid w:val="00B5481B"/>
    <w:rsid w:val="00B54C50"/>
    <w:rsid w:val="00B55318"/>
    <w:rsid w:val="00B556AE"/>
    <w:rsid w:val="00B556DB"/>
    <w:rsid w:val="00B56A6F"/>
    <w:rsid w:val="00B57E12"/>
    <w:rsid w:val="00B57F00"/>
    <w:rsid w:val="00B57F87"/>
    <w:rsid w:val="00B604DB"/>
    <w:rsid w:val="00B60A57"/>
    <w:rsid w:val="00B6128B"/>
    <w:rsid w:val="00B612D5"/>
    <w:rsid w:val="00B61455"/>
    <w:rsid w:val="00B617B3"/>
    <w:rsid w:val="00B61E75"/>
    <w:rsid w:val="00B622BC"/>
    <w:rsid w:val="00B628A1"/>
    <w:rsid w:val="00B6317A"/>
    <w:rsid w:val="00B63469"/>
    <w:rsid w:val="00B6415A"/>
    <w:rsid w:val="00B642D2"/>
    <w:rsid w:val="00B64B71"/>
    <w:rsid w:val="00B65195"/>
    <w:rsid w:val="00B6566F"/>
    <w:rsid w:val="00B65A3B"/>
    <w:rsid w:val="00B6693C"/>
    <w:rsid w:val="00B66F94"/>
    <w:rsid w:val="00B71F00"/>
    <w:rsid w:val="00B73018"/>
    <w:rsid w:val="00B7327D"/>
    <w:rsid w:val="00B73333"/>
    <w:rsid w:val="00B73B6B"/>
    <w:rsid w:val="00B74262"/>
    <w:rsid w:val="00B745A9"/>
    <w:rsid w:val="00B74D99"/>
    <w:rsid w:val="00B74F77"/>
    <w:rsid w:val="00B750FA"/>
    <w:rsid w:val="00B75B2C"/>
    <w:rsid w:val="00B75FFD"/>
    <w:rsid w:val="00B76376"/>
    <w:rsid w:val="00B76B22"/>
    <w:rsid w:val="00B77E60"/>
    <w:rsid w:val="00B804C1"/>
    <w:rsid w:val="00B817DF"/>
    <w:rsid w:val="00B81C67"/>
    <w:rsid w:val="00B82834"/>
    <w:rsid w:val="00B82EE9"/>
    <w:rsid w:val="00B82FF9"/>
    <w:rsid w:val="00B84194"/>
    <w:rsid w:val="00B84A31"/>
    <w:rsid w:val="00B84F34"/>
    <w:rsid w:val="00B86C2A"/>
    <w:rsid w:val="00B875B3"/>
    <w:rsid w:val="00B8794B"/>
    <w:rsid w:val="00B90157"/>
    <w:rsid w:val="00B923E5"/>
    <w:rsid w:val="00B9289C"/>
    <w:rsid w:val="00B92CD5"/>
    <w:rsid w:val="00B92F22"/>
    <w:rsid w:val="00B9392E"/>
    <w:rsid w:val="00B94083"/>
    <w:rsid w:val="00B95AFF"/>
    <w:rsid w:val="00B961FD"/>
    <w:rsid w:val="00B96D9E"/>
    <w:rsid w:val="00B97013"/>
    <w:rsid w:val="00B97424"/>
    <w:rsid w:val="00B97D59"/>
    <w:rsid w:val="00BA0B1B"/>
    <w:rsid w:val="00BA0C02"/>
    <w:rsid w:val="00BA0F91"/>
    <w:rsid w:val="00BA144C"/>
    <w:rsid w:val="00BA15E1"/>
    <w:rsid w:val="00BA2A09"/>
    <w:rsid w:val="00BA4288"/>
    <w:rsid w:val="00BA4358"/>
    <w:rsid w:val="00BA51AE"/>
    <w:rsid w:val="00BA559B"/>
    <w:rsid w:val="00BA56D8"/>
    <w:rsid w:val="00BA5A18"/>
    <w:rsid w:val="00BA5E8F"/>
    <w:rsid w:val="00BA61B4"/>
    <w:rsid w:val="00BA6F9B"/>
    <w:rsid w:val="00BA765E"/>
    <w:rsid w:val="00BA7AC0"/>
    <w:rsid w:val="00BA7FC6"/>
    <w:rsid w:val="00BB0395"/>
    <w:rsid w:val="00BB09E8"/>
    <w:rsid w:val="00BB0D80"/>
    <w:rsid w:val="00BB1858"/>
    <w:rsid w:val="00BB3707"/>
    <w:rsid w:val="00BB38BD"/>
    <w:rsid w:val="00BB4AA1"/>
    <w:rsid w:val="00BB4F71"/>
    <w:rsid w:val="00BB565C"/>
    <w:rsid w:val="00BB5C9A"/>
    <w:rsid w:val="00BB612F"/>
    <w:rsid w:val="00BB79C0"/>
    <w:rsid w:val="00BC0C45"/>
    <w:rsid w:val="00BC1B96"/>
    <w:rsid w:val="00BC1FC3"/>
    <w:rsid w:val="00BC2193"/>
    <w:rsid w:val="00BC2203"/>
    <w:rsid w:val="00BC2FA6"/>
    <w:rsid w:val="00BC3016"/>
    <w:rsid w:val="00BC3570"/>
    <w:rsid w:val="00BC429F"/>
    <w:rsid w:val="00BC48E0"/>
    <w:rsid w:val="00BC4916"/>
    <w:rsid w:val="00BC4A8D"/>
    <w:rsid w:val="00BC58B0"/>
    <w:rsid w:val="00BC58E7"/>
    <w:rsid w:val="00BC5B27"/>
    <w:rsid w:val="00BC5C7D"/>
    <w:rsid w:val="00BC61FB"/>
    <w:rsid w:val="00BC6A71"/>
    <w:rsid w:val="00BC6BA3"/>
    <w:rsid w:val="00BC6BD9"/>
    <w:rsid w:val="00BC6DA1"/>
    <w:rsid w:val="00BC6DB7"/>
    <w:rsid w:val="00BC6E95"/>
    <w:rsid w:val="00BC7130"/>
    <w:rsid w:val="00BC7523"/>
    <w:rsid w:val="00BC7EE7"/>
    <w:rsid w:val="00BD0DA2"/>
    <w:rsid w:val="00BD0FEF"/>
    <w:rsid w:val="00BD2E5B"/>
    <w:rsid w:val="00BD39CA"/>
    <w:rsid w:val="00BD48AF"/>
    <w:rsid w:val="00BD4B12"/>
    <w:rsid w:val="00BD4EAF"/>
    <w:rsid w:val="00BD4EE1"/>
    <w:rsid w:val="00BD4FB9"/>
    <w:rsid w:val="00BD5E5A"/>
    <w:rsid w:val="00BD6004"/>
    <w:rsid w:val="00BD6779"/>
    <w:rsid w:val="00BD6BAA"/>
    <w:rsid w:val="00BD7585"/>
    <w:rsid w:val="00BD7654"/>
    <w:rsid w:val="00BD778C"/>
    <w:rsid w:val="00BD792A"/>
    <w:rsid w:val="00BD7E3A"/>
    <w:rsid w:val="00BD7F04"/>
    <w:rsid w:val="00BE02AD"/>
    <w:rsid w:val="00BE0B69"/>
    <w:rsid w:val="00BE1B9B"/>
    <w:rsid w:val="00BE2FF8"/>
    <w:rsid w:val="00BE3242"/>
    <w:rsid w:val="00BE3A71"/>
    <w:rsid w:val="00BE44F1"/>
    <w:rsid w:val="00BE4862"/>
    <w:rsid w:val="00BE54E1"/>
    <w:rsid w:val="00BE63EC"/>
    <w:rsid w:val="00BE6C19"/>
    <w:rsid w:val="00BE7C69"/>
    <w:rsid w:val="00BE7DC3"/>
    <w:rsid w:val="00BF0433"/>
    <w:rsid w:val="00BF06D8"/>
    <w:rsid w:val="00BF0B2A"/>
    <w:rsid w:val="00BF1AF3"/>
    <w:rsid w:val="00BF1F53"/>
    <w:rsid w:val="00BF25DA"/>
    <w:rsid w:val="00BF32C9"/>
    <w:rsid w:val="00BF3475"/>
    <w:rsid w:val="00BF3CF3"/>
    <w:rsid w:val="00BF3ED1"/>
    <w:rsid w:val="00BF41CD"/>
    <w:rsid w:val="00BF43CB"/>
    <w:rsid w:val="00BF446F"/>
    <w:rsid w:val="00BF5800"/>
    <w:rsid w:val="00BF5A1D"/>
    <w:rsid w:val="00BF6A75"/>
    <w:rsid w:val="00BF6AD1"/>
    <w:rsid w:val="00BF6B9F"/>
    <w:rsid w:val="00BF6D58"/>
    <w:rsid w:val="00BF6E06"/>
    <w:rsid w:val="00BF767D"/>
    <w:rsid w:val="00C00F79"/>
    <w:rsid w:val="00C019C3"/>
    <w:rsid w:val="00C025AC"/>
    <w:rsid w:val="00C025EB"/>
    <w:rsid w:val="00C02A7B"/>
    <w:rsid w:val="00C033BD"/>
    <w:rsid w:val="00C034AB"/>
    <w:rsid w:val="00C03951"/>
    <w:rsid w:val="00C03F85"/>
    <w:rsid w:val="00C041A4"/>
    <w:rsid w:val="00C052E5"/>
    <w:rsid w:val="00C0624C"/>
    <w:rsid w:val="00C10320"/>
    <w:rsid w:val="00C10410"/>
    <w:rsid w:val="00C117B3"/>
    <w:rsid w:val="00C129B3"/>
    <w:rsid w:val="00C13019"/>
    <w:rsid w:val="00C13E38"/>
    <w:rsid w:val="00C14651"/>
    <w:rsid w:val="00C15430"/>
    <w:rsid w:val="00C15BB5"/>
    <w:rsid w:val="00C1601C"/>
    <w:rsid w:val="00C16C9C"/>
    <w:rsid w:val="00C1769E"/>
    <w:rsid w:val="00C177AC"/>
    <w:rsid w:val="00C17893"/>
    <w:rsid w:val="00C17D36"/>
    <w:rsid w:val="00C2055E"/>
    <w:rsid w:val="00C205B0"/>
    <w:rsid w:val="00C20BAE"/>
    <w:rsid w:val="00C21C8D"/>
    <w:rsid w:val="00C21CB4"/>
    <w:rsid w:val="00C229A5"/>
    <w:rsid w:val="00C2312A"/>
    <w:rsid w:val="00C2335D"/>
    <w:rsid w:val="00C237DE"/>
    <w:rsid w:val="00C246D9"/>
    <w:rsid w:val="00C24986"/>
    <w:rsid w:val="00C25A2D"/>
    <w:rsid w:val="00C25C8E"/>
    <w:rsid w:val="00C25FCB"/>
    <w:rsid w:val="00C263F6"/>
    <w:rsid w:val="00C27252"/>
    <w:rsid w:val="00C272BF"/>
    <w:rsid w:val="00C27497"/>
    <w:rsid w:val="00C27D28"/>
    <w:rsid w:val="00C30D04"/>
    <w:rsid w:val="00C31709"/>
    <w:rsid w:val="00C31DE2"/>
    <w:rsid w:val="00C3200E"/>
    <w:rsid w:val="00C33185"/>
    <w:rsid w:val="00C337D6"/>
    <w:rsid w:val="00C33807"/>
    <w:rsid w:val="00C33ABE"/>
    <w:rsid w:val="00C33B44"/>
    <w:rsid w:val="00C33E78"/>
    <w:rsid w:val="00C34119"/>
    <w:rsid w:val="00C34B6A"/>
    <w:rsid w:val="00C36375"/>
    <w:rsid w:val="00C363A2"/>
    <w:rsid w:val="00C36D47"/>
    <w:rsid w:val="00C4096F"/>
    <w:rsid w:val="00C40BD0"/>
    <w:rsid w:val="00C41F19"/>
    <w:rsid w:val="00C42015"/>
    <w:rsid w:val="00C438CB"/>
    <w:rsid w:val="00C441D8"/>
    <w:rsid w:val="00C4525C"/>
    <w:rsid w:val="00C47CAD"/>
    <w:rsid w:val="00C50436"/>
    <w:rsid w:val="00C50910"/>
    <w:rsid w:val="00C50A76"/>
    <w:rsid w:val="00C50FF7"/>
    <w:rsid w:val="00C514DA"/>
    <w:rsid w:val="00C51911"/>
    <w:rsid w:val="00C51FA1"/>
    <w:rsid w:val="00C521DC"/>
    <w:rsid w:val="00C52767"/>
    <w:rsid w:val="00C52826"/>
    <w:rsid w:val="00C53D33"/>
    <w:rsid w:val="00C54076"/>
    <w:rsid w:val="00C540D0"/>
    <w:rsid w:val="00C56034"/>
    <w:rsid w:val="00C56B06"/>
    <w:rsid w:val="00C577BA"/>
    <w:rsid w:val="00C57F72"/>
    <w:rsid w:val="00C61758"/>
    <w:rsid w:val="00C623C0"/>
    <w:rsid w:val="00C6296A"/>
    <w:rsid w:val="00C6351F"/>
    <w:rsid w:val="00C63745"/>
    <w:rsid w:val="00C63B7E"/>
    <w:rsid w:val="00C63D3E"/>
    <w:rsid w:val="00C641E0"/>
    <w:rsid w:val="00C64287"/>
    <w:rsid w:val="00C6453C"/>
    <w:rsid w:val="00C6474D"/>
    <w:rsid w:val="00C647C8"/>
    <w:rsid w:val="00C64EC7"/>
    <w:rsid w:val="00C64F40"/>
    <w:rsid w:val="00C65134"/>
    <w:rsid w:val="00C65674"/>
    <w:rsid w:val="00C65A3F"/>
    <w:rsid w:val="00C65AF5"/>
    <w:rsid w:val="00C66532"/>
    <w:rsid w:val="00C67338"/>
    <w:rsid w:val="00C7031B"/>
    <w:rsid w:val="00C70896"/>
    <w:rsid w:val="00C708AE"/>
    <w:rsid w:val="00C70CFA"/>
    <w:rsid w:val="00C712FB"/>
    <w:rsid w:val="00C71454"/>
    <w:rsid w:val="00C71527"/>
    <w:rsid w:val="00C72461"/>
    <w:rsid w:val="00C734EC"/>
    <w:rsid w:val="00C736F9"/>
    <w:rsid w:val="00C74DC4"/>
    <w:rsid w:val="00C74E07"/>
    <w:rsid w:val="00C755E4"/>
    <w:rsid w:val="00C75830"/>
    <w:rsid w:val="00C75999"/>
    <w:rsid w:val="00C75CE1"/>
    <w:rsid w:val="00C75E08"/>
    <w:rsid w:val="00C761A0"/>
    <w:rsid w:val="00C76414"/>
    <w:rsid w:val="00C7649E"/>
    <w:rsid w:val="00C7673B"/>
    <w:rsid w:val="00C77944"/>
    <w:rsid w:val="00C77977"/>
    <w:rsid w:val="00C8046C"/>
    <w:rsid w:val="00C806AA"/>
    <w:rsid w:val="00C80ABA"/>
    <w:rsid w:val="00C81BB7"/>
    <w:rsid w:val="00C8208D"/>
    <w:rsid w:val="00C82238"/>
    <w:rsid w:val="00C82A44"/>
    <w:rsid w:val="00C82A50"/>
    <w:rsid w:val="00C82C86"/>
    <w:rsid w:val="00C83600"/>
    <w:rsid w:val="00C83FBA"/>
    <w:rsid w:val="00C84A27"/>
    <w:rsid w:val="00C84BA6"/>
    <w:rsid w:val="00C84DB4"/>
    <w:rsid w:val="00C8547F"/>
    <w:rsid w:val="00C85855"/>
    <w:rsid w:val="00C86002"/>
    <w:rsid w:val="00C8608B"/>
    <w:rsid w:val="00C90FAF"/>
    <w:rsid w:val="00C917ED"/>
    <w:rsid w:val="00C918F6"/>
    <w:rsid w:val="00C92762"/>
    <w:rsid w:val="00C929CF"/>
    <w:rsid w:val="00C92A1D"/>
    <w:rsid w:val="00C93495"/>
    <w:rsid w:val="00C93BDC"/>
    <w:rsid w:val="00C93F49"/>
    <w:rsid w:val="00C944C2"/>
    <w:rsid w:val="00C94965"/>
    <w:rsid w:val="00C9562A"/>
    <w:rsid w:val="00C9614D"/>
    <w:rsid w:val="00C96872"/>
    <w:rsid w:val="00C96912"/>
    <w:rsid w:val="00C96A83"/>
    <w:rsid w:val="00C96E7D"/>
    <w:rsid w:val="00C96FE4"/>
    <w:rsid w:val="00CA01F9"/>
    <w:rsid w:val="00CA023A"/>
    <w:rsid w:val="00CA09CE"/>
    <w:rsid w:val="00CA14F6"/>
    <w:rsid w:val="00CA15A8"/>
    <w:rsid w:val="00CA1CCD"/>
    <w:rsid w:val="00CA23DB"/>
    <w:rsid w:val="00CA2E74"/>
    <w:rsid w:val="00CA35D0"/>
    <w:rsid w:val="00CA52D3"/>
    <w:rsid w:val="00CA56A4"/>
    <w:rsid w:val="00CA5AEB"/>
    <w:rsid w:val="00CA5B43"/>
    <w:rsid w:val="00CA5D45"/>
    <w:rsid w:val="00CA5E27"/>
    <w:rsid w:val="00CA5E78"/>
    <w:rsid w:val="00CA6990"/>
    <w:rsid w:val="00CA69F4"/>
    <w:rsid w:val="00CA72ED"/>
    <w:rsid w:val="00CA76D7"/>
    <w:rsid w:val="00CA7DE9"/>
    <w:rsid w:val="00CA7F3C"/>
    <w:rsid w:val="00CB18ED"/>
    <w:rsid w:val="00CB1C42"/>
    <w:rsid w:val="00CB1EB0"/>
    <w:rsid w:val="00CB2B9E"/>
    <w:rsid w:val="00CB2C0B"/>
    <w:rsid w:val="00CB34F3"/>
    <w:rsid w:val="00CB4892"/>
    <w:rsid w:val="00CB5C37"/>
    <w:rsid w:val="00CB69F5"/>
    <w:rsid w:val="00CB7374"/>
    <w:rsid w:val="00CC010D"/>
    <w:rsid w:val="00CC0305"/>
    <w:rsid w:val="00CC08AE"/>
    <w:rsid w:val="00CC0B54"/>
    <w:rsid w:val="00CC0C62"/>
    <w:rsid w:val="00CC107D"/>
    <w:rsid w:val="00CC1348"/>
    <w:rsid w:val="00CC13ED"/>
    <w:rsid w:val="00CC1EC0"/>
    <w:rsid w:val="00CC2A89"/>
    <w:rsid w:val="00CC2A9B"/>
    <w:rsid w:val="00CC2D9C"/>
    <w:rsid w:val="00CC4355"/>
    <w:rsid w:val="00CC4655"/>
    <w:rsid w:val="00CC4CFF"/>
    <w:rsid w:val="00CC4E50"/>
    <w:rsid w:val="00CC6CD8"/>
    <w:rsid w:val="00CC7241"/>
    <w:rsid w:val="00CC7951"/>
    <w:rsid w:val="00CC7C39"/>
    <w:rsid w:val="00CD0952"/>
    <w:rsid w:val="00CD1CC1"/>
    <w:rsid w:val="00CD2F02"/>
    <w:rsid w:val="00CD3491"/>
    <w:rsid w:val="00CD3582"/>
    <w:rsid w:val="00CD3652"/>
    <w:rsid w:val="00CD3C0D"/>
    <w:rsid w:val="00CD416A"/>
    <w:rsid w:val="00CD44F8"/>
    <w:rsid w:val="00CD48BD"/>
    <w:rsid w:val="00CD5000"/>
    <w:rsid w:val="00CD5561"/>
    <w:rsid w:val="00CD6203"/>
    <w:rsid w:val="00CD6D3D"/>
    <w:rsid w:val="00CD7402"/>
    <w:rsid w:val="00CD7508"/>
    <w:rsid w:val="00CE0284"/>
    <w:rsid w:val="00CE1B74"/>
    <w:rsid w:val="00CE1E24"/>
    <w:rsid w:val="00CE22B4"/>
    <w:rsid w:val="00CE39C3"/>
    <w:rsid w:val="00CE4013"/>
    <w:rsid w:val="00CE5657"/>
    <w:rsid w:val="00CE59ED"/>
    <w:rsid w:val="00CE6B98"/>
    <w:rsid w:val="00CE6E97"/>
    <w:rsid w:val="00CE6F0E"/>
    <w:rsid w:val="00CE7F44"/>
    <w:rsid w:val="00CF14B6"/>
    <w:rsid w:val="00CF193B"/>
    <w:rsid w:val="00CF1F28"/>
    <w:rsid w:val="00CF23CA"/>
    <w:rsid w:val="00CF2FFD"/>
    <w:rsid w:val="00CF3A2D"/>
    <w:rsid w:val="00CF3C45"/>
    <w:rsid w:val="00CF3F08"/>
    <w:rsid w:val="00CF4535"/>
    <w:rsid w:val="00CF4610"/>
    <w:rsid w:val="00CF4BAA"/>
    <w:rsid w:val="00CF58BD"/>
    <w:rsid w:val="00CF5ECA"/>
    <w:rsid w:val="00CF64A9"/>
    <w:rsid w:val="00CF6792"/>
    <w:rsid w:val="00CF6C1D"/>
    <w:rsid w:val="00CF74AF"/>
    <w:rsid w:val="00D00737"/>
    <w:rsid w:val="00D012BE"/>
    <w:rsid w:val="00D01876"/>
    <w:rsid w:val="00D01993"/>
    <w:rsid w:val="00D01A73"/>
    <w:rsid w:val="00D01FD0"/>
    <w:rsid w:val="00D028B8"/>
    <w:rsid w:val="00D02D4B"/>
    <w:rsid w:val="00D02E2C"/>
    <w:rsid w:val="00D02F20"/>
    <w:rsid w:val="00D031EC"/>
    <w:rsid w:val="00D03703"/>
    <w:rsid w:val="00D03F97"/>
    <w:rsid w:val="00D04461"/>
    <w:rsid w:val="00D044D5"/>
    <w:rsid w:val="00D0456E"/>
    <w:rsid w:val="00D05639"/>
    <w:rsid w:val="00D05931"/>
    <w:rsid w:val="00D06492"/>
    <w:rsid w:val="00D06B09"/>
    <w:rsid w:val="00D06DE7"/>
    <w:rsid w:val="00D07C47"/>
    <w:rsid w:val="00D1122F"/>
    <w:rsid w:val="00D11EBF"/>
    <w:rsid w:val="00D12176"/>
    <w:rsid w:val="00D12D0D"/>
    <w:rsid w:val="00D12D10"/>
    <w:rsid w:val="00D12D1B"/>
    <w:rsid w:val="00D12EA2"/>
    <w:rsid w:val="00D12F24"/>
    <w:rsid w:val="00D13B01"/>
    <w:rsid w:val="00D14E2D"/>
    <w:rsid w:val="00D15267"/>
    <w:rsid w:val="00D15782"/>
    <w:rsid w:val="00D1610A"/>
    <w:rsid w:val="00D162BB"/>
    <w:rsid w:val="00D167AE"/>
    <w:rsid w:val="00D169CC"/>
    <w:rsid w:val="00D16AD7"/>
    <w:rsid w:val="00D177CD"/>
    <w:rsid w:val="00D20050"/>
    <w:rsid w:val="00D20D6B"/>
    <w:rsid w:val="00D21250"/>
    <w:rsid w:val="00D2143C"/>
    <w:rsid w:val="00D22949"/>
    <w:rsid w:val="00D22A0D"/>
    <w:rsid w:val="00D22CD3"/>
    <w:rsid w:val="00D23345"/>
    <w:rsid w:val="00D23783"/>
    <w:rsid w:val="00D2460A"/>
    <w:rsid w:val="00D251F6"/>
    <w:rsid w:val="00D255CB"/>
    <w:rsid w:val="00D25D5A"/>
    <w:rsid w:val="00D25E28"/>
    <w:rsid w:val="00D2636F"/>
    <w:rsid w:val="00D268E2"/>
    <w:rsid w:val="00D26D8D"/>
    <w:rsid w:val="00D26DA4"/>
    <w:rsid w:val="00D270E7"/>
    <w:rsid w:val="00D27B86"/>
    <w:rsid w:val="00D30087"/>
    <w:rsid w:val="00D3126C"/>
    <w:rsid w:val="00D31475"/>
    <w:rsid w:val="00D314BE"/>
    <w:rsid w:val="00D31921"/>
    <w:rsid w:val="00D31EEA"/>
    <w:rsid w:val="00D324FA"/>
    <w:rsid w:val="00D33599"/>
    <w:rsid w:val="00D339DB"/>
    <w:rsid w:val="00D34471"/>
    <w:rsid w:val="00D35966"/>
    <w:rsid w:val="00D3635C"/>
    <w:rsid w:val="00D37807"/>
    <w:rsid w:val="00D379D4"/>
    <w:rsid w:val="00D40BC4"/>
    <w:rsid w:val="00D42738"/>
    <w:rsid w:val="00D42B5B"/>
    <w:rsid w:val="00D436AE"/>
    <w:rsid w:val="00D43DEE"/>
    <w:rsid w:val="00D4438E"/>
    <w:rsid w:val="00D44989"/>
    <w:rsid w:val="00D44D15"/>
    <w:rsid w:val="00D453F5"/>
    <w:rsid w:val="00D459C0"/>
    <w:rsid w:val="00D45DEE"/>
    <w:rsid w:val="00D4600F"/>
    <w:rsid w:val="00D464A0"/>
    <w:rsid w:val="00D4650C"/>
    <w:rsid w:val="00D46F7C"/>
    <w:rsid w:val="00D471A1"/>
    <w:rsid w:val="00D50CA9"/>
    <w:rsid w:val="00D516C2"/>
    <w:rsid w:val="00D5172F"/>
    <w:rsid w:val="00D519CF"/>
    <w:rsid w:val="00D51D37"/>
    <w:rsid w:val="00D52311"/>
    <w:rsid w:val="00D532B0"/>
    <w:rsid w:val="00D5399C"/>
    <w:rsid w:val="00D53C79"/>
    <w:rsid w:val="00D53CB0"/>
    <w:rsid w:val="00D54EE3"/>
    <w:rsid w:val="00D558C1"/>
    <w:rsid w:val="00D55A78"/>
    <w:rsid w:val="00D5762D"/>
    <w:rsid w:val="00D579E1"/>
    <w:rsid w:val="00D57A73"/>
    <w:rsid w:val="00D60021"/>
    <w:rsid w:val="00D607CA"/>
    <w:rsid w:val="00D611C3"/>
    <w:rsid w:val="00D63C4A"/>
    <w:rsid w:val="00D65112"/>
    <w:rsid w:val="00D651D8"/>
    <w:rsid w:val="00D65480"/>
    <w:rsid w:val="00D65634"/>
    <w:rsid w:val="00D65D67"/>
    <w:rsid w:val="00D65E22"/>
    <w:rsid w:val="00D661F0"/>
    <w:rsid w:val="00D66E2F"/>
    <w:rsid w:val="00D66EA0"/>
    <w:rsid w:val="00D66F25"/>
    <w:rsid w:val="00D67A87"/>
    <w:rsid w:val="00D67B15"/>
    <w:rsid w:val="00D67C31"/>
    <w:rsid w:val="00D67E73"/>
    <w:rsid w:val="00D67EAB"/>
    <w:rsid w:val="00D70CEC"/>
    <w:rsid w:val="00D719FC"/>
    <w:rsid w:val="00D71B15"/>
    <w:rsid w:val="00D71B9B"/>
    <w:rsid w:val="00D724A8"/>
    <w:rsid w:val="00D73182"/>
    <w:rsid w:val="00D734EF"/>
    <w:rsid w:val="00D7485D"/>
    <w:rsid w:val="00D74B6F"/>
    <w:rsid w:val="00D755AD"/>
    <w:rsid w:val="00D764FA"/>
    <w:rsid w:val="00D7682A"/>
    <w:rsid w:val="00D76DC2"/>
    <w:rsid w:val="00D7714E"/>
    <w:rsid w:val="00D771AF"/>
    <w:rsid w:val="00D774F4"/>
    <w:rsid w:val="00D77878"/>
    <w:rsid w:val="00D77CBF"/>
    <w:rsid w:val="00D77CF2"/>
    <w:rsid w:val="00D807E4"/>
    <w:rsid w:val="00D80C38"/>
    <w:rsid w:val="00D81B42"/>
    <w:rsid w:val="00D8226A"/>
    <w:rsid w:val="00D82B0D"/>
    <w:rsid w:val="00D82F8E"/>
    <w:rsid w:val="00D83344"/>
    <w:rsid w:val="00D8429C"/>
    <w:rsid w:val="00D84D23"/>
    <w:rsid w:val="00D84DFA"/>
    <w:rsid w:val="00D85033"/>
    <w:rsid w:val="00D858FC"/>
    <w:rsid w:val="00D85CCB"/>
    <w:rsid w:val="00D86047"/>
    <w:rsid w:val="00D8606D"/>
    <w:rsid w:val="00D86396"/>
    <w:rsid w:val="00D873E5"/>
    <w:rsid w:val="00D8757E"/>
    <w:rsid w:val="00D87ECE"/>
    <w:rsid w:val="00D9009D"/>
    <w:rsid w:val="00D90245"/>
    <w:rsid w:val="00D90FF0"/>
    <w:rsid w:val="00D91288"/>
    <w:rsid w:val="00D91AA3"/>
    <w:rsid w:val="00D91B2B"/>
    <w:rsid w:val="00D92D7D"/>
    <w:rsid w:val="00D93AC8"/>
    <w:rsid w:val="00D93D20"/>
    <w:rsid w:val="00D955C4"/>
    <w:rsid w:val="00D95807"/>
    <w:rsid w:val="00D95F10"/>
    <w:rsid w:val="00D9627F"/>
    <w:rsid w:val="00D97CB7"/>
    <w:rsid w:val="00DA02F6"/>
    <w:rsid w:val="00DA0BFA"/>
    <w:rsid w:val="00DA112A"/>
    <w:rsid w:val="00DA1DF5"/>
    <w:rsid w:val="00DA2082"/>
    <w:rsid w:val="00DA23D0"/>
    <w:rsid w:val="00DA278E"/>
    <w:rsid w:val="00DA36FA"/>
    <w:rsid w:val="00DA38E0"/>
    <w:rsid w:val="00DA3981"/>
    <w:rsid w:val="00DA3BEA"/>
    <w:rsid w:val="00DA3D1A"/>
    <w:rsid w:val="00DA3EB5"/>
    <w:rsid w:val="00DA495D"/>
    <w:rsid w:val="00DA5607"/>
    <w:rsid w:val="00DA60F1"/>
    <w:rsid w:val="00DA668F"/>
    <w:rsid w:val="00DA7ABD"/>
    <w:rsid w:val="00DB0330"/>
    <w:rsid w:val="00DB05AC"/>
    <w:rsid w:val="00DB2993"/>
    <w:rsid w:val="00DB38C9"/>
    <w:rsid w:val="00DB4DD5"/>
    <w:rsid w:val="00DB58AC"/>
    <w:rsid w:val="00DB6C5A"/>
    <w:rsid w:val="00DB6E91"/>
    <w:rsid w:val="00DB7762"/>
    <w:rsid w:val="00DC0219"/>
    <w:rsid w:val="00DC033A"/>
    <w:rsid w:val="00DC0502"/>
    <w:rsid w:val="00DC16DE"/>
    <w:rsid w:val="00DC2881"/>
    <w:rsid w:val="00DC3669"/>
    <w:rsid w:val="00DC4E63"/>
    <w:rsid w:val="00DC4F6E"/>
    <w:rsid w:val="00DC52AB"/>
    <w:rsid w:val="00DC6604"/>
    <w:rsid w:val="00DC68F1"/>
    <w:rsid w:val="00DC7F75"/>
    <w:rsid w:val="00DD072A"/>
    <w:rsid w:val="00DD0C0A"/>
    <w:rsid w:val="00DD0FF4"/>
    <w:rsid w:val="00DD13A1"/>
    <w:rsid w:val="00DD13D5"/>
    <w:rsid w:val="00DD2106"/>
    <w:rsid w:val="00DD269B"/>
    <w:rsid w:val="00DD2D1A"/>
    <w:rsid w:val="00DD2DF3"/>
    <w:rsid w:val="00DD350A"/>
    <w:rsid w:val="00DD414D"/>
    <w:rsid w:val="00DD5598"/>
    <w:rsid w:val="00DD5757"/>
    <w:rsid w:val="00DD584C"/>
    <w:rsid w:val="00DD5A0D"/>
    <w:rsid w:val="00DD5C47"/>
    <w:rsid w:val="00DD5C83"/>
    <w:rsid w:val="00DD5D8D"/>
    <w:rsid w:val="00DD672F"/>
    <w:rsid w:val="00DD6799"/>
    <w:rsid w:val="00DD787E"/>
    <w:rsid w:val="00DE0105"/>
    <w:rsid w:val="00DE01F3"/>
    <w:rsid w:val="00DE17B5"/>
    <w:rsid w:val="00DE242F"/>
    <w:rsid w:val="00DE341B"/>
    <w:rsid w:val="00DE357D"/>
    <w:rsid w:val="00DE3C77"/>
    <w:rsid w:val="00DE412F"/>
    <w:rsid w:val="00DE4C81"/>
    <w:rsid w:val="00DE50E0"/>
    <w:rsid w:val="00DE683E"/>
    <w:rsid w:val="00DE7077"/>
    <w:rsid w:val="00DE71D3"/>
    <w:rsid w:val="00DE78AD"/>
    <w:rsid w:val="00DE7D2F"/>
    <w:rsid w:val="00DF03B4"/>
    <w:rsid w:val="00DF11C6"/>
    <w:rsid w:val="00DF1B96"/>
    <w:rsid w:val="00DF1D10"/>
    <w:rsid w:val="00DF29F3"/>
    <w:rsid w:val="00DF3070"/>
    <w:rsid w:val="00DF389B"/>
    <w:rsid w:val="00DF4195"/>
    <w:rsid w:val="00DF43D1"/>
    <w:rsid w:val="00DF448C"/>
    <w:rsid w:val="00DF498F"/>
    <w:rsid w:val="00DF49CB"/>
    <w:rsid w:val="00DF4EBA"/>
    <w:rsid w:val="00DF54A1"/>
    <w:rsid w:val="00DF6648"/>
    <w:rsid w:val="00DF731A"/>
    <w:rsid w:val="00E01073"/>
    <w:rsid w:val="00E0167B"/>
    <w:rsid w:val="00E01775"/>
    <w:rsid w:val="00E01F00"/>
    <w:rsid w:val="00E02334"/>
    <w:rsid w:val="00E024FC"/>
    <w:rsid w:val="00E0254E"/>
    <w:rsid w:val="00E02680"/>
    <w:rsid w:val="00E04143"/>
    <w:rsid w:val="00E0621C"/>
    <w:rsid w:val="00E06405"/>
    <w:rsid w:val="00E06606"/>
    <w:rsid w:val="00E071BC"/>
    <w:rsid w:val="00E07673"/>
    <w:rsid w:val="00E105DB"/>
    <w:rsid w:val="00E11A76"/>
    <w:rsid w:val="00E12686"/>
    <w:rsid w:val="00E13145"/>
    <w:rsid w:val="00E13809"/>
    <w:rsid w:val="00E13C48"/>
    <w:rsid w:val="00E1430B"/>
    <w:rsid w:val="00E14534"/>
    <w:rsid w:val="00E14F97"/>
    <w:rsid w:val="00E15862"/>
    <w:rsid w:val="00E16AFD"/>
    <w:rsid w:val="00E16BD3"/>
    <w:rsid w:val="00E16FF9"/>
    <w:rsid w:val="00E17013"/>
    <w:rsid w:val="00E17EF6"/>
    <w:rsid w:val="00E20136"/>
    <w:rsid w:val="00E202D7"/>
    <w:rsid w:val="00E203F2"/>
    <w:rsid w:val="00E2136B"/>
    <w:rsid w:val="00E21B42"/>
    <w:rsid w:val="00E22642"/>
    <w:rsid w:val="00E23B00"/>
    <w:rsid w:val="00E24294"/>
    <w:rsid w:val="00E249C5"/>
    <w:rsid w:val="00E25916"/>
    <w:rsid w:val="00E25945"/>
    <w:rsid w:val="00E259CC"/>
    <w:rsid w:val="00E25C1F"/>
    <w:rsid w:val="00E26D63"/>
    <w:rsid w:val="00E276F6"/>
    <w:rsid w:val="00E27790"/>
    <w:rsid w:val="00E30E90"/>
    <w:rsid w:val="00E31121"/>
    <w:rsid w:val="00E314AE"/>
    <w:rsid w:val="00E3205B"/>
    <w:rsid w:val="00E322C8"/>
    <w:rsid w:val="00E32CD0"/>
    <w:rsid w:val="00E33473"/>
    <w:rsid w:val="00E347DA"/>
    <w:rsid w:val="00E354C6"/>
    <w:rsid w:val="00E36F7D"/>
    <w:rsid w:val="00E37721"/>
    <w:rsid w:val="00E37DFF"/>
    <w:rsid w:val="00E4028B"/>
    <w:rsid w:val="00E40320"/>
    <w:rsid w:val="00E4053F"/>
    <w:rsid w:val="00E41909"/>
    <w:rsid w:val="00E41C7A"/>
    <w:rsid w:val="00E41DBA"/>
    <w:rsid w:val="00E41ED5"/>
    <w:rsid w:val="00E4269F"/>
    <w:rsid w:val="00E42FC8"/>
    <w:rsid w:val="00E4350F"/>
    <w:rsid w:val="00E43663"/>
    <w:rsid w:val="00E439A7"/>
    <w:rsid w:val="00E43BC7"/>
    <w:rsid w:val="00E43F0C"/>
    <w:rsid w:val="00E44577"/>
    <w:rsid w:val="00E44B90"/>
    <w:rsid w:val="00E45147"/>
    <w:rsid w:val="00E454C8"/>
    <w:rsid w:val="00E45E4D"/>
    <w:rsid w:val="00E50663"/>
    <w:rsid w:val="00E50971"/>
    <w:rsid w:val="00E50EB0"/>
    <w:rsid w:val="00E51834"/>
    <w:rsid w:val="00E52598"/>
    <w:rsid w:val="00E5457C"/>
    <w:rsid w:val="00E54930"/>
    <w:rsid w:val="00E5498B"/>
    <w:rsid w:val="00E549FC"/>
    <w:rsid w:val="00E54D0F"/>
    <w:rsid w:val="00E5540E"/>
    <w:rsid w:val="00E55727"/>
    <w:rsid w:val="00E5592B"/>
    <w:rsid w:val="00E5720B"/>
    <w:rsid w:val="00E608D7"/>
    <w:rsid w:val="00E60C84"/>
    <w:rsid w:val="00E617FC"/>
    <w:rsid w:val="00E61C16"/>
    <w:rsid w:val="00E6225C"/>
    <w:rsid w:val="00E624DF"/>
    <w:rsid w:val="00E628F7"/>
    <w:rsid w:val="00E63624"/>
    <w:rsid w:val="00E63A62"/>
    <w:rsid w:val="00E6416D"/>
    <w:rsid w:val="00E655BC"/>
    <w:rsid w:val="00E657C3"/>
    <w:rsid w:val="00E65B24"/>
    <w:rsid w:val="00E65B49"/>
    <w:rsid w:val="00E6612B"/>
    <w:rsid w:val="00E6676A"/>
    <w:rsid w:val="00E66973"/>
    <w:rsid w:val="00E66A4B"/>
    <w:rsid w:val="00E67614"/>
    <w:rsid w:val="00E6786A"/>
    <w:rsid w:val="00E67A1E"/>
    <w:rsid w:val="00E67D31"/>
    <w:rsid w:val="00E70C70"/>
    <w:rsid w:val="00E71351"/>
    <w:rsid w:val="00E71885"/>
    <w:rsid w:val="00E72070"/>
    <w:rsid w:val="00E733A0"/>
    <w:rsid w:val="00E73A1E"/>
    <w:rsid w:val="00E747F4"/>
    <w:rsid w:val="00E7484A"/>
    <w:rsid w:val="00E74D15"/>
    <w:rsid w:val="00E74F91"/>
    <w:rsid w:val="00E75589"/>
    <w:rsid w:val="00E75E9E"/>
    <w:rsid w:val="00E76487"/>
    <w:rsid w:val="00E76D79"/>
    <w:rsid w:val="00E76D8F"/>
    <w:rsid w:val="00E776B9"/>
    <w:rsid w:val="00E77DF9"/>
    <w:rsid w:val="00E77E11"/>
    <w:rsid w:val="00E809AA"/>
    <w:rsid w:val="00E80C28"/>
    <w:rsid w:val="00E80EC4"/>
    <w:rsid w:val="00E820BE"/>
    <w:rsid w:val="00E83913"/>
    <w:rsid w:val="00E83F89"/>
    <w:rsid w:val="00E84027"/>
    <w:rsid w:val="00E84C17"/>
    <w:rsid w:val="00E8509B"/>
    <w:rsid w:val="00E853EC"/>
    <w:rsid w:val="00E857BD"/>
    <w:rsid w:val="00E85E4D"/>
    <w:rsid w:val="00E85E62"/>
    <w:rsid w:val="00E85EF5"/>
    <w:rsid w:val="00E874CF"/>
    <w:rsid w:val="00E87CA3"/>
    <w:rsid w:val="00E90A08"/>
    <w:rsid w:val="00E90C1B"/>
    <w:rsid w:val="00E90EC4"/>
    <w:rsid w:val="00E91BDC"/>
    <w:rsid w:val="00E92852"/>
    <w:rsid w:val="00E92D2D"/>
    <w:rsid w:val="00E94068"/>
    <w:rsid w:val="00E9407F"/>
    <w:rsid w:val="00E95092"/>
    <w:rsid w:val="00E956F3"/>
    <w:rsid w:val="00E96271"/>
    <w:rsid w:val="00E96404"/>
    <w:rsid w:val="00E9716E"/>
    <w:rsid w:val="00EA054B"/>
    <w:rsid w:val="00EA0FF4"/>
    <w:rsid w:val="00EA1222"/>
    <w:rsid w:val="00EA1AF1"/>
    <w:rsid w:val="00EA238A"/>
    <w:rsid w:val="00EA27BB"/>
    <w:rsid w:val="00EA2ED9"/>
    <w:rsid w:val="00EA2F90"/>
    <w:rsid w:val="00EA30BD"/>
    <w:rsid w:val="00EA30C7"/>
    <w:rsid w:val="00EA4243"/>
    <w:rsid w:val="00EA564C"/>
    <w:rsid w:val="00EA728C"/>
    <w:rsid w:val="00EB03EF"/>
    <w:rsid w:val="00EB0A2C"/>
    <w:rsid w:val="00EB1BED"/>
    <w:rsid w:val="00EB1F58"/>
    <w:rsid w:val="00EB2091"/>
    <w:rsid w:val="00EB223F"/>
    <w:rsid w:val="00EB2349"/>
    <w:rsid w:val="00EB2488"/>
    <w:rsid w:val="00EB30A9"/>
    <w:rsid w:val="00EB32DE"/>
    <w:rsid w:val="00EB3C6C"/>
    <w:rsid w:val="00EB4399"/>
    <w:rsid w:val="00EB471D"/>
    <w:rsid w:val="00EB4AF0"/>
    <w:rsid w:val="00EB5E40"/>
    <w:rsid w:val="00EB5FAA"/>
    <w:rsid w:val="00EB6507"/>
    <w:rsid w:val="00EB7302"/>
    <w:rsid w:val="00EB73B1"/>
    <w:rsid w:val="00EC23FA"/>
    <w:rsid w:val="00EC2D98"/>
    <w:rsid w:val="00EC3DE9"/>
    <w:rsid w:val="00EC58F4"/>
    <w:rsid w:val="00EC5F88"/>
    <w:rsid w:val="00EC62AB"/>
    <w:rsid w:val="00EC6AD3"/>
    <w:rsid w:val="00EC79DD"/>
    <w:rsid w:val="00ED0B65"/>
    <w:rsid w:val="00ED0F0F"/>
    <w:rsid w:val="00ED2091"/>
    <w:rsid w:val="00ED2782"/>
    <w:rsid w:val="00ED393B"/>
    <w:rsid w:val="00ED3F2B"/>
    <w:rsid w:val="00ED46C0"/>
    <w:rsid w:val="00ED4A24"/>
    <w:rsid w:val="00ED4D39"/>
    <w:rsid w:val="00ED539E"/>
    <w:rsid w:val="00ED5894"/>
    <w:rsid w:val="00ED5D5E"/>
    <w:rsid w:val="00ED5F89"/>
    <w:rsid w:val="00ED6520"/>
    <w:rsid w:val="00ED6B28"/>
    <w:rsid w:val="00ED7C81"/>
    <w:rsid w:val="00EE0417"/>
    <w:rsid w:val="00EE0545"/>
    <w:rsid w:val="00EE0F49"/>
    <w:rsid w:val="00EE1D11"/>
    <w:rsid w:val="00EE21E1"/>
    <w:rsid w:val="00EE231F"/>
    <w:rsid w:val="00EE2505"/>
    <w:rsid w:val="00EE35D2"/>
    <w:rsid w:val="00EE3D02"/>
    <w:rsid w:val="00EE4787"/>
    <w:rsid w:val="00EE5076"/>
    <w:rsid w:val="00EE548F"/>
    <w:rsid w:val="00EE57A5"/>
    <w:rsid w:val="00EE58F9"/>
    <w:rsid w:val="00EE6739"/>
    <w:rsid w:val="00EE6863"/>
    <w:rsid w:val="00EE68C9"/>
    <w:rsid w:val="00EE6A82"/>
    <w:rsid w:val="00EE6B03"/>
    <w:rsid w:val="00EE6E51"/>
    <w:rsid w:val="00EE7003"/>
    <w:rsid w:val="00EE731A"/>
    <w:rsid w:val="00EF0594"/>
    <w:rsid w:val="00EF0F0E"/>
    <w:rsid w:val="00EF17A5"/>
    <w:rsid w:val="00EF1C07"/>
    <w:rsid w:val="00EF1F32"/>
    <w:rsid w:val="00EF20FC"/>
    <w:rsid w:val="00EF2439"/>
    <w:rsid w:val="00EF41D6"/>
    <w:rsid w:val="00EF4CFC"/>
    <w:rsid w:val="00EF4E46"/>
    <w:rsid w:val="00EF4EA5"/>
    <w:rsid w:val="00EF5256"/>
    <w:rsid w:val="00EF5CCD"/>
    <w:rsid w:val="00EF6DEC"/>
    <w:rsid w:val="00EF6F08"/>
    <w:rsid w:val="00EF7594"/>
    <w:rsid w:val="00EF7987"/>
    <w:rsid w:val="00F00DF9"/>
    <w:rsid w:val="00F01185"/>
    <w:rsid w:val="00F0126D"/>
    <w:rsid w:val="00F02086"/>
    <w:rsid w:val="00F025C5"/>
    <w:rsid w:val="00F04737"/>
    <w:rsid w:val="00F05145"/>
    <w:rsid w:val="00F0518A"/>
    <w:rsid w:val="00F0602A"/>
    <w:rsid w:val="00F06BCA"/>
    <w:rsid w:val="00F06FDC"/>
    <w:rsid w:val="00F07716"/>
    <w:rsid w:val="00F100C0"/>
    <w:rsid w:val="00F10ADA"/>
    <w:rsid w:val="00F10F52"/>
    <w:rsid w:val="00F11B26"/>
    <w:rsid w:val="00F123F1"/>
    <w:rsid w:val="00F128E6"/>
    <w:rsid w:val="00F13064"/>
    <w:rsid w:val="00F13C14"/>
    <w:rsid w:val="00F141CA"/>
    <w:rsid w:val="00F14E94"/>
    <w:rsid w:val="00F15883"/>
    <w:rsid w:val="00F16303"/>
    <w:rsid w:val="00F16700"/>
    <w:rsid w:val="00F16AFB"/>
    <w:rsid w:val="00F16E8A"/>
    <w:rsid w:val="00F17C65"/>
    <w:rsid w:val="00F17E2F"/>
    <w:rsid w:val="00F20515"/>
    <w:rsid w:val="00F20A38"/>
    <w:rsid w:val="00F21DFD"/>
    <w:rsid w:val="00F21EBA"/>
    <w:rsid w:val="00F229F0"/>
    <w:rsid w:val="00F22C3B"/>
    <w:rsid w:val="00F23A9C"/>
    <w:rsid w:val="00F24A37"/>
    <w:rsid w:val="00F24DDD"/>
    <w:rsid w:val="00F24DED"/>
    <w:rsid w:val="00F24FA5"/>
    <w:rsid w:val="00F24FF6"/>
    <w:rsid w:val="00F2567C"/>
    <w:rsid w:val="00F25906"/>
    <w:rsid w:val="00F26407"/>
    <w:rsid w:val="00F2723F"/>
    <w:rsid w:val="00F272A1"/>
    <w:rsid w:val="00F272F7"/>
    <w:rsid w:val="00F2762D"/>
    <w:rsid w:val="00F3066B"/>
    <w:rsid w:val="00F31B23"/>
    <w:rsid w:val="00F31C39"/>
    <w:rsid w:val="00F33069"/>
    <w:rsid w:val="00F336A7"/>
    <w:rsid w:val="00F35227"/>
    <w:rsid w:val="00F3553D"/>
    <w:rsid w:val="00F3568B"/>
    <w:rsid w:val="00F356DF"/>
    <w:rsid w:val="00F35F47"/>
    <w:rsid w:val="00F35F58"/>
    <w:rsid w:val="00F36968"/>
    <w:rsid w:val="00F37F1B"/>
    <w:rsid w:val="00F400F9"/>
    <w:rsid w:val="00F408DD"/>
    <w:rsid w:val="00F40D71"/>
    <w:rsid w:val="00F417D5"/>
    <w:rsid w:val="00F428DC"/>
    <w:rsid w:val="00F444D7"/>
    <w:rsid w:val="00F4472F"/>
    <w:rsid w:val="00F44B9C"/>
    <w:rsid w:val="00F456CC"/>
    <w:rsid w:val="00F4599E"/>
    <w:rsid w:val="00F460FF"/>
    <w:rsid w:val="00F461FA"/>
    <w:rsid w:val="00F4667E"/>
    <w:rsid w:val="00F469BB"/>
    <w:rsid w:val="00F46A37"/>
    <w:rsid w:val="00F47129"/>
    <w:rsid w:val="00F4779B"/>
    <w:rsid w:val="00F50A91"/>
    <w:rsid w:val="00F51400"/>
    <w:rsid w:val="00F5160F"/>
    <w:rsid w:val="00F5166F"/>
    <w:rsid w:val="00F5169C"/>
    <w:rsid w:val="00F524DF"/>
    <w:rsid w:val="00F52B93"/>
    <w:rsid w:val="00F52C87"/>
    <w:rsid w:val="00F52D96"/>
    <w:rsid w:val="00F531EA"/>
    <w:rsid w:val="00F5339B"/>
    <w:rsid w:val="00F5364B"/>
    <w:rsid w:val="00F54B74"/>
    <w:rsid w:val="00F55130"/>
    <w:rsid w:val="00F55A14"/>
    <w:rsid w:val="00F56023"/>
    <w:rsid w:val="00F5671A"/>
    <w:rsid w:val="00F56821"/>
    <w:rsid w:val="00F568B2"/>
    <w:rsid w:val="00F568FF"/>
    <w:rsid w:val="00F569FD"/>
    <w:rsid w:val="00F570BE"/>
    <w:rsid w:val="00F570C8"/>
    <w:rsid w:val="00F5729D"/>
    <w:rsid w:val="00F605C4"/>
    <w:rsid w:val="00F60633"/>
    <w:rsid w:val="00F6102A"/>
    <w:rsid w:val="00F6241A"/>
    <w:rsid w:val="00F624E8"/>
    <w:rsid w:val="00F62743"/>
    <w:rsid w:val="00F62F1C"/>
    <w:rsid w:val="00F63989"/>
    <w:rsid w:val="00F639A6"/>
    <w:rsid w:val="00F639C1"/>
    <w:rsid w:val="00F6444A"/>
    <w:rsid w:val="00F64F53"/>
    <w:rsid w:val="00F65804"/>
    <w:rsid w:val="00F667CE"/>
    <w:rsid w:val="00F67A34"/>
    <w:rsid w:val="00F709E4"/>
    <w:rsid w:val="00F70D7E"/>
    <w:rsid w:val="00F71ED4"/>
    <w:rsid w:val="00F73952"/>
    <w:rsid w:val="00F73EC5"/>
    <w:rsid w:val="00F74CC3"/>
    <w:rsid w:val="00F7507A"/>
    <w:rsid w:val="00F765C6"/>
    <w:rsid w:val="00F76C2F"/>
    <w:rsid w:val="00F772ED"/>
    <w:rsid w:val="00F80283"/>
    <w:rsid w:val="00F80DCA"/>
    <w:rsid w:val="00F815DC"/>
    <w:rsid w:val="00F8229D"/>
    <w:rsid w:val="00F8476A"/>
    <w:rsid w:val="00F86CC1"/>
    <w:rsid w:val="00F8757C"/>
    <w:rsid w:val="00F87C10"/>
    <w:rsid w:val="00F92091"/>
    <w:rsid w:val="00F928D4"/>
    <w:rsid w:val="00F94199"/>
    <w:rsid w:val="00F949A9"/>
    <w:rsid w:val="00F959C6"/>
    <w:rsid w:val="00F96AA2"/>
    <w:rsid w:val="00F96B06"/>
    <w:rsid w:val="00F97334"/>
    <w:rsid w:val="00F975E1"/>
    <w:rsid w:val="00FA0380"/>
    <w:rsid w:val="00FA0DD0"/>
    <w:rsid w:val="00FA27F7"/>
    <w:rsid w:val="00FA3574"/>
    <w:rsid w:val="00FA3BF4"/>
    <w:rsid w:val="00FA4051"/>
    <w:rsid w:val="00FA55D3"/>
    <w:rsid w:val="00FA70B2"/>
    <w:rsid w:val="00FA738F"/>
    <w:rsid w:val="00FA78F1"/>
    <w:rsid w:val="00FA7AB0"/>
    <w:rsid w:val="00FA7B21"/>
    <w:rsid w:val="00FB041A"/>
    <w:rsid w:val="00FB06C8"/>
    <w:rsid w:val="00FB099E"/>
    <w:rsid w:val="00FB1DBD"/>
    <w:rsid w:val="00FB2819"/>
    <w:rsid w:val="00FB3273"/>
    <w:rsid w:val="00FB3348"/>
    <w:rsid w:val="00FB344D"/>
    <w:rsid w:val="00FB3677"/>
    <w:rsid w:val="00FB56B8"/>
    <w:rsid w:val="00FB56EA"/>
    <w:rsid w:val="00FB579B"/>
    <w:rsid w:val="00FB5E3F"/>
    <w:rsid w:val="00FB613D"/>
    <w:rsid w:val="00FB7240"/>
    <w:rsid w:val="00FB72D2"/>
    <w:rsid w:val="00FB770F"/>
    <w:rsid w:val="00FC03C7"/>
    <w:rsid w:val="00FC057D"/>
    <w:rsid w:val="00FC2526"/>
    <w:rsid w:val="00FC320D"/>
    <w:rsid w:val="00FC3B8A"/>
    <w:rsid w:val="00FC4B88"/>
    <w:rsid w:val="00FC570C"/>
    <w:rsid w:val="00FC5921"/>
    <w:rsid w:val="00FC5CF6"/>
    <w:rsid w:val="00FC63DD"/>
    <w:rsid w:val="00FC647A"/>
    <w:rsid w:val="00FC6C31"/>
    <w:rsid w:val="00FC7A96"/>
    <w:rsid w:val="00FC7D39"/>
    <w:rsid w:val="00FD0003"/>
    <w:rsid w:val="00FD0175"/>
    <w:rsid w:val="00FD084E"/>
    <w:rsid w:val="00FD2D5E"/>
    <w:rsid w:val="00FD34C0"/>
    <w:rsid w:val="00FD398D"/>
    <w:rsid w:val="00FD488D"/>
    <w:rsid w:val="00FD4ED8"/>
    <w:rsid w:val="00FD504C"/>
    <w:rsid w:val="00FD55A5"/>
    <w:rsid w:val="00FD6221"/>
    <w:rsid w:val="00FD658D"/>
    <w:rsid w:val="00FD6D3C"/>
    <w:rsid w:val="00FD7403"/>
    <w:rsid w:val="00FD75AC"/>
    <w:rsid w:val="00FD7856"/>
    <w:rsid w:val="00FD7A6A"/>
    <w:rsid w:val="00FE022F"/>
    <w:rsid w:val="00FE03BA"/>
    <w:rsid w:val="00FE0971"/>
    <w:rsid w:val="00FE121B"/>
    <w:rsid w:val="00FE12A5"/>
    <w:rsid w:val="00FE1538"/>
    <w:rsid w:val="00FE4A92"/>
    <w:rsid w:val="00FE5486"/>
    <w:rsid w:val="00FE55FA"/>
    <w:rsid w:val="00FE561D"/>
    <w:rsid w:val="00FE5A23"/>
    <w:rsid w:val="00FE68DE"/>
    <w:rsid w:val="00FE6C78"/>
    <w:rsid w:val="00FE70EB"/>
    <w:rsid w:val="00FE7B46"/>
    <w:rsid w:val="00FE7F70"/>
    <w:rsid w:val="00FF16B3"/>
    <w:rsid w:val="00FF224C"/>
    <w:rsid w:val="00FF2556"/>
    <w:rsid w:val="00FF2966"/>
    <w:rsid w:val="00FF30EC"/>
    <w:rsid w:val="00FF31FB"/>
    <w:rsid w:val="00FF327C"/>
    <w:rsid w:val="00FF357C"/>
    <w:rsid w:val="00FF3676"/>
    <w:rsid w:val="00FF3FF5"/>
    <w:rsid w:val="00FF4ACB"/>
    <w:rsid w:val="00FF4FC7"/>
    <w:rsid w:val="00FF7446"/>
    <w:rsid w:val="00FF75AC"/>
    <w:rsid w:val="03066021"/>
    <w:rsid w:val="0327C127"/>
    <w:rsid w:val="068C4C3D"/>
    <w:rsid w:val="068E849E"/>
    <w:rsid w:val="0ACFB424"/>
    <w:rsid w:val="0BD40AF5"/>
    <w:rsid w:val="0DC4BC97"/>
    <w:rsid w:val="0F4D9362"/>
    <w:rsid w:val="1383FC65"/>
    <w:rsid w:val="2365DD68"/>
    <w:rsid w:val="24DA0FD6"/>
    <w:rsid w:val="26E1C116"/>
    <w:rsid w:val="2B8303C1"/>
    <w:rsid w:val="2EABF962"/>
    <w:rsid w:val="3878C193"/>
    <w:rsid w:val="3A5E9F63"/>
    <w:rsid w:val="422F2948"/>
    <w:rsid w:val="4BAAE16A"/>
    <w:rsid w:val="505F8EFE"/>
    <w:rsid w:val="59FC008F"/>
    <w:rsid w:val="63115E1B"/>
    <w:rsid w:val="6608B1F4"/>
    <w:rsid w:val="693A5DE6"/>
    <w:rsid w:val="6B28AF82"/>
    <w:rsid w:val="6BDAC4DF"/>
    <w:rsid w:val="76750B05"/>
    <w:rsid w:val="76B6E38B"/>
    <w:rsid w:val="79B87578"/>
  </w:rsids>
  <m:mathPr>
    <m:mathFont m:val="Cambria Math"/>
    <m:brkBin m:val="before"/>
    <m:brkBinSub m:val="--"/>
    <m:smallFrac m:val="0"/>
    <m:dispDef m:val="0"/>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DB28974"/>
  <w15:chartTrackingRefBased/>
  <w15:docId w15:val="{B9CE3365-CE6B-484F-ABB7-70A0DC3BC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716"/>
    <w:pPr>
      <w:spacing w:after="200" w:line="240" w:lineRule="auto"/>
      <w:jc w:val="both"/>
    </w:pPr>
    <w:rPr>
      <w:rFonts w:ascii="Times" w:eastAsia="Times New Roman" w:hAnsi="Times" w:cs="Times New Roman"/>
      <w:sz w:val="24"/>
      <w:szCs w:val="20"/>
      <w:lang w:eastAsia="en-US"/>
    </w:rPr>
  </w:style>
  <w:style w:type="paragraph" w:styleId="Heading2">
    <w:name w:val="heading 2"/>
    <w:basedOn w:val="Normal"/>
    <w:link w:val="Heading2Char"/>
    <w:uiPriority w:val="9"/>
    <w:qFormat/>
    <w:rsid w:val="001323AE"/>
    <w:pPr>
      <w:spacing w:before="100" w:beforeAutospacing="1" w:after="100" w:afterAutospacing="1"/>
      <w:jc w:val="left"/>
      <w:outlineLvl w:val="1"/>
    </w:pPr>
    <w:rPr>
      <w:rFonts w:ascii="Times New Roman" w:hAnsi="Times New Roman"/>
      <w:b/>
      <w:bCs/>
      <w:sz w:val="36"/>
      <w:szCs w:val="36"/>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MainText">
    <w:name w:val="TA_Main_Text"/>
    <w:basedOn w:val="Normal"/>
    <w:link w:val="TAMainTextChar"/>
    <w:rsid w:val="00101716"/>
    <w:pPr>
      <w:spacing w:after="0" w:line="480" w:lineRule="auto"/>
      <w:ind w:firstLine="202"/>
    </w:pPr>
  </w:style>
  <w:style w:type="paragraph" w:customStyle="1" w:styleId="BATitle">
    <w:name w:val="BA_Title"/>
    <w:basedOn w:val="Normal"/>
    <w:next w:val="BBAuthorName"/>
    <w:rsid w:val="00101716"/>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rsid w:val="00101716"/>
    <w:pPr>
      <w:spacing w:after="240" w:line="480" w:lineRule="auto"/>
      <w:jc w:val="center"/>
    </w:pPr>
    <w:rPr>
      <w:i/>
    </w:rPr>
  </w:style>
  <w:style w:type="paragraph" w:customStyle="1" w:styleId="BCAuthorAddress">
    <w:name w:val="BC_Author_Address"/>
    <w:basedOn w:val="Normal"/>
    <w:next w:val="Normal"/>
    <w:rsid w:val="00101716"/>
    <w:pPr>
      <w:spacing w:after="240" w:line="480" w:lineRule="auto"/>
      <w:jc w:val="center"/>
    </w:pPr>
  </w:style>
  <w:style w:type="paragraph" w:customStyle="1" w:styleId="BDAbstract">
    <w:name w:val="BD_Abstract"/>
    <w:basedOn w:val="Normal"/>
    <w:next w:val="TAMainText"/>
    <w:rsid w:val="00101716"/>
    <w:pPr>
      <w:spacing w:before="360" w:after="360" w:line="480" w:lineRule="auto"/>
    </w:pPr>
  </w:style>
  <w:style w:type="paragraph" w:customStyle="1" w:styleId="BGKeywords">
    <w:name w:val="BG_Keywords"/>
    <w:basedOn w:val="Normal"/>
    <w:rsid w:val="00101716"/>
    <w:pPr>
      <w:spacing w:line="480" w:lineRule="auto"/>
    </w:pPr>
  </w:style>
  <w:style w:type="paragraph" w:styleId="NormalWeb">
    <w:name w:val="Normal (Web)"/>
    <w:basedOn w:val="Normal"/>
    <w:uiPriority w:val="99"/>
    <w:semiHidden/>
    <w:unhideWhenUsed/>
    <w:rsid w:val="00101716"/>
    <w:pPr>
      <w:spacing w:before="100" w:beforeAutospacing="1" w:after="100" w:afterAutospacing="1"/>
      <w:jc w:val="left"/>
    </w:pPr>
    <w:rPr>
      <w:rFonts w:ascii="Times New Roman" w:eastAsiaTheme="minorEastAsia" w:hAnsi="Times New Roman"/>
      <w:szCs w:val="24"/>
      <w:lang w:eastAsia="ko-KR"/>
    </w:rPr>
  </w:style>
  <w:style w:type="character" w:customStyle="1" w:styleId="TAMainTextChar">
    <w:name w:val="TA_Main_Text Char"/>
    <w:basedOn w:val="DefaultParagraphFont"/>
    <w:link w:val="TAMainText"/>
    <w:rsid w:val="00101716"/>
    <w:rPr>
      <w:rFonts w:ascii="Times" w:eastAsia="Times New Roman" w:hAnsi="Times" w:cs="Times New Roman"/>
      <w:sz w:val="24"/>
      <w:szCs w:val="20"/>
      <w:lang w:eastAsia="en-US"/>
    </w:rPr>
  </w:style>
  <w:style w:type="character" w:customStyle="1" w:styleId="A5">
    <w:name w:val="A5"/>
    <w:uiPriority w:val="99"/>
    <w:rsid w:val="00101716"/>
    <w:rPr>
      <w:rFonts w:cs="Minion"/>
      <w:color w:val="000000"/>
      <w:sz w:val="14"/>
      <w:szCs w:val="14"/>
    </w:rPr>
  </w:style>
  <w:style w:type="paragraph" w:customStyle="1" w:styleId="TCTableBody">
    <w:name w:val="TC_Table_Body"/>
    <w:basedOn w:val="Normal"/>
    <w:next w:val="Normal"/>
    <w:link w:val="TCTableBodyChar"/>
    <w:autoRedefine/>
    <w:rsid w:val="00101716"/>
    <w:pPr>
      <w:spacing w:before="20" w:after="60"/>
    </w:pPr>
    <w:rPr>
      <w:rFonts w:ascii="Arno Pro" w:eastAsia="Batang" w:hAnsi="Arno Pro"/>
      <w:kern w:val="20"/>
      <w:sz w:val="18"/>
    </w:rPr>
  </w:style>
  <w:style w:type="character" w:customStyle="1" w:styleId="TCTableBodyChar">
    <w:name w:val="TC_Table_Body Char"/>
    <w:link w:val="TCTableBody"/>
    <w:rsid w:val="00101716"/>
    <w:rPr>
      <w:rFonts w:ascii="Arno Pro" w:eastAsia="Batang" w:hAnsi="Arno Pro" w:cs="Times New Roman"/>
      <w:kern w:val="20"/>
      <w:sz w:val="18"/>
      <w:szCs w:val="20"/>
      <w:lang w:eastAsia="en-US"/>
    </w:rPr>
  </w:style>
  <w:style w:type="paragraph" w:customStyle="1" w:styleId="TESectionHeading">
    <w:name w:val="TE_Section_Heading"/>
    <w:basedOn w:val="Normal"/>
    <w:qFormat/>
    <w:rsid w:val="00101716"/>
    <w:pPr>
      <w:spacing w:before="180" w:after="60"/>
    </w:pPr>
    <w:rPr>
      <w:rFonts w:ascii="Myriad Pro Light" w:eastAsia="Batang" w:hAnsi="Myriad Pro Light"/>
      <w:b/>
      <w:caps/>
      <w:kern w:val="20"/>
      <w:sz w:val="21"/>
      <w:szCs w:val="18"/>
    </w:rPr>
  </w:style>
  <w:style w:type="paragraph" w:customStyle="1" w:styleId="FAAuthorInfoSubtitle">
    <w:name w:val="FA_Author_Info_Subtitle"/>
    <w:basedOn w:val="Normal"/>
    <w:link w:val="FAAuthorInfoSubtitleChar"/>
    <w:autoRedefine/>
    <w:rsid w:val="00101716"/>
    <w:pPr>
      <w:spacing w:before="120" w:after="60"/>
      <w:jc w:val="left"/>
    </w:pPr>
    <w:rPr>
      <w:rFonts w:ascii="Myriad Pro Light" w:eastAsia="Batang" w:hAnsi="Myriad Pro Light"/>
      <w:b/>
      <w:kern w:val="21"/>
      <w:sz w:val="19"/>
      <w:szCs w:val="14"/>
    </w:rPr>
  </w:style>
  <w:style w:type="character" w:customStyle="1" w:styleId="FAAuthorInfoSubtitleChar">
    <w:name w:val="FA_Author_Info_Subtitle Char"/>
    <w:link w:val="FAAuthorInfoSubtitle"/>
    <w:rsid w:val="00101716"/>
    <w:rPr>
      <w:rFonts w:ascii="Myriad Pro Light" w:eastAsia="Batang" w:hAnsi="Myriad Pro Light" w:cs="Times New Roman"/>
      <w:b/>
      <w:kern w:val="21"/>
      <w:sz w:val="19"/>
      <w:szCs w:val="14"/>
      <w:lang w:eastAsia="en-US"/>
    </w:rPr>
  </w:style>
  <w:style w:type="paragraph" w:customStyle="1" w:styleId="StyleFACorrespondingAuthorFootnote7pt">
    <w:name w:val="Style FA_Corresponding_Author_Footnote + 7 pt"/>
    <w:basedOn w:val="Normal"/>
    <w:next w:val="BGKeywords"/>
    <w:link w:val="StyleFACorrespondingAuthorFootnote7ptChar"/>
    <w:autoRedefine/>
    <w:rsid w:val="00101716"/>
    <w:pPr>
      <w:spacing w:after="0"/>
      <w:jc w:val="left"/>
    </w:pPr>
    <w:rPr>
      <w:rFonts w:ascii="Arno Pro" w:eastAsia="Batang" w:hAnsi="Arno Pro"/>
      <w:kern w:val="20"/>
      <w:sz w:val="18"/>
    </w:rPr>
  </w:style>
  <w:style w:type="character" w:customStyle="1" w:styleId="StyleFACorrespondingAuthorFootnote7ptChar">
    <w:name w:val="Style FA_Corresponding_Author_Footnote + 7 pt Char"/>
    <w:link w:val="StyleFACorrespondingAuthorFootnote7pt"/>
    <w:rsid w:val="00101716"/>
    <w:rPr>
      <w:rFonts w:ascii="Arno Pro" w:eastAsia="Batang" w:hAnsi="Arno Pro" w:cs="Times New Roman"/>
      <w:kern w:val="20"/>
      <w:sz w:val="18"/>
      <w:szCs w:val="20"/>
      <w:lang w:eastAsia="en-US"/>
    </w:rPr>
  </w:style>
  <w:style w:type="paragraph" w:customStyle="1" w:styleId="AuthorInformationTitle">
    <w:name w:val="Author_Information_Title"/>
    <w:basedOn w:val="Normal"/>
    <w:rsid w:val="00101716"/>
    <w:pPr>
      <w:spacing w:before="180" w:after="60"/>
    </w:pPr>
    <w:rPr>
      <w:rFonts w:ascii="Myriad Pro Light" w:eastAsia="Batang" w:hAnsi="Myriad Pro Light"/>
      <w:b/>
      <w:kern w:val="23"/>
      <w:sz w:val="21"/>
    </w:rPr>
  </w:style>
  <w:style w:type="paragraph" w:customStyle="1" w:styleId="TFReferencesSection">
    <w:name w:val="TF_References_Section"/>
    <w:basedOn w:val="Normal"/>
    <w:next w:val="Normal"/>
    <w:autoRedefine/>
    <w:rsid w:val="00101716"/>
    <w:pPr>
      <w:spacing w:after="0"/>
      <w:ind w:firstLine="187"/>
    </w:pPr>
    <w:rPr>
      <w:rFonts w:ascii="Arno Pro" w:eastAsia="Batang" w:hAnsi="Arno Pro"/>
      <w:kern w:val="19"/>
      <w:sz w:val="17"/>
      <w:szCs w:val="14"/>
    </w:rPr>
  </w:style>
  <w:style w:type="paragraph" w:customStyle="1" w:styleId="TDAcknowledgments">
    <w:name w:val="TD_Acknowledgments"/>
    <w:basedOn w:val="Normal"/>
    <w:next w:val="Normal"/>
    <w:link w:val="TDAcknowledgmentsChar"/>
    <w:autoRedefine/>
    <w:rsid w:val="00E04143"/>
    <w:pPr>
      <w:spacing w:after="0" w:line="480" w:lineRule="auto"/>
    </w:pPr>
    <w:rPr>
      <w:rFonts w:ascii="Times New Roman" w:eastAsia="Batang" w:hAnsi="Times New Roman"/>
      <w:kern w:val="20"/>
      <w:szCs w:val="24"/>
    </w:rPr>
  </w:style>
  <w:style w:type="character" w:styleId="Hyperlink">
    <w:name w:val="Hyperlink"/>
    <w:rsid w:val="00101716"/>
    <w:rPr>
      <w:color w:val="0000FF"/>
      <w:u w:val="single"/>
    </w:rPr>
  </w:style>
  <w:style w:type="paragraph" w:customStyle="1" w:styleId="TDAckTitle">
    <w:name w:val="TD_Ack_Title"/>
    <w:basedOn w:val="TDAcknowledgments"/>
    <w:link w:val="TDAckTitleChar"/>
    <w:rsid w:val="00101716"/>
    <w:pPr>
      <w:spacing w:before="180" w:after="60"/>
    </w:pPr>
    <w:rPr>
      <w:rFonts w:ascii="Myriad Pro Light" w:hAnsi="Myriad Pro Light"/>
      <w:b/>
      <w:kern w:val="23"/>
      <w:sz w:val="21"/>
    </w:rPr>
  </w:style>
  <w:style w:type="character" w:customStyle="1" w:styleId="TDAcknowledgmentsChar">
    <w:name w:val="TD_Acknowledgments Char"/>
    <w:link w:val="TDAcknowledgments"/>
    <w:rsid w:val="00E04143"/>
    <w:rPr>
      <w:rFonts w:ascii="Times New Roman" w:eastAsia="Batang" w:hAnsi="Times New Roman" w:cs="Times New Roman"/>
      <w:kern w:val="20"/>
      <w:sz w:val="24"/>
      <w:szCs w:val="24"/>
      <w:lang w:eastAsia="en-US"/>
    </w:rPr>
  </w:style>
  <w:style w:type="character" w:customStyle="1" w:styleId="TDAckTitleChar">
    <w:name w:val="TD_Ack_Title Char"/>
    <w:link w:val="TDAckTitle"/>
    <w:rsid w:val="00101716"/>
    <w:rPr>
      <w:rFonts w:ascii="Myriad Pro Light" w:eastAsia="Batang" w:hAnsi="Myriad Pro Light" w:cs="Times New Roman"/>
      <w:b/>
      <w:kern w:val="23"/>
      <w:sz w:val="21"/>
      <w:szCs w:val="20"/>
      <w:lang w:eastAsia="en-US"/>
    </w:rPr>
  </w:style>
  <w:style w:type="paragraph" w:styleId="BalloonText">
    <w:name w:val="Balloon Text"/>
    <w:basedOn w:val="Normal"/>
    <w:link w:val="BalloonTextChar"/>
    <w:uiPriority w:val="99"/>
    <w:semiHidden/>
    <w:unhideWhenUsed/>
    <w:rsid w:val="00290E8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0E82"/>
    <w:rPr>
      <w:rFonts w:ascii="Segoe UI" w:eastAsia="Times New Roman" w:hAnsi="Segoe UI" w:cs="Segoe UI"/>
      <w:sz w:val="18"/>
      <w:szCs w:val="18"/>
      <w:lang w:eastAsia="en-US"/>
    </w:rPr>
  </w:style>
  <w:style w:type="paragraph" w:styleId="Caption">
    <w:name w:val="caption"/>
    <w:basedOn w:val="Normal"/>
    <w:next w:val="Normal"/>
    <w:uiPriority w:val="35"/>
    <w:unhideWhenUsed/>
    <w:qFormat/>
    <w:rsid w:val="00B21ADE"/>
    <w:rPr>
      <w:i/>
      <w:iCs/>
      <w:color w:val="44546A" w:themeColor="text2"/>
      <w:sz w:val="18"/>
      <w:szCs w:val="18"/>
    </w:rPr>
  </w:style>
  <w:style w:type="paragraph" w:styleId="Header">
    <w:name w:val="header"/>
    <w:basedOn w:val="Normal"/>
    <w:link w:val="HeaderChar"/>
    <w:uiPriority w:val="99"/>
    <w:unhideWhenUsed/>
    <w:rsid w:val="00A823A0"/>
    <w:pPr>
      <w:tabs>
        <w:tab w:val="center" w:pos="4680"/>
        <w:tab w:val="right" w:pos="9360"/>
      </w:tabs>
      <w:spacing w:after="0"/>
    </w:pPr>
  </w:style>
  <w:style w:type="character" w:customStyle="1" w:styleId="HeaderChar">
    <w:name w:val="Header Char"/>
    <w:basedOn w:val="DefaultParagraphFont"/>
    <w:link w:val="Header"/>
    <w:uiPriority w:val="99"/>
    <w:rsid w:val="00A823A0"/>
    <w:rPr>
      <w:rFonts w:ascii="Times" w:eastAsia="Times New Roman" w:hAnsi="Times" w:cs="Times New Roman"/>
      <w:sz w:val="24"/>
      <w:szCs w:val="20"/>
      <w:lang w:eastAsia="en-US"/>
    </w:rPr>
  </w:style>
  <w:style w:type="paragraph" w:styleId="Footer">
    <w:name w:val="footer"/>
    <w:basedOn w:val="Normal"/>
    <w:link w:val="FooterChar"/>
    <w:uiPriority w:val="99"/>
    <w:unhideWhenUsed/>
    <w:rsid w:val="00A823A0"/>
    <w:pPr>
      <w:tabs>
        <w:tab w:val="center" w:pos="4680"/>
        <w:tab w:val="right" w:pos="9360"/>
      </w:tabs>
      <w:spacing w:after="0"/>
    </w:pPr>
  </w:style>
  <w:style w:type="character" w:customStyle="1" w:styleId="FooterChar">
    <w:name w:val="Footer Char"/>
    <w:basedOn w:val="DefaultParagraphFont"/>
    <w:link w:val="Footer"/>
    <w:uiPriority w:val="99"/>
    <w:rsid w:val="00A823A0"/>
    <w:rPr>
      <w:rFonts w:ascii="Times" w:eastAsia="Times New Roman" w:hAnsi="Times" w:cs="Times New Roman"/>
      <w:sz w:val="24"/>
      <w:szCs w:val="20"/>
      <w:lang w:eastAsia="en-US"/>
    </w:rPr>
  </w:style>
  <w:style w:type="character" w:styleId="PlaceholderText">
    <w:name w:val="Placeholder Text"/>
    <w:basedOn w:val="DefaultParagraphFont"/>
    <w:uiPriority w:val="99"/>
    <w:semiHidden/>
    <w:rsid w:val="007B0082"/>
    <w:rPr>
      <w:color w:val="808080"/>
    </w:rPr>
  </w:style>
  <w:style w:type="paragraph" w:styleId="ListParagraph">
    <w:name w:val="List Paragraph"/>
    <w:basedOn w:val="Normal"/>
    <w:uiPriority w:val="34"/>
    <w:qFormat/>
    <w:rsid w:val="00142664"/>
    <w:pPr>
      <w:ind w:left="720"/>
      <w:contextualSpacing/>
    </w:pPr>
  </w:style>
  <w:style w:type="character" w:styleId="CommentReference">
    <w:name w:val="annotation reference"/>
    <w:basedOn w:val="DefaultParagraphFont"/>
    <w:uiPriority w:val="99"/>
    <w:semiHidden/>
    <w:unhideWhenUsed/>
    <w:rsid w:val="002B59BE"/>
    <w:rPr>
      <w:sz w:val="16"/>
      <w:szCs w:val="16"/>
    </w:rPr>
  </w:style>
  <w:style w:type="paragraph" w:styleId="CommentText">
    <w:name w:val="annotation text"/>
    <w:basedOn w:val="Normal"/>
    <w:link w:val="CommentTextChar"/>
    <w:uiPriority w:val="99"/>
    <w:semiHidden/>
    <w:unhideWhenUsed/>
    <w:rsid w:val="002B59BE"/>
    <w:rPr>
      <w:sz w:val="20"/>
    </w:rPr>
  </w:style>
  <w:style w:type="character" w:customStyle="1" w:styleId="CommentTextChar">
    <w:name w:val="Comment Text Char"/>
    <w:basedOn w:val="DefaultParagraphFont"/>
    <w:link w:val="CommentText"/>
    <w:uiPriority w:val="99"/>
    <w:semiHidden/>
    <w:rsid w:val="002B59BE"/>
    <w:rPr>
      <w:rFonts w:ascii="Times" w:eastAsia="Times New Roman" w:hAnsi="Times"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2B59BE"/>
    <w:rPr>
      <w:b/>
      <w:bCs/>
    </w:rPr>
  </w:style>
  <w:style w:type="character" w:customStyle="1" w:styleId="CommentSubjectChar">
    <w:name w:val="Comment Subject Char"/>
    <w:basedOn w:val="CommentTextChar"/>
    <w:link w:val="CommentSubject"/>
    <w:uiPriority w:val="99"/>
    <w:semiHidden/>
    <w:rsid w:val="002B59BE"/>
    <w:rPr>
      <w:rFonts w:ascii="Times" w:eastAsia="Times New Roman" w:hAnsi="Times" w:cs="Times New Roman"/>
      <w:b/>
      <w:bCs/>
      <w:sz w:val="20"/>
      <w:szCs w:val="20"/>
      <w:lang w:eastAsia="en-US"/>
    </w:rPr>
  </w:style>
  <w:style w:type="paragraph" w:styleId="Revision">
    <w:name w:val="Revision"/>
    <w:hidden/>
    <w:uiPriority w:val="99"/>
    <w:semiHidden/>
    <w:rsid w:val="0000383A"/>
    <w:pPr>
      <w:spacing w:after="0" w:line="240" w:lineRule="auto"/>
    </w:pPr>
    <w:rPr>
      <w:rFonts w:ascii="Times" w:eastAsia="Times New Roman" w:hAnsi="Times" w:cs="Times New Roman"/>
      <w:sz w:val="24"/>
      <w:szCs w:val="20"/>
      <w:lang w:eastAsia="en-US"/>
    </w:rPr>
  </w:style>
  <w:style w:type="character" w:customStyle="1" w:styleId="Heading2Char">
    <w:name w:val="Heading 2 Char"/>
    <w:basedOn w:val="DefaultParagraphFont"/>
    <w:link w:val="Heading2"/>
    <w:uiPriority w:val="9"/>
    <w:rsid w:val="001323AE"/>
    <w:rPr>
      <w:rFonts w:ascii="Times New Roman" w:eastAsia="Times New Roman" w:hAnsi="Times New Roman" w:cs="Times New Roman"/>
      <w:b/>
      <w:bCs/>
      <w:sz w:val="36"/>
      <w:szCs w:val="36"/>
    </w:rPr>
  </w:style>
  <w:style w:type="paragraph" w:styleId="Subtitle">
    <w:name w:val="Subtitle"/>
    <w:basedOn w:val="Normal"/>
    <w:next w:val="Normal"/>
    <w:link w:val="SubtitleChar"/>
    <w:uiPriority w:val="11"/>
    <w:qFormat/>
    <w:rsid w:val="0022275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22756"/>
    <w:rPr>
      <w:color w:val="5A5A5A" w:themeColor="text1" w:themeTint="A5"/>
      <w:spacing w:val="15"/>
      <w:lang w:eastAsia="en-US"/>
    </w:rPr>
  </w:style>
  <w:style w:type="character" w:customStyle="1" w:styleId="ref-lnk">
    <w:name w:val="ref-lnk"/>
    <w:basedOn w:val="DefaultParagraphFont"/>
    <w:rsid w:val="00F24FF6"/>
  </w:style>
  <w:style w:type="character" w:styleId="UnresolvedMention">
    <w:name w:val="Unresolved Mention"/>
    <w:basedOn w:val="DefaultParagraphFont"/>
    <w:uiPriority w:val="99"/>
    <w:semiHidden/>
    <w:unhideWhenUsed/>
    <w:rsid w:val="00C33B44"/>
    <w:rPr>
      <w:color w:val="605E5C"/>
      <w:shd w:val="clear" w:color="auto" w:fill="E1DFDD"/>
    </w:rPr>
  </w:style>
  <w:style w:type="paragraph" w:customStyle="1" w:styleId="TESupportingInfoTitle">
    <w:name w:val="TE_Supporting_Info_Title"/>
    <w:basedOn w:val="Normal"/>
    <w:autoRedefine/>
    <w:rsid w:val="00680FCC"/>
    <w:pPr>
      <w:spacing w:before="180" w:after="60" w:line="360" w:lineRule="auto"/>
    </w:pPr>
    <w:rPr>
      <w:rFonts w:ascii="Times New Roman" w:hAnsi="Times New Roman"/>
      <w:b/>
      <w:caps/>
      <w:kern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3419369">
      <w:bodyDiv w:val="1"/>
      <w:marLeft w:val="0"/>
      <w:marRight w:val="0"/>
      <w:marTop w:val="0"/>
      <w:marBottom w:val="0"/>
      <w:divBdr>
        <w:top w:val="none" w:sz="0" w:space="0" w:color="auto"/>
        <w:left w:val="none" w:sz="0" w:space="0" w:color="auto"/>
        <w:bottom w:val="none" w:sz="0" w:space="0" w:color="auto"/>
        <w:right w:val="none" w:sz="0" w:space="0" w:color="auto"/>
      </w:divBdr>
    </w:div>
    <w:div w:id="763914891">
      <w:bodyDiv w:val="1"/>
      <w:marLeft w:val="0"/>
      <w:marRight w:val="0"/>
      <w:marTop w:val="0"/>
      <w:marBottom w:val="0"/>
      <w:divBdr>
        <w:top w:val="none" w:sz="0" w:space="0" w:color="auto"/>
        <w:left w:val="none" w:sz="0" w:space="0" w:color="auto"/>
        <w:bottom w:val="none" w:sz="0" w:space="0" w:color="auto"/>
        <w:right w:val="none" w:sz="0" w:space="0" w:color="auto"/>
      </w:divBdr>
      <w:divsChild>
        <w:div w:id="941372959">
          <w:marLeft w:val="0"/>
          <w:marRight w:val="0"/>
          <w:marTop w:val="0"/>
          <w:marBottom w:val="75"/>
          <w:divBdr>
            <w:top w:val="none" w:sz="0" w:space="0" w:color="auto"/>
            <w:left w:val="none" w:sz="0" w:space="0" w:color="auto"/>
            <w:bottom w:val="none" w:sz="0" w:space="0" w:color="auto"/>
            <w:right w:val="none" w:sz="0" w:space="0" w:color="auto"/>
          </w:divBdr>
        </w:div>
      </w:divsChild>
    </w:div>
    <w:div w:id="1457410073">
      <w:bodyDiv w:val="1"/>
      <w:marLeft w:val="0"/>
      <w:marRight w:val="0"/>
      <w:marTop w:val="0"/>
      <w:marBottom w:val="0"/>
      <w:divBdr>
        <w:top w:val="none" w:sz="0" w:space="0" w:color="auto"/>
        <w:left w:val="none" w:sz="0" w:space="0" w:color="auto"/>
        <w:bottom w:val="none" w:sz="0" w:space="0" w:color="auto"/>
        <w:right w:val="none" w:sz="0" w:space="0" w:color="auto"/>
      </w:divBdr>
    </w:div>
    <w:div w:id="1583948247">
      <w:bodyDiv w:val="1"/>
      <w:marLeft w:val="0"/>
      <w:marRight w:val="0"/>
      <w:marTop w:val="0"/>
      <w:marBottom w:val="0"/>
      <w:divBdr>
        <w:top w:val="none" w:sz="0" w:space="0" w:color="auto"/>
        <w:left w:val="none" w:sz="0" w:space="0" w:color="auto"/>
        <w:bottom w:val="none" w:sz="0" w:space="0" w:color="auto"/>
        <w:right w:val="none" w:sz="0" w:space="0" w:color="auto"/>
      </w:divBdr>
    </w:div>
    <w:div w:id="1846819074">
      <w:bodyDiv w:val="1"/>
      <w:marLeft w:val="0"/>
      <w:marRight w:val="0"/>
      <w:marTop w:val="0"/>
      <w:marBottom w:val="0"/>
      <w:divBdr>
        <w:top w:val="none" w:sz="0" w:space="0" w:color="auto"/>
        <w:left w:val="none" w:sz="0" w:space="0" w:color="auto"/>
        <w:bottom w:val="none" w:sz="0" w:space="0" w:color="auto"/>
        <w:right w:val="none" w:sz="0" w:space="0" w:color="auto"/>
      </w:divBdr>
    </w:div>
    <w:div w:id="2035616685">
      <w:bodyDiv w:val="1"/>
      <w:marLeft w:val="0"/>
      <w:marRight w:val="0"/>
      <w:marTop w:val="0"/>
      <w:marBottom w:val="0"/>
      <w:divBdr>
        <w:top w:val="none" w:sz="0" w:space="0" w:color="auto"/>
        <w:left w:val="none" w:sz="0" w:space="0" w:color="auto"/>
        <w:bottom w:val="none" w:sz="0" w:space="0" w:color="auto"/>
        <w:right w:val="none" w:sz="0" w:space="0" w:color="auto"/>
      </w:divBdr>
      <w:divsChild>
        <w:div w:id="1862550312">
          <w:marLeft w:val="0"/>
          <w:marRight w:val="0"/>
          <w:marTop w:val="0"/>
          <w:marBottom w:val="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image" Target="media/image5.tif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E01AA32C232545B6A9A7F503328571" ma:contentTypeVersion="13" ma:contentTypeDescription="Create a new document." ma:contentTypeScope="" ma:versionID="45e651fca9b65feedc8f3b4ff73c97c7">
  <xsd:schema xmlns:xsd="http://www.w3.org/2001/XMLSchema" xmlns:xs="http://www.w3.org/2001/XMLSchema" xmlns:p="http://schemas.microsoft.com/office/2006/metadata/properties" xmlns:ns1="http://schemas.microsoft.com/sharepoint/v3" xmlns:ns3="af1ca828-dcc6-4759-9a86-0b81aeaeebb0" xmlns:ns4="f2b49a89-598d-4876-b6dc-d70028e347fb" targetNamespace="http://schemas.microsoft.com/office/2006/metadata/properties" ma:root="true" ma:fieldsID="fab0c080f2e636fd5f4f9fefcf3bb3b5" ns1:_="" ns3:_="" ns4:_="">
    <xsd:import namespace="http://schemas.microsoft.com/sharepoint/v3"/>
    <xsd:import namespace="af1ca828-dcc6-4759-9a86-0b81aeaeebb0"/>
    <xsd:import namespace="f2b49a89-598d-4876-b6dc-d70028e347f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1ca828-dcc6-4759-9a86-0b81aeaeebb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b49a89-598d-4876-b6dc-d70028e347f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SO690.XSL" StyleName="ISO 690 - First Element and Date" Version="1987"/>
</file>

<file path=customXml/itemProps1.xml><?xml version="1.0" encoding="utf-8"?>
<ds:datastoreItem xmlns:ds="http://schemas.openxmlformats.org/officeDocument/2006/customXml" ds:itemID="{AEF13395-5452-4185-B9AB-0BD57E47981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2A5DE9D-3E8C-49D1-BF23-F0655CA17172}">
  <ds:schemaRefs>
    <ds:schemaRef ds:uri="http://schemas.microsoft.com/sharepoint/v3/contenttype/forms"/>
  </ds:schemaRefs>
</ds:datastoreItem>
</file>

<file path=customXml/itemProps3.xml><?xml version="1.0" encoding="utf-8"?>
<ds:datastoreItem xmlns:ds="http://schemas.openxmlformats.org/officeDocument/2006/customXml" ds:itemID="{B70929D7-F283-469F-8CD5-BF12C8FD40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f1ca828-dcc6-4759-9a86-0b81aeaeebb0"/>
    <ds:schemaRef ds:uri="f2b49a89-598d-4876-b6dc-d70028e34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289FC7-09AA-4A04-B141-9AF570786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28351</Words>
  <Characters>161607</Characters>
  <Application>Microsoft Office Word</Application>
  <DocSecurity>0</DocSecurity>
  <Lines>1346</Lines>
  <Paragraphs>379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Chon, Bonghwan (IntlAssoc)</dc:creator>
  <cp:keywords/>
  <dc:description/>
  <cp:lastModifiedBy>Lee, Young Jong (Fed)</cp:lastModifiedBy>
  <cp:revision>3</cp:revision>
  <cp:lastPrinted>2019-12-28T08:52:00Z</cp:lastPrinted>
  <dcterms:created xsi:type="dcterms:W3CDTF">2020-12-26T21:22:00Z</dcterms:created>
  <dcterms:modified xsi:type="dcterms:W3CDTF">2020-12-26T21:35:00Z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cbdce40b-ac77-3537-9058-1ad9038eb51c</vt:lpwstr>
  </property>
  <property fmtid="{D5CDD505-2E9C-101B-9397-08002B2CF9AE}" pid="4" name="Mendeley Citation Style_1">
    <vt:lpwstr>http://csl.mendeley.com/styles/63794611/american-chemical-society-no-DOI</vt:lpwstr>
  </property>
  <property fmtid="{D5CDD505-2E9C-101B-9397-08002B2CF9AE}" pid="5" name="Mendeley Recent Style Id 0_1">
    <vt:lpwstr>http://csl.mendeley.com/styles/63794611/american-chemical-society-no-DOI</vt:lpwstr>
  </property>
  <property fmtid="{D5CDD505-2E9C-101B-9397-08002B2CF9AE}" pid="6" name="Mendeley Recent Style Name 0_1">
    <vt:lpwstr>American Chemical Society - Young Jong Lee, Ph.D.</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http://www.zotero.org/styles/journal-of-the-american-chemical-society</vt:lpwstr>
  </property>
  <property fmtid="{D5CDD505-2E9C-101B-9397-08002B2CF9AE}" pid="18" name="Mendeley Recent Style Name 6_1">
    <vt:lpwstr>Journal of the American Chemical Society</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http://www.zotero.org/styles/science-advances</vt:lpwstr>
  </property>
  <property fmtid="{D5CDD505-2E9C-101B-9397-08002B2CF9AE}" pid="24" name="Mendeley Recent Style Name 9_1">
    <vt:lpwstr>Science Advances</vt:lpwstr>
  </property>
  <property fmtid="{D5CDD505-2E9C-101B-9397-08002B2CF9AE}" pid="25" name="ContentTypeId">
    <vt:lpwstr>0x010100C0E01AA32C232545B6A9A7F503328571</vt:lpwstr>
  </property>
</Properties>
</file>