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3F891" w14:textId="2A12764E" w:rsidR="009246AD" w:rsidRDefault="006C7A9F" w:rsidP="00AB34C5">
      <w:pPr>
        <w:pStyle w:val="BATitle"/>
        <w:jc w:val="left"/>
      </w:pPr>
      <w:r w:rsidRPr="006C7A9F">
        <w:t>Quantifying Carboxylic Acid Concentration in Model Polyamide Desalination Membranes via Fourier Transform Infrared Spectroscopy</w:t>
      </w:r>
    </w:p>
    <w:p w14:paraId="5D93BD13" w14:textId="0A629D0D" w:rsidR="009246AD" w:rsidRDefault="00E91EE9" w:rsidP="00AB34C5">
      <w:pPr>
        <w:pStyle w:val="BBAuthorName"/>
        <w:jc w:val="left"/>
      </w:pPr>
      <w:r w:rsidRPr="00E91EE9">
        <w:t>Tawanda J. Zimudzi,</w:t>
      </w:r>
      <w:r>
        <w:rPr>
          <w:rFonts w:cs="Times"/>
          <w:vertAlign w:val="superscript"/>
        </w:rPr>
        <w:t>†</w:t>
      </w:r>
      <w:r w:rsidRPr="00E91EE9">
        <w:t xml:space="preserve"> </w:t>
      </w:r>
      <w:r w:rsidR="00DC0A38" w:rsidRPr="00E91EE9">
        <w:t>Kathleen E. Feldman,</w:t>
      </w:r>
      <w:r w:rsidR="00DC0A38">
        <w:rPr>
          <w:rFonts w:ascii="Times New Roman" w:hAnsi="Times New Roman"/>
          <w:vertAlign w:val="superscript"/>
        </w:rPr>
        <w:t>§</w:t>
      </w:r>
      <w:r w:rsidR="00DC0A38" w:rsidRPr="00DC0A38">
        <w:rPr>
          <w:rFonts w:ascii="Times New Roman" w:hAnsi="Times New Roman"/>
        </w:rPr>
        <w:t xml:space="preserve"> </w:t>
      </w:r>
      <w:r w:rsidRPr="00E91EE9">
        <w:t>James F. Sturnfield,</w:t>
      </w:r>
      <w:r w:rsidR="002571A8">
        <w:rPr>
          <w:rFonts w:ascii="Times New Roman" w:hAnsi="Times New Roman"/>
          <w:vertAlign w:val="superscript"/>
        </w:rPr>
        <w:t>‖</w:t>
      </w:r>
      <w:r w:rsidRPr="00E91EE9">
        <w:t xml:space="preserve"> Abhishek Roy</w:t>
      </w:r>
      <w:r w:rsidR="00DC0A38">
        <w:t>,</w:t>
      </w:r>
      <w:r w:rsidR="00622409" w:rsidRPr="00622409">
        <w:rPr>
          <w:rFonts w:ascii="Times New Roman" w:hAnsi="Times New Roman"/>
          <w:vertAlign w:val="superscript"/>
        </w:rPr>
        <w:t>ǂ</w:t>
      </w:r>
      <w:r w:rsidR="00DC0A38" w:rsidRPr="00DC0A38">
        <w:t xml:space="preserve"> </w:t>
      </w:r>
      <w:r w:rsidR="00DC0A38" w:rsidRPr="00E91EE9">
        <w:t>Michael A. Hickner,</w:t>
      </w:r>
      <w:r w:rsidR="00DC0A38" w:rsidRPr="00456818">
        <w:rPr>
          <w:rFonts w:cs="Times"/>
          <w:vertAlign w:val="superscript"/>
        </w:rPr>
        <w:t xml:space="preserve"> </w:t>
      </w:r>
      <w:r w:rsidR="00817FDE">
        <w:rPr>
          <w:rFonts w:cs="Times"/>
          <w:vertAlign w:val="superscript"/>
        </w:rPr>
        <w:t>†</w:t>
      </w:r>
      <w:r w:rsidR="00DC0A38">
        <w:rPr>
          <w:rFonts w:cs="Times"/>
          <w:vertAlign w:val="superscript"/>
        </w:rPr>
        <w:t>‡*</w:t>
      </w:r>
      <w:r w:rsidR="00DC0A38" w:rsidRPr="00E91EE9">
        <w:t xml:space="preserve"> </w:t>
      </w:r>
      <w:r w:rsidR="00DC0A38">
        <w:t xml:space="preserve">and </w:t>
      </w:r>
      <w:r w:rsidR="00DC0A38" w:rsidRPr="00E91EE9">
        <w:t>Christopher M. Stafford,</w:t>
      </w:r>
      <w:r w:rsidR="00DC0A38" w:rsidRPr="00456818">
        <w:rPr>
          <w:rFonts w:ascii="Times New Roman" w:hAnsi="Times New Roman"/>
          <w:vertAlign w:val="superscript"/>
        </w:rPr>
        <w:t xml:space="preserve"> </w:t>
      </w:r>
      <w:r w:rsidR="00DC0A38">
        <w:rPr>
          <w:rFonts w:ascii="Times New Roman" w:hAnsi="Times New Roman"/>
          <w:vertAlign w:val="superscript"/>
        </w:rPr>
        <w:t>§*</w:t>
      </w:r>
    </w:p>
    <w:p w14:paraId="2ABD5593" w14:textId="67CAE764" w:rsidR="00E91EE9" w:rsidRDefault="00456818" w:rsidP="00E91EE9">
      <w:pPr>
        <w:pStyle w:val="BCAuthorAddress"/>
        <w:jc w:val="left"/>
      </w:pPr>
      <w:r>
        <w:rPr>
          <w:rFonts w:cs="Times"/>
          <w:vertAlign w:val="superscript"/>
        </w:rPr>
        <w:t xml:space="preserve">† </w:t>
      </w:r>
      <w:r w:rsidR="00817FDE">
        <w:t>Materials Research Institute</w:t>
      </w:r>
      <w:r w:rsidR="00E91EE9">
        <w:t>, The Pennsylvania State University, University Park, PA 16802, USA</w:t>
      </w:r>
    </w:p>
    <w:p w14:paraId="2139C3E7" w14:textId="77777777" w:rsidR="00DC0A38" w:rsidRDefault="00DC0A38" w:rsidP="00DC0A38">
      <w:pPr>
        <w:pStyle w:val="BCAuthorAddress"/>
        <w:jc w:val="left"/>
      </w:pPr>
      <w:r>
        <w:rPr>
          <w:rFonts w:ascii="Times New Roman" w:hAnsi="Times New Roman"/>
          <w:vertAlign w:val="superscript"/>
        </w:rPr>
        <w:t>§</w:t>
      </w:r>
      <w:r>
        <w:t xml:space="preserve"> Materials Science and Engineering Division, National Institute of Standards and Technology, Gaithersburg, MD 20899, USA</w:t>
      </w:r>
    </w:p>
    <w:p w14:paraId="22CC9026" w14:textId="01CB2DB9" w:rsidR="00DC0A38" w:rsidRDefault="00DC0A38" w:rsidP="00DC0A38">
      <w:pPr>
        <w:pStyle w:val="BCAuthorAddress"/>
        <w:jc w:val="left"/>
      </w:pPr>
      <w:r>
        <w:rPr>
          <w:rFonts w:ascii="Times New Roman" w:hAnsi="Times New Roman"/>
          <w:vertAlign w:val="superscript"/>
        </w:rPr>
        <w:t>‖</w:t>
      </w:r>
      <w:r>
        <w:t xml:space="preserve"> Engineering and Process Sciences, Process Optimization, The Dow Chemical Company, Freeport, Texas 77541, U</w:t>
      </w:r>
      <w:r w:rsidR="00791D54">
        <w:t>SA</w:t>
      </w:r>
    </w:p>
    <w:p w14:paraId="1CC2CB50" w14:textId="72E9FBCC" w:rsidR="00DC0A38" w:rsidRDefault="00DC0A38" w:rsidP="00DC0A38">
      <w:pPr>
        <w:pStyle w:val="BCAuthorAddress"/>
        <w:jc w:val="left"/>
      </w:pPr>
      <w:r>
        <w:rPr>
          <w:rFonts w:ascii="Times New Roman" w:hAnsi="Times New Roman"/>
        </w:rPr>
        <w:t>ǂ</w:t>
      </w:r>
      <w:r>
        <w:t xml:space="preserve"> Dow Water and Process Solutions, </w:t>
      </w:r>
      <w:r w:rsidR="00791D54">
        <w:t xml:space="preserve">The Dow Chemical Company, </w:t>
      </w:r>
      <w:r>
        <w:t>Edina, Minnesota 55439, USA</w:t>
      </w:r>
    </w:p>
    <w:p w14:paraId="3C88C072" w14:textId="76FA31BC" w:rsidR="00E91EE9" w:rsidRDefault="00456818" w:rsidP="00E91EE9">
      <w:pPr>
        <w:pStyle w:val="BCAuthorAddress"/>
        <w:jc w:val="left"/>
      </w:pPr>
      <w:r>
        <w:rPr>
          <w:rFonts w:cs="Times"/>
          <w:vertAlign w:val="superscript"/>
        </w:rPr>
        <w:t>‡</w:t>
      </w:r>
      <w:r w:rsidR="00E91EE9">
        <w:t xml:space="preserve"> Department of Materials Science and Engineering, The Pennsylvania State University, University Park, PA 16802, USA</w:t>
      </w:r>
    </w:p>
    <w:p w14:paraId="60113B30" w14:textId="77777777" w:rsidR="00DC11BB" w:rsidRDefault="00DC11BB" w:rsidP="00D8038E">
      <w:pPr>
        <w:pStyle w:val="FACorrespondingAuthorFootnote"/>
        <w:spacing w:after="0"/>
        <w:jc w:val="left"/>
      </w:pPr>
    </w:p>
    <w:p w14:paraId="32D7EDB6" w14:textId="77777777" w:rsidR="00DC11BB" w:rsidRDefault="00DC11BB" w:rsidP="00D8038E">
      <w:pPr>
        <w:pStyle w:val="FACorrespondingAuthorFootnote"/>
        <w:spacing w:after="0"/>
        <w:jc w:val="left"/>
      </w:pPr>
    </w:p>
    <w:p w14:paraId="3F12B81B" w14:textId="39285C03" w:rsidR="00DC11BB" w:rsidRDefault="00DC11BB" w:rsidP="00D8038E">
      <w:pPr>
        <w:pStyle w:val="FACorrespondingAuthorFootnote"/>
        <w:spacing w:after="0"/>
        <w:jc w:val="left"/>
      </w:pPr>
      <w:r>
        <w:t>For Table of Contents use only</w:t>
      </w:r>
    </w:p>
    <w:p w14:paraId="1D1673E4" w14:textId="6E12E3DD" w:rsidR="00DC11BB" w:rsidRPr="00DC11BB" w:rsidRDefault="00693695" w:rsidP="00DC11BB">
      <w:pPr>
        <w:pStyle w:val="TAMainText"/>
      </w:pPr>
      <w:r>
        <w:rPr>
          <w:noProof/>
        </w:rPr>
        <w:drawing>
          <wp:inline distT="0" distB="0" distL="0" distR="0" wp14:anchorId="3B38EDF7" wp14:editId="0498D295">
            <wp:extent cx="2667000" cy="1257300"/>
            <wp:effectExtent l="0" t="0" r="0" b="0"/>
            <wp:docPr id="3" name="Picture 3" descr="C:\Users\cstaffor\AppData\Local\Microsoft\Windows\INetCache\Content.Word\TOC Graphic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taffor\AppData\Local\Microsoft\Windows\INetCache\Content.Word\TOC Graphic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257300"/>
                    </a:xfrm>
                    <a:prstGeom prst="rect">
                      <a:avLst/>
                    </a:prstGeom>
                    <a:noFill/>
                    <a:ln>
                      <a:noFill/>
                    </a:ln>
                  </pic:spPr>
                </pic:pic>
              </a:graphicData>
            </a:graphic>
          </wp:inline>
        </w:drawing>
      </w:r>
    </w:p>
    <w:p w14:paraId="1AECE73F" w14:textId="77777777" w:rsidR="00DC11BB" w:rsidRPr="00DC11BB" w:rsidRDefault="00DC11BB" w:rsidP="00DC11BB">
      <w:pPr>
        <w:pStyle w:val="TAMainText"/>
        <w:ind w:firstLine="0"/>
      </w:pPr>
    </w:p>
    <w:p w14:paraId="4283F6FD" w14:textId="240DC386" w:rsidR="00DE255A" w:rsidRDefault="00AB34C5" w:rsidP="00D8038E">
      <w:pPr>
        <w:pStyle w:val="FACorrespondingAuthorFootnote"/>
        <w:spacing w:after="0"/>
        <w:jc w:val="left"/>
      </w:pPr>
      <w:r>
        <w:t>KEYWORDS</w:t>
      </w:r>
      <w:r w:rsidR="00247746">
        <w:t>.</w:t>
      </w:r>
      <w:r>
        <w:t xml:space="preserve">  </w:t>
      </w:r>
      <w:r w:rsidR="00247746">
        <w:t xml:space="preserve">membranes; </w:t>
      </w:r>
      <w:r w:rsidR="00270787">
        <w:t xml:space="preserve">polyamides; </w:t>
      </w:r>
      <w:r w:rsidR="00247746">
        <w:t>water purification; functional groups; carboxylic acid; FTIR</w:t>
      </w:r>
    </w:p>
    <w:p w14:paraId="5BA72F03" w14:textId="4036D20F" w:rsidR="00683131" w:rsidRDefault="00AB34C5" w:rsidP="00683131">
      <w:pPr>
        <w:pStyle w:val="BDAbstract"/>
      </w:pPr>
      <w:r>
        <w:t>ABSTRACT</w:t>
      </w:r>
      <w:r w:rsidR="00DE255A">
        <w:t xml:space="preserve">: </w:t>
      </w:r>
      <w:r w:rsidR="00DE255A" w:rsidRPr="00DE255A">
        <w:t xml:space="preserve">Carboxylic acid groups impart hydrophilicity and ionizable </w:t>
      </w:r>
      <w:r w:rsidR="005F36FF">
        <w:t>moieties</w:t>
      </w:r>
      <w:r w:rsidR="005F36FF" w:rsidRPr="00DE255A">
        <w:t xml:space="preserve"> </w:t>
      </w:r>
      <w:r w:rsidR="00DE255A" w:rsidRPr="00DE255A">
        <w:t>to polyamide membranes</w:t>
      </w:r>
      <w:r w:rsidR="00614ADC">
        <w:t xml:space="preserve"> for desalination</w:t>
      </w:r>
      <w:r w:rsidR="00DE255A" w:rsidRPr="00DE255A">
        <w:t xml:space="preserve">, hence influencing water and ion transport through the </w:t>
      </w:r>
      <w:r w:rsidR="005F36FF" w:rsidRPr="00DE255A">
        <w:t>m</w:t>
      </w:r>
      <w:r w:rsidR="005F36FF">
        <w:t>aterial</w:t>
      </w:r>
      <w:r w:rsidR="00DE255A" w:rsidRPr="00DE255A">
        <w:t xml:space="preserve">. </w:t>
      </w:r>
      <w:r w:rsidR="001166D3">
        <w:t>Model polyamide films were synthesized via m</w:t>
      </w:r>
      <w:r w:rsidR="00DE255A" w:rsidRPr="00DE255A">
        <w:t>olecular layer-by-layer deposit</w:t>
      </w:r>
      <w:r w:rsidR="001166D3">
        <w:t>ion</w:t>
      </w:r>
      <w:r w:rsidR="00DE255A" w:rsidRPr="00DE255A">
        <w:t xml:space="preserve"> on </w:t>
      </w:r>
      <w:r w:rsidR="004F023D">
        <w:t>planar s</w:t>
      </w:r>
      <w:r w:rsidR="00DE255A" w:rsidRPr="00DE255A">
        <w:t xml:space="preserve">ubstrates </w:t>
      </w:r>
      <w:r w:rsidR="001D68AB">
        <w:t>to</w:t>
      </w:r>
      <w:r w:rsidR="00DE255A" w:rsidRPr="00DE255A">
        <w:t xml:space="preserve"> </w:t>
      </w:r>
      <w:r w:rsidR="005F36FF">
        <w:t xml:space="preserve">study the formation process of these materials and </w:t>
      </w:r>
      <w:r w:rsidR="00DE255A" w:rsidRPr="00DE255A">
        <w:t xml:space="preserve">overcome </w:t>
      </w:r>
      <w:r w:rsidR="001166D3">
        <w:t xml:space="preserve">the </w:t>
      </w:r>
      <w:r w:rsidR="00DE255A" w:rsidRPr="00DE255A">
        <w:t>chemical</w:t>
      </w:r>
      <w:r w:rsidR="005F36FF">
        <w:t xml:space="preserve"> and topological</w:t>
      </w:r>
      <w:r w:rsidR="00DE255A" w:rsidRPr="00DE255A">
        <w:t xml:space="preserve"> inhomogeneity </w:t>
      </w:r>
      <w:r w:rsidR="001166D3">
        <w:t>inherent to conventional</w:t>
      </w:r>
      <w:r w:rsidR="00DE255A" w:rsidRPr="00DE255A">
        <w:t xml:space="preserve"> interfacially polymerized </w:t>
      </w:r>
      <w:r w:rsidR="001166D3">
        <w:t>polyamide membranes</w:t>
      </w:r>
      <w:r w:rsidR="00DE255A" w:rsidRPr="00DE255A">
        <w:t xml:space="preserve">. The </w:t>
      </w:r>
      <w:r w:rsidR="001D68AB">
        <w:t xml:space="preserve">carboxylic </w:t>
      </w:r>
      <w:r w:rsidR="00DE255A" w:rsidRPr="00DE255A">
        <w:t xml:space="preserve">acid content </w:t>
      </w:r>
      <w:r w:rsidR="001F44CF">
        <w:t>i</w:t>
      </w:r>
      <w:r w:rsidR="001F44CF" w:rsidRPr="00DE255A">
        <w:t xml:space="preserve">n these model films </w:t>
      </w:r>
      <w:r w:rsidR="00DE255A" w:rsidRPr="00DE255A">
        <w:t>was characterized using Fourier transform infrared</w:t>
      </w:r>
      <w:r w:rsidR="00C06E9B">
        <w:t xml:space="preserve"> (FTIR)</w:t>
      </w:r>
      <w:r w:rsidR="00DE255A" w:rsidRPr="00DE255A">
        <w:t xml:space="preserve"> spectroscopy by quantifying the C=O band at 1718 cm</w:t>
      </w:r>
      <w:r w:rsidR="00DE255A" w:rsidRPr="001F44CF">
        <w:rPr>
          <w:vertAlign w:val="superscript"/>
        </w:rPr>
        <w:t>-1</w:t>
      </w:r>
      <w:r w:rsidR="00DE255A" w:rsidRPr="00DE255A">
        <w:t xml:space="preserve">. The </w:t>
      </w:r>
      <w:r w:rsidR="001D68AB">
        <w:t>concentration of carboxylic acid</w:t>
      </w:r>
      <w:r w:rsidR="00FB4D13">
        <w:t xml:space="preserve"> group</w:t>
      </w:r>
      <w:r w:rsidR="001D68AB">
        <w:t>s</w:t>
      </w:r>
      <w:r w:rsidR="00DE255A" w:rsidRPr="00DE255A">
        <w:t xml:space="preserve"> decreased as the </w:t>
      </w:r>
      <w:r w:rsidR="001F44CF">
        <w:t>thickness of the membrane increased</w:t>
      </w:r>
      <w:r w:rsidR="00DE255A" w:rsidRPr="00DE255A">
        <w:t xml:space="preserve">, </w:t>
      </w:r>
      <w:r w:rsidR="001D68AB">
        <w:t>suggestive</w:t>
      </w:r>
      <w:r w:rsidR="001D68AB" w:rsidRPr="00DE255A">
        <w:t xml:space="preserve"> </w:t>
      </w:r>
      <w:r w:rsidR="00DE255A" w:rsidRPr="00DE255A">
        <w:t xml:space="preserve">of </w:t>
      </w:r>
      <w:r w:rsidR="001D68AB">
        <w:t>an increase in</w:t>
      </w:r>
      <w:r w:rsidR="00DE255A" w:rsidRPr="00DE255A">
        <w:t xml:space="preserve"> crosslink density</w:t>
      </w:r>
      <w:r w:rsidR="001F44CF">
        <w:t xml:space="preserve"> as the polyamide network</w:t>
      </w:r>
      <w:r w:rsidR="001F44CF" w:rsidRPr="001F44CF">
        <w:t xml:space="preserve"> </w:t>
      </w:r>
      <w:r w:rsidR="001F44CF">
        <w:t>develop</w:t>
      </w:r>
      <w:r w:rsidR="004F023D">
        <w:t>s</w:t>
      </w:r>
      <w:r w:rsidR="00DE255A" w:rsidRPr="00DE255A">
        <w:t xml:space="preserve">. </w:t>
      </w:r>
      <w:r w:rsidR="001F44CF">
        <w:t>For the thinnest</w:t>
      </w:r>
      <w:r w:rsidR="00B96219">
        <w:t xml:space="preserve"> </w:t>
      </w:r>
      <w:r w:rsidR="00B96219" w:rsidRPr="003679FD">
        <w:rPr>
          <w:u w:val="single"/>
        </w:rPr>
        <w:t>molecular layer-by-layer</w:t>
      </w:r>
      <w:r w:rsidR="001F44CF" w:rsidRPr="003679FD">
        <w:rPr>
          <w:u w:val="single"/>
        </w:rPr>
        <w:t xml:space="preserve"> </w:t>
      </w:r>
      <w:r w:rsidR="00B96219" w:rsidRPr="003679FD">
        <w:t>(</w:t>
      </w:r>
      <w:r w:rsidR="00FB4D13" w:rsidRPr="003679FD">
        <w:t>mLbL</w:t>
      </w:r>
      <w:r w:rsidR="00B96219" w:rsidRPr="003679FD">
        <w:t>)</w:t>
      </w:r>
      <w:r w:rsidR="00FB4D13" w:rsidRPr="0071271A">
        <w:rPr>
          <w:u w:val="single"/>
        </w:rPr>
        <w:t xml:space="preserve"> </w:t>
      </w:r>
      <w:r w:rsidR="00FB4D13">
        <w:t>samples</w:t>
      </w:r>
      <w:r w:rsidR="001F44CF">
        <w:t>, t</w:t>
      </w:r>
      <w:r w:rsidR="00DE255A" w:rsidRPr="00DE255A">
        <w:t xml:space="preserve">he </w:t>
      </w:r>
      <w:r w:rsidR="001F44CF">
        <w:t xml:space="preserve">carboxylic </w:t>
      </w:r>
      <w:r w:rsidR="00DE255A" w:rsidRPr="00DE255A">
        <w:t xml:space="preserve">acid concentration </w:t>
      </w:r>
      <w:r w:rsidR="001F44CF">
        <w:t xml:space="preserve">for </w:t>
      </w:r>
      <w:r w:rsidR="00DE255A" w:rsidRPr="00DE255A">
        <w:t>film</w:t>
      </w:r>
      <w:r w:rsidR="001F44CF">
        <w:t>s</w:t>
      </w:r>
      <w:r w:rsidR="00DE255A" w:rsidRPr="00DE255A">
        <w:t xml:space="preserve"> on gold was 0.35 mmol g</w:t>
      </w:r>
      <w:r w:rsidR="00DE255A" w:rsidRPr="001F44CF">
        <w:rPr>
          <w:vertAlign w:val="superscript"/>
        </w:rPr>
        <w:t>-1</w:t>
      </w:r>
      <w:r w:rsidR="004F023D">
        <w:t>, whereas</w:t>
      </w:r>
      <w:r w:rsidR="00DE255A" w:rsidRPr="00DE255A">
        <w:t xml:space="preserve"> analogous </w:t>
      </w:r>
      <w:r w:rsidR="001F44CF">
        <w:t>films</w:t>
      </w:r>
      <w:r w:rsidR="00DE255A" w:rsidRPr="00DE255A">
        <w:t xml:space="preserve"> on silicon had an acid content of 0.56</w:t>
      </w:r>
      <w:r w:rsidR="00DE255A" w:rsidRPr="0071271A">
        <w:rPr>
          <w:u w:val="single"/>
        </w:rPr>
        <w:t xml:space="preserve"> </w:t>
      </w:r>
      <w:r w:rsidR="00DE255A" w:rsidRPr="003679FD">
        <w:rPr>
          <w:u w:val="single"/>
        </w:rPr>
        <w:t>mmol</w:t>
      </w:r>
      <w:r w:rsidR="00B96219" w:rsidRPr="003679FD">
        <w:rPr>
          <w:u w:val="single"/>
        </w:rPr>
        <w:t xml:space="preserve"> </w:t>
      </w:r>
      <w:r w:rsidR="00DE255A" w:rsidRPr="003679FD">
        <w:rPr>
          <w:u w:val="single"/>
        </w:rPr>
        <w:t>g</w:t>
      </w:r>
      <w:r w:rsidR="00DE255A" w:rsidRPr="003679FD">
        <w:rPr>
          <w:u w:val="single"/>
          <w:vertAlign w:val="superscript"/>
        </w:rPr>
        <w:t>-1</w:t>
      </w:r>
      <w:r w:rsidR="001F44CF" w:rsidRPr="0040427B">
        <w:t>,</w:t>
      </w:r>
      <w:r w:rsidR="001F44CF">
        <w:t xml:space="preserve"> indicating a </w:t>
      </w:r>
      <w:r w:rsidR="001166D3">
        <w:t>clear</w:t>
      </w:r>
      <w:r w:rsidR="001F44CF">
        <w:t xml:space="preserve"> influence of the substrate on the initial network formation</w:t>
      </w:r>
      <w:r w:rsidR="00DE255A" w:rsidRPr="00DE255A">
        <w:t xml:space="preserve">. </w:t>
      </w:r>
      <w:r w:rsidR="001F44CF">
        <w:t xml:space="preserve">As the </w:t>
      </w:r>
      <w:r w:rsidR="001166D3">
        <w:t xml:space="preserve">thickness of the </w:t>
      </w:r>
      <w:r w:rsidR="001F44CF">
        <w:t>membrane</w:t>
      </w:r>
      <w:r w:rsidR="001166D3">
        <w:t xml:space="preserve"> increased</w:t>
      </w:r>
      <w:r w:rsidR="001F44CF">
        <w:t xml:space="preserve">, </w:t>
      </w:r>
      <w:r w:rsidR="00DE255A" w:rsidRPr="00DE255A">
        <w:t xml:space="preserve">the influence of the substrate and initial layer growth became less significant as the </w:t>
      </w:r>
      <w:r w:rsidR="001166D3">
        <w:t>carboxylic acid concentration</w:t>
      </w:r>
      <w:r w:rsidR="00DE255A" w:rsidRPr="00DE255A">
        <w:t xml:space="preserve"> on both substrates</w:t>
      </w:r>
      <w:r w:rsidR="001F44CF">
        <w:t xml:space="preserve"> reached a </w:t>
      </w:r>
      <w:r w:rsidR="00FB4D13">
        <w:t>value</w:t>
      </w:r>
      <w:r w:rsidR="001F44CF">
        <w:t xml:space="preserve"> of 0.12 mmol g</w:t>
      </w:r>
      <w:r w:rsidR="001F44CF" w:rsidRPr="001F44CF">
        <w:rPr>
          <w:vertAlign w:val="superscript"/>
        </w:rPr>
        <w:t>-1</w:t>
      </w:r>
      <w:r w:rsidR="001166D3">
        <w:t>.</w:t>
      </w:r>
      <w:r w:rsidR="00C06E9B">
        <w:t xml:space="preserve"> We demonstrate that FTIR </w:t>
      </w:r>
      <w:r w:rsidR="00C06E9B">
        <w:lastRenderedPageBreak/>
        <w:t>spectroscopy is</w:t>
      </w:r>
      <w:r w:rsidR="00C06E9B" w:rsidRPr="00C06E9B">
        <w:t xml:space="preserve"> </w:t>
      </w:r>
      <w:r w:rsidR="000545EB">
        <w:t xml:space="preserve">a </w:t>
      </w:r>
      <w:r w:rsidR="00C06E9B">
        <w:t xml:space="preserve">practical </w:t>
      </w:r>
      <w:r w:rsidR="004E7056">
        <w:t xml:space="preserve">and </w:t>
      </w:r>
      <w:r w:rsidR="000545EB">
        <w:t>acc</w:t>
      </w:r>
      <w:r w:rsidR="004E7056">
        <w:t>ess</w:t>
      </w:r>
      <w:r w:rsidR="000545EB">
        <w:t>i</w:t>
      </w:r>
      <w:r w:rsidR="004E7056">
        <w:t xml:space="preserve">ble </w:t>
      </w:r>
      <w:r w:rsidR="00C06E9B">
        <w:t xml:space="preserve">way to quantify the carboxylic acid content in </w:t>
      </w:r>
      <w:r w:rsidR="00206AD7">
        <w:t xml:space="preserve">these types of </w:t>
      </w:r>
      <w:r w:rsidR="007B412C">
        <w:t xml:space="preserve">extremely thin </w:t>
      </w:r>
      <w:r w:rsidR="00C06E9B">
        <w:t>polyamide membranes</w:t>
      </w:r>
      <w:r w:rsidR="00FB4D13">
        <w:t xml:space="preserve"> to help quantify network formation</w:t>
      </w:r>
      <w:r w:rsidR="00A11CCB">
        <w:t xml:space="preserve"> in these materials</w:t>
      </w:r>
      <w:r w:rsidR="00C06E9B">
        <w:t>.</w:t>
      </w:r>
    </w:p>
    <w:p w14:paraId="37C35D88" w14:textId="405C0D9A" w:rsidR="00DC2AD6" w:rsidRDefault="00DC2AD6">
      <w:pPr>
        <w:spacing w:after="0"/>
        <w:jc w:val="left"/>
      </w:pPr>
    </w:p>
    <w:p w14:paraId="5E2789FE" w14:textId="776F77A4" w:rsidR="000545EB" w:rsidRDefault="000545EB" w:rsidP="000702AD">
      <w:pPr>
        <w:pStyle w:val="BGKeywords"/>
      </w:pPr>
      <w:r>
        <w:t>INTRODUCTION</w:t>
      </w:r>
    </w:p>
    <w:p w14:paraId="0A4DD215" w14:textId="4275DB72" w:rsidR="000545EB" w:rsidRDefault="000545EB" w:rsidP="000702AD">
      <w:pPr>
        <w:pStyle w:val="BGKeywords"/>
      </w:pPr>
      <w:r w:rsidRPr="000545EB">
        <w:t>Current state-of-the-art reverse osmosis and nanofiltration desalination membranes are constructed as a thin film composite: they consist of an extremely thin</w:t>
      </w:r>
      <w:r w:rsidR="00837D6E">
        <w:t xml:space="preserve"> (&lt; 100 nm)</w:t>
      </w:r>
      <w:r w:rsidRPr="000545EB">
        <w:t>, crosslinked polyamide selective layer that is supported by a porous polysulfone layer atop a non-woven polyester backing. The support layers serve as mechanical reinforcement against the large applied pressures necessary to overcome the osmotic pressure of high salinity feed waters</w:t>
      </w:r>
      <w:r w:rsidR="004F023D">
        <w:t>,</w:t>
      </w:r>
      <w:r w:rsidRPr="000545EB">
        <w:t xml:space="preserve"> while the </w:t>
      </w:r>
      <w:r w:rsidR="007B21E4">
        <w:t xml:space="preserve">dense </w:t>
      </w:r>
      <w:r w:rsidRPr="000545EB">
        <w:t xml:space="preserve">active layer performs the separation. These thin film composite membranes are traditionally prepared via interfacial polymerization between an aromatic or aliphatic diamine such as </w:t>
      </w:r>
      <w:r w:rsidRPr="004F023D">
        <w:rPr>
          <w:i/>
        </w:rPr>
        <w:t>m</w:t>
      </w:r>
      <w:r w:rsidRPr="000545EB">
        <w:t>-phenylenediamine (MPD) or piperazine (PIP) and an aromatic polyacyl chloride such as trimesolyl chloride (TMC). In efforts to deduce structure-property-performance relationships</w:t>
      </w:r>
      <w:r w:rsidR="007B21E4">
        <w:t xml:space="preserve"> of these materials</w:t>
      </w:r>
      <w:r w:rsidRPr="000545EB">
        <w:t>, detailed chemical and structur</w:t>
      </w:r>
      <w:r w:rsidR="004F023D">
        <w:t>al</w:t>
      </w:r>
      <w:r w:rsidRPr="000545EB">
        <w:t xml:space="preserve"> information of the polyamide selective layer is required</w:t>
      </w:r>
      <w:r>
        <w:t>.</w:t>
      </w:r>
      <w:r>
        <w:fldChar w:fldCharType="begin" w:fldLock="1"/>
      </w:r>
      <w:r w:rsidR="00EC4BA5">
        <w:instrText>ADDIN CSL_CITATION { "citationID" : "tU57yLt5", "citationItems" : [ { "id" : "ITEM-1", "itemData" : { "DOI" : "10.1021/acsami.5b05478", "ISSN" : "1944-8244, 1944-8252", "author" : [ { "dropping-particle" : "", "family" : "Lu", "given" : "Xinglin", "non-dropping-particle" : "", "parse-names" : false, "suffix" : "" }, { "dropping-particle" : "", "family" : "Nejati", "given" : "Siamak", "non-dropping-particle" : "", "parse-names" : false, "suffix" : "" }, { "dropping-particle" : "", "family" : "Choo", "given" : "Youngwoo", "non-dropping-particle" : "", "parse-names" : false, "suffix" : "" }, { "dropping-particle" : "", "family" : "Osuji", "given" : "Chinedum O.", "non-dropping-particle" : "", "parse-names" : false, "suffix" : "" }, { "dropping-particle" : "", "family" : "Ma", "given" : "Jun", "non-dropping-particle" : "", "parse-names" : false, "suffix" : "" }, { "dropping-particle" : "", "family" : "Elimelech", "given" : "Menachem", "non-dropping-particle" : "", "parse-names" : false, "suffix" : "" } ], "container-title" : "ACS Applied Materials &amp; Interfaces", "id" : "ITEM-1", "issue" : "31", "issued" : { "date-parts" : [ [ "2015", "8" ] ] }, "language" : "en", "page" : "16917-16922", "title" : "Elements Provide a Clue: Nanoscale Characterization of Thin-Film Composite Polyamide Membranes", "type" : "article-journal", "volume" : "7" }, "uri" : [ "http://www.mendeley.com/documents/?uuid=72c1846f-ec1b-498c-9b0b-d1db68203275" ], "uris" : [ "http://www.mendeley.com/documents/?uuid=72c1846f-ec1b-498c-9b0b-d1db68203275" ] }, { "id" : "ITEM-2", "itemData" : { "author" : [ { "dropping-particle" : "", "family" : "Rao", "given" : "A. Prakash", "non-dropping-particle" : "", "parse-names" : false, "suffix" : "" }, { "dropping-particle" : "V.", "family" : "Joshi", "given" : "S.", "non-dropping-particle" : "", "parse-names" : false, "suffix" : "" }, { "dropping-particle" : "", "family" : "Trivedi", "given" : "J. J.", "non-dropping-particle" : "", "parse-names" : false, "suffix" : "" }, { "dropping-particle" : "V.", "family" : "Devmurari", "given" : "C.", "non-dropping-particle" : "", "parse-names" : false, "suffix" : "" }, { "dropping-particle" : "", "family" : "Shah", "given" : "V. J.", "non-dropping-particle" : "", "parse-names" : false, "suffix" : "" } ], "container-title" : "Journal of Membrane Science", "id" : "ITEM-2", "issue" : "1", "issued" : { "date-parts" : [ [ "2003" ] ] }, "page" : "13\u201324", "title" : "Structure\u2013performance correlation of polyamide thin film composite membranes: effect of coating conditions on film formation", "type" : "article-journal", "volume" : "211" }, "uri" : [ "http://www.mendeley.com/documents/?uuid=1c09a787-4f50-4690-9079-eb6ff57734d0" ], "uris" : [ "http://www.mendeley.com/documents/?uuid=1c09a787-4f50-4690-9079-eb6ff57734d0" ] }, { "id" : "ITEM-3", "itemData" : { "DOI" : "10.1016/j.memsci.2010.04.032", "ISSN" : "03767388", "author" : [ { "dropping-particle" : "", "family" : "Pacheco", "given" : "Federico A.", "non-dropping-particle" : "", "parse-names" : false, "suffix" : "" }, { "dropping-particle" : "", "family" : "Pinnau", "given" : "Ingo", "non-dropping-particle" : "", "parse-names" : false, "suffix" : "" }, { "dropping-particle" : "", "family" : "Reinhard", "given" : "Martin", "non-dropping-particle" : "", "parse-names" : false, "suffix" : "" }, { "dropping-particle" : "", "family" : "Leckie", "given" : "James O.", "non-dropping-particle" : "", "parse-names" : false, "suffix" : "" } ], "container-title" : "Journal of Membrane Science", "id" : "ITEM-3", "issue" : "1-2", "issued" : { "date-parts" : [ [ "2010", "8" ] ] }, "language" : "en", "page" : "51-59", "title" : "Characterization of isolated polyamide thin films of RO and NF membranes using novel TEM techniques", "type" : "article-journal", "volume" : "358" }, "uri" : [ "http://www.mendeley.com/documents/?uuid=deaaa512-6827-4144-8e94-4eb544dfd439" ], "uris" : [ "http://www.mendeley.com/documents/?uuid=deaaa512-6827-4144-8e94-4eb544dfd439" ] } ], "mendeley" : { "formattedCitation" : "&lt;sup&gt;1\u20133&lt;/sup&gt;", "plainTextFormattedCitation" : "1\u20133", "previouslyFormattedCitation" : "&lt;sup&gt;1\u20133&lt;/sup&gt;" }, "properties" : { "formattedCitation" : "\\super 1\\uc0\\u8211{}3\\nosupersub{}", "plainCitation" : "1\u20133" }, "schema" : "https://github.com/citation-style-language/schema/raw/master/csl-citation.json" }</w:instrText>
      </w:r>
      <w:r>
        <w:fldChar w:fldCharType="separate"/>
      </w:r>
      <w:r w:rsidR="00EC4BA5" w:rsidRPr="00EC4BA5">
        <w:rPr>
          <w:rFonts w:cs="Times"/>
          <w:noProof/>
          <w:szCs w:val="24"/>
          <w:vertAlign w:val="superscript"/>
        </w:rPr>
        <w:t>1–3</w:t>
      </w:r>
      <w:r>
        <w:fldChar w:fldCharType="end"/>
      </w:r>
      <w:r w:rsidRPr="000545EB">
        <w:t xml:space="preserve"> However, the interfacial polymerization process leads to heterogenous, ridge-and-valley structures that make quantitative measurements of the physical properties of this layer extremely </w:t>
      </w:r>
      <w:r w:rsidRPr="0040427B">
        <w:t>difficult</w:t>
      </w:r>
      <w:r w:rsidRPr="003679FD">
        <w:t>.</w:t>
      </w:r>
      <w:r w:rsidR="00E8752D" w:rsidRPr="003679FD">
        <w:fldChar w:fldCharType="begin" w:fldLock="1"/>
      </w:r>
      <w:r w:rsidR="00E8752D" w:rsidRPr="003679FD">
        <w:instrText>ADDIN CSL_CITATION { "citationItems" : [ { "id" : "ITEM-1", "itemData" : { "DOI" : "10.1021/acsmacrolett.8b00301", "author" : [ { "dropping-particle" : "", "family" : "Culp", "given" : "Tyler E", "non-dropping-particle" : "", "parse-names" : false, "suffix" : "" }, { "dropping-particle" : "", "family" : "Ye", "given" : "Dan", "non-dropping-particle" : "", "parse-names" : false, "suffix" : "" }, { "dropping-particle" : "", "family" : "Paul", "given" : "Mou", "non-dropping-particle" : "", "parse-names" : false, "suffix" : "" }, { "dropping-particle" : "", "family" : "Roy", "given" : "Abhishek", "non-dropping-particle" : "", "parse-names" : false, "suffix" : "" }, { "dropping-particle" : "", "family" : "Behr", "given" : "Michael J", "non-dropping-particle" : "", "parse-names" : false, "suffix" : "" }, { "dropping-particle" : "", "family" : "Jons", "given" : "Steve", "non-dropping-particle" : "", "parse-names" : false, "suffix" : "" }, { "dropping-particle" : "", "family" : "Rosenberg", "given" : "Steve", "non-dropping-particle" : "", "parse-names" : false, "suffix" : "" }, { "dropping-particle" : "", "family" : "Wang", "given" : "Cheng", "non-dropping-particle" : "", "parse-names" : false, "suffix" : "" }, { "dropping-particle" : "", "family" : "Gomez", "given" : "Esther W", "non-dropping-particle" : "", "parse-names" : false, "suffix" : "" }, { "dropping-particle" : "", "family" : "Kumar", "given" : "Manish", "non-dropping-particle" : "", "parse-names" : false, "suffix" : "" }, { "dropping-particle" : "", "family" : "Gomez", "given" : "Enrique D", "non-dropping-particle" : "", "parse-names" : false, "suffix" : "" } ], "container-title" : "ACS Macro Letters", "id" : "ITEM-1", "issued" : { "date-parts" : [ [ "2018", "7", "17" ] ] }, "note" : "doi: 10.1021/acsmacrolett.8b00301", "page" : "927-932", "publisher" : "American Chemical Society", "title" : "Probing the Internal Microstructure of Polyamide Thin-Film Composite Membranes Using Resonant Soft X-ray Scattering", "type" : "article-journal" }, "uris" : [ "http://www.mendeley.com/documents/?uuid=fbb08724-14df-4bf8-b523-417cfb9cfd15" ] } ], "mendeley" : { "formattedCitation" : "&lt;sup&gt;4&lt;/sup&gt;", "plainTextFormattedCitation" : "4", "previouslyFormattedCitation" : "&lt;sup&gt;4&lt;/sup&gt;" }, "properties" : {  }, "schema" : "https://github.com/citation-style-language/schema/raw/master/csl-citation.json" }</w:instrText>
      </w:r>
      <w:r w:rsidR="00E8752D" w:rsidRPr="003679FD">
        <w:fldChar w:fldCharType="separate"/>
      </w:r>
      <w:r w:rsidR="00E8752D" w:rsidRPr="003679FD">
        <w:rPr>
          <w:noProof/>
          <w:vertAlign w:val="superscript"/>
        </w:rPr>
        <w:t>4</w:t>
      </w:r>
      <w:r w:rsidR="00E8752D" w:rsidRPr="003679FD">
        <w:fldChar w:fldCharType="end"/>
      </w:r>
      <w:r w:rsidRPr="000545EB">
        <w:t xml:space="preserve"> For example, traditional interfacial polymerization of TMC and MPD leads </w:t>
      </w:r>
      <w:r>
        <w:t>to a polyamide selective layer that is approximately (150 to 200) nm thick with a root mean square roughness of (80 to 120</w:t>
      </w:r>
      <w:r w:rsidR="00297377">
        <w:t>)</w:t>
      </w:r>
      <w:r>
        <w:t xml:space="preserve"> nm.</w:t>
      </w:r>
      <w:r w:rsidR="00514EFD">
        <w:fldChar w:fldCharType="begin" w:fldLock="1"/>
      </w:r>
      <w:r w:rsidR="00E8752D">
        <w:instrText>ADDIN CSL_CITATION { "citationID" : "a2jq3c9qdts", "citationItems" : [ { "id" : "ITEM-1", "itemData" : { "DOI" : "10.1016/j.memsci.2015.09.059", "ISSN" : "03767388", "author" : [ { "dropping-particle" : "", "family" : "Lin", "given" : "Lin", "non-dropping-particle" : "", "parse-names" : false, "suffix" : "" }, { "dropping-particle" : "", "family" : "Feng", "given" : "Chengcheng", "non-dropping-particle" : "", "parse-names" : false, "suffix" : "" }, { "dropping-particle" : "", "family" : "Lopez", "given" : "Rene", "non-dropping-particle" : "", "parse-names" : false, "suffix" : "" }, { "dropping-particle" : "", "family" : "Coronell", "given" : "Orlando", "non-dropping-particle" : "", "parse-names" : false, "suffix" : "" } ], "container-title" : "Journal of Membrane Science", "id" : "ITEM-1", "issued" : { "date-parts" : [ [ "2016", "1" ] ] }, "language" : "en", "page" : "167-179", "title" : "Identifying facile and accurate methods to measure the thickness of the active layers of thin-film composite membranes \u2013 A comparison of seven characterization techniques", "type" : "article-journal", "volume" : "498" }, "uri" : [ "http://www.mendeley.com/documents/?uuid=6cd6fb37-9958-4d2d-b4c6-545def86705f" ], "uris" : [ "http://www.mendeley.com/documents/?uuid=6cd6fb37-9958-4d2d-b4c6-545def86705f" ] } ], "mendeley" : { "formattedCitation" : "&lt;sup&gt;5&lt;/sup&gt;", "plainTextFormattedCitation" : "5", "previouslyFormattedCitation" : "&lt;sup&gt;5&lt;/sup&gt;" }, "properties" : { "formattedCitation" : "\\super 4\\nosupersub{}", "plainCitation" : "4" }, "schema" : "https://github.com/citation-style-language/schema/raw/master/csl-citation.json" }</w:instrText>
      </w:r>
      <w:r w:rsidR="00514EFD">
        <w:fldChar w:fldCharType="separate"/>
      </w:r>
      <w:r w:rsidR="00E8752D" w:rsidRPr="00E8752D">
        <w:rPr>
          <w:rFonts w:cs="Times"/>
          <w:noProof/>
          <w:szCs w:val="24"/>
          <w:vertAlign w:val="superscript"/>
        </w:rPr>
        <w:t>5</w:t>
      </w:r>
      <w:r w:rsidR="00514EFD">
        <w:fldChar w:fldCharType="end"/>
      </w:r>
      <w:r>
        <w:t xml:space="preserve">  Additionally, </w:t>
      </w:r>
      <w:r w:rsidR="004F023D">
        <w:t>it has been shown</w:t>
      </w:r>
      <w:r>
        <w:t xml:space="preserve"> that the performance of these membranes is highly sensitive to preparation conditions such as monomer concentration or support wetting and processing protocol.</w:t>
      </w:r>
      <w:r w:rsidR="00514EFD">
        <w:fldChar w:fldCharType="begin" w:fldLock="1"/>
      </w:r>
      <w:r w:rsidR="00E8752D">
        <w:instrText>ADDIN CSL_CITATION { "citationID" : "1iM7f7bR", "citationItems" : [ { "id" : "ITEM-1", "itemData" : { "DOI" : "http://dx.doi.org/10.1016/j.memsci.2012.02.038", "ISSN" : "0376-7388", "abstract" : "The influence of synthesis conditions (e.g., monomer concentration and membrane preparation protocol) on transport properties of polyamide thin-film composite (TFC) membranes prepared using m-phenylenediamine (MPD) and trimesoyl chloride (TMC) via interfacial polymerization is reported. For example, at 25 \u00b0C, NaCl rejection and permeate flux combinations of 99.6 \u00b1 0.1% and 42 \u00b1 3 L/(m2 h), respectively, were achieved in crossflow filtration using a 2000 ppm aqueous solution of NaCl and a transmembrane pressure difference of 225 psi (15.5 bar). Additionally, a sulfone diamine, disulfonated bis[4-(3-aminophenoxy)phenyl]sulfone (S-BAPS), was used in place of MPD to prepare TFC membranes. The resulting membranes had low NaCl rejection but somewhat higher permeate flux than MPD/TMC membranes. These membranes had reduced chlorine tolerance compared to those prepared using MPD as the diamine.", "author" : [ { "dropping-particle" : "", "family" : "Xie", "given" : "Wei", "non-dropping-particle" : "", "parse-names" : false, "suffix" : "" }, { "dropping-particle" : "", "family" : "Geise", "given" : "Geoffrey M", "non-dropping-particle" : "", "parse-names" : false, "suffix" : "" }, { "dropping-particle" : "", "family" : "Freeman", "given" : "Benny D", "non-dropping-particle" : "", "parse-names" : false, "suffix" : "" }, { "dropping-particle" : "", "family" : "Lee", "given" : "Hae-Seung", "non-dropping-particle" : "", "parse-names" : false, "suffix" : "" }, { "dropping-particle" : "", "family" : "Byun", "given" : "Gwangsu", "non-dropping-particle" : "", "parse-names" : false, "suffix" : "" }, { "dropping-particle" : "", "family" : "McGrath", "given" : "James E", "non-dropping-particle" : "", "parse-names" : false, "suffix" : "" } ], "container-title" : "Journal of Membrane Science", "id" : "ITEM-1", "issued" : { "date-parts" : [ [ "2012", "6" ] ] }, "page" : "152-161", "title" : "Polyamide interfacial composite membranes prepared from m-phenylene diamine, trimesoyl chloride and a new disulfonated diamine", "type" : "article-journal", "volume" : "403\u2013404" }, "uri" : [ "http://www.mendeley.com/documents/?uuid=86be9bd5-9066-4967-9f83-e7fd67b44547" ], "uris" : [ "http://www.mendeley.com/documents/?uuid=86be9bd5-9066-4967-9f83-e7fd67b44547" ] } ], "mendeley" : { "formattedCitation" : "&lt;sup&gt;6&lt;/sup&gt;", "plainTextFormattedCitation" : "6", "previouslyFormattedCitation" : "&lt;sup&gt;6&lt;/sup&gt;" }, "properties" : { "formattedCitation" : "\\super 5\\nosupersub{}", "plainCitation" : "5" }, "schema" : "https://github.com/citation-style-language/schema/raw/master/csl-citation.json" }</w:instrText>
      </w:r>
      <w:r w:rsidR="00514EFD">
        <w:fldChar w:fldCharType="separate"/>
      </w:r>
      <w:r w:rsidR="00E8752D" w:rsidRPr="00E8752D">
        <w:rPr>
          <w:rFonts w:cs="Times"/>
          <w:noProof/>
          <w:szCs w:val="24"/>
          <w:vertAlign w:val="superscript"/>
        </w:rPr>
        <w:t>6</w:t>
      </w:r>
      <w:r w:rsidR="00514EFD">
        <w:fldChar w:fldCharType="end"/>
      </w:r>
      <w:r>
        <w:t xml:space="preserve"> Thus, there is wide variability in performance metrics (water flux and salt rejection) reported in the literature and few fundamental measurements </w:t>
      </w:r>
      <w:r w:rsidR="004F023D">
        <w:t xml:space="preserve">of the intrinsic </w:t>
      </w:r>
      <w:r>
        <w:t>properties</w:t>
      </w:r>
      <w:r w:rsidR="007B21E4">
        <w:t>,</w:t>
      </w:r>
      <w:r>
        <w:t xml:space="preserve"> </w:t>
      </w:r>
      <w:r w:rsidR="007B21E4">
        <w:t>such as</w:t>
      </w:r>
      <w:r w:rsidR="004F023D">
        <w:t xml:space="preserve"> </w:t>
      </w:r>
      <w:r>
        <w:t>composition and structure</w:t>
      </w:r>
      <w:r w:rsidR="007B21E4">
        <w:t>,</w:t>
      </w:r>
      <w:r>
        <w:t xml:space="preserve"> of the active layer.</w:t>
      </w:r>
    </w:p>
    <w:p w14:paraId="65E56EEC" w14:textId="1D9B23B1" w:rsidR="000545EB" w:rsidRDefault="00514EFD" w:rsidP="000702AD">
      <w:pPr>
        <w:pStyle w:val="BGKeywords"/>
      </w:pPr>
      <w:r w:rsidRPr="00514EFD">
        <w:lastRenderedPageBreak/>
        <w:t xml:space="preserve">To enable new insight into the active layer materials, a new paradigm for generating the polyamide selective layer has been reported. Termed molecular layer-by-layer (mLbL) deposition, this process involves the sequential reaction of </w:t>
      </w:r>
      <w:r w:rsidR="00960055">
        <w:t>the</w:t>
      </w:r>
      <w:r w:rsidRPr="00514EFD">
        <w:t xml:space="preserve"> triacid chloride and diamine, with appropriate rinse steps in between each monomer deposition, to grow a crosslinked polyamide from a substrate or support.</w:t>
      </w:r>
      <w:r>
        <w:fldChar w:fldCharType="begin" w:fldLock="1"/>
      </w:r>
      <w:r w:rsidR="00122C0D">
        <w:instrText>ADDIN CSL_CITATION { "citationID" : "a10h9884ff2", "citationItems" : [ { "id" : "ITEM-1", "itemData" : { "DOI" : "10.1002/polb.23002", "ISSN" : "08876266", "author" : [ { "dropping-particle" : "", "family" : "Johnson", "given" : "Peter M.", "non-dropping-particle" : "", "parse-names" : false, "suffix" : "" }, { "dropping-particle" : "", "family" : "Yoon", "given" : "Joonsung", "non-dropping-particle" : "", "parse-names" : false, "suffix" : "" }, { "dropping-particle" : "", "family" : "Kelly", "given" : "Jennifer Y.", "non-dropping-particle" : "", "parse-names" : false, "suffix" : "" }, { "dropping-particle" : "", "family" : "Howarter", "given" : "John a.", "non-dropping-particle" : "", "parse-names" : false, "suffix" : "" }, { "dropping-particle" : "", "family" : "Stafford", "given" : "Christopher M.", "non-dropping-particle" : "", "parse-names" : false, "suffix" : "" } ], "container-title" : "Journal of Polymer Science Part B: Polymer Physics", "id" : "ITEM-1", "issue" : "3", "issued" : { "date-parts" : [ [ "2012", "2", "1" ] ] }, "page" : "168-173", "publisher" : "Wiley Subscription Services, Inc., A Wiley Company", "title" : "Molecular layer-by-layer deposition of highly crosslinked polyamide films", "type" : "article-journal", "volume" : "50" }, "uris" : [ "http://www.mendeley.com/documents/?uuid=7801332c-5617-4cbd-b7c6-d5cb184d1603" ] }, { "id" : "ITEM-2", "itemData" : { "author" : [ { "dropping-particle" : "", "family" : "Chan", "given" : "Edwin P.", "non-dropping-particle" : "", "parse-names" : false, "suffix" : "" }, { "dropping-particle" : "", "family" : "Lee", "given" : "Jung-Hyun", "non-dropping-particle" : "", "parse-names" : false, "suffix" : "" }, { "dropping-particle" : "", "family" : "Chung", "given" : "Jun Young", "non-dropping-particle" : "", "parse-names" : false, "suffix" : "" }, { "dropping-particle" : "", "family" : "Stafford", "given" : "Christopher M.", "non-dropping-particle" : "", "parse-names" : false, "suffix" : "" } ], "container-title" : "Review of Scientific Instruments", "id" : "ITEM-2", "issue" : "11", "issued" : { "date-parts" : [ [ "2012" ] ] }, "page" : "114102", "title" : "An automated spin-assisted approach for molecular layer-by-layer assembly of crosslinked polymer thin films", "type" : "article-journal", "volume" : "83" }, "uri" : [ "http://www.mendeley.com/documents/?uuid=a9939c01-f4ce-46e1-b3ac-4277d439043b" ], "uris" : [ "http://www.mendeley.com/documents/?uuid=a9939c01-f4ce-46e1-b3ac-4277d439043b" ] }, { "id" : "ITEM-3", "itemData" : { "DOI" : "10.1002/adma.201302030", "ISSN" : "09359648", "author" : [ { "dropping-particle" : "", "family" : "Gu", "given" : "Joung-Eun", "non-dropping-particle" : "", "parse-names" : false, "suffix" : "" }, { "dropping-particle" : "", "family" : "Lee", "given" : "Seunghye", "non-dropping-particle" : "", "parse-names" : false, "suffix" : "" }, { "dropping-particle" : "", "family" : "Stafford", "given" : "Christopher M.", "non-dropping-particle" : "", "parse-names" : false, "suffix" : "" }, { "dropping-particle" : "", "family" : "Lee", "given" : "Jong Suk", "non-dropping-particle" : "", "parse-names" : false, "suffix" : "" }, { "dropping-particle" : "", "family" : "Choi", "given" : "Wansuk", "non-dropping-particle" : "", "parse-names" : false, "suffix" : "" }, { "dropping-particle" : "", "family" : "Kim", "given" : "Bo-Young", "non-dropping-particle" : "", "parse-names" : false, "suffix" : "" }, { "dropping-particle" : "", "family" : "Baek", "given" : "Kyung-Youl", "non-dropping-particle" : "", "parse-names" : false, "suffix" : "" }, { "dropping-particle" : "", "family" : "Chan", "given" : "Edwin P.", "non-dropping-particle" : "", "parse-names" : false, "suffix" : "" }, { "dropping-particle" : "", "family" : "Chung", "given" : "Jun Young", "non-dropping-particle" : "", "parse-names" : false, "suffix" : "" }, { "dropping-particle" : "", "family" : "Bang", "given" : "Joona", "non-dropping-particle" : "", "parse-names" : false, "suffix" : "" }, { "dropping-particle" : "", "family" : "Lee", "given" : "Jung-Hyun", "non-dropping-particle" : "", "parse-names" : false, "suffix" : "" } ], "container-title" : "Advanced Materials", "id" : "ITEM-3", "issue" : "34", "issued" : { "date-parts" : [ [ "2013", "9" ] ] }, "language" : "en", "page" : "4778-4782", "title" : "Molecular Layer-by-Layer Assembled Thin-Film Composite Membranes for Water Desalination", "type" : "article-journal", "volume" : "25" }, "uri" : [ "http://www.mendeley.com/documents/?uuid=76bd09de-7fef-449e-af9e-20cfa69ee4a5" ], "uris" : [ "http://www.mendeley.com/documents/?uuid=76bd09de-7fef-449e-af9e-20cfa69ee4a5" ] } ], "mendeley" : { "formattedCitation" : "&lt;sup&gt;7\u20139&lt;/sup&gt;", "plainTextFormattedCitation" : "7\u20139", "previouslyFormattedCitation" : "&lt;sup&gt;7\u20139&lt;/sup&gt;" }, "properties" : { "formattedCitation" : "\\super 6\\uc0\\u8211{}8\\nosupersub{}", "plainCitation" : "6\u20138" }, "schema" : "https://github.com/citation-style-language/schema/raw/master/csl-citation.json" }</w:instrText>
      </w:r>
      <w:r>
        <w:fldChar w:fldCharType="separate"/>
      </w:r>
      <w:r w:rsidR="00E8752D" w:rsidRPr="00E8752D">
        <w:rPr>
          <w:rFonts w:cs="Times"/>
          <w:noProof/>
          <w:szCs w:val="24"/>
          <w:vertAlign w:val="superscript"/>
        </w:rPr>
        <w:t>7–9</w:t>
      </w:r>
      <w:r>
        <w:fldChar w:fldCharType="end"/>
      </w:r>
      <w:r>
        <w:t xml:space="preserve"> </w:t>
      </w:r>
      <w:r w:rsidRPr="00514EFD">
        <w:t>The ability to produce polyamide films/membranes with controlled thickness, roughness, and chemistry via mLbL has opened up new possibilities to employ high-fidelity characterization methods to elucidate the structure and pr</w:t>
      </w:r>
      <w:r>
        <w:t>operties of these materials.</w:t>
      </w:r>
      <w:r>
        <w:fldChar w:fldCharType="begin" w:fldLock="1"/>
      </w:r>
      <w:r w:rsidR="00E8752D">
        <w:instrText>ADDIN CSL_CITATION { "citationID" : "a1lgpemrdj2", "citationItems" : [ { "id" : "ITEM-1", "itemData" : { "DOI" : "10.1002/polb.23380", "ISSN" : "1099-0488", "author" : [ { "dropping-particle" : "", "family" : "Chan", "given" : "Edwin P", "non-dropping-particle" : "", "parse-names" : false, "suffix" : "" }, { "dropping-particle" : "", "family" : "Young", "given" : "Allison P", "non-dropping-particle" : "", "parse-names" : false, "suffix" : "" }, { "dropping-particle" : "", "family" : "Lee", "given" : "Jung-Hyun", "non-dropping-particle" : "", "parse-names" : false, "suffix" : "" }, { "dropping-particle" : "", "family" : "Stafford", "given" : "Christopher M", "non-dropping-particle" : "", "parse-names" : false, "suffix" : "" } ], "container-title" : "Journal of Polymer Science Part B: Polymer Physics", "id" : "ITEM-1", "issue" : "22", "issued" : { "date-parts" : [ [ "2013" ] ] }, "page" : "1647-1655", "title" : "Swelling of Ultrathin Molecular Layer-by-Layer Polyamide Water Desalination Membranes", "type" : "article-journal", "volume" : "51" }, "uri" : [ "http://www.mendeley.com/documents/?uuid=c7a2ad12-5022-4fab-9686-87d24ada2789" ], "uris" : [ "http://www.mendeley.com/documents/?uuid=c7a2ad12-5022-4fab-9686-87d24ada2789" ] }, { "id" : "ITEM-2", "itemData" : { "DOI" : "10.1039/c4sm00088a", "ISSN" : "1744-683X, 1744-6848", "author" : [ { "dropping-particle" : "", "family" : "Chan", "given" : "Edwin P.", "non-dropping-particle" : "", "parse-names" : false, "suffix" : "" } ], "container-title" : "Soft Matter", "id" : "ITEM-2", "issue" : "17", "issued" : { "date-parts" : [ [ "2014" ] ] }, "language" : "en", "page" : "2949", "title" : "Deswelling of ultrathin molecular layer-by-layer polyamide water desalination membranes", "type" : "article-journal", "volume" : "10" }, "uri" : [ "http://www.mendeley.com/documents/?uuid=5e439dbd-036b-4cc4-bbce-df1e3437fd60" ], "uris" : [ "http://www.mendeley.com/documents/?uuid=5e439dbd-036b-4cc4-bbce-df1e3437fd60" ] }, { "id" : "ITEM-3", "itemData" : { "DOI" : "10.1021/acs.jpcb.6b02801", "ISSN" : "1520-6106, 1520-5207", "author" : [ { "dropping-particle" : "", "family" : "Liyana-Arachchi", "given" : "Thilanga P.", "non-dropping-particle" : "", "parse-names" : false, "suffix" : "" }, { "dropping-particle" : "", "family" : "Sturnfield", "given" : "James F.", "non-dropping-particle" : "", "parse-names" : false, "suffix" : "" }, { "dropping-particle" : "", "family" : "Colina", "given" : "Coray M.", "non-dropping-particle" : "", "parse-names" : false, "suffix" : "" } ], "container-title" : "The Journal of Physical Chemistry B", "id" : "ITEM-3", "issue" : "35", "issued" : { "date-parts" : [ [ "2016", "9" ] ] }, "language" : "en", "page" : "9484-9494", "title" : "Ultrathin Molecular-Layer-by-Layer Polyamide Membranes: Insights from Atomistic Molecular Simulations", "type" : "article-journal", "volume" : "120" }, "uri" : [ "http://www.mendeley.com/documents/?uuid=74339ff4-980d-4287-b4bf-82f9d694772d" ], "uris" : [ "http://www.mendeley.com/documents/?uuid=74339ff4-980d-4287-b4bf-82f9d694772d" ] }, { "id" : "ITEM-4", "itemData" : { "DOI" : "10.1021/nn505318v", "ISSN" : "1936-0851, 1936-086X", "author" : [ { "dropping-particle" : "", "family" : "Choi", "given" : "Wansuk", "non-dropping-particle" : "", "parse-names" : false, "suffix" : "" }, { "dropping-particle" : "", "family" : "Gu", "given" : "Joung-Eun", "non-dropping-particle" : "", "parse-names" : false, "suffix" : "" }, { "dropping-particle" : "", "family" : "Park", "given" : "Sang-Hee", "non-dropping-particle" : "", "parse-names" : false, "suffix" : "" }, { "dropping-particle" : "", "family" : "Kim", "given" : "Seyong", "non-dropping-particle" : "", "parse-names" : false, "suffix" : "" }, { "dropping-particle" : "", "family" : "Bang", "given" : "Joona", "non-dropping-particle" : "", "parse-names" : false, "suffix" : "" }, { "dropping-particle" : "", "family" : "Baek", "given" : "Kyung-Youl", "non-dropping-particle" : "", "parse-names" : false, "suffix" : "" }, { "dropping-particle" : "", "family" : "Park", "given" : "Byoungnam", "non-dropping-particle" : "", "parse-names" : false, "suffix" : "" }, { "dropping-particle" : "", "family" : "Lee", "given" : "Jong Suk", "non-dropping-particle" : "", "parse-names" : false, "suffix" : "" }, { "dropping-particle" : "", "family" : "Chan", "given" : "Edwin P.", "non-dropping-particle" : "", "parse-names" : false, "suffix" : "" }, { "dropping-particle" : "", "family" : "Lee", "given" : "Jung-Hyun", "non-dropping-particle" : "", "parse-names" : false, "suffix" : "" } ], "container-title" : "ACS Nano", "id" : "ITEM-4", "issue" : "1", "issued" : { "date-parts" : [ [ "2015", "1" ] ] }, "language" : "en", "page" : "345-355", "title" : "Tailor-Made Polyamide Membranes for Water Desalination", "type" : "article-journal", "volume" : "9" }, "uri" : [ "http://www.mendeley.com/documents/?uuid=6ac56ff8-3818-478b-92a1-10b70dd4bae2" ], "uris" : [ "http://www.mendeley.com/documents/?uuid=6ac56ff8-3818-478b-92a1-10b70dd4bae2" ] }, { "id" : "ITEM-5", "itemData" : { "DOI" : "10.1002/adma.201302030", "ISSN" : "09359648", "author" : [ { "dropping-particle" : "", "family" : "Gu", "given" : "Joung-Eun", "non-dropping-particle" : "", "parse-names" : false, "suffix" : "" }, { "dropping-particle" : "", "family" : "Lee", "given" : "Seunghye", "non-dropping-particle" : "", "parse-names" : false, "suffix" : "" }, { "dropping-particle" : "", "family" : "Stafford", "given" : "Christopher M.", "non-dropping-particle" : "", "parse-names" : false, "suffix" : "" }, { "dropping-particle" : "", "family" : "Lee", "given" : "Jong Suk", "non-dropping-particle" : "", "parse-names" : false, "suffix" : "" }, { "dropping-particle" : "", "family" : "Choi", "given" : "Wansuk", "non-dropping-particle" : "", "parse-names" : false, "suffix" : "" }, { "dropping-particle" : "", "family" : "Kim", "given" : "Bo-Young", "non-dropping-particle" : "", "parse-names" : false, "suffix" : "" }, { "dropping-particle" : "", "family" : "Baek", "given" : "Kyung-Youl", "non-dropping-particle" : "", "parse-names" : false, "suffix" : "" }, { "dropping-particle" : "", "family" : "Chan", "given" : "Edwin P.", "non-dropping-particle" : "", "parse-names" : false, "suffix" : "" }, { "dropping-particle" : "", "family" : "Chung", "given" : "Jun Young", "non-dropping-particle" : "", "parse-names" : false, "suffix" : "" }, { "dropping-particle" : "", "family" : "Bang", "given" : "Joona", "non-dropping-particle" : "", "parse-names" : false, "suffix" : "" }, { "dropping-particle" : "", "family" : "Lee", "given" : "Jung-Hyun", "non-dropping-particle" : "", "parse-names" : false, "suffix" : "" } ], "container-title" : "Advanced Materials", "id" : "ITEM-5", "issue" : "34", "issued" : { "date-parts" : [ [ "2013", "9" ] ] }, "language" : "en", "page" : "4778-4782", "title" : "Molecular Layer-by-Layer Assembled Thin-Film Composite Membranes for Water Desalination", "type" : "article-journal", "volume" : "25" }, "uri" : [ "http://www.mendeley.com/documents/?uuid=76bd09de-7fef-449e-af9e-20cfa69ee4a5" ], "uris" : [ "http://www.mendeley.com/documents/?uuid=76bd09de-7fef-449e-af9e-20cfa69ee4a5" ] } ], "mendeley" : { "formattedCitation" : "&lt;sup&gt;9\u201313&lt;/sup&gt;", "plainTextFormattedCitation" : "9\u201313", "previouslyFormattedCitation" : "&lt;sup&gt;9\u201313&lt;/sup&gt;" }, "properties" : { "formattedCitation" : "\\super 8\\uc0\\u8211{}12\\nosupersub{}", "plainCitation" : "8\u201312" }, "schema" : "https://github.com/citation-style-language/schema/raw/master/csl-citation.json" }</w:instrText>
      </w:r>
      <w:r>
        <w:fldChar w:fldCharType="separate"/>
      </w:r>
      <w:r w:rsidR="00E8752D" w:rsidRPr="00E8752D">
        <w:rPr>
          <w:rFonts w:cs="Times"/>
          <w:noProof/>
          <w:szCs w:val="24"/>
          <w:vertAlign w:val="superscript"/>
        </w:rPr>
        <w:t>9–13</w:t>
      </w:r>
      <w:r>
        <w:fldChar w:fldCharType="end"/>
      </w:r>
    </w:p>
    <w:p w14:paraId="2C3608E7" w14:textId="4888DA31" w:rsidR="00B760D5" w:rsidRDefault="00B760D5" w:rsidP="000702AD">
      <w:pPr>
        <w:pStyle w:val="BGKeywords"/>
      </w:pPr>
      <w:r w:rsidRPr="00B760D5">
        <w:t>Of particular interest is the quantification of carboxylic acid groups within the polyamide active layer. The presence of carboxylic acids groups is a direct indication of incomplete crosslinking in the polyamide layer, and therefore provide</w:t>
      </w:r>
      <w:r w:rsidR="00960055">
        <w:t>s</w:t>
      </w:r>
      <w:r w:rsidRPr="00B760D5">
        <w:t xml:space="preserve"> some indication of the network structure of the membrane. Carboxylic acid groups, however, also impart hydrophilicity and ionizable groups to the membrane.</w:t>
      </w:r>
      <w:r>
        <w:fldChar w:fldCharType="begin" w:fldLock="1"/>
      </w:r>
      <w:r w:rsidR="00E8752D">
        <w:instrText>ADDIN CSL_CITATION { "citationID" : "pzuTWVSY", "citationItems" : [ { "id" : "ITEM-1", "itemData" : { "DOI" : "https://doi.org/10.1016/0376-7388(96)00127-5", "ISSN" : "0376-7388", "author" : [ { "dropping-particle" : "", "family" : "Childress", "given" : "Amy E", "non-dropping-particle" : "", "parse-names" : false, "suffix" : "" }, { "dropping-particle" : "", "family" : "Elimelech", "given" : "Menachem", "non-dropping-particle" : "", "parse-names" : false, "suffix" : "" } ], "container-title" : "Journal of Membrane Science", "id" : "ITEM-1", "issue" : "2", "issued" : { "date-parts" : [ [ "1996" ] ] }, "page" : "253-268", "title" : "Effect of solution chemistry on the surface charge of polymeric reverse osmosis and nanofiltration membranes", "type" : "article-journal", "volume" : "119" }, "uri" : [ "http://www.mendeley.com/documents/?uuid=4f3a0f5a-01b7-457b-9b56-bc0dcf84ab9d" ], "uris" : [ "http://www.mendeley.com/documents/?uuid=4f3a0f5a-01b7-457b-9b56-bc0dcf84ab9d" ] }, { "id" : "ITEM-2", "itemData" : { "DOI" : "10.1021/es200007h", "ISSN" : "0013-936X", "abstract" : "We studied the depth heterogeneity of fully aromatic polyamide (PA) active layers in commercial reverse osmosis (RO) and nanofiltration (NF) membranes by quantifying near-surface (i.e., top ?6 nm) and volume-averaged properties of the active layers using X-ray photoelectron spectrometry (XPS) and Rutherford backscattering spectrometry (RBS), respectively. Some membranes (e.g., ESPA3 RO) had active layers that were depth homogeneous with respect to the concentration and pKa distribution of carboxylic groups, degree of polymer cross-linking, concentration of barium ion probe that associated with ionized carboxylic groups, and steric effects experienced by barium ion. Other membranes (e.g., NF90 NF) had active layers that were depth heterogeneous with respect to the same properties. Our results therefore support the existence of both depth-homogeneous and depth-heterogeneous active layers. It remains to be assessed whether the depth heterogeneity consists of gradually changing properties throughout the active layer depth or of distinct sublayers with different properties.", "author" : [ { "dropping-particle" : "", "family" : "Coronell", "given" : "Orlando", "non-dropping-particle" : "", "parse-names" : false, "suffix" : "" }, { "dropping-particle" : "", "family" : "Mari\u00f1as", "given" : "Benito J", "non-dropping-particle" : "", "parse-names" : false, "suffix" : "" }, { "dropping-particle" : "", "family" : "Cahill", "given" : "David G", "non-dropping-particle" : "", "parse-names" : false, "suffix" : "" } ], "container-title" : "Environmental Science &amp; Technology", "id" : "ITEM-2", "issue" : "10", "issued" : { "date-parts" : [ [ "2011", "5" ] ] }, "page" : "4513-4520", "publisher" : "American Chemical Society", "title" : "Depth Heterogeneity of Fully Aromatic Polyamide Active Layers in Reverse Osmosis and Nanofiltration Membranes", "type" : "article-journal", "volume" : "45" }, "uri" : [ "http://www.mendeley.com/documents/?uuid=89a208f6-7eeb-4f54-adee-b3d7f9cee082" ], "uris" : [ "http://www.mendeley.com/documents/?uuid=89a208f6-7eeb-4f54-adee-b3d7f9cee082" ] }, { "id" : "ITEM-3", "itemData" : { "DOI" : "10.1016/j.memsci.2015.09.059", "ISSN" : "03767388", "author" : [ { "dropping-particle" : "", "family" : "Lin", "given" : "Lin", "non-dropping-particle" : "", "parse-names" : false, "suffix" : "" }, { "dropping-particle" : "", "family" : "Feng", "given" : "Chengcheng", "non-dropping-particle" : "", "parse-names" : false, "suffix" : "" }, { "dropping-particle" : "", "family" : "Lopez", "given" : "Rene", "non-dropping-particle" : "", "parse-names" : false, "suffix" : "" }, { "dropping-particle" : "", "family" : "Coronell", "given" : "Orlando", "non-dropping-particle" : "", "parse-names" : false, "suffix" : "" } ], "container-title" : "Journal of Membrane Science", "id" : "ITEM-3", "issued" : { "date-parts" : [ [ "2016", "1" ] ] }, "language" : "en", "page" : "167-179", "title" : "Identifying facile and accurate methods to measure the thickness of the active layers of thin-film composite membranes \u2013 A comparison of seven characterization techniques", "type" : "article-journal", "volume" : "498" }, "uri" : [ "http://www.mendeley.com/documents/?uuid=6cd6fb37-9958-4d2d-b4c6-545def86705f" ], "uris" : [ "http://www.mendeley.com/documents/?uuid=6cd6fb37-9958-4d2d-b4c6-545def86705f" ] } ], "mendeley" : { "formattedCitation" : "&lt;sup&gt;5,14,15&lt;/sup&gt;", "plainTextFormattedCitation" : "5,14,15", "previouslyFormattedCitation" : "&lt;sup&gt;5,14,15&lt;/sup&gt;" }, "properties" : { "formattedCitation" : "\\super 4,13,14\\nosupersub{}", "plainCitation" : "4,13,14" }, "schema" : "https://github.com/citation-style-language/schema/raw/master/csl-citation.json" }</w:instrText>
      </w:r>
      <w:r>
        <w:fldChar w:fldCharType="separate"/>
      </w:r>
      <w:r w:rsidR="00E8752D" w:rsidRPr="00E8752D">
        <w:rPr>
          <w:rFonts w:cs="Times"/>
          <w:noProof/>
          <w:szCs w:val="24"/>
          <w:vertAlign w:val="superscript"/>
        </w:rPr>
        <w:t>5,14,15</w:t>
      </w:r>
      <w:r>
        <w:fldChar w:fldCharType="end"/>
      </w:r>
      <w:r w:rsidRPr="00B760D5">
        <w:t xml:space="preserve"> For example, Jin et al. used Fourier transform infrared spectroscopy (FTIR) to show that water initially hydrogen bonds with the amide groups (CONH) within the polyamide film before hydrogen bonding with the carboxylic acid groups (COOH).</w:t>
      </w:r>
      <w:r>
        <w:fldChar w:fldCharType="begin" w:fldLock="1"/>
      </w:r>
      <w:r w:rsidR="00E8752D">
        <w:instrText>ADDIN CSL_CITATION { "citationID" : "ae0tv16bub", "citationItems" : [ { "id" : "ITEM-1", "itemData" : { "DOI" : "http://dx.doi.org/10.1016/j.memsci.2011.05.055", "ISSN" : "0376-7388", "abstract" : "A clear understanding of water diffusion mechanism is crucial for the design of efficient thin film composite (TFC) membranes for reverse osmosis. In this work, water absorption and desorption processes in poly(metaphenylene trimesamide) (MPTA), the active layer of TFC membranes, have been investigated by FTIR. Three different states of water molecules in the film were identified. The spectral data were assessed using 2D correlation analysis, and the sequence of the interactions in the absorption and desorption processes between water and the polymer matrix was determined. The moderately strong bound water hydrogen bonded with \u2013CO and \u2013NH\u2013 occurs first. Then water diffuses into free volume (microvoids), exhibiting weak hydrogen bonding interactions, as well as forms strong hydrogen bonds between the polyamide and water molecules. The process of water desorption is just the opposite in terms of the interaction sequence. Furthermore, it was found that a higher carboxyl content in the MPTA film results in a higher water flux.", "author" : [ { "dropping-particle" : "", "family" : "Jin", "given" : "Ying", "non-dropping-particle" : "", "parse-names" : false, "suffix" : "" }, { "dropping-particle" : "", "family" : "Wang", "given" : "Wei", "non-dropping-particle" : "", "parse-names" : false, "suffix" : "" }, { "dropping-particle" : "", "family" : "Su", "given" : "Zhaohui", "non-dropping-particle" : "", "parse-names" : false, "suffix" : "" } ], "container-title" : "Journal of Membrane Science", "id" : "ITEM-1", "issue" : "1\u20132", "issued" : { "date-parts" : [ [ "2011", "9", "1" ] ] }, "page" : "121-130", "title" : "Spectroscopic study on water diffusion in aromatic polyamide thin film", "type" : "article-journal", "volume" : "379" }, "uri" : [ "http://www.mendeley.com/documents/?uuid=30b8f41b-776c-4c8d-b347-ef780c5a255b" ], "uris" : [ "http://www.mendeley.com/documents/?uuid=30b8f41b-776c-4c8d-b347-ef780c5a255b" ] } ], "mendeley" : { "formattedCitation" : "&lt;sup&gt;16&lt;/sup&gt;", "plainTextFormattedCitation" : "16", "previouslyFormattedCitation" : "&lt;sup&gt;16&lt;/sup&gt;" }, "properties" : { "formattedCitation" : "\\super 15\\nosupersub{}", "plainCitation" : "15" }, "schema" : "https://github.com/citation-style-language/schema/raw/master/csl-citation.json" }</w:instrText>
      </w:r>
      <w:r>
        <w:fldChar w:fldCharType="separate"/>
      </w:r>
      <w:r w:rsidR="00E8752D" w:rsidRPr="00E8752D">
        <w:rPr>
          <w:rFonts w:cs="Times"/>
          <w:noProof/>
          <w:szCs w:val="24"/>
          <w:vertAlign w:val="superscript"/>
        </w:rPr>
        <w:t>16</w:t>
      </w:r>
      <w:r>
        <w:fldChar w:fldCharType="end"/>
      </w:r>
      <w:r w:rsidRPr="00B760D5">
        <w:t xml:space="preserve"> They attributed this preferential interaction to be simply a result of the higher concentration of amide groups within the membrane compared to carboxylic acids.  However, they also showed that membranes with a higher content of free carboxylic acid had an order of magnitude larger diffusion coefficient of water within the membrane, which argues that free carboxylic acid groups are highly desirable for enhanced membrane performance.</w:t>
      </w:r>
    </w:p>
    <w:p w14:paraId="60EED961" w14:textId="34E44782" w:rsidR="00B760D5" w:rsidRDefault="00B760D5" w:rsidP="000702AD">
      <w:pPr>
        <w:pStyle w:val="BGKeywords"/>
      </w:pPr>
      <w:r w:rsidRPr="00144E8B">
        <w:rPr>
          <w:bCs/>
        </w:rPr>
        <w:t xml:space="preserve">To obtain quantitative results using FTIR, the peak corresponding to the functional group of interest must be </w:t>
      </w:r>
      <w:r>
        <w:rPr>
          <w:bCs/>
        </w:rPr>
        <w:t>well understood in terms of its</w:t>
      </w:r>
      <w:r w:rsidRPr="00144E8B">
        <w:rPr>
          <w:bCs/>
        </w:rPr>
        <w:t xml:space="preserve"> position</w:t>
      </w:r>
      <w:r>
        <w:rPr>
          <w:bCs/>
        </w:rPr>
        <w:t>,</w:t>
      </w:r>
      <w:r w:rsidRPr="00144E8B">
        <w:rPr>
          <w:bCs/>
        </w:rPr>
        <w:t xml:space="preserve"> shape</w:t>
      </w:r>
      <w:r>
        <w:rPr>
          <w:bCs/>
        </w:rPr>
        <w:t>,</w:t>
      </w:r>
      <w:r w:rsidRPr="00144E8B">
        <w:rPr>
          <w:bCs/>
        </w:rPr>
        <w:t xml:space="preserve"> and width.</w:t>
      </w:r>
      <w:r>
        <w:rPr>
          <w:bCs/>
        </w:rPr>
        <w:t xml:space="preserve"> In this work, we used FTIR spectroscopy to quantify the carboxylic acid concentration in model polyamide films produced using molecular layer-by-layer assembly.  Specifically, we leverage density functional </w:t>
      </w:r>
      <w:r>
        <w:rPr>
          <w:bCs/>
        </w:rPr>
        <w:lastRenderedPageBreak/>
        <w:t>theory to aid in peak assignments and to constrain peak positions during fitting of the amide region in FTIR spectra of highly crosslinked polyamides. We then employed a series of commercial (bulk) membranes</w:t>
      </w:r>
      <w:r w:rsidR="00E425B9">
        <w:rPr>
          <w:bCs/>
        </w:rPr>
        <w:t xml:space="preserve"> with varying concentrations of carboxylic acid functionality</w:t>
      </w:r>
      <w:r>
        <w:rPr>
          <w:bCs/>
        </w:rPr>
        <w:t xml:space="preserve"> to determine the molar absorptivity of the carboxylic acid functional group in crosslinked polyamides. With this knowledge, we quantif</w:t>
      </w:r>
      <w:r w:rsidR="00960055">
        <w:rPr>
          <w:bCs/>
        </w:rPr>
        <w:t>ied</w:t>
      </w:r>
      <w:r>
        <w:rPr>
          <w:bCs/>
        </w:rPr>
        <w:t xml:space="preserve"> the carboxylic acid concentration in mLbL films as a function of cycle number (thickness) and on different substrates, which provides a direct measure of the extent of crosslinking within the polyamide network.</w:t>
      </w:r>
    </w:p>
    <w:p w14:paraId="745E2774" w14:textId="7ABD80B3" w:rsidR="000545EB" w:rsidRDefault="00B760D5" w:rsidP="000702AD">
      <w:pPr>
        <w:pStyle w:val="BGKeywords"/>
      </w:pPr>
      <w:r>
        <w:t>EXPERIMENTAL SECTION</w:t>
      </w:r>
    </w:p>
    <w:p w14:paraId="53E4C5A9" w14:textId="77777777" w:rsidR="00B760D5" w:rsidRDefault="00B760D5" w:rsidP="00B760D5">
      <w:pPr>
        <w:pStyle w:val="BGKeywords"/>
      </w:pPr>
      <w:r w:rsidRPr="0076083A">
        <w:rPr>
          <w:b/>
        </w:rPr>
        <w:t>General.</w:t>
      </w:r>
      <w:r>
        <w:t xml:space="preserve"> Equipment and instruments or materials are identified in the article to adequately specify the experimental details. Such identification does not imply recommendation by the National Institute of Standards and Technology, nor does it imply the materials are necessarily the best available for the purpose.</w:t>
      </w:r>
    </w:p>
    <w:p w14:paraId="0A7FB83E" w14:textId="09DB3676" w:rsidR="00B760D5" w:rsidRDefault="00B760D5" w:rsidP="00B760D5">
      <w:pPr>
        <w:pStyle w:val="BGKeywords"/>
      </w:pPr>
      <w:r w:rsidRPr="0076083A">
        <w:rPr>
          <w:b/>
        </w:rPr>
        <w:t>Membranes.</w:t>
      </w:r>
      <w:r>
        <w:t xml:space="preserve"> Samples for transmission IR experiments were prepared from uncoated commercial membranes (BWXE, Dow Chemical Company). These membranes were prepared via interfacial polymerization of trimesoyl chloride (TMC) and m-phenylene diamine (MPD), generating a network structure similar to that shown in Fig</w:t>
      </w:r>
      <w:r w:rsidR="002A35C1">
        <w:t>ure</w:t>
      </w:r>
      <w:r>
        <w:t xml:space="preserve"> 1. The reactions conditions were tailored in such a way as to create polyamide membranes of varying ion exchange capacity (IEC). The free acid [COO-] group is the only ionizable group in the material and thus is the only contributor to the measured IEC</w:t>
      </w:r>
      <w:r w:rsidR="00D715D8" w:rsidRPr="003679FD">
        <w:t>.  IEC was quantified using a RBS technique similar to Co</w:t>
      </w:r>
      <w:r w:rsidR="00493BEB" w:rsidRPr="003679FD">
        <w:t>ronell and Cahill</w:t>
      </w:r>
      <w:r w:rsidRPr="003679FD">
        <w:t>.</w:t>
      </w:r>
      <w:r w:rsidR="00690656" w:rsidRPr="003679FD">
        <w:fldChar w:fldCharType="begin" w:fldLock="1"/>
      </w:r>
      <w:r w:rsidR="00461E2C" w:rsidRPr="003679FD">
        <w:instrText>ADDIN CSL_CITATION { "citationItems" : [ { "id" : "ITEM-1", "itemData" : { "DOI" : "10.1021/es803595f", "ISSN" : "0013-936X", "author" : [ { "dropping-particle" : "", "family" : "Coronell", "given" : "Orlando", "non-dropping-particle" : "", "parse-names" : false, "suffix" : "" }, { "dropping-particle" : "", "family" : "", "given" : "Benito J Mari\u00f1as", "non-dropping-particle" : "", "parse-names" : false, "suffix" : "" }, { "dropping-particle" : "", "family" : "Cahill", "given" : "David G", "non-dropping-particle" : "", "parse-names" : false, "suffix" : "" } ], "container-title" : "Environmental Science &amp; Technology", "id" : "ITEM-1", "issue" : "13", "issued" : { "date-parts" : [ [ "2009", "7", "1" ] ] }, "note" : "doi: 10.1021/es803595f", "page" : "5042-5048", "publisher" : "American Chemical Society", "title" : "Accessibility and Ion Exchange Stoichiometry of Ionized Carboxylic Groups in the Active Layer of FT30 Reverse Osmosis Membrane", "type" : "article-journal", "volume" : "43" }, "uris" : [ "http://www.mendeley.com/documents/?uuid=37de0af6-787c-4960-9504-a01fd45aec35" ] }, { "id" : "ITEM-2", "itemData" : { "DOI" : "https://doi.org/10.1016/j.memsci.2006.05.015", "ISSN" : "0376-7388", "author" : [ { "dropping-particle" : "", "family" : "Mi", "given" : "Baoxia", "non-dropping-particle" : "", "parse-names" : false, "suffix" : "" }, { "dropping-particle" : "", "family" : "Coronell", "given" : "Orlando", "non-dropping-particle" : "", "parse-names" : false, "suffix" : "" }, { "dropping-particle" : "", "family" : "Mari\u00f1as", "given" : "Benito J", "non-dropping-particle" : "", "parse-names" : false, "suffix" : "" }, { "dropping-particle" : "", "family" : "Watanabe", "given" : "Fumiya", "non-dropping-particle" : "", "parse-names" : false, "suffix" : "" }, { "dropping-particle" : "", "family" : "Cahill", "given" : "David G", "non-dropping-particle" : "", "parse-names" : false, "suffix" : "" }, { "dropping-particle" : "", "family" : "Petrov", "given" : "Ivan", "non-dropping-particle" : "", "parse-names" : false, "suffix" : "" } ], "container-title" : "Journal of Membrane Science", "id" : "ITEM-2", "issue" : "1", "issued" : { "date-parts" : [ [ "2006" ] ] }, "page" : "71-81", "title" : "Physico-chemical characterization of NF/RO membrane active layers by Rutherford backscattering spectrometry", "type" : "article-journal", "volume" : "282" }, "uris" : [ "http://www.mendeley.com/documents/?uuid=ce65b04e-2d55-4f12-ae2a-839da64557b1" ] } ], "mendeley" : { "formattedCitation" : "&lt;sup&gt;17,18&lt;/sup&gt;", "plainTextFormattedCitation" : "17,18", "previouslyFormattedCitation" : "&lt;sup&gt;17,18&lt;/sup&gt;" }, "properties" : {  }, "schema" : "https://github.com/citation-style-language/schema/raw/master/csl-citation.json" }</w:instrText>
      </w:r>
      <w:r w:rsidR="00690656" w:rsidRPr="003679FD">
        <w:fldChar w:fldCharType="separate"/>
      </w:r>
      <w:r w:rsidR="00461E2C" w:rsidRPr="003679FD">
        <w:rPr>
          <w:noProof/>
          <w:vertAlign w:val="superscript"/>
        </w:rPr>
        <w:t>17,18</w:t>
      </w:r>
      <w:r w:rsidR="00690656" w:rsidRPr="003679FD">
        <w:fldChar w:fldCharType="end"/>
      </w:r>
      <w:r w:rsidRPr="003679FD">
        <w:t xml:space="preserve">  The IEC is defined as the milliequivalents of ionic group per gram of material (meq g</w:t>
      </w:r>
      <w:r w:rsidRPr="003679FD">
        <w:rPr>
          <w:vertAlign w:val="superscript"/>
        </w:rPr>
        <w:t>-1</w:t>
      </w:r>
      <w:r w:rsidRPr="003679FD">
        <w:t>)</w:t>
      </w:r>
      <w:r w:rsidR="00D715D8" w:rsidRPr="003679FD">
        <w:t xml:space="preserve"> and values report in this work have an error of </w:t>
      </w:r>
      <w:r w:rsidR="00D715D8" w:rsidRPr="003679FD">
        <w:rPr>
          <w:rFonts w:cs="Times"/>
        </w:rPr>
        <w:t>±</w:t>
      </w:r>
      <w:r w:rsidR="00D715D8" w:rsidRPr="003679FD">
        <w:t xml:space="preserve">10% over three </w:t>
      </w:r>
      <w:r w:rsidR="00690656" w:rsidRPr="003679FD">
        <w:t>replicates.</w:t>
      </w:r>
      <w:r w:rsidR="00690656" w:rsidRPr="004363A9">
        <w:rPr>
          <w:u w:val="single"/>
        </w:rPr>
        <w:t xml:space="preserve"> </w:t>
      </w:r>
    </w:p>
    <w:p w14:paraId="7E91A8AE" w14:textId="77777777" w:rsidR="00032222" w:rsidRDefault="00032222" w:rsidP="00032222">
      <w:pPr>
        <w:pStyle w:val="VAFigureCaption"/>
        <w:spacing w:after="240"/>
        <w:jc w:val="center"/>
      </w:pPr>
      <w:r>
        <w:rPr>
          <w:noProof/>
        </w:rPr>
        <w:lastRenderedPageBreak/>
        <w:drawing>
          <wp:inline distT="0" distB="0" distL="0" distR="0" wp14:anchorId="04971981" wp14:editId="33BA0FC7">
            <wp:extent cx="2743200" cy="46421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4642104"/>
                    </a:xfrm>
                    <a:prstGeom prst="rect">
                      <a:avLst/>
                    </a:prstGeom>
                  </pic:spPr>
                </pic:pic>
              </a:graphicData>
            </a:graphic>
          </wp:inline>
        </w:drawing>
      </w:r>
    </w:p>
    <w:p w14:paraId="35010E87" w14:textId="77777777" w:rsidR="00032222" w:rsidRDefault="00032222" w:rsidP="00032222">
      <w:pPr>
        <w:pStyle w:val="VAFigureCaption"/>
        <w:spacing w:after="240"/>
        <w:jc w:val="left"/>
      </w:pPr>
      <w:r>
        <w:t>Figure 1.</w:t>
      </w:r>
      <w:r w:rsidRPr="002A36D3">
        <w:rPr>
          <w:color w:val="000000" w:themeColor="text1"/>
        </w:rPr>
        <w:t xml:space="preserve"> </w:t>
      </w:r>
      <w:r w:rsidRPr="00E7384A">
        <w:rPr>
          <w:color w:val="000000" w:themeColor="text1"/>
        </w:rPr>
        <w:t>Chemical structures of the monomers used in the synthesis of fully aromatic polyamide membranes. The reaction between trimesoyl chloride and m-phenylene diamine results in a highly crosslinked network, where incomplete reaction results in residual carboxylic acid groups.</w:t>
      </w:r>
    </w:p>
    <w:p w14:paraId="7C5DC652" w14:textId="77777777" w:rsidR="0039697D" w:rsidRDefault="0039697D" w:rsidP="00B760D5">
      <w:pPr>
        <w:pStyle w:val="BGKeywords"/>
      </w:pPr>
    </w:p>
    <w:p w14:paraId="52FF5F11" w14:textId="26DF54B2" w:rsidR="00B760D5" w:rsidRPr="0040427B" w:rsidRDefault="00B760D5" w:rsidP="00B760D5">
      <w:pPr>
        <w:pStyle w:val="BGKeywords"/>
      </w:pPr>
      <w:r>
        <w:t xml:space="preserve">To isolate the membranes from the support structure, the polyester backing layer was first delaminated from the membrane by peeling the non-woven polyester layer from the </w:t>
      </w:r>
      <w:r w:rsidR="00436415">
        <w:t>membrane</w:t>
      </w:r>
      <w:r>
        <w:t>, and the polysulfone</w:t>
      </w:r>
      <w:r w:rsidR="00436415">
        <w:t xml:space="preserve"> was</w:t>
      </w:r>
      <w:r>
        <w:t xml:space="preserve"> removed by dissolution in dimethylformamide</w:t>
      </w:r>
      <w:r w:rsidR="001B41FD">
        <w:t>, as previously reported</w:t>
      </w:r>
      <w:r>
        <w:t>.</w:t>
      </w:r>
      <w:r>
        <w:fldChar w:fldCharType="begin" w:fldLock="1"/>
      </w:r>
      <w:r w:rsidR="00461E2C">
        <w:instrText>ADDIN CSL_CITATION { "citationID" : "AENErsg8", "citationItems" : [ { "id" : "ITEM-1", "itemData" : { "DOI" : "10.1021/es034815u", "ISSN" : "0013-936X", "author" : [ { "dropping-particle" : "", "family" : "Freger", "given" : "Viatcheslav", "non-dropping-particle" : "", "parse-names" : false, "suffix" : "" } ], "container-title" : "Environmental Science &amp; Technology", "id" : "ITEM-1", "issue" : "11", "issued" : { "date-parts" : [ [ "2004", "6", "1" ] ] }, "note" : "doi: 10.1021/es034815u", "page" : "3168-3175", "publisher" : "American Chemical Society", "title" : "Swelling and Morphology of the Skin Layer of Polyamide Composite Membranes:\u2009 An Atomic Force Microscopy Study", "type" : "article-journal", "volume" : "38" }, "uri" : [ "http://www.mendeley.com/documents/?uuid=a19d5d51-9fcb-4a93-97ba-df6033ab74ab" ], "uris" : [ "http://www.mendeley.com/documents/?uuid=a19d5d51-9fcb-4a93-97ba-df6033ab74ab" ] }, { "id" : "ITEM-2", "itemData" : { "DOI" : "10.1016/j.memsci.2015.09.059", "ISSN" : "03767388", "author" : [ { "dropping-particle" : "", "family" : "Lin", "given" : "Lin", "non-dropping-particle" : "", "parse-names" : false, "suffix" : "" }, { "dropping-particle" : "", "family" : "Feng", "given" : "Chengcheng", "non-dropping-particle" : "", "parse-names" : false, "suffix" : "" }, { "dropping-particle" : "", "family" : "Lopez", "given" : "Rene", "non-dropping-particle" : "", "parse-names" : false, "suffix" : "" }, { "dropping-particle" : "", "family" : "Coronell", "given" : "Orlando", "non-dropping-particle" : "", "parse-names" : false, "suffix" : "" } ], "container-title" : "Journal of Membrane Science", "id" : "ITEM-2", "issued" : { "date-parts" : [ [ "2016", "1" ] ] }, "language" : "en", "page" : "167-179", "title" : "Identifying facile and accurate methods to measure the thickness of the active layers of thin-film composite membranes \u2013 A comparison of seven characterization techniques", "type" : "article-journal", "volume" : "498" }, "uri" : [ "http://www.mendeley.com/documents/?uuid=6cd6fb37-9958-4d2d-b4c6-545def86705f" ], "uris" : [ "http://www.mendeley.com/documents/?uuid=6cd6fb37-9958-4d2d-b4c6-545def86705f" ] } ], "mendeley" : { "formattedCitation" : "&lt;sup&gt;5,19&lt;/sup&gt;", "plainTextFormattedCitation" : "5,19", "previouslyFormattedCitation" : "&lt;sup&gt;5,19&lt;/sup&gt;" }, "properties" : { "formattedCitation" : "\\super 4,16\\nosupersub{}", "plainCitation" : "4,16" }, "schema" : "https://github.com/citation-style-language/schema/raw/master/csl-citation.json" }</w:instrText>
      </w:r>
      <w:r>
        <w:fldChar w:fldCharType="separate"/>
      </w:r>
      <w:r w:rsidR="00461E2C" w:rsidRPr="00461E2C">
        <w:rPr>
          <w:rFonts w:cs="Times"/>
          <w:noProof/>
          <w:szCs w:val="24"/>
          <w:vertAlign w:val="superscript"/>
        </w:rPr>
        <w:t>5,19</w:t>
      </w:r>
      <w:r>
        <w:fldChar w:fldCharType="end"/>
      </w:r>
      <w:r>
        <w:t xml:space="preserve"> The resulting polyamide film was soaked in an excess of dimethylformamide for 72 h to remove </w:t>
      </w:r>
      <w:r>
        <w:lastRenderedPageBreak/>
        <w:t>any residual polysulfone before being rinsed by water followed by methanol</w:t>
      </w:r>
      <w:r w:rsidRPr="0040427B">
        <w:t xml:space="preserve">. </w:t>
      </w:r>
      <w:r w:rsidR="00F52534" w:rsidRPr="003679FD">
        <w:t>The complete removal of polysulfone was confirmed spectroscopically by the disappearance of characteristic polysulfone peaks (O-S-O stretching at ≈1150 cm</w:t>
      </w:r>
      <w:r w:rsidR="00F52534" w:rsidRPr="003679FD">
        <w:rPr>
          <w:vertAlign w:val="superscript"/>
        </w:rPr>
        <w:t>-1</w:t>
      </w:r>
      <w:r w:rsidR="00F52534" w:rsidRPr="003679FD">
        <w:t xml:space="preserve"> and aromatic C=C at ≈1585 cm</w:t>
      </w:r>
      <w:r w:rsidR="00F52534" w:rsidRPr="003679FD">
        <w:rPr>
          <w:vertAlign w:val="superscript"/>
        </w:rPr>
        <w:t>-1</w:t>
      </w:r>
      <w:r w:rsidR="00F52534" w:rsidRPr="003679FD">
        <w:t>) as shown in Fig S1</w:t>
      </w:r>
      <w:r w:rsidRPr="003679FD">
        <w:t>.</w:t>
      </w:r>
      <w:r w:rsidR="00EE716E" w:rsidRPr="003679FD">
        <w:t xml:space="preserve"> In order to maintain an absorbance between (0.03 and 1) absorbance units, where linearity in the Beer-Lambert law is preserved, the polyamide samples used to prepare the calibration curve were diluted in KBr and compounded to make a pellet for transmission IR measurements. These dilution factors are provided in </w:t>
      </w:r>
      <w:r w:rsidR="0071271A" w:rsidRPr="003679FD">
        <w:t>T</w:t>
      </w:r>
      <w:r w:rsidR="00EE716E" w:rsidRPr="003679FD">
        <w:t>able S2</w:t>
      </w:r>
      <w:r w:rsidR="0071271A" w:rsidRPr="003679FD">
        <w:t>.</w:t>
      </w:r>
    </w:p>
    <w:p w14:paraId="7422FF37" w14:textId="2837497C" w:rsidR="0076083A" w:rsidRDefault="0076083A" w:rsidP="00B760D5">
      <w:pPr>
        <w:pStyle w:val="BGKeywords"/>
      </w:pPr>
      <w:r>
        <w:t>Model polyamides were synthesized by molecular layer-by-layer (mLbL) assembly, as previously reported.</w:t>
      </w:r>
      <w:r>
        <w:fldChar w:fldCharType="begin" w:fldLock="1"/>
      </w:r>
      <w:r w:rsidR="00122C0D">
        <w:instrText>ADDIN CSL_CITATION { "citationID" : "a1v3qjgcoki", "citationItems" : [ { "id" : "ITEM-1", "itemData" : { "DOI" : "10.1002/polb.23002", "ISSN" : "08876266", "author" : [ { "dropping-particle" : "", "family" : "Johnson", "given" : "Peter M.", "non-dropping-particle" : "", "parse-names" : false, "suffix" : "" }, { "dropping-particle" : "", "family" : "Yoon", "given" : "Joonsung", "non-dropping-particle" : "", "parse-names" : false, "suffix" : "" }, { "dropping-particle" : "", "family" : "Kelly", "given" : "Jennifer Y.", "non-dropping-particle" : "", "parse-names" : false, "suffix" : "" }, { "dropping-particle" : "", "family" : "Howarter", "given" : "John a.", "non-dropping-particle" : "", "parse-names" : false, "suffix" : "" }, { "dropping-particle" : "", "family" : "Stafford", "given" : "Christopher M.", "non-dropping-particle" : "", "parse-names" : false, "suffix" : "" } ], "container-title" : "Journal of Polymer Science Part B: Polymer Physics", "id" : "ITEM-1", "issue" : "3", "issued" : { "date-parts" : [ [ "2012", "2", "1" ] ] }, "page" : "168-173", "publisher" : "Wiley Subscription Services, Inc., A Wiley Company", "title" : "Molecular layer-by-layer deposition of highly crosslinked polyamide films", "type" : "article-journal", "volume" : "50" }, "uris" : [ "http://www.mendeley.com/documents/?uuid=7801332c-5617-4cbd-b7c6-d5cb184d1603" ] }, { "id" : "ITEM-2", "itemData" : { "author" : [ { "dropping-particle" : "", "family" : "Chan", "given" : "Edwin P.", "non-dropping-particle" : "", "parse-names" : false, "suffix" : "" }, { "dropping-particle" : "", "family" : "Lee", "given" : "Jung-Hyun", "non-dropping-particle" : "", "parse-names" : false, "suffix" : "" }, { "dropping-particle" : "", "family" : "Chung", "given" : "Jun Young", "non-dropping-particle" : "", "parse-names" : false, "suffix" : "" }, { "dropping-particle" : "", "family" : "Stafford", "given" : "Christopher M.", "non-dropping-particle" : "", "parse-names" : false, "suffix" : "" } ], "container-title" : "Review of Scientific Instruments", "id" : "ITEM-2", "issue" : "11", "issued" : { "date-parts" : [ [ "2012" ] ] }, "page" : "114102", "title" : "An automated spin-assisted approach for molecular layer-by-layer assembly of crosslinked polymer thin films", "type" : "article-journal", "volume" : "83" }, "uri" : [ "http://www.mendeley.com/documents/?uuid=a9939c01-f4ce-46e1-b3ac-4277d439043b" ], "uris" : [ "http://www.mendeley.com/documents/?uuid=a9939c01-f4ce-46e1-b3ac-4277d439043b" ] } ], "mendeley" : { "formattedCitation" : "&lt;sup&gt;7,8&lt;/sup&gt;", "plainTextFormattedCitation" : "7,8", "previouslyFormattedCitation" : "&lt;sup&gt;7,8&lt;/sup&gt;" }, "properties" : { "formattedCitation" : "\\super 6,7\\nosupersub{}", "plainCitation" : "6,7" }, "schema" : "https://github.com/citation-style-language/schema/raw/master/csl-citation.json" }</w:instrText>
      </w:r>
      <w:r>
        <w:fldChar w:fldCharType="separate"/>
      </w:r>
      <w:r w:rsidR="00E8752D" w:rsidRPr="00E8752D">
        <w:rPr>
          <w:rFonts w:cs="Times"/>
          <w:noProof/>
          <w:szCs w:val="24"/>
          <w:vertAlign w:val="superscript"/>
        </w:rPr>
        <w:t>7,8</w:t>
      </w:r>
      <w:r>
        <w:fldChar w:fldCharType="end"/>
      </w:r>
      <w:r>
        <w:t xml:space="preserve"> Briefly, trimesoyl chloride (TMC) and </w:t>
      </w:r>
      <w:r w:rsidRPr="18AF6025">
        <w:rPr>
          <w:i/>
          <w:iCs/>
        </w:rPr>
        <w:t>m</w:t>
      </w:r>
      <w:r>
        <w:t>-phenylene diamine (MPD) were dissolved in toluene at a concentration of 1 % by mass. TMC was first deposited onto a clean substrate and allowed to adsorb/react, and the excess TMC was rinsed off with fresh toluene. Then, MPD was deposited onto the TMC and allowed to react, and the excess MPD was rinsed off with fresh acetone. One cycle corresponds to one layer of TMC and one layer of MPD, and the cycle was repeated to build a model polyamide network. Samples are referenced by the number of cycles to generate the film. Model polyamides were prepared via mLbL on both the native oxide of silicon and gold-coated silicon wafers (</w:t>
      </w:r>
      <w:r w:rsidR="00270787">
        <w:t xml:space="preserve">100 nm Au, </w:t>
      </w:r>
      <w:r>
        <w:t xml:space="preserve">Platypus Technologies).  All substrates were pre-cleaned with ethanol and dried with a stream of nitrogen before placing in a </w:t>
      </w:r>
      <w:r w:rsidR="00297377">
        <w:t>ultraviolet</w:t>
      </w:r>
      <w:r>
        <w:t>-ozone</w:t>
      </w:r>
      <w:r w:rsidR="00297377">
        <w:t xml:space="preserve"> (UVO)</w:t>
      </w:r>
      <w:r>
        <w:t xml:space="preserve"> cleaner (</w:t>
      </w:r>
      <w:r w:rsidR="00270787">
        <w:t xml:space="preserve">Model 42, </w:t>
      </w:r>
      <w:r>
        <w:t>Jelight Company) for 20 min just prior to mLbL deposition.</w:t>
      </w:r>
    </w:p>
    <w:p w14:paraId="2AF8ACA3" w14:textId="4A6827EE" w:rsidR="00EB1F22" w:rsidRDefault="0076083A" w:rsidP="00073FE2">
      <w:pPr>
        <w:pStyle w:val="BGKeywords"/>
      </w:pPr>
      <w:r w:rsidRPr="0076083A">
        <w:rPr>
          <w:b/>
        </w:rPr>
        <w:t>IR Measurements.</w:t>
      </w:r>
      <w:r>
        <w:t xml:space="preserve"> FTIR spectra were obtained using reflectance absorbance infrared spectrometry (RAIRS) for samples on gold substrates and surface overlayer geometry (SO-ATR) for samples on silicon. RAIRS provides a significantly enhanced signal on metallic substrates enabling the analysis of ultrathin films</w:t>
      </w:r>
      <w:r w:rsidR="00EB1F22">
        <w:t>,</w:t>
      </w:r>
      <w:r>
        <w:t xml:space="preserve"> while SO-ATR provides a similar enhancement on silicon substrates.</w:t>
      </w:r>
      <w:r>
        <w:fldChar w:fldCharType="begin" w:fldLock="1"/>
      </w:r>
      <w:r w:rsidR="00021FF6">
        <w:instrText>ADDIN CSL_CITATION { "citationID" : "Woz39nKK", "citationItems" : [ { "id" : "ITEM-1", "itemData" : { "ISBN" : "3175723993", "author" : [ { "dropping-particle" : "", "family" : "Valeri", "given" : "PT", "non-dropping-particle" : "", "parse-names" : false, "suffix" : "" }, { "dropping-particle" : "", "family" : "Irina", "given" : "VC", "non-dropping-particle" : "", "parse-names" : false, "suffix" : "" }, { "dropping-particle" : "", "family" : "Valeri", "given" : "AS", "non-dropping-particle" : "", "parse-names" : false, "suffix" : "" }, { "dropping-particle" : "", "family" : "Tolstoy", "given" : "V P", "non-dropping-particle" : "", "parse-names" : false, "suffix" : "" }, { "dropping-particle" : "V", "family" : "Chernyshova", "given" : "I", "non-dropping-particle" : "", "parse-names" : false, "suffix" : "" }, { "dropping-particle" : "", "family" : "Skryshevsky", "given" : "V A", "non-dropping-particle" : "", "parse-names" : false, "suffix" : "" } ], "id" : "ITEM-1", "issued" : { "date-parts" : [ [ "2003" ] ] }, "publisher" : "Wiley Interscience", "publisher-place" : "New Jersey", "title" : "Handbook of infrared spectroscopy of ultrathin films", "type" : "book" }, "uri" : [ "http://www.mendeley.com/documents/?uuid=688dc745-4d78-4f22-a2e4-1b551f79a1f7" ], "uris" : [ "http://www.mendeley.com/documents/?uuid=688dc745-4d78-4f22-a2e4-1b551f79a1f7" ] }, { "id" : "ITEM-2", "itemData" : { "DOI" : "http://dx.doi.org/10.1016/j.susc.2005.09.008", "ISSN" : "0039-6028", "author" : [ { "dropping-particle" : "", "family" : "Liu", "given" : "Zheng", "non-dropping-particle" : "", "parse-names" : false, "suffix" : "" }, { "dropping-particle" : "", "family" : "Amiridis", "given" : "Michael D", "non-dropping-particle" : "", "parse-names" : false, "suffix" : "" } ], "container-title" : "Surface Science", "id" : "ITEM-2", "issue" : "1", "issued" : { "date-parts" : [ [ "2005" ] ] }, "page" : "117-125", "title" : "FT-IRRAS quantitative analysis of specific avidin adsorption on biotinylated Au surfaces", "type" : "article-journal", "volume" : "596" }, "uri" : [ "http://www.mendeley.com/documents/?uuid=907153e4-db7a-4488-a707-60a498d86a45" ], "uris" : [ "http://www.mendeley.com/documents/?uuid=907153e4-db7a-4488-a707-60a498d86a45" ] }, { "id" : "ITEM-3", "itemData" : { "DOI" : "10.1021/acsmacrolett.5b00800", "ISSN" : "2161-1653, 2161-1653", "author" : [ { "dropping-particle" : "", "family" : "Zimudzi", "given" : "Tawanda J.", "non-dropping-particle" : "", "parse-names" : false, "suffix" : "" }, { "dropping-particle" : "", "family" : "Hickner", "given" : "Michael A.", "non-dropping-particle" : "", "parse-names" : false, "suffix" : "" } ], "container-title" : "ACS Macro Letters", "id" : "ITEM-3", "issue" : "1", "issued" : { "date-parts" : [ [ "2016", "1" ] ] }, "language" : "en", "page" : "83-87", "title" : "Signal Enhanced FTIR Analysis of Alignment in NAFION Thin Films at SiO &lt;sub&gt;2&lt;/sub&gt; and Au Interfaces", "type" : "article-journal", "volume" : "5" }, "uris" : [ "http://www.mendeley.com/documents/?uuid=288babfc-5ef1-4eeb-a494-32e040f893a8" ] } ], "mendeley" : { "formattedCitation" : "&lt;sup&gt;20\u201322&lt;/sup&gt;", "plainTextFormattedCitation" : "20\u201322", "previouslyFormattedCitation" : "&lt;sup&gt;20\u201322&lt;/sup&gt;" }, "properties" : { "formattedCitation" : "\\super 17\\uc0\\u8211{}19\\nosupersub{}", "plainCitation" : "17\u201319" }, "schema" : "https://github.com/citation-style-language/schema/raw/master/csl-citation.json" }</w:instrText>
      </w:r>
      <w:r>
        <w:fldChar w:fldCharType="separate"/>
      </w:r>
      <w:r w:rsidR="00021FF6" w:rsidRPr="00021FF6">
        <w:rPr>
          <w:rFonts w:cs="Times"/>
          <w:noProof/>
          <w:szCs w:val="24"/>
          <w:vertAlign w:val="superscript"/>
        </w:rPr>
        <w:t>20–22</w:t>
      </w:r>
      <w:r>
        <w:fldChar w:fldCharType="end"/>
      </w:r>
      <w:r>
        <w:t xml:space="preserve"> All FTIR experiments were conducted </w:t>
      </w:r>
      <w:r w:rsidRPr="003679FD">
        <w:t>using a Bruker</w:t>
      </w:r>
      <w:r>
        <w:t xml:space="preserve"> Vertex 70 Fourier </w:t>
      </w:r>
      <w:r w:rsidR="00EB1F22">
        <w:t>t</w:t>
      </w:r>
      <w:r>
        <w:t xml:space="preserve">ransform </w:t>
      </w:r>
      <w:r>
        <w:lastRenderedPageBreak/>
        <w:t>spectrometer (Billerica, MA) equipped with a liquid nitrogen-cooled narrow-band MCT detector collected at an optical velocity of 2.6 cm s</w:t>
      </w:r>
      <w:r w:rsidRPr="00EB1F22">
        <w:rPr>
          <w:vertAlign w:val="superscript"/>
        </w:rPr>
        <w:t>-1</w:t>
      </w:r>
      <w:r>
        <w:t xml:space="preserve"> (40 kHz, HeNe) and a resolution of 5 cm</w:t>
      </w:r>
      <w:r w:rsidRPr="00EB1F22">
        <w:rPr>
          <w:vertAlign w:val="superscript"/>
        </w:rPr>
        <w:t>-1</w:t>
      </w:r>
      <w:r>
        <w:t>.</w:t>
      </w:r>
      <w:r w:rsidR="00EB1F22">
        <w:t xml:space="preserve"> </w:t>
      </w:r>
    </w:p>
    <w:p w14:paraId="27B35185" w14:textId="70DAE96F" w:rsidR="0076083A" w:rsidRDefault="0076083A" w:rsidP="00073FE2">
      <w:pPr>
        <w:pStyle w:val="BGKeywords"/>
      </w:pPr>
      <w:r>
        <w:t>Transmission experiments using 7</w:t>
      </w:r>
      <w:r w:rsidR="00EB1F22">
        <w:t xml:space="preserve"> </w:t>
      </w:r>
      <w:r>
        <w:t>mm KBr pellets containing the commercial interfacially polymerized polyamide film were conducted to generate a calibration curve and derive optical constants for the polyamide films. The optical constants were derived using a Kramers-Kronig algorithm and used to predict the spectral response of polyamide films in RAIRS and SO-ATR experiments.</w:t>
      </w:r>
      <w:r w:rsidR="00EB1F22">
        <w:fldChar w:fldCharType="begin" w:fldLock="1"/>
      </w:r>
      <w:r w:rsidR="00021FF6">
        <w:instrText>ADDIN CSL_CITATION { "citationID" : "avdpqgrak8", "citationItems" : [ { "id" : "ITEM-1", "itemData" : { "DOI" : "10.1063/1.462847", "ISSN" : "00219606", "author" : [ { "dropping-particle" : "", "family" : "Parikh", "given" : "Atul N.", "non-dropping-particle" : "", "parse-names" : false, "suffix" : "" }, { "dropping-particle" : "", "family" : "Allara", "given" : "David L.", "non-dropping-particle" : "", "parse-names" : false, "suffix" : "" } ], "container-title" : "The Journal of Chemical Physics", "id" : "ITEM-1", "issue" : "2", "issued" : { "date-parts" : [ [ "1992" ] ] }, "page" : "927", "title" : "Quantitative determination of molecular structure in multilayered thin films of biaxial and lower symmetry from photon spectroscopies. I. Reflection infrared vibrational spectroscopy", "type" : "article-journal", "volume" : "96" }, "uri" : [ "http://www.mendeley.com/documents/?uuid=e7836d31-088f-4009-962d-e3d4e73bedfc" ], "uris" : [ "http://www.mendeley.com/documents/?uuid=e7836d31-088f-4009-962d-e3d4e73bedfc" ] }, { "id" : "ITEM-2", "itemData" : { "author" : [ { "dropping-particle" : "", "family" : "Allara", "given" : "David L.", "non-dropping-particle" : "", "parse-names" : false, "suffix" : "" }, { "dropping-particle" : "", "family" : "Nuzzo", "given" : "Ralph G.", "non-dropping-particle" : "", "parse-names" : false, "suffix" : "" } ], "container-title" : "Langmuir", "id" : "ITEM-2", "issue" : "1", "issued" : { "date-parts" : [ [ "1985" ] ] }, "page" : "45\u201352", "title" : "Spontaneously organized molecular assemblies. 1. Formation, dynamics, and physical properties of n-alkanoic acids adsorbed from solution on an oxidized aluminum surface", "type" : "article-journal", "volume" : "1" }, "uris" : [ "http://www.mendeley.com/documents/?uuid=4939e610-aa88-4574-9af5-44dda29547ec" ] } ], "mendeley" : { "formattedCitation" : "&lt;sup&gt;23,24&lt;/sup&gt;", "plainTextFormattedCitation" : "23,24", "previouslyFormattedCitation" : "&lt;sup&gt;23,24&lt;/sup&gt;" }, "properties" : { "formattedCitation" : "\\super 20,21\\nosupersub{}", "plainCitation" : "20,21" }, "schema" : "https://github.com/citation-style-language/schema/raw/master/csl-citation.json" }</w:instrText>
      </w:r>
      <w:r w:rsidR="00EB1F22">
        <w:fldChar w:fldCharType="separate"/>
      </w:r>
      <w:r w:rsidR="00021FF6" w:rsidRPr="00021FF6">
        <w:rPr>
          <w:rFonts w:cs="Times"/>
          <w:noProof/>
          <w:szCs w:val="24"/>
          <w:vertAlign w:val="superscript"/>
        </w:rPr>
        <w:t>23,24</w:t>
      </w:r>
      <w:r w:rsidR="00EB1F22">
        <w:fldChar w:fldCharType="end"/>
      </w:r>
    </w:p>
    <w:p w14:paraId="4FA523D3" w14:textId="31781702" w:rsidR="0076083A" w:rsidRDefault="0076083A" w:rsidP="00073FE2">
      <w:pPr>
        <w:pStyle w:val="BGKeywords"/>
      </w:pPr>
      <w:r>
        <w:t xml:space="preserve"> RAIRS measurements were carried out on a PIKE VeeMAX II variable angle accessory (Madison, WI) set at an angle of incidence of 72° with a liquid nitrogen-cooled MCT detector. The accessory was aligned and optimized using a pristine gold mirror before each experiment. Samples were placed on a 2 cm sooted specular mask to define the sampling area.  Spect</w:t>
      </w:r>
      <w:r w:rsidR="00EB1F22">
        <w:t>r</w:t>
      </w:r>
      <w:r>
        <w:t>a were averaged over 1500 scans.</w:t>
      </w:r>
    </w:p>
    <w:p w14:paraId="3FEF34F5" w14:textId="6B708E53" w:rsidR="0076083A" w:rsidRDefault="0076083A" w:rsidP="00073FE2">
      <w:pPr>
        <w:pStyle w:val="BGKeywords"/>
      </w:pPr>
      <w:r>
        <w:t xml:space="preserve">SO-ATR experiments were performed on a Harrick VariGATR accessory (Pleasantville, NY) at </w:t>
      </w:r>
      <w:r w:rsidR="001B4384">
        <w:t xml:space="preserve">an incident angle of </w:t>
      </w:r>
      <w:r>
        <w:t>65° with a constant force of 700</w:t>
      </w:r>
      <w:r w:rsidR="00EB1F22">
        <w:t xml:space="preserve"> </w:t>
      </w:r>
      <w:r>
        <w:t>N applied to the sample to achieve intimate contact. Spectra were averaged over 500 scans.</w:t>
      </w:r>
    </w:p>
    <w:p w14:paraId="40F95F5C" w14:textId="53A986B4" w:rsidR="0076083A" w:rsidRDefault="00964CF5" w:rsidP="00073FE2">
      <w:pPr>
        <w:pStyle w:val="VAFigureCaption"/>
        <w:spacing w:after="240"/>
      </w:pPr>
      <w:r w:rsidRPr="00964CF5">
        <w:rPr>
          <w:b/>
        </w:rPr>
        <w:t>Density Functional Theory (DFT) Calculations.</w:t>
      </w:r>
      <w:r w:rsidRPr="00964CF5">
        <w:t xml:space="preserve"> DFT was used to confirm peak positions and assignment of component bands in the vibrational spectra of the polyamide films. The vibrational spectrum of a small polymer fragment was calculated in the gas phase. The optimal geometries and the Cartesian force fields for all the considered fragments were calculated at the DFT/B3LYP level with the 6-31++G** basis set. A scaling factor of 0.9062 was applied to account for the overestimation of vibrational frequencies and the resultant intensities normalized to the </w:t>
      </w:r>
      <w:r w:rsidRPr="00964CF5">
        <w:lastRenderedPageBreak/>
        <w:t>experimental ring mode intensity. This approach has been shown to provide accurate multipa</w:t>
      </w:r>
      <w:r>
        <w:t>rameter-scaled frequencies.</w:t>
      </w:r>
      <w:r>
        <w:fldChar w:fldCharType="begin" w:fldLock="1"/>
      </w:r>
      <w:r w:rsidR="00021FF6">
        <w:instrText>ADDIN CSL_CITATION { "citationID" : "a18i9ae9ar5", "citationItems" : [ { "id" : "ITEM-1", "itemData" : { "DOI" : "10.1021/jp303209v", "ISSN" : "1089-5639", "author" : [ { "dropping-particle" : "", "family" : "Borowski", "given" : "Piotr", "non-dropping-particle" : "", "parse-names" : false, "suffix" : "" }, { "dropping-particle" : "", "family" : "Pasieczna-Patkowska", "given" : "Sylwia", "non-dropping-particle" : "", "parse-names" : false, "suffix" : "" }, { "dropping-particle" : "", "family" : "Barczak", "given" : "Mariusz", "non-dropping-particle" : "", "parse-names" : false, "suffix" : "" }, { "dropping-particle" : "", "family" : "Pilorz", "given" : "Karol", "non-dropping-particle" : "", "parse-names" : false, "suffix" : "" } ], "container-title" : "The Journal of Physical Chemistry A", "id" : "ITEM-1", "issue" : "27", "issued" : { "date-parts" : [ [ "2012", "7", "12" ] ] }, "note" : "doi: 10.1021/jp303209v", "page" : "7424-7435", "publisher" : "American Chemical Society", "title" : "Theoretical Determination of the Infrared Spectra of Amorphous Polymers", "type" : "article-journal", "volume" : "116" }, "uri" : [ "http://www.mendeley.com/documents/?uuid=acca012f-476a-4373-97d7-e789a5581d5e" ], "uris" : [ "http://www.mendeley.com/documents/?uuid=acca012f-476a-4373-97d7-e789a5581d5e" ] }, { "id" : "ITEM-2", "itemData" : { "DOI" : "10.1002/(SICI)1096-987X(19970415)18:5&lt;646::AID-JCC6&gt;3.0.CO;2-N", "ISSN" : "1096-987X", "author" : [ { "dropping-particle" : "", "family" : "Bou\u0159", "given" : "Petr", "non-dropping-particle" : "", "parse-names" : false, "suffix" : "" }, { "dropping-particle" : "", "family" : "Sopkov\u00e1", "given" : "Jana", "non-dropping-particle" : "", "parse-names" : false, "suffix" : "" }, { "dropping-particle" : "", "family" : "Bedn\u00e1rov\u00e1", "given" : "Lucie", "non-dropping-particle" : "", "parse-names" : false, "suffix" : "" }, { "dropping-particle" : "", "family" : "Malo\u0148", "given" : "Petr", "non-dropping-particle" : "", "parse-names" : false, "suffix" : "" }, { "dropping-particle" : "", "family" : "Keiderling", "given" : "Timothy A", "non-dropping-particle" : "", "parse-names" : false, "suffix" : "" } ], "container-title" : "Journal of Computational Chemistry", "id" : "ITEM-2", "issue" : "5", "issued" : { "date-parts" : [ [ "1997" ] ] }, "page" : "646-659", "publisher" : "John Wiley &amp; Sons, Inc.", "title" : "Transfer of molecular property tensors in cartesian coordinates: A new algorithm for simulation of vibrational spectra", "type" : "article-journal", "volume" : "18" }, "uri" : [ "http://www.mendeley.com/documents/?uuid=ba58114b-f81f-42a1-9abd-ff5af24005df" ], "uris" : [ "http://www.mendeley.com/documents/?uuid=ba58114b-f81f-42a1-9abd-ff5af24005df" ] } ], "mendeley" : { "formattedCitation" : "&lt;sup&gt;25,26&lt;/sup&gt;", "plainTextFormattedCitation" : "25,26", "previouslyFormattedCitation" : "&lt;sup&gt;25,26&lt;/sup&gt;" }, "properties" : { "formattedCitation" : "\\super 22,23\\nosupersub{}", "plainCitation" : "22,23" }, "schema" : "https://github.com/citation-style-language/schema/raw/master/csl-citation.json" }</w:instrText>
      </w:r>
      <w:r>
        <w:fldChar w:fldCharType="separate"/>
      </w:r>
      <w:r w:rsidR="00021FF6" w:rsidRPr="00021FF6">
        <w:rPr>
          <w:rFonts w:cs="Times"/>
          <w:noProof/>
          <w:szCs w:val="24"/>
          <w:vertAlign w:val="superscript"/>
        </w:rPr>
        <w:t>25,26</w:t>
      </w:r>
      <w:r>
        <w:fldChar w:fldCharType="end"/>
      </w:r>
    </w:p>
    <w:p w14:paraId="37167DDD" w14:textId="7B211392" w:rsidR="00DC2AD6" w:rsidRDefault="00DC2AD6">
      <w:pPr>
        <w:spacing w:after="0"/>
        <w:jc w:val="left"/>
      </w:pPr>
    </w:p>
    <w:p w14:paraId="7661E2A0" w14:textId="6D7EDDF9" w:rsidR="009608EC" w:rsidRDefault="009608EC" w:rsidP="00073FE2">
      <w:pPr>
        <w:pStyle w:val="VAFigureCaption"/>
        <w:spacing w:after="240"/>
      </w:pPr>
      <w:r>
        <w:t>RESULTS AND DISCUSSION</w:t>
      </w:r>
    </w:p>
    <w:p w14:paraId="171BE860" w14:textId="28446F31" w:rsidR="00BF5C73" w:rsidRDefault="009608EC" w:rsidP="00073FE2">
      <w:pPr>
        <w:pStyle w:val="VAFigureCaption"/>
        <w:spacing w:after="240"/>
        <w:rPr>
          <w:rFonts w:cs="Calibri"/>
        </w:rPr>
      </w:pPr>
      <w:r>
        <w:t xml:space="preserve">Density functional theory (DFT) calculations were performed on a small polymer fragment with the functional groups representative of the crosslinked polyamide structures obtained in the interfacial polymerization of TMC and MPD. These calculations were used to aid in identifying the vibrational modes that contribute to the peaks observed in the experimentally-measured polyamide fingerprint region, such that the position and shape of any peak(s) associated with unreacted or “free” carboxylic acids could be uniquely identified. While this method of calculating vibrational modes neglects interactions such as hydrogen bonding and may not correctly estimate coupling of vibrational modes, </w:t>
      </w:r>
      <w:r w:rsidR="00D22A85">
        <w:t>the method used in this work</w:t>
      </w:r>
      <w:r>
        <w:t xml:space="preserve"> has a distinct advantage in that it</w:t>
      </w:r>
      <w:r w:rsidR="00BF5C73" w:rsidRPr="00BF5C73">
        <w:rPr>
          <w:rFonts w:cs="Calibri"/>
        </w:rPr>
        <w:t xml:space="preserve"> </w:t>
      </w:r>
      <w:r w:rsidR="00BF5C73" w:rsidRPr="66957778">
        <w:rPr>
          <w:rFonts w:cs="Calibri"/>
        </w:rPr>
        <w:t>optimizes the use of computational resources. Moreover, several researchers have shown that fragment approximation methods yield accurate predictions of atomic displacements and vibrational activities for macromolecules, including proteins that are structurally similar to the polyamides studied here</w:t>
      </w:r>
      <w:r w:rsidR="00BF5C73">
        <w:rPr>
          <w:rFonts w:cs="Calibri"/>
        </w:rPr>
        <w:t>.</w:t>
      </w:r>
      <w:r w:rsidR="00BF5C73">
        <w:rPr>
          <w:rFonts w:cs="Calibri"/>
        </w:rPr>
        <w:fldChar w:fldCharType="begin" w:fldLock="1"/>
      </w:r>
      <w:r w:rsidR="00021FF6">
        <w:rPr>
          <w:rFonts w:cs="Calibri"/>
        </w:rPr>
        <w:instrText>ADDIN CSL_CITATION { "citationID" : "a1d02f3khlh", "citationItems" : [ { "id" : "ITEM-1", "itemData" : { "DOI" : "10.1016/j.chemphys.2009.05.016", "ISSN" : "03010104", "author" : [ { "dropping-particle" : "", "family" : "Choi", "given" : "Jun-Ho", "non-dropping-particle" : "", "parse-names" : false, "suffix" : "" }, { "dropping-particle" : "", "family" : "Cho", "given" : "Minhaeng", "non-dropping-particle" : "", "parse-names" : false, "suffix" : "" } ], "container-title" : "Chemical Physics", "id" : "ITEM-1", "issue" : "3", "issued" : { "date-parts" : [ [ "2009", "7" ] ] }, "language" : "en", "page" : "168-175", "title" : "Calculations of intermode coupling constants and simulations of amide I, II, and III vibrational spectra of dipeptides", "type" : "article-journal", "volume" : "361" }, "uris" : [ "http://www.mendeley.com/documents/?uuid=9a38b2da-1375-4800-8d49-8626a044b8ef" ] }, { "id" : "ITEM-2", "itemData" : { "DOI" : "http://dx.doi.org/10.1063/1.3050294", "author" : [ { "dropping-particle" : "", "family" : "Choi", "given" : "Jun-Ho", "non-dropping-particle" : "", "parse-names" : false, "suffix" : "" }, { "dropping-particle" : "", "family" : "Cho", "given" : "Minhaeng", "non-dropping-particle" : "", "parse-names" : false, "suffix" : "" } ], "container-title" : "The Journal of Chemical Physics", "id" : "ITEM-2", "issue" : "1", "issued" : { "date-parts" : [ [ "2009" ] ] }, "title" : "Amide I Raman optical activity of polypeptides: Fragment approximation", "type" : "article-journal", "volume" : "130" }, "uri" : [ "http://www.mendeley.com/documents/?uuid=73da468b-aebe-4e39-966a-73f1cae69f84" ], "uris" : [ "http://www.mendeley.com/documents/?uuid=73da468b-aebe-4e39-966a-73f1cae69f84" ] }, { "id" : "ITEM-3", "itemData" : { "DOI" : "10.1002/(SICI)1096-987X(19970415)18:5&lt;646::AID-JCC6&gt;3.0.CO;2-N", "ISSN" : "1096-987X", "author" : [ { "dropping-particle" : "", "family" : "Bou\u0159", "given" : "Petr", "non-dropping-particle" : "", "parse-names" : false, "suffix" : "" }, { "dropping-particle" : "", "family" : "Sopkov\u00e1", "given" : "Jana", "non-dropping-particle" : "", "parse-names" : false, "suffix" : "" }, { "dropping-particle" : "", "family" : "Bedn\u00e1rov\u00e1", "given" : "Lucie", "non-dropping-particle" : "", "parse-names" : false, "suffix" : "" }, { "dropping-particle" : "", "family" : "Malo\u0148", "given" : "Petr", "non-dropping-particle" : "", "parse-names" : false, "suffix" : "" }, { "dropping-particle" : "", "family" : "Keiderling", "given" : "Timothy A", "non-dropping-particle" : "", "parse-names" : false, "suffix" : "" } ], "container-title" : "Journal of Computational Chemistry", "id" : "ITEM-3", "issue" : "5", "issued" : { "date-parts" : [ [ "1997" ] ] }, "page" : "646-659", "publisher" : "John Wiley &amp; Sons, Inc.", "title" : "Transfer of molecular property tensors in cartesian coordinates: A new algorithm for simulation of vibrational spectra", "type" : "article-journal", "volume" : "18" }, "uri" : [ "http://www.mendeley.com/documents/?uuid=ba58114b-f81f-42a1-9abd-ff5af24005df" ], "uris" : [ "http://www.mendeley.com/documents/?uuid=ba58114b-f81f-42a1-9abd-ff5af24005df" ] } ], "mendeley" : { "formattedCitation" : "&lt;sup&gt;26\u201328&lt;/sup&gt;", "plainTextFormattedCitation" : "26\u201328", "previouslyFormattedCitation" : "&lt;sup&gt;26\u201328&lt;/sup&gt;" }, "properties" : { "formattedCitation" : "\\super 23\\uc0\\u8211{}25\\nosupersub{}", "plainCitation" : "23\u201325" }, "schema" : "https://github.com/citation-style-language/schema/raw/master/csl-citation.json" }</w:instrText>
      </w:r>
      <w:r w:rsidR="00BF5C73">
        <w:rPr>
          <w:rFonts w:cs="Calibri"/>
        </w:rPr>
        <w:fldChar w:fldCharType="separate"/>
      </w:r>
      <w:r w:rsidR="00021FF6" w:rsidRPr="00021FF6">
        <w:rPr>
          <w:rFonts w:cs="Times"/>
          <w:noProof/>
          <w:szCs w:val="24"/>
          <w:vertAlign w:val="superscript"/>
        </w:rPr>
        <w:t>26–28</w:t>
      </w:r>
      <w:r w:rsidR="00BF5C73">
        <w:rPr>
          <w:rFonts w:cs="Calibri"/>
        </w:rPr>
        <w:fldChar w:fldCharType="end"/>
      </w:r>
      <w:bookmarkStart w:id="0" w:name="_Hlk502844613"/>
      <w:r w:rsidR="00BF5C73" w:rsidRPr="00BF5C73">
        <w:rPr>
          <w:rFonts w:cs="Calibri"/>
        </w:rPr>
        <w:t xml:space="preserve"> </w:t>
      </w:r>
    </w:p>
    <w:p w14:paraId="61DEE65D" w14:textId="163E5212" w:rsidR="00032222" w:rsidRPr="003679FD" w:rsidRDefault="00BF5C73" w:rsidP="00073FE2">
      <w:pPr>
        <w:pStyle w:val="VAFigureCaption"/>
        <w:spacing w:after="240"/>
        <w:rPr>
          <w:rFonts w:cs="Calibri"/>
        </w:rPr>
      </w:pPr>
      <w:r w:rsidRPr="66957778">
        <w:rPr>
          <w:rFonts w:cs="Calibri"/>
        </w:rPr>
        <w:t>For this study, we focused on the amide C=O stretching mode at 1672 cm</w:t>
      </w:r>
      <w:r w:rsidRPr="66957778">
        <w:rPr>
          <w:rFonts w:cs="Calibri"/>
          <w:vertAlign w:val="superscript"/>
        </w:rPr>
        <w:t>-1</w:t>
      </w:r>
      <w:r w:rsidRPr="66957778">
        <w:rPr>
          <w:rFonts w:cs="Calibri"/>
        </w:rPr>
        <w:t xml:space="preserve">, which is also coupled with the C-C-N deformation mode and the C-N stretching mode, and the </w:t>
      </w:r>
      <w:r>
        <w:rPr>
          <w:rFonts w:cs="Calibri"/>
        </w:rPr>
        <w:t xml:space="preserve">carboxylic </w:t>
      </w:r>
      <w:r w:rsidRPr="66957778">
        <w:rPr>
          <w:rFonts w:cs="Calibri"/>
        </w:rPr>
        <w:t>acid C=O stretching mode at 1718 cm</w:t>
      </w:r>
      <w:r w:rsidRPr="66957778">
        <w:rPr>
          <w:rFonts w:cs="Calibri"/>
          <w:vertAlign w:val="superscript"/>
        </w:rPr>
        <w:t>-1</w:t>
      </w:r>
      <w:r w:rsidRPr="66957778">
        <w:rPr>
          <w:rFonts w:cs="Calibri"/>
        </w:rPr>
        <w:t>.</w:t>
      </w:r>
      <w:r w:rsidR="00D626BB" w:rsidRPr="003679FD">
        <w:rPr>
          <w:rFonts w:cs="Calibri"/>
          <w:u w:val="single"/>
        </w:rPr>
        <w:fldChar w:fldCharType="begin" w:fldLock="1"/>
      </w:r>
      <w:r w:rsidR="00021FF6" w:rsidRPr="003679FD">
        <w:rPr>
          <w:rFonts w:cs="Calibri"/>
          <w:u w:val="single"/>
        </w:rPr>
        <w:instrText>ADDIN CSL_CITATION { "citationID" : "yYubAENU", "citationItems" : [ { "id" : "ITEM-1", "itemData" : { "DOI" : "10.1002/bip.10224", "ISSN" : "1097-0282", "author" : [ { "dropping-particle" : "", "family" : "Bour", "given" : "Petr", "non-dropping-particle" : "", "parse-names" : false, "suffix" : "" }, { "dropping-particle" : "", "family" : "Kubelka", "given" : "Jan", "non-dropping-particle" : "", "parse-names" : false, "suffix" : "" }, { "dropping-particle" : "", "family" : "Keiderling", "given" : "Timothy A", "non-dropping-particle" : "", "parse-names" : false, "suffix" : "" } ], "container-title" : "Biopolymers", "id" : "ITEM-1", "issue" : "1", "issued" : { "date-parts" : [ [ "2002" ] ] }, "page" : "45-59", "publisher" : "Wiley Subscription Services, Inc., A Wiley Company", "title" : "Ab initio quantum mechanical models of peptide helices and their vibrational spectra", "type" : "article-journal", "volume" : "65" }, "uri" : [ "http://www.mendeley.com/documents/?uuid=00d62f8d-ed44-4a3d-a283-fc25caf76ffc" ], "uris" : [ "http://www.mendeley.com/documents/?uuid=00d62f8d-ed44-4a3d-a283-fc25caf76ffc" ] } ], "mendeley" : { "formattedCitation" : "&lt;sup&gt;29&lt;/sup&gt;", "plainTextFormattedCitation" : "29", "previouslyFormattedCitation" : "&lt;sup&gt;29&lt;/sup&gt;" }, "properties" : { "formattedCitation" : "\\super 26\\nosupersub{}", "plainCitation" : "26" }, "schema" : "https://github.com/citation-style-language/schema/raw/master/csl-citation.json" }</w:instrText>
      </w:r>
      <w:r w:rsidR="00D626BB" w:rsidRPr="003679FD">
        <w:rPr>
          <w:rFonts w:cs="Calibri"/>
          <w:u w:val="single"/>
        </w:rPr>
        <w:fldChar w:fldCharType="separate"/>
      </w:r>
      <w:r w:rsidR="00021FF6" w:rsidRPr="003679FD">
        <w:rPr>
          <w:rFonts w:cs="Times"/>
          <w:noProof/>
          <w:szCs w:val="24"/>
          <w:vertAlign w:val="superscript"/>
        </w:rPr>
        <w:t>29</w:t>
      </w:r>
      <w:r w:rsidR="00D626BB" w:rsidRPr="003679FD">
        <w:rPr>
          <w:rFonts w:cs="Calibri"/>
          <w:u w:val="single"/>
        </w:rPr>
        <w:fldChar w:fldCharType="end"/>
      </w:r>
      <w:r w:rsidRPr="003679FD">
        <w:rPr>
          <w:rFonts w:cs="Calibri"/>
          <w:u w:val="single"/>
        </w:rPr>
        <w:t xml:space="preserve"> However, knowledge of the other vibrational modes is critical in the peak fitting of the amide region and could be used for other structural </w:t>
      </w:r>
      <w:r w:rsidR="00621880" w:rsidRPr="003679FD">
        <w:rPr>
          <w:rFonts w:cs="Calibri"/>
          <w:u w:val="single"/>
        </w:rPr>
        <w:t>studies such</w:t>
      </w:r>
      <w:r w:rsidRPr="003679FD">
        <w:rPr>
          <w:rFonts w:cs="Calibri"/>
          <w:u w:val="single"/>
        </w:rPr>
        <w:t xml:space="preserve"> as orientation measurements.</w:t>
      </w:r>
      <w:r w:rsidR="00EC4BA5" w:rsidRPr="003679FD">
        <w:rPr>
          <w:rFonts w:cs="Calibri"/>
          <w:u w:val="single"/>
        </w:rPr>
        <w:fldChar w:fldCharType="begin" w:fldLock="1"/>
      </w:r>
      <w:r w:rsidR="00021FF6" w:rsidRPr="003679FD">
        <w:rPr>
          <w:rFonts w:cs="Calibri"/>
          <w:u w:val="single"/>
        </w:rPr>
        <w:instrText>ADDIN CSL_CITATION { "citationItems" : [ { "id" : "ITEM-1", "itemData" : { "DOI" : "10.1021/acsmacrolett.5b00800", "ISSN" : "2161-1653, 2161-1653", "author" : [ { "dropping-particle" : "", "family" : "Zimudzi", "given" : "Tawanda J.", "non-dropping-particle" : "", "parse-names" : false, "suffix" : "" }, { "dropping-particle" : "", "family" : "Hickner", "given" : "Michael A.", "non-dropping-particle" : "", "parse-names" : false, "suffix" : "" } ], "container-title" : "ACS Macro Letters", "id" : "ITEM-1", "issue" : "1", "issued" : { "date-parts" : [ [ "2016", "1" ] ] }, "language" : "en", "page" : "83-87", "title" : "Signal Enhanced FTIR Analysis of Alignment in NAFION Thin Films at SiO &lt;sub&gt;2&lt;/sub&gt; and Au Interfaces", "type" : "article-journal", "volume" : "5" }, "uris" : [ "http://www.mendeley.com/documents/?uuid=288babfc-5ef1-4eeb-a494-32e040f893a8" ] }, { "id" : "ITEM-2", "itemData" : { "author" : [ { "dropping-particle" : "", "family" : "Hasegawa", "given" : "Takeshi", "non-dropping-particle" : "", "parse-names" : false, "suffix" : "" } ], "container-title" : "The Journal of Physical \u2026", "id" : "ITEM-2", "issue" : "100", "issued" : { "date-parts" : [ [ "1993" ] ] }, "page" : "9009-9012", "title" : "Infrared external reflection study of molecular orientation in thin Langmuir-Blodgett films", "type" : "article-journal" }, "uris" : [ "http://www.mendeley.com/documents/?uuid=c36ff276-8e9e-4f78-bc9b-b841b9539d5d" ] }, { "id" : "ITEM-3", "itemData" : { "DOI" : "10.1063/1.462847", "ISSN" : "00219606", "author" : [ { "dropping-particle" : "", "family" : "Parikh", "given" : "Atul N.", "non-dropping-particle" : "", "parse-names" : false, "suffix" : "" }, { "dropping-particle" : "", "family" : "Allara", "given" : "David L.", "non-dropping-particle" : "", "parse-names" : false, "suffix" : "" } ], "container-title" : "The Journal of Chemical Physics", "id" : "ITEM-3", "issue" : "2", "issued" : { "date-parts" : [ [ "1992" ] ] }, "page" : "927", "title" : "Quantitative determination of molecular structure in multilayered thin films of biaxial and lower symmetry from photon spectroscopies. I. Reflection infrared vibrational spectroscopy", "type" : "article-journal", "volume" : "96" }, "uris" : [ "http://www.mendeley.com/documents/?uuid=e7836d31-088f-4009-962d-e3d4e73bedfc" ] } ], "mendeley" : { "formattedCitation" : "&lt;sup&gt;22,23,30&lt;/sup&gt;", "plainTextFormattedCitation" : "22,23,30", "previouslyFormattedCitation" : "&lt;sup&gt;22,23,30&lt;/sup&gt;" }, "properties" : {  }, "schema" : "https://github.com/citation-style-language/schema/raw/master/csl-citation.json" }</w:instrText>
      </w:r>
      <w:r w:rsidR="00EC4BA5" w:rsidRPr="003679FD">
        <w:rPr>
          <w:rFonts w:cs="Calibri"/>
          <w:u w:val="single"/>
        </w:rPr>
        <w:fldChar w:fldCharType="separate"/>
      </w:r>
      <w:r w:rsidR="00021FF6" w:rsidRPr="003679FD">
        <w:rPr>
          <w:rFonts w:cs="Calibri"/>
          <w:noProof/>
          <w:vertAlign w:val="superscript"/>
        </w:rPr>
        <w:t>22,23,30</w:t>
      </w:r>
      <w:r w:rsidR="00EC4BA5" w:rsidRPr="003679FD">
        <w:rPr>
          <w:rFonts w:cs="Calibri"/>
          <w:u w:val="single"/>
        </w:rPr>
        <w:fldChar w:fldCharType="end"/>
      </w:r>
      <w:r w:rsidR="00621880" w:rsidRPr="0040427B">
        <w:rPr>
          <w:rFonts w:cs="Calibri"/>
        </w:rPr>
        <w:t xml:space="preserve"> </w:t>
      </w:r>
      <w:r w:rsidR="0071271A" w:rsidRPr="003679FD">
        <w:rPr>
          <w:rFonts w:cs="Calibri"/>
          <w:u w:val="single"/>
        </w:rPr>
        <w:t xml:space="preserve">For </w:t>
      </w:r>
      <w:r w:rsidR="00621880" w:rsidRPr="003679FD">
        <w:rPr>
          <w:rFonts w:cs="Calibri"/>
          <w:u w:val="single"/>
        </w:rPr>
        <w:t>example</w:t>
      </w:r>
      <w:r w:rsidR="0071271A" w:rsidRPr="003679FD">
        <w:rPr>
          <w:rFonts w:cs="Calibri"/>
          <w:u w:val="single"/>
        </w:rPr>
        <w:t>,</w:t>
      </w:r>
      <w:r w:rsidR="00321505" w:rsidRPr="003679FD">
        <w:rPr>
          <w:rFonts w:cs="Calibri"/>
          <w:u w:val="single"/>
        </w:rPr>
        <w:t xml:space="preserve"> the peak at 1492</w:t>
      </w:r>
      <w:r w:rsidR="00EC4BA5" w:rsidRPr="003679FD">
        <w:rPr>
          <w:rFonts w:cs="Calibri"/>
          <w:u w:val="single"/>
        </w:rPr>
        <w:t xml:space="preserve"> cm</w:t>
      </w:r>
      <w:r w:rsidR="00EC4BA5" w:rsidRPr="003679FD">
        <w:rPr>
          <w:rFonts w:cs="Calibri"/>
          <w:u w:val="single"/>
          <w:vertAlign w:val="superscript"/>
        </w:rPr>
        <w:t>-1</w:t>
      </w:r>
      <w:r w:rsidR="0071271A" w:rsidRPr="003679FD">
        <w:rPr>
          <w:rFonts w:cs="Calibri"/>
          <w:u w:val="single"/>
        </w:rPr>
        <w:t xml:space="preserve"> </w:t>
      </w:r>
      <w:r w:rsidR="00621880" w:rsidRPr="003679FD">
        <w:rPr>
          <w:rFonts w:cs="Calibri"/>
          <w:u w:val="single"/>
        </w:rPr>
        <w:t>is almost entirely due to MPD ring vibrations a</w:t>
      </w:r>
      <w:r w:rsidR="0071271A" w:rsidRPr="003679FD">
        <w:rPr>
          <w:rFonts w:cs="Calibri"/>
          <w:u w:val="single"/>
        </w:rPr>
        <w:t>n</w:t>
      </w:r>
      <w:r w:rsidR="00621880" w:rsidRPr="003679FD">
        <w:rPr>
          <w:rFonts w:cs="Calibri"/>
          <w:u w:val="single"/>
        </w:rPr>
        <w:t>d can be used to determine the orientation of aromatic rings</w:t>
      </w:r>
      <w:r w:rsidR="00EC4BA5" w:rsidRPr="003679FD">
        <w:rPr>
          <w:rFonts w:cs="Calibri"/>
          <w:u w:val="single"/>
        </w:rPr>
        <w:t xml:space="preserve"> (</w:t>
      </w:r>
      <w:r w:rsidR="0071271A" w:rsidRPr="003679FD">
        <w:rPr>
          <w:rFonts w:cs="Calibri"/>
          <w:u w:val="single"/>
        </w:rPr>
        <w:t>F</w:t>
      </w:r>
      <w:r w:rsidR="00EC4BA5" w:rsidRPr="003679FD">
        <w:rPr>
          <w:rFonts w:cs="Calibri"/>
          <w:u w:val="single"/>
        </w:rPr>
        <w:t>igure S2</w:t>
      </w:r>
      <w:r w:rsidR="00621880" w:rsidRPr="003679FD">
        <w:rPr>
          <w:rFonts w:cs="Calibri"/>
          <w:u w:val="single"/>
        </w:rPr>
        <w:t xml:space="preserve">). </w:t>
      </w:r>
      <w:r w:rsidRPr="003679FD">
        <w:rPr>
          <w:rFonts w:cs="Calibri"/>
          <w:u w:val="single"/>
        </w:rPr>
        <w:t xml:space="preserve"> A representative</w:t>
      </w:r>
      <w:r>
        <w:rPr>
          <w:rFonts w:cs="Calibri"/>
        </w:rPr>
        <w:t xml:space="preserve"> IR spectrum of the amide region is shown in Fig</w:t>
      </w:r>
      <w:r w:rsidR="002A35C1">
        <w:rPr>
          <w:rFonts w:cs="Calibri"/>
        </w:rPr>
        <w:t>ure</w:t>
      </w:r>
      <w:r>
        <w:rPr>
          <w:rFonts w:cs="Calibri"/>
        </w:rPr>
        <w:t xml:space="preserve"> 2, along with the results of the </w:t>
      </w:r>
      <w:r>
        <w:rPr>
          <w:rFonts w:cs="Calibri"/>
        </w:rPr>
        <w:lastRenderedPageBreak/>
        <w:t xml:space="preserve">peak fitting to quantify the free acid peak. </w:t>
      </w:r>
      <w:r w:rsidR="00D626BB">
        <w:rPr>
          <w:rFonts w:cs="Calibri"/>
        </w:rPr>
        <w:t xml:space="preserve"> </w:t>
      </w:r>
      <w:r w:rsidR="00D626BB" w:rsidRPr="00A832A7">
        <w:rPr>
          <w:rFonts w:cs="Calibri"/>
        </w:rPr>
        <w:t xml:space="preserve">The peaks relevant to this study are highlighted in </w:t>
      </w:r>
      <w:r w:rsidR="00E9163E" w:rsidRPr="00A832A7">
        <w:rPr>
          <w:rFonts w:cs="Calibri"/>
        </w:rPr>
        <w:t>Fi</w:t>
      </w:r>
      <w:r w:rsidR="00D626BB" w:rsidRPr="00A832A7">
        <w:rPr>
          <w:rFonts w:cs="Calibri"/>
        </w:rPr>
        <w:t>gure 2</w:t>
      </w:r>
      <w:r w:rsidR="002D67C6" w:rsidRPr="00A832A7">
        <w:rPr>
          <w:rFonts w:cs="Calibri"/>
        </w:rPr>
        <w:t>,</w:t>
      </w:r>
      <w:r w:rsidR="00D626BB" w:rsidRPr="00A832A7">
        <w:rPr>
          <w:rFonts w:cs="Calibri"/>
        </w:rPr>
        <w:t xml:space="preserve"> and the remaining combinations of vibrational modes are represented by the dashed lines and summarized in </w:t>
      </w:r>
      <w:r w:rsidR="00E9163E" w:rsidRPr="00A832A7">
        <w:rPr>
          <w:rFonts w:cs="Calibri"/>
        </w:rPr>
        <w:t>T</w:t>
      </w:r>
      <w:r w:rsidR="00D626BB" w:rsidRPr="00A832A7">
        <w:rPr>
          <w:rFonts w:cs="Calibri"/>
        </w:rPr>
        <w:t>able 1.</w:t>
      </w:r>
      <w:r w:rsidR="00D626BB" w:rsidRPr="00A832A7">
        <w:rPr>
          <w:rFonts w:cs="Calibri"/>
        </w:rPr>
        <w:fldChar w:fldCharType="begin" w:fldLock="1"/>
      </w:r>
      <w:r w:rsidR="00021FF6">
        <w:rPr>
          <w:rFonts w:cs="Calibri"/>
        </w:rPr>
        <w:instrText>ADDIN CSL_CITATION { "citationID" : "jhXSY695", "citationItems" : [ { "id" : "ITEM-1", "itemData" : { "DOI" : "10.1021/ja01031a019", "ISSN" : "0002-7863", "author" : [ { "dropping-particle" : "", "family" : "Katritzky", "given" : "Alan R", "non-dropping-particle" : "", "parse-names" : false, "suffix" : "" }, { "dropping-particle" : "V", "family" : "Sinnott", "given" : "M", "non-dropping-particle" : "", "parse-names" : false, "suffix" : "" }, { "dropping-particle" : "", "family" : "Tidwell", "given" : "Thomas T", "non-dropping-particle" : "", "parse-names" : false, "suffix" : "" }, { "dropping-particle" : "", "family" : "Topsom", "given" : "R D", "non-dropping-particle" : "", "parse-names" : false, "suffix" : "" } ], "container-title" : "Journal of the American Chemical Society", "id" : "ITEM-1", "issue" : "3", "issued" : { "date-parts" : [ [ "1969", "1", "1" ] ] }, "note" : "doi: 10.1021/ja01031a019", "page" : "628-636", "publisher" : "American Chemical Society", "title" : "Infrared intensities as a quantitative measure of intramolecular interactions. V. Ortho- and meta-disubstituted benzenes. Nu16 band near 1600 cm.-1", "type" : "article-journal", "volume" : "91" }, "uri" : [ "http://www.mendeley.com/documents/?uuid=687e2b68-0354-47bc-8dd2-407f7b7236bc" ], "uris" : [ "http://www.mendeley.com/documents/?uuid=687e2b68-0354-47bc-8dd2-407f7b7236bc" ] }, { "id" : "ITEM-2", "itemData" : { "DOI" : "10.1002/app.25657", "ISSN" : "1097-4628", "author" : [ { "dropping-particle" : "", "family" : "Kwon", "given" : "Young-Nam", "non-dropping-particle" : "", "parse-names" : false, "suffix" : "" }, { "dropping-particle" : "", "family" : "Tang", "given" : "Chuyang Y", "non-dropping-particle" : "", "parse-names" : false, "suffix" : "" }, { "dropping-particle" : "", "family" : "Leckie", "given" : "James O", "non-dropping-particle" : "", "parse-names" : false, "suffix" : "" } ], "container-title" : "Journal of Applied Polymer Science", "id" : "ITEM-2", "issue" : "4", "issued" : { "date-parts" : [ [ "2008" ] ] }, "page" : "2061-2066", "publisher" : "Wiley Subscription Services, Inc., A Wiley Company", "title" : "Change of chemical composition and hydrogen bonding behavior due to chlorination of crosslinked polyamide membranes", "type" : "article-journal", "volume" : "108" }, "uri" : [ "http://www.mendeley.com/documents/?uuid=f1d892c5-df8c-4dac-895a-3a81d119e166" ], "uris" : [ "http://www.mendeley.com/documents/?uuid=f1d892c5-df8c-4dac-895a-3a81d119e166" ] }, { "id" : "ITEM-3", "itemData" : { "DOI" : "http://dx.doi.org/10.1016/j.saa.2014.01.061", "ISSN" : "1386-1425", "abstract" : "Abstract The FT-IR and FT-Raman spectra have been recorded of Trimesic acid (1,3,5-benzenetricarboxylic acid, H3BTC). The molecular structure, conformational stability, geometry optimization, vibrational frequencies have been investigated. The total energy calculations of H3BTC were tried for various possible conformers. The spectra were interpreted with the aid of normal coordinate analysis based on ab initio Hartree\u2013Fock (HF) and density functional theory (DFT/B3LYP) methods and 6-31+G(d,p) basis set level and was scaled using scale factors yielding good agreement between observed and calculated frequencies. Vibrational assignments and Natural bonding orbital (NBO) calculations are performed on the stable monomer of H3BTC using the same level of theory. Intramolecular hydrogen bond exists via COOH group gives the evidence for the formation of dimer entities in the title molecule. UV\u2013VIS spectral analyses of H3BTC have been researched by theoretical calculations. In order to understand electronic transitions of the compound, TD-DFT calculations on electronic absorption spectra in gas phase and solvent (DMSO and Chloroform) were performed. The calculated frontier orbital energies, absorption wavelengths (\u03bb), oscillator strengths (\u0192) and excitation energies (E) for gas phase and solvent (DMSO and Chloroform) are also illustrated. The statistical thermodynamic functions were obtained for the range of temperature 100\u22121000 K. Reliable vibrational modes associated with H3BTC are made on the basis of total energy distribution (TED) results obtained from scaled quantum mechanical (SQM) method.", "author" : [ { "dropping-particle" : "", "family" : "Mahalakshmi", "given" : "G", "non-dropping-particle" : "", "parse-names" : false, "suffix" : "" }, { "dropping-particle" : "", "family" : "Balachandran", "given" : "V", "non-dropping-particle" : "", "parse-names" : false, "suffix" : "" } ], "container-title" : "Spectrochimica Acta Part A: Molecular and Biomolecular Spectroscopy", "id" : "ITEM-3", "issued" : { "date-parts" : [ [ "2014", "4", "24" ] ] }, "page" : "535-547", "title" : "FT-IR and FT-Raman spectra, normal coordinate analysis and ab initio computations of Trimesic acid", "type" : "article-journal", "volume" : "124" }, "uri" : [ "http://www.mendeley.com/documents/?uuid=66364bf5-35dd-414f-bf93-480a02d0b872" ], "uris" : [ "http://www.mendeley.com/documents/?uuid=66364bf5-35dd-414f-bf93-480a02d0b872" ] }, { "id" : "ITEM-4", "itemData" : { "author" : [ { "dropping-particle" : "", "family" : "Varsanyi", "given" : "G", "non-dropping-particle" : "", "parse-names" : false, "suffix" : "" } ], "id" : "ITEM-4", "issued" : { "date-parts" : [ [ "1969" ] ] }, "publisher" : "Academic press", "publisher-place" : "London", "title" : "Vibrational Spectra of Benzene Deivatives", "type" : "book" }, "uri" : [ "http://www.mendeley.com/documents/?uuid=76b8944e-3b11-4e29-b628-5564bf23a58b" ], "uris" : [ "http://www.mendeley.com/documents/?uuid=76b8944e-3b11-4e29-b628-5564bf23a58b" ] }, { "id" : "ITEM-5", "itemData" : { "DOI" : "10.1039/JR9590002058", "author" : [ { "dropping-particle" : "", "family" : "Katritzky", "given" : "A R", "non-dropping-particle" : "", "parse-names" : false, "suffix" : "" }, { "dropping-particle" : "", "family" : "Simmons", "given" : "P", "non-dropping-particle" : "", "parse-names" : false, "suffix" : "" } ], "container-title" : "J. Chem. Soc.", "id" : "ITEM-5", "issue" : "0", "issued" : { "date-parts" : [ [ "1959" ] ] }, "page" : "2058-2062", "publisher" : "The Royal Society of Chemistry", "title" : "414. Infrared absorption of heteroaromatic and benzenoid six-membered monocylclic nuclei. Part VIII.-meta-disubstitiuted benzenes", "type" : "article-journal" }, "uri" : [ "http://www.mendeley.com/documents/?uuid=2905f1e0-f0e9-40bd-bd30-a5b8312c8fb1" ], "uris" : [ "http://www.mendeley.com/documents/?uuid=2905f1e0-f0e9-40bd-bd30-a5b8312c8fb1" ] }, { "id" : "ITEM-6", "itemData" : { "DOI" : "http://dx.doi.org/10.1016/0371-1951(65)80013-3", "ISSN" : "0371-1951", "abstract" : "Calculated potential-energy distributions and Cartesian displacements are used to determine the characters of planar vibrations of chlorinated benzenes in the 1600-300 cm\u22121 region. It has been assumed that hydrogen deformations occur in the 1200-1000 cm\u22121 region; however, the present work indicates that hydrogen deformations may occur between 1500-1100 cm\u22121 are are coupled, in varying degrees, with ring stretching and bending modes. The strongly infrared active bands in the 1100-1000 cm\u22121 region are ring modes with less than \u223c50% coupling with CH deformation. Vibrations below 1000 cm\u22121 are shown to be highly substituent dependent.  The CD deformations of the deuterated molecules are relatively pure and do not couple with the higher frequency ring modes as do the CH deformations.", "author" : [ { "dropping-particle" : "", "family" : "Scherer", "given" : "James R", "non-dropping-particle" : "", "parse-names" : false, "suffix" : "" } ], "container-title" : "Spectrochimica Acta", "id" : "ITEM-6", "issue" : "2", "issued" : { "date-parts" : [ [ "1965", "2" ] ] }, "page" : "321-339", "title" : "Group vibrations of substituted benzenes\u2014II. Planar CH deformations and ring stretching and bending modes of chlorinated benzenes", "type" : "article-journal", "volume" : "21" }, "uri" : [ "http://www.mendeley.com/documents/?uuid=933bdd54-2000-4372-a345-29843b62c3b8" ], "uris" : [ "http://www.mendeley.com/documents/?uuid=933bdd54-2000-4372-a345-29843b62c3b8" ] } ], "mendeley" : { "formattedCitation" : "&lt;sup&gt;31\u201336&lt;/sup&gt;", "plainTextFormattedCitation" : "31\u201336", "previouslyFormattedCitation" : "&lt;sup&gt;31\u201336&lt;/sup&gt;" }, "properties" : { "formattedCitation" : "\\super 27\\uc0\\u8211{}33\\nosupersub{}", "plainCitation" : "27\u201333" }, "schema" : "https://github.com/citation-style-language/schema/raw/master/csl-citation.json" }</w:instrText>
      </w:r>
      <w:r w:rsidR="00D626BB" w:rsidRPr="00A832A7">
        <w:rPr>
          <w:rFonts w:cs="Calibri"/>
        </w:rPr>
        <w:fldChar w:fldCharType="separate"/>
      </w:r>
      <w:r w:rsidR="00021FF6" w:rsidRPr="00021FF6">
        <w:rPr>
          <w:rFonts w:cs="Times"/>
          <w:noProof/>
          <w:szCs w:val="24"/>
          <w:vertAlign w:val="superscript"/>
        </w:rPr>
        <w:t>31–36</w:t>
      </w:r>
      <w:r w:rsidR="00D626BB" w:rsidRPr="00A832A7">
        <w:rPr>
          <w:rFonts w:cs="Calibri"/>
        </w:rPr>
        <w:fldChar w:fldCharType="end"/>
      </w:r>
      <w:r w:rsidR="00D626BB">
        <w:rPr>
          <w:rFonts w:cs="Calibri"/>
        </w:rPr>
        <w:t xml:space="preserve"> </w:t>
      </w:r>
      <w:r w:rsidRPr="003679FD">
        <w:rPr>
          <w:rFonts w:cs="Calibri"/>
        </w:rPr>
        <w:t>It should be noted that the unhydrolyzed acid chloride C=O stretching mode occurs at 1765 cm</w:t>
      </w:r>
      <w:r w:rsidRPr="003679FD">
        <w:rPr>
          <w:rFonts w:cs="Calibri"/>
          <w:vertAlign w:val="superscript"/>
        </w:rPr>
        <w:t>-1</w:t>
      </w:r>
      <w:r w:rsidRPr="003679FD">
        <w:rPr>
          <w:rFonts w:cs="Calibri"/>
        </w:rPr>
        <w:t>.</w:t>
      </w:r>
      <w:r w:rsidR="00D626BB" w:rsidRPr="003679FD">
        <w:rPr>
          <w:rFonts w:cs="Calibri"/>
        </w:rPr>
        <w:fldChar w:fldCharType="begin" w:fldLock="1"/>
      </w:r>
      <w:r w:rsidR="00021FF6" w:rsidRPr="003679FD">
        <w:rPr>
          <w:rFonts w:cs="Calibri"/>
        </w:rPr>
        <w:instrText>ADDIN CSL_CITATION { "citationID" : "LmOfovQs", "citationItems" : [ { "id" : "ITEM-1", "itemData" : { "DOI" : "http://dx.doi.org/10.1016/0584-8539(71)80158-7", "ISSN" : "0584-8539", "abstract" : "The infrared (3650\u201350 cm\u22121) and Ramon spectra of twelve trisubstituted benzenes are reported and interpreted. Complete vibrational assignments are proposed for (a) the 1,3,5-trisubstituted compounds: 1,3,5-trimethylbenzene, 1-fluoro-, 1-amino-, 1-chloro-, and 1-bromo-3,5-dimethylbenzene; (b)the 1,2,3-trisubstituted compounds: 1,2,3-trimethyl-1-fluoro-2,6-dimethyl-, 1-fluoro-2,3-dimethyl-, 1-chloro-2,6-dimethyl-, 1-chloro-3-fluoro-2-methyl-, 2,6-dichloro-1-methyl- and 2,6-dichloro-1-fluorobenzene.", "author" : [ { "dropping-particle" : "", "family" : "Green", "given" : "J H S", "non-dropping-particle" : "", "parse-names" : false, "suffix" : "" }, { "dropping-particle" : "", "family" : "Harrison", "given" : "D J", "non-dropping-particle" : "", "parse-names" : false, "suffix" : "" }, { "dropping-particle" : "", "family" : "Kynaston", "given" : "W", "non-dropping-particle" : "", "parse-names" : false, "suffix" : "" } ], "container-title" : "Spectrochimica Acta Part A: Molecular Spectroscopy", "id" : "ITEM-1", "issue" : "6", "issued" : { "date-parts" : [ [ "1971", "6" ] ] }, "page" : "793-806", "title" : "Vibrational spectra of benzene derivatives\u2014XI1 1,3,5- and 1,2,3-trisubstituted compounds", "type" : "article-journal", "volume" : "27" }, "uri" : [ "http://www.mendeley.com/documents/?uuid=01ef3bfa-d1b6-41d3-986c-bf26b5072649" ], "uris" : [ "http://www.mendeley.com/documents/?uuid=01ef3bfa-d1b6-41d3-986c-bf26b5072649" ] } ], "mendeley" : { "formattedCitation" : "&lt;sup&gt;37&lt;/sup&gt;", "plainTextFormattedCitation" : "37", "previouslyFormattedCitation" : "&lt;sup&gt;37&lt;/sup&gt;" }, "properties" : { "formattedCitation" : "\\super 34\\nosupersub{}", "plainCitation" : "34" }, "schema" : "https://github.com/citation-style-language/schema/raw/master/csl-citation.json" }</w:instrText>
      </w:r>
      <w:r w:rsidR="00D626BB" w:rsidRPr="003679FD">
        <w:rPr>
          <w:rFonts w:cs="Calibri"/>
        </w:rPr>
        <w:fldChar w:fldCharType="separate"/>
      </w:r>
      <w:r w:rsidR="00021FF6" w:rsidRPr="003679FD">
        <w:rPr>
          <w:rFonts w:cs="Times"/>
          <w:noProof/>
          <w:szCs w:val="24"/>
          <w:vertAlign w:val="superscript"/>
        </w:rPr>
        <w:t>37</w:t>
      </w:r>
      <w:r w:rsidR="00D626BB" w:rsidRPr="003679FD">
        <w:rPr>
          <w:rFonts w:cs="Calibri"/>
        </w:rPr>
        <w:fldChar w:fldCharType="end"/>
      </w:r>
      <w:r w:rsidRPr="003679FD">
        <w:rPr>
          <w:rFonts w:cs="Calibri"/>
        </w:rPr>
        <w:t xml:space="preserve"> While this peak </w:t>
      </w:r>
      <w:r w:rsidR="00842A84" w:rsidRPr="003679FD">
        <w:rPr>
          <w:rFonts w:cs="Calibri"/>
        </w:rPr>
        <w:t>is</w:t>
      </w:r>
      <w:r w:rsidRPr="003679FD">
        <w:rPr>
          <w:rFonts w:cs="Calibri"/>
        </w:rPr>
        <w:t xml:space="preserve"> observed in the neat TMC spectra</w:t>
      </w:r>
      <w:r w:rsidR="00F76C36" w:rsidRPr="003679FD">
        <w:rPr>
          <w:rFonts w:cs="Calibri"/>
        </w:rPr>
        <w:t xml:space="preserve"> (</w:t>
      </w:r>
      <w:r w:rsidR="0071271A" w:rsidRPr="003679FD">
        <w:rPr>
          <w:rFonts w:cs="Calibri"/>
        </w:rPr>
        <w:t>F</w:t>
      </w:r>
      <w:r w:rsidR="00F76C36" w:rsidRPr="003679FD">
        <w:rPr>
          <w:rFonts w:cs="Calibri"/>
        </w:rPr>
        <w:t>igure S3)</w:t>
      </w:r>
      <w:r w:rsidRPr="003679FD">
        <w:rPr>
          <w:rFonts w:cs="Calibri"/>
        </w:rPr>
        <w:t>, it is unlikely that we would observe this peak in the polyamide</w:t>
      </w:r>
      <w:r w:rsidR="0071271A" w:rsidRPr="003679FD">
        <w:rPr>
          <w:rFonts w:cs="Calibri"/>
        </w:rPr>
        <w:t>.</w:t>
      </w:r>
      <w:r w:rsidRPr="003679FD">
        <w:rPr>
          <w:rFonts w:cs="Calibri"/>
        </w:rPr>
        <w:t xml:space="preserve"> </w:t>
      </w:r>
    </w:p>
    <w:p w14:paraId="698759E7" w14:textId="4758CC5F" w:rsidR="00032222" w:rsidRPr="003679FD" w:rsidRDefault="003331E5" w:rsidP="00032222">
      <w:pPr>
        <w:spacing w:after="0"/>
        <w:jc w:val="center"/>
      </w:pPr>
      <w:r w:rsidRPr="003679FD">
        <w:object w:dxaOrig="8824" w:dyaOrig="6822" w14:anchorId="63F92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7pt;height:277.7pt" o:ole="">
            <v:imagedata r:id="rId10" o:title=""/>
          </v:shape>
          <o:OLEObject Type="Embed" ProgID="Origin50.Graph" ShapeID="_x0000_i1025" DrawAspect="Content" ObjectID="_1598710349" r:id="rId11"/>
        </w:object>
      </w:r>
    </w:p>
    <w:p w14:paraId="0890E4AA" w14:textId="77777777" w:rsidR="00032222" w:rsidRPr="003679FD" w:rsidRDefault="00032222" w:rsidP="00032222">
      <w:pPr>
        <w:spacing w:after="0"/>
        <w:jc w:val="left"/>
      </w:pPr>
    </w:p>
    <w:p w14:paraId="39A0F6E5" w14:textId="77777777" w:rsidR="00032222" w:rsidRPr="003679FD" w:rsidRDefault="00032222" w:rsidP="00032222">
      <w:pPr>
        <w:spacing w:after="240" w:line="480" w:lineRule="auto"/>
        <w:jc w:val="left"/>
      </w:pPr>
      <w:r w:rsidRPr="003679FD">
        <w:t>Figure 2. Deconvolution of the experimentally observed mLbL polyamide mid-IR vibrational spectrum. Peak position and peak shape was informed by the DFT calculations of the polyamide fragment.</w:t>
      </w:r>
    </w:p>
    <w:p w14:paraId="085F9A1D" w14:textId="57E89004" w:rsidR="00032222" w:rsidRPr="0071271A" w:rsidRDefault="00032222" w:rsidP="00032222">
      <w:pPr>
        <w:rPr>
          <w:highlight w:val="yellow"/>
        </w:rPr>
      </w:pPr>
    </w:p>
    <w:p w14:paraId="0FE9DBB9" w14:textId="77777777" w:rsidR="00032222" w:rsidRPr="0071271A" w:rsidRDefault="00032222" w:rsidP="00032222">
      <w:pPr>
        <w:rPr>
          <w:highlight w:val="yellow"/>
        </w:rPr>
      </w:pPr>
    </w:p>
    <w:p w14:paraId="78EBA39F" w14:textId="3C52A7EF" w:rsidR="006C6837" w:rsidRPr="00357F0E" w:rsidRDefault="00BF5C73" w:rsidP="00073FE2">
      <w:pPr>
        <w:pStyle w:val="VAFigureCaption"/>
        <w:spacing w:after="240"/>
        <w:rPr>
          <w:rFonts w:cs="Calibri"/>
        </w:rPr>
      </w:pPr>
      <w:r w:rsidRPr="003679FD">
        <w:rPr>
          <w:rFonts w:cs="Calibri"/>
        </w:rPr>
        <w:t xml:space="preserve">samples due to the relative ease of hydrolysis of the acid chloride to the carboxylic </w:t>
      </w:r>
      <w:r w:rsidR="00CE72AC" w:rsidRPr="003679FD">
        <w:rPr>
          <w:rFonts w:cs="Calibri"/>
        </w:rPr>
        <w:t>acid upon exposure to atmospheric</w:t>
      </w:r>
      <w:r w:rsidRPr="003679FD">
        <w:rPr>
          <w:rFonts w:cs="Calibri"/>
        </w:rPr>
        <w:t xml:space="preserve"> moisture</w:t>
      </w:r>
      <w:r w:rsidRPr="0040427B">
        <w:rPr>
          <w:rFonts w:cs="Calibri"/>
        </w:rPr>
        <w:t>.</w:t>
      </w:r>
      <w:bookmarkEnd w:id="0"/>
      <w:r w:rsidR="00842A84" w:rsidRPr="00842A84">
        <w:t xml:space="preserve"> </w:t>
      </w:r>
      <w:r w:rsidR="00842A84" w:rsidRPr="00842A84">
        <w:rPr>
          <w:rFonts w:cs="Calibri"/>
        </w:rPr>
        <w:t xml:space="preserve">Informed by the DFT calculations of the small molecule amide </w:t>
      </w:r>
      <w:r w:rsidR="00842A84" w:rsidRPr="00842A84">
        <w:rPr>
          <w:rFonts w:cs="Calibri"/>
        </w:rPr>
        <w:lastRenderedPageBreak/>
        <w:t>fragment, we then performed peak fitting of the amide region of a commercial polyamide membrane with the highest IEC. Fitting of the obtained spectrum was performed using a Levenberg-Marquardt</w:t>
      </w:r>
      <w:r w:rsidR="00842A84">
        <w:rPr>
          <w:rFonts w:cs="Calibri"/>
        </w:rPr>
        <w:fldChar w:fldCharType="begin" w:fldLock="1"/>
      </w:r>
      <w:r w:rsidR="00021FF6">
        <w:rPr>
          <w:rFonts w:cs="Calibri"/>
        </w:rPr>
        <w:instrText>ADDIN CSL_CITATION { "citationID" : "aup759kt6m", "citationItems" : [ { "id" : "ITEM-1", "itemData" : { "DOI" : "10.1137/0111030", "ISSN" : "0368-4245", "author" : [ { "dropping-particle" : "", "family" : "Marquardt", "given" : "D", "non-dropping-particle" : "", "parse-names" : false, "suffix" : "" } ], "container-title" : "Journal of the Society for Industrial and Applied Mathematics", "id" : "ITEM-1", "issue" : "2", "issued" : { "date-parts" : [ [ "1963", "6", "1" ] ] }, "note" : "doi: 10.1137/0111030", "page" : "431-441", "publisher" : "Society for Industrial and Applied Mathematics", "title" : "An Algorithm for Least-Squares Estimation of Nonlinear Parameters", "type" : "article-journal", "volume" : "11" }, "uri" : [ "http://www.mendeley.com/documents/?uuid=604abb6e-e396-46f3-a086-7cd3b64d2ac0" ], "uris" : [ "http://www.mendeley.com/documents/?uuid=604abb6e-e396-46f3-a086-7cd3b64d2ac0" ] }, { "id" : "ITEM-2", "itemData" : { "abstract" : "We describe how parametric spectral models for analytical applications can be generated by an automatic curve-fitting algorithm. The algorithm does not require initial choices of parameters or other human intervention, in contrast to established approaches that rely on deconvolution or derivative spectroscopy. This algorithm has been applied for quantitative analysis but can potentially be used in other applications that are based on parametric representations of peak-shaped models or could benefit from using such models, such as calibration transfer.", "author" : [ { "dropping-particle" : "", "family" : "Alsmeyer", "given" : "Frank", "non-dropping-particle" : "", "parse-names" : false, "suffix" : "" }, { "dropping-particle" : "", "family" : "Marquardt", "given" : "Wolfgang", "non-dropping-particle" : "", "parse-names" : false, "suffix" : "" } ], "container-title" : "Appl. Spectrosc.", "id" : "ITEM-2", "issue" : "8", "issued" : { "date-parts" : [ [ "2004", "8" ] ] }, "page" : "986-994", "publisher" : "OSA", "title" : "Automatic Generation of Peak-Shaped Models", "type" : "article-journal", "volume" : "58" }, "uri" : [ "http://www.mendeley.com/documents/?uuid=bd96a91e-d34e-4334-a1db-f3a1a4695283" ], "uris" : [ "http://www.mendeley.com/documents/?uuid=bd96a91e-d34e-4334-a1db-f3a1a4695283" ] } ], "mendeley" : { "formattedCitation" : "&lt;sup&gt;38,39&lt;/sup&gt;", "plainTextFormattedCitation" : "38,39", "previouslyFormattedCitation" : "&lt;sup&gt;38,39&lt;/sup&gt;" }, "properties" : { "dontUpdate" : true, "formattedCitation" : "\\super 35,36\\nosupersub{}", "plainCitation" : "35,36" }, "schema" : "https://github.com/citation-style-language/schema/raw/master/csl-citation.json" }</w:instrText>
      </w:r>
      <w:r w:rsidR="00842A84">
        <w:rPr>
          <w:rFonts w:cs="Calibri"/>
        </w:rPr>
        <w:fldChar w:fldCharType="separate"/>
      </w:r>
      <w:r w:rsidR="00021FF6" w:rsidRPr="00021FF6">
        <w:rPr>
          <w:rFonts w:cs="Times"/>
          <w:noProof/>
          <w:szCs w:val="24"/>
          <w:vertAlign w:val="superscript"/>
        </w:rPr>
        <w:t>38,39</w:t>
      </w:r>
      <w:r w:rsidR="00842A84">
        <w:rPr>
          <w:rFonts w:cs="Calibri"/>
        </w:rPr>
        <w:fldChar w:fldCharType="end"/>
      </w:r>
      <w:r w:rsidR="00842A84" w:rsidRPr="00842A84">
        <w:rPr>
          <w:rFonts w:cs="Calibri"/>
        </w:rPr>
        <w:t xml:space="preserve"> algorithm with mixed peak shapes (Lorentz + Gaussian)</w:t>
      </w:r>
      <w:r w:rsidR="00842A84">
        <w:rPr>
          <w:rFonts w:cs="Calibri"/>
        </w:rPr>
        <w:fldChar w:fldCharType="begin" w:fldLock="1"/>
      </w:r>
      <w:r w:rsidR="00021FF6">
        <w:rPr>
          <w:rFonts w:cs="Calibri"/>
        </w:rPr>
        <w:instrText>ADDIN CSL_CITATION { "citationID" : "a22k0vms23", "citationItems" : [ { "id" : "ITEM-1", "itemData" : { "DOI" : "10.1021/ac60363a029", "ISSN" : "0003-2700", "author" : [ { "dropping-particle" : "", "family" : "Vandeginste", "given" : "B G M", "non-dropping-particle" : "", "parse-names" : false, "suffix" : "" }, { "dropping-particle" : "", "family" : "Galan", "given" : "L", "non-dropping-particle" : "De", "parse-names" : false, "suffix" : "" } ], "container-title" : "Analytical Chemistry", "id" : "ITEM-1", "issue" : "13", "issued" : { "date-parts" : [ [ "1975", "11", "1" ] ] }, "note" : "doi: 10.1021/ac60363a029", "page" : "2124-2132", "publisher" : "American Chemical Society", "title" : "Critical evaluation of curve fitting in infrared spectrometry", "type" : "article-journal", "volume" : "47" }, "uri" : [ "http://www.mendeley.com/documents/?uuid=da314653-2f40-4e15-b52e-7116601ddf8d" ], "uris" : [ "http://www.mendeley.com/documents/?uuid=da314653-2f40-4e15-b52e-7116601ddf8d" ] } ], "mendeley" : { "formattedCitation" : "&lt;sup&gt;40&lt;/sup&gt;", "plainTextFormattedCitation" : "40", "previouslyFormattedCitation" : "&lt;sup&gt;40&lt;/sup&gt;" }, "properties" : { "dontUpdate" : true, "formattedCitation" : "\\super 37\\nosupersub{}", "plainCitation" : "37" }, "schema" : "https://github.com/citation-style-language/schema/raw/master/csl-citation.json" }</w:instrText>
      </w:r>
      <w:r w:rsidR="00842A84">
        <w:rPr>
          <w:rFonts w:cs="Calibri"/>
        </w:rPr>
        <w:fldChar w:fldCharType="separate"/>
      </w:r>
      <w:r w:rsidR="00021FF6" w:rsidRPr="00021FF6">
        <w:rPr>
          <w:rFonts w:cs="Times"/>
          <w:noProof/>
          <w:szCs w:val="24"/>
          <w:vertAlign w:val="superscript"/>
        </w:rPr>
        <w:t>40</w:t>
      </w:r>
      <w:r w:rsidR="00842A84">
        <w:rPr>
          <w:rFonts w:cs="Calibri"/>
        </w:rPr>
        <w:fldChar w:fldCharType="end"/>
      </w:r>
      <w:r w:rsidR="00842A84" w:rsidRPr="00842A84">
        <w:rPr>
          <w:rFonts w:cs="Calibri"/>
        </w:rPr>
        <w:t xml:space="preserve"> between 1811 cm</w:t>
      </w:r>
      <w:r w:rsidR="00842A84" w:rsidRPr="002A35C1">
        <w:rPr>
          <w:rFonts w:cs="Calibri"/>
          <w:vertAlign w:val="superscript"/>
        </w:rPr>
        <w:t>-1</w:t>
      </w:r>
      <w:r w:rsidR="00842A84" w:rsidRPr="00842A84">
        <w:rPr>
          <w:rFonts w:cs="Calibri"/>
        </w:rPr>
        <w:t xml:space="preserve"> and 1627 cm</w:t>
      </w:r>
      <w:r w:rsidR="00842A84" w:rsidRPr="002A35C1">
        <w:rPr>
          <w:rFonts w:cs="Calibri"/>
          <w:vertAlign w:val="superscript"/>
        </w:rPr>
        <w:t>-1</w:t>
      </w:r>
      <w:r w:rsidR="00842A84" w:rsidRPr="00842A84">
        <w:rPr>
          <w:rFonts w:cs="Calibri"/>
        </w:rPr>
        <w:t xml:space="preserve"> to delineate the contributions of the multiple bands that overlap in this region. The results of the peak fitting are shown in </w:t>
      </w:r>
      <w:r w:rsidR="00842A84" w:rsidRPr="00357F0E">
        <w:rPr>
          <w:rFonts w:cs="Calibri"/>
        </w:rPr>
        <w:t>Fig</w:t>
      </w:r>
      <w:r w:rsidR="002A35C1" w:rsidRPr="00357F0E">
        <w:rPr>
          <w:rFonts w:cs="Calibri"/>
        </w:rPr>
        <w:t>ure</w:t>
      </w:r>
      <w:r w:rsidR="00842A84" w:rsidRPr="00357F0E">
        <w:rPr>
          <w:rFonts w:cs="Calibri"/>
        </w:rPr>
        <w:t xml:space="preserve"> 2.</w:t>
      </w:r>
      <w:r w:rsidR="00842A84" w:rsidRPr="0040427B">
        <w:rPr>
          <w:rFonts w:cs="Calibri"/>
        </w:rPr>
        <w:t xml:space="preserve"> </w:t>
      </w:r>
      <w:r w:rsidR="001918DA" w:rsidRPr="003679FD">
        <w:rPr>
          <w:rFonts w:ascii="Times New Roman" w:hAnsi="Times New Roman"/>
        </w:rPr>
        <w:t>After peak fitting</w:t>
      </w:r>
      <w:r w:rsidR="00357F0E" w:rsidRPr="003679FD">
        <w:rPr>
          <w:rFonts w:ascii="Times New Roman" w:hAnsi="Times New Roman"/>
        </w:rPr>
        <w:t>,</w:t>
      </w:r>
      <w:r w:rsidR="001918DA" w:rsidRPr="003679FD">
        <w:rPr>
          <w:rFonts w:ascii="Times New Roman" w:hAnsi="Times New Roman"/>
        </w:rPr>
        <w:t xml:space="preserve"> the free carboxylic acid peak at 1718 cm</w:t>
      </w:r>
      <w:r w:rsidR="001918DA" w:rsidRPr="003679FD">
        <w:rPr>
          <w:rFonts w:ascii="Times New Roman" w:hAnsi="Times New Roman"/>
          <w:vertAlign w:val="superscript"/>
        </w:rPr>
        <w:t xml:space="preserve">-1 </w:t>
      </w:r>
      <w:r w:rsidR="001918DA" w:rsidRPr="003679FD">
        <w:rPr>
          <w:rFonts w:ascii="Times New Roman" w:hAnsi="Times New Roman"/>
        </w:rPr>
        <w:t>is reliably isolated, and the peak height and peak area can be easily quantified</w:t>
      </w:r>
      <w:r w:rsidR="00842A84" w:rsidRPr="0040427B">
        <w:rPr>
          <w:rFonts w:cs="Calibri"/>
        </w:rPr>
        <w:t>.</w:t>
      </w:r>
    </w:p>
    <w:p w14:paraId="0EEF40D0" w14:textId="77777777" w:rsidR="00032222" w:rsidRDefault="00032222" w:rsidP="00032222">
      <w:pPr>
        <w:spacing w:after="240" w:line="480" w:lineRule="auto"/>
        <w:jc w:val="left"/>
      </w:pPr>
      <w:r>
        <w:t>Table 1. Fingerprint region peak assignment of polyamide system</w:t>
      </w:r>
    </w:p>
    <w:tbl>
      <w:tblPr>
        <w:tblW w:w="9077" w:type="dxa"/>
        <w:tblInd w:w="93" w:type="dxa"/>
        <w:tblLayout w:type="fixed"/>
        <w:tblLook w:val="0600" w:firstRow="0" w:lastRow="0" w:firstColumn="0" w:lastColumn="0" w:noHBand="1" w:noVBand="1"/>
      </w:tblPr>
      <w:tblGrid>
        <w:gridCol w:w="797"/>
        <w:gridCol w:w="990"/>
        <w:gridCol w:w="810"/>
        <w:gridCol w:w="5400"/>
        <w:gridCol w:w="1080"/>
      </w:tblGrid>
      <w:tr w:rsidR="003679FD" w:rsidRPr="003679FD" w14:paraId="620357C3" w14:textId="77777777" w:rsidTr="00656B54">
        <w:trPr>
          <w:trHeight w:val="315"/>
        </w:trPr>
        <w:tc>
          <w:tcPr>
            <w:tcW w:w="7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23E7A5" w14:textId="77777777" w:rsidR="003679FD" w:rsidRPr="003679FD" w:rsidRDefault="003679FD" w:rsidP="003679FD">
            <w:pPr>
              <w:spacing w:after="0"/>
              <w:rPr>
                <w:rFonts w:ascii="Times New Roman" w:hAnsi="Times New Roman"/>
                <w:b/>
                <w:sz w:val="22"/>
                <w:szCs w:val="22"/>
              </w:rPr>
            </w:pPr>
            <w:r w:rsidRPr="003679FD">
              <w:rPr>
                <w:rFonts w:ascii="Times New Roman" w:hAnsi="Times New Roman"/>
                <w:b/>
                <w:sz w:val="22"/>
                <w:szCs w:val="22"/>
              </w:rPr>
              <w:t>Peak</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14:paraId="617A745D" w14:textId="77777777" w:rsidR="003679FD" w:rsidRPr="003679FD" w:rsidRDefault="003679FD" w:rsidP="003679FD">
            <w:pPr>
              <w:spacing w:after="0"/>
              <w:rPr>
                <w:rFonts w:ascii="Times New Roman" w:hAnsi="Times New Roman"/>
                <w:b/>
                <w:sz w:val="22"/>
                <w:szCs w:val="22"/>
              </w:rPr>
            </w:pPr>
            <w:r w:rsidRPr="003679FD">
              <w:rPr>
                <w:rFonts w:ascii="Times New Roman" w:hAnsi="Times New Roman"/>
                <w:b/>
                <w:sz w:val="22"/>
                <w:szCs w:val="22"/>
              </w:rPr>
              <w:t>Position (cm</w:t>
            </w:r>
            <w:r w:rsidRPr="003679FD">
              <w:rPr>
                <w:rFonts w:ascii="Times New Roman" w:hAnsi="Times New Roman"/>
                <w:b/>
                <w:sz w:val="22"/>
                <w:szCs w:val="22"/>
                <w:vertAlign w:val="superscript"/>
              </w:rPr>
              <w:t>-1</w:t>
            </w:r>
            <w:r w:rsidRPr="003679FD">
              <w:rPr>
                <w:rFonts w:ascii="Times New Roman" w:hAnsi="Times New Roman"/>
                <w:b/>
                <w:sz w:val="22"/>
                <w:szCs w:val="22"/>
              </w:rPr>
              <w:t>)</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31CF024E" w14:textId="77777777" w:rsidR="003679FD" w:rsidRPr="003679FD" w:rsidRDefault="003679FD" w:rsidP="003679FD">
            <w:pPr>
              <w:spacing w:after="0"/>
              <w:rPr>
                <w:rFonts w:ascii="Times New Roman" w:hAnsi="Times New Roman"/>
                <w:b/>
                <w:sz w:val="22"/>
                <w:szCs w:val="22"/>
              </w:rPr>
            </w:pPr>
            <w:r w:rsidRPr="003679FD">
              <w:rPr>
                <w:rFonts w:ascii="Times New Roman" w:hAnsi="Times New Roman"/>
                <w:b/>
                <w:sz w:val="22"/>
                <w:szCs w:val="22"/>
              </w:rPr>
              <w:t>DFT</w:t>
            </w:r>
          </w:p>
        </w:tc>
        <w:tc>
          <w:tcPr>
            <w:tcW w:w="5400" w:type="dxa"/>
            <w:tcBorders>
              <w:top w:val="single" w:sz="8" w:space="0" w:color="auto"/>
              <w:left w:val="nil"/>
              <w:bottom w:val="single" w:sz="8" w:space="0" w:color="auto"/>
              <w:right w:val="single" w:sz="4" w:space="0" w:color="auto"/>
            </w:tcBorders>
            <w:shd w:val="clear" w:color="auto" w:fill="auto"/>
            <w:noWrap/>
            <w:vAlign w:val="bottom"/>
            <w:hideMark/>
          </w:tcPr>
          <w:p w14:paraId="6D98411A" w14:textId="77777777" w:rsidR="003679FD" w:rsidRPr="003679FD" w:rsidRDefault="003679FD" w:rsidP="003679FD">
            <w:pPr>
              <w:spacing w:after="0"/>
              <w:jc w:val="center"/>
              <w:rPr>
                <w:rFonts w:ascii="Times New Roman" w:hAnsi="Times New Roman"/>
                <w:b/>
                <w:sz w:val="22"/>
                <w:szCs w:val="22"/>
              </w:rPr>
            </w:pPr>
            <w:r w:rsidRPr="003679FD">
              <w:rPr>
                <w:rFonts w:ascii="Times New Roman" w:hAnsi="Times New Roman"/>
                <w:b/>
                <w:sz w:val="22"/>
                <w:szCs w:val="22"/>
              </w:rPr>
              <w:t>Assignment</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05066953" w14:textId="77777777" w:rsidR="003679FD" w:rsidRPr="003679FD" w:rsidRDefault="003679FD" w:rsidP="003679FD">
            <w:pPr>
              <w:spacing w:after="0"/>
              <w:rPr>
                <w:rFonts w:ascii="Times New Roman" w:hAnsi="Times New Roman"/>
                <w:b/>
                <w:sz w:val="22"/>
                <w:szCs w:val="22"/>
              </w:rPr>
            </w:pPr>
            <w:r w:rsidRPr="003679FD">
              <w:rPr>
                <w:rFonts w:ascii="Times New Roman" w:hAnsi="Times New Roman"/>
                <w:b/>
                <w:sz w:val="22"/>
                <w:szCs w:val="22"/>
              </w:rPr>
              <w:t>Ref</w:t>
            </w:r>
          </w:p>
        </w:tc>
      </w:tr>
      <w:tr w:rsidR="003679FD" w:rsidRPr="003679FD" w14:paraId="0F2C8F2C"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354AC00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w:t>
            </w:r>
          </w:p>
        </w:tc>
        <w:tc>
          <w:tcPr>
            <w:tcW w:w="990" w:type="dxa"/>
            <w:tcBorders>
              <w:top w:val="nil"/>
              <w:left w:val="nil"/>
              <w:bottom w:val="single" w:sz="4" w:space="0" w:color="auto"/>
              <w:right w:val="single" w:sz="8" w:space="0" w:color="auto"/>
            </w:tcBorders>
            <w:shd w:val="clear" w:color="auto" w:fill="auto"/>
            <w:noWrap/>
            <w:vAlign w:val="bottom"/>
            <w:hideMark/>
          </w:tcPr>
          <w:p w14:paraId="0FB5FE34"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1765</w:t>
            </w:r>
          </w:p>
        </w:tc>
        <w:tc>
          <w:tcPr>
            <w:tcW w:w="810" w:type="dxa"/>
            <w:tcBorders>
              <w:top w:val="nil"/>
              <w:left w:val="nil"/>
              <w:bottom w:val="single" w:sz="4" w:space="0" w:color="auto"/>
              <w:right w:val="single" w:sz="8" w:space="0" w:color="auto"/>
            </w:tcBorders>
            <w:shd w:val="clear" w:color="auto" w:fill="auto"/>
            <w:noWrap/>
            <w:vAlign w:val="bottom"/>
            <w:hideMark/>
          </w:tcPr>
          <w:p w14:paraId="53E5B7B4"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1772</w:t>
            </w:r>
          </w:p>
        </w:tc>
        <w:tc>
          <w:tcPr>
            <w:tcW w:w="5400" w:type="dxa"/>
            <w:tcBorders>
              <w:top w:val="nil"/>
              <w:left w:val="nil"/>
              <w:bottom w:val="single" w:sz="4" w:space="0" w:color="auto"/>
              <w:right w:val="single" w:sz="4" w:space="0" w:color="auto"/>
            </w:tcBorders>
            <w:shd w:val="clear" w:color="auto" w:fill="auto"/>
            <w:noWrap/>
            <w:vAlign w:val="bottom"/>
            <w:hideMark/>
          </w:tcPr>
          <w:p w14:paraId="2EC551AD" w14:textId="77777777" w:rsidR="003679FD" w:rsidRPr="003679FD" w:rsidRDefault="003679FD" w:rsidP="003679FD">
            <w:pPr>
              <w:spacing w:after="0"/>
              <w:rPr>
                <w:rFonts w:ascii="Times New Roman" w:hAnsi="Times New Roman"/>
                <w:sz w:val="22"/>
                <w:szCs w:val="22"/>
              </w:rPr>
            </w:pPr>
            <w:r w:rsidRPr="003679FD">
              <w:rPr>
                <w:rFonts w:ascii="Times New Roman" w:eastAsia="+mn-ea" w:hAnsi="Times New Roman"/>
                <w:sz w:val="22"/>
                <w:szCs w:val="22"/>
              </w:rPr>
              <w:t>C=O</w:t>
            </w:r>
            <w:r w:rsidRPr="003679FD">
              <w:rPr>
                <w:rFonts w:ascii="Times New Roman" w:eastAsia="+mn-ea" w:hAnsi="Times New Roman"/>
                <w:position w:val="11"/>
                <w:sz w:val="22"/>
                <w:szCs w:val="22"/>
                <w:vertAlign w:val="superscript"/>
              </w:rPr>
              <w:t>-</w:t>
            </w:r>
            <w:r w:rsidRPr="003679FD">
              <w:rPr>
                <w:rFonts w:ascii="Times New Roman" w:eastAsia="+mn-ea" w:hAnsi="Times New Roman"/>
                <w:sz w:val="22"/>
                <w:szCs w:val="22"/>
              </w:rPr>
              <w:t xml:space="preserve"> stretch free acid chloride on TMC</w:t>
            </w:r>
          </w:p>
        </w:tc>
        <w:tc>
          <w:tcPr>
            <w:tcW w:w="1080" w:type="dxa"/>
            <w:tcBorders>
              <w:top w:val="nil"/>
              <w:left w:val="nil"/>
              <w:bottom w:val="single" w:sz="4" w:space="0" w:color="auto"/>
              <w:right w:val="single" w:sz="8" w:space="0" w:color="auto"/>
            </w:tcBorders>
            <w:shd w:val="clear" w:color="auto" w:fill="auto"/>
            <w:noWrap/>
            <w:vAlign w:val="bottom"/>
          </w:tcPr>
          <w:p w14:paraId="62DB3928"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32</w:t>
            </w:r>
            <w:r w:rsidRPr="003679FD">
              <w:rPr>
                <w:rFonts w:ascii="Times New Roman" w:hAnsi="Times New Roman"/>
                <w:sz w:val="22"/>
                <w:szCs w:val="22"/>
              </w:rPr>
              <w:t xml:space="preserve">, </w:t>
            </w:r>
            <w:r w:rsidRPr="003679FD">
              <w:rPr>
                <w:rFonts w:ascii="Times New Roman" w:hAnsi="Times New Roman"/>
                <w:color w:val="FF0000"/>
                <w:sz w:val="22"/>
                <w:szCs w:val="22"/>
              </w:rPr>
              <w:t>33</w:t>
            </w:r>
            <w:r w:rsidRPr="003679FD">
              <w:rPr>
                <w:rFonts w:ascii="Times New Roman" w:hAnsi="Times New Roman"/>
                <w:sz w:val="22"/>
                <w:szCs w:val="22"/>
              </w:rPr>
              <w:t>,</w:t>
            </w:r>
          </w:p>
        </w:tc>
      </w:tr>
      <w:tr w:rsidR="003679FD" w:rsidRPr="003679FD" w14:paraId="0A570A3C"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3B7D4415"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2</w:t>
            </w:r>
          </w:p>
        </w:tc>
        <w:tc>
          <w:tcPr>
            <w:tcW w:w="990" w:type="dxa"/>
            <w:tcBorders>
              <w:top w:val="nil"/>
              <w:left w:val="nil"/>
              <w:bottom w:val="single" w:sz="4" w:space="0" w:color="auto"/>
              <w:right w:val="single" w:sz="8" w:space="0" w:color="auto"/>
            </w:tcBorders>
            <w:shd w:val="clear" w:color="auto" w:fill="auto"/>
            <w:noWrap/>
            <w:vAlign w:val="bottom"/>
            <w:hideMark/>
          </w:tcPr>
          <w:p w14:paraId="4FA99CD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1718</w:t>
            </w:r>
          </w:p>
        </w:tc>
        <w:tc>
          <w:tcPr>
            <w:tcW w:w="810" w:type="dxa"/>
            <w:tcBorders>
              <w:top w:val="nil"/>
              <w:left w:val="nil"/>
              <w:bottom w:val="single" w:sz="4" w:space="0" w:color="auto"/>
              <w:right w:val="single" w:sz="8" w:space="0" w:color="auto"/>
            </w:tcBorders>
            <w:shd w:val="clear" w:color="auto" w:fill="auto"/>
            <w:noWrap/>
            <w:vAlign w:val="bottom"/>
            <w:hideMark/>
          </w:tcPr>
          <w:p w14:paraId="38F2BB53"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1757</w:t>
            </w:r>
          </w:p>
        </w:tc>
        <w:tc>
          <w:tcPr>
            <w:tcW w:w="5400" w:type="dxa"/>
            <w:tcBorders>
              <w:top w:val="nil"/>
              <w:left w:val="nil"/>
              <w:bottom w:val="single" w:sz="4" w:space="0" w:color="auto"/>
              <w:right w:val="single" w:sz="4" w:space="0" w:color="auto"/>
            </w:tcBorders>
            <w:shd w:val="clear" w:color="auto" w:fill="auto"/>
            <w:noWrap/>
            <w:vAlign w:val="bottom"/>
            <w:hideMark/>
          </w:tcPr>
          <w:p w14:paraId="5309231D"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C=O stretch from the COO- group on TMC</w:t>
            </w:r>
          </w:p>
        </w:tc>
        <w:tc>
          <w:tcPr>
            <w:tcW w:w="1080" w:type="dxa"/>
            <w:tcBorders>
              <w:top w:val="nil"/>
              <w:left w:val="nil"/>
              <w:bottom w:val="single" w:sz="4" w:space="0" w:color="auto"/>
              <w:right w:val="single" w:sz="8" w:space="0" w:color="auto"/>
            </w:tcBorders>
            <w:shd w:val="clear" w:color="auto" w:fill="auto"/>
            <w:noWrap/>
            <w:vAlign w:val="bottom"/>
          </w:tcPr>
          <w:p w14:paraId="2094DFB6"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32,33,</w:t>
            </w:r>
          </w:p>
        </w:tc>
      </w:tr>
      <w:tr w:rsidR="003679FD" w:rsidRPr="003679FD" w14:paraId="3950F7AA"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48304D5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3</w:t>
            </w:r>
          </w:p>
        </w:tc>
        <w:tc>
          <w:tcPr>
            <w:tcW w:w="990" w:type="dxa"/>
            <w:tcBorders>
              <w:top w:val="nil"/>
              <w:left w:val="nil"/>
              <w:bottom w:val="single" w:sz="4" w:space="0" w:color="auto"/>
              <w:right w:val="single" w:sz="8" w:space="0" w:color="auto"/>
            </w:tcBorders>
            <w:shd w:val="clear" w:color="auto" w:fill="auto"/>
            <w:noWrap/>
            <w:vAlign w:val="bottom"/>
            <w:hideMark/>
          </w:tcPr>
          <w:p w14:paraId="00146053"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1672</w:t>
            </w:r>
          </w:p>
        </w:tc>
        <w:tc>
          <w:tcPr>
            <w:tcW w:w="810" w:type="dxa"/>
            <w:tcBorders>
              <w:top w:val="nil"/>
              <w:left w:val="nil"/>
              <w:bottom w:val="single" w:sz="4" w:space="0" w:color="auto"/>
              <w:right w:val="single" w:sz="8" w:space="0" w:color="auto"/>
            </w:tcBorders>
            <w:shd w:val="clear" w:color="auto" w:fill="auto"/>
            <w:noWrap/>
            <w:vAlign w:val="bottom"/>
            <w:hideMark/>
          </w:tcPr>
          <w:p w14:paraId="28BFEF79"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1682</w:t>
            </w:r>
          </w:p>
        </w:tc>
        <w:tc>
          <w:tcPr>
            <w:tcW w:w="5400" w:type="dxa"/>
            <w:tcBorders>
              <w:top w:val="nil"/>
              <w:left w:val="nil"/>
              <w:bottom w:val="single" w:sz="4" w:space="0" w:color="auto"/>
              <w:right w:val="single" w:sz="4" w:space="0" w:color="auto"/>
            </w:tcBorders>
            <w:shd w:val="clear" w:color="auto" w:fill="auto"/>
            <w:noWrap/>
            <w:vAlign w:val="bottom"/>
            <w:hideMark/>
          </w:tcPr>
          <w:p w14:paraId="6652CBF3"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C=O stretch (mostly) coupled with C-C-N deformation and C-N stretch</w:t>
            </w:r>
          </w:p>
        </w:tc>
        <w:tc>
          <w:tcPr>
            <w:tcW w:w="1080" w:type="dxa"/>
            <w:tcBorders>
              <w:top w:val="nil"/>
              <w:left w:val="nil"/>
              <w:bottom w:val="single" w:sz="4" w:space="0" w:color="auto"/>
              <w:right w:val="single" w:sz="8" w:space="0" w:color="auto"/>
            </w:tcBorders>
            <w:shd w:val="clear" w:color="auto" w:fill="auto"/>
            <w:noWrap/>
            <w:vAlign w:val="bottom"/>
          </w:tcPr>
          <w:p w14:paraId="11670C56"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27, 28,29</w:t>
            </w:r>
          </w:p>
        </w:tc>
      </w:tr>
      <w:tr w:rsidR="003679FD" w:rsidRPr="003679FD" w14:paraId="022E169E"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723A05F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4</w:t>
            </w:r>
          </w:p>
        </w:tc>
        <w:tc>
          <w:tcPr>
            <w:tcW w:w="990" w:type="dxa"/>
            <w:tcBorders>
              <w:top w:val="nil"/>
              <w:left w:val="nil"/>
              <w:bottom w:val="single" w:sz="4" w:space="0" w:color="auto"/>
              <w:right w:val="single" w:sz="8" w:space="0" w:color="auto"/>
            </w:tcBorders>
            <w:shd w:val="clear" w:color="auto" w:fill="auto"/>
            <w:noWrap/>
            <w:vAlign w:val="bottom"/>
            <w:hideMark/>
          </w:tcPr>
          <w:p w14:paraId="37044421"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1612</w:t>
            </w:r>
          </w:p>
        </w:tc>
        <w:tc>
          <w:tcPr>
            <w:tcW w:w="810" w:type="dxa"/>
            <w:tcBorders>
              <w:top w:val="nil"/>
              <w:left w:val="nil"/>
              <w:bottom w:val="single" w:sz="4" w:space="0" w:color="auto"/>
              <w:right w:val="single" w:sz="8" w:space="0" w:color="auto"/>
            </w:tcBorders>
            <w:shd w:val="clear" w:color="auto" w:fill="auto"/>
            <w:noWrap/>
            <w:vAlign w:val="bottom"/>
            <w:hideMark/>
          </w:tcPr>
          <w:p w14:paraId="39B666A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1600</w:t>
            </w:r>
          </w:p>
        </w:tc>
        <w:tc>
          <w:tcPr>
            <w:tcW w:w="5400" w:type="dxa"/>
            <w:tcBorders>
              <w:top w:val="nil"/>
              <w:left w:val="nil"/>
              <w:bottom w:val="single" w:sz="4" w:space="0" w:color="auto"/>
              <w:right w:val="single" w:sz="4" w:space="0" w:color="auto"/>
            </w:tcBorders>
            <w:shd w:val="clear" w:color="auto" w:fill="auto"/>
            <w:noWrap/>
            <w:vAlign w:val="bottom"/>
            <w:hideMark/>
          </w:tcPr>
          <w:p w14:paraId="258CE525"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combination of E2g (also known as vibration 8) derived C=C ring vibrations on TMC and MPD</w:t>
            </w:r>
          </w:p>
        </w:tc>
        <w:tc>
          <w:tcPr>
            <w:tcW w:w="1080" w:type="dxa"/>
            <w:tcBorders>
              <w:top w:val="nil"/>
              <w:left w:val="nil"/>
              <w:bottom w:val="single" w:sz="4" w:space="0" w:color="auto"/>
              <w:right w:val="single" w:sz="8" w:space="0" w:color="auto"/>
            </w:tcBorders>
            <w:shd w:val="clear" w:color="auto" w:fill="auto"/>
            <w:vAlign w:val="bottom"/>
          </w:tcPr>
          <w:p w14:paraId="293F7311"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34</w:t>
            </w:r>
            <w:r w:rsidRPr="003679FD">
              <w:rPr>
                <w:rFonts w:ascii="Times New Roman" w:hAnsi="Times New Roman"/>
                <w:sz w:val="22"/>
                <w:szCs w:val="22"/>
              </w:rPr>
              <w:t>,</w:t>
            </w:r>
            <w:r w:rsidRPr="003679FD">
              <w:rPr>
                <w:rFonts w:ascii="Times New Roman" w:hAnsi="Times New Roman"/>
                <w:color w:val="FF0000"/>
                <w:sz w:val="22"/>
                <w:szCs w:val="22"/>
              </w:rPr>
              <w:t>35,36</w:t>
            </w:r>
          </w:p>
        </w:tc>
      </w:tr>
      <w:tr w:rsidR="003679FD" w:rsidRPr="003679FD" w14:paraId="2EFC39EB"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3D264ACB"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5</w:t>
            </w:r>
          </w:p>
        </w:tc>
        <w:tc>
          <w:tcPr>
            <w:tcW w:w="990" w:type="dxa"/>
            <w:tcBorders>
              <w:top w:val="nil"/>
              <w:left w:val="nil"/>
              <w:bottom w:val="single" w:sz="4" w:space="0" w:color="auto"/>
              <w:right w:val="single" w:sz="8" w:space="0" w:color="auto"/>
            </w:tcBorders>
            <w:shd w:val="clear" w:color="auto" w:fill="auto"/>
            <w:noWrap/>
            <w:vAlign w:val="bottom"/>
            <w:hideMark/>
          </w:tcPr>
          <w:p w14:paraId="01102BB6"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1546</w:t>
            </w:r>
          </w:p>
        </w:tc>
        <w:tc>
          <w:tcPr>
            <w:tcW w:w="810" w:type="dxa"/>
            <w:tcBorders>
              <w:top w:val="nil"/>
              <w:left w:val="nil"/>
              <w:bottom w:val="single" w:sz="4" w:space="0" w:color="auto"/>
              <w:right w:val="single" w:sz="8" w:space="0" w:color="auto"/>
            </w:tcBorders>
            <w:shd w:val="clear" w:color="auto" w:fill="auto"/>
            <w:noWrap/>
            <w:vAlign w:val="bottom"/>
            <w:hideMark/>
          </w:tcPr>
          <w:p w14:paraId="6469A70D"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1541</w:t>
            </w:r>
          </w:p>
        </w:tc>
        <w:tc>
          <w:tcPr>
            <w:tcW w:w="5400" w:type="dxa"/>
            <w:tcBorders>
              <w:top w:val="nil"/>
              <w:left w:val="nil"/>
              <w:bottom w:val="single" w:sz="4" w:space="0" w:color="auto"/>
              <w:right w:val="single" w:sz="4" w:space="0" w:color="auto"/>
            </w:tcBorders>
            <w:shd w:val="clear" w:color="auto" w:fill="auto"/>
            <w:noWrap/>
            <w:vAlign w:val="bottom"/>
            <w:hideMark/>
          </w:tcPr>
          <w:p w14:paraId="443A97EF"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N-H in plane bending and C-N stretch for Amide group in a trans configuration</w:t>
            </w:r>
          </w:p>
        </w:tc>
        <w:tc>
          <w:tcPr>
            <w:tcW w:w="1080" w:type="dxa"/>
            <w:tcBorders>
              <w:top w:val="nil"/>
              <w:left w:val="nil"/>
              <w:bottom w:val="single" w:sz="4" w:space="0" w:color="auto"/>
              <w:right w:val="single" w:sz="8" w:space="0" w:color="auto"/>
            </w:tcBorders>
            <w:shd w:val="clear" w:color="auto" w:fill="auto"/>
            <w:noWrap/>
            <w:vAlign w:val="bottom"/>
          </w:tcPr>
          <w:p w14:paraId="16E37495"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27,28,29</w:t>
            </w:r>
          </w:p>
        </w:tc>
      </w:tr>
      <w:tr w:rsidR="003679FD" w:rsidRPr="003679FD" w14:paraId="25E957A0"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1D46B248"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6</w:t>
            </w:r>
          </w:p>
        </w:tc>
        <w:tc>
          <w:tcPr>
            <w:tcW w:w="990" w:type="dxa"/>
            <w:tcBorders>
              <w:top w:val="nil"/>
              <w:left w:val="nil"/>
              <w:bottom w:val="single" w:sz="4" w:space="0" w:color="auto"/>
              <w:right w:val="single" w:sz="8" w:space="0" w:color="auto"/>
            </w:tcBorders>
            <w:shd w:val="clear" w:color="auto" w:fill="auto"/>
            <w:noWrap/>
            <w:vAlign w:val="bottom"/>
            <w:hideMark/>
          </w:tcPr>
          <w:p w14:paraId="3C3239B1"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1492</w:t>
            </w:r>
          </w:p>
        </w:tc>
        <w:tc>
          <w:tcPr>
            <w:tcW w:w="810" w:type="dxa"/>
            <w:tcBorders>
              <w:top w:val="nil"/>
              <w:left w:val="nil"/>
              <w:bottom w:val="single" w:sz="4" w:space="0" w:color="auto"/>
              <w:right w:val="single" w:sz="8" w:space="0" w:color="auto"/>
            </w:tcBorders>
            <w:shd w:val="clear" w:color="auto" w:fill="auto"/>
            <w:noWrap/>
            <w:vAlign w:val="bottom"/>
            <w:hideMark/>
          </w:tcPr>
          <w:p w14:paraId="6DDC045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1496</w:t>
            </w:r>
          </w:p>
        </w:tc>
        <w:tc>
          <w:tcPr>
            <w:tcW w:w="5400" w:type="dxa"/>
            <w:tcBorders>
              <w:top w:val="nil"/>
              <w:left w:val="nil"/>
              <w:bottom w:val="single" w:sz="4" w:space="0" w:color="auto"/>
              <w:right w:val="single" w:sz="4" w:space="0" w:color="auto"/>
            </w:tcBorders>
            <w:shd w:val="clear" w:color="auto" w:fill="auto"/>
            <w:noWrap/>
            <w:vAlign w:val="bottom"/>
            <w:hideMark/>
          </w:tcPr>
          <w:p w14:paraId="2C9FF4B8" w14:textId="77777777" w:rsidR="003679FD" w:rsidRPr="003679FD" w:rsidRDefault="003679FD" w:rsidP="003679FD">
            <w:pPr>
              <w:spacing w:after="0"/>
              <w:rPr>
                <w:rFonts w:ascii="Times New Roman" w:hAnsi="Times New Roman"/>
                <w:sz w:val="22"/>
                <w:szCs w:val="22"/>
              </w:rPr>
            </w:pPr>
            <w:r w:rsidRPr="003679FD">
              <w:rPr>
                <w:rFonts w:ascii="Times New Roman" w:eastAsia="+mn-ea" w:hAnsi="Times New Roman"/>
                <w:sz w:val="22"/>
                <w:szCs w:val="22"/>
              </w:rPr>
              <w:t>B1 bending stretch mode of a meta bi functionalized ring</w:t>
            </w:r>
          </w:p>
        </w:tc>
        <w:tc>
          <w:tcPr>
            <w:tcW w:w="1080" w:type="dxa"/>
            <w:tcBorders>
              <w:top w:val="nil"/>
              <w:left w:val="nil"/>
              <w:bottom w:val="single" w:sz="4" w:space="0" w:color="auto"/>
              <w:right w:val="single" w:sz="8" w:space="0" w:color="auto"/>
            </w:tcBorders>
            <w:shd w:val="clear" w:color="auto" w:fill="auto"/>
            <w:noWrap/>
            <w:vAlign w:val="bottom"/>
          </w:tcPr>
          <w:p w14:paraId="0F7C12C9"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31</w:t>
            </w:r>
            <w:r w:rsidRPr="003679FD">
              <w:rPr>
                <w:rFonts w:ascii="Times New Roman" w:hAnsi="Times New Roman"/>
                <w:sz w:val="22"/>
                <w:szCs w:val="22"/>
              </w:rPr>
              <w:t>,</w:t>
            </w:r>
            <w:r w:rsidRPr="003679FD">
              <w:rPr>
                <w:rFonts w:ascii="Times New Roman" w:hAnsi="Times New Roman"/>
                <w:color w:val="FF0000"/>
                <w:sz w:val="22"/>
                <w:szCs w:val="22"/>
              </w:rPr>
              <w:t>34,35</w:t>
            </w:r>
            <w:r w:rsidRPr="003679FD">
              <w:rPr>
                <w:rFonts w:ascii="Times New Roman" w:hAnsi="Times New Roman"/>
                <w:sz w:val="22"/>
                <w:szCs w:val="22"/>
              </w:rPr>
              <w:t>,</w:t>
            </w:r>
          </w:p>
        </w:tc>
      </w:tr>
      <w:tr w:rsidR="003679FD" w:rsidRPr="003679FD" w14:paraId="7C7A769B"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03D36E38"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7</w:t>
            </w:r>
          </w:p>
        </w:tc>
        <w:tc>
          <w:tcPr>
            <w:tcW w:w="990" w:type="dxa"/>
            <w:tcBorders>
              <w:top w:val="nil"/>
              <w:left w:val="nil"/>
              <w:bottom w:val="single" w:sz="4" w:space="0" w:color="auto"/>
              <w:right w:val="single" w:sz="8" w:space="0" w:color="auto"/>
            </w:tcBorders>
            <w:shd w:val="clear" w:color="auto" w:fill="auto"/>
            <w:noWrap/>
            <w:vAlign w:val="bottom"/>
            <w:hideMark/>
          </w:tcPr>
          <w:p w14:paraId="61380CB2"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1448</w:t>
            </w:r>
          </w:p>
        </w:tc>
        <w:tc>
          <w:tcPr>
            <w:tcW w:w="810" w:type="dxa"/>
            <w:tcBorders>
              <w:top w:val="nil"/>
              <w:left w:val="nil"/>
              <w:bottom w:val="single" w:sz="4" w:space="0" w:color="auto"/>
              <w:right w:val="single" w:sz="8" w:space="0" w:color="auto"/>
            </w:tcBorders>
            <w:shd w:val="clear" w:color="auto" w:fill="auto"/>
            <w:noWrap/>
            <w:vAlign w:val="bottom"/>
            <w:hideMark/>
          </w:tcPr>
          <w:p w14:paraId="3E4BE4E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1438</w:t>
            </w:r>
          </w:p>
        </w:tc>
        <w:tc>
          <w:tcPr>
            <w:tcW w:w="5400" w:type="dxa"/>
            <w:tcBorders>
              <w:top w:val="nil"/>
              <w:left w:val="nil"/>
              <w:bottom w:val="single" w:sz="4" w:space="0" w:color="auto"/>
              <w:right w:val="single" w:sz="4" w:space="0" w:color="auto"/>
            </w:tcBorders>
            <w:shd w:val="clear" w:color="auto" w:fill="auto"/>
            <w:noWrap/>
            <w:vAlign w:val="bottom"/>
            <w:hideMark/>
          </w:tcPr>
          <w:p w14:paraId="00993C67" w14:textId="77777777" w:rsidR="003679FD" w:rsidRPr="003679FD" w:rsidRDefault="003679FD" w:rsidP="003679FD">
            <w:pPr>
              <w:spacing w:after="0"/>
              <w:rPr>
                <w:rFonts w:ascii="Times New Roman" w:hAnsi="Times New Roman"/>
                <w:sz w:val="22"/>
                <w:szCs w:val="22"/>
              </w:rPr>
            </w:pPr>
            <w:r w:rsidRPr="003679FD">
              <w:rPr>
                <w:rFonts w:ascii="Times New Roman" w:eastAsia="+mn-ea" w:hAnsi="Times New Roman"/>
                <w:sz w:val="22"/>
                <w:szCs w:val="22"/>
              </w:rPr>
              <w:t>A1 ring vibration in MPD, overlaps with E’ ring vibration of TMC</w:t>
            </w:r>
          </w:p>
        </w:tc>
        <w:tc>
          <w:tcPr>
            <w:tcW w:w="1080" w:type="dxa"/>
            <w:tcBorders>
              <w:top w:val="nil"/>
              <w:left w:val="nil"/>
              <w:bottom w:val="single" w:sz="4" w:space="0" w:color="auto"/>
              <w:right w:val="single" w:sz="8" w:space="0" w:color="auto"/>
            </w:tcBorders>
            <w:shd w:val="clear" w:color="auto" w:fill="auto"/>
            <w:noWrap/>
            <w:vAlign w:val="bottom"/>
          </w:tcPr>
          <w:p w14:paraId="11AEDDA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31</w:t>
            </w:r>
            <w:r w:rsidRPr="003679FD">
              <w:rPr>
                <w:rFonts w:ascii="Times New Roman" w:hAnsi="Times New Roman"/>
                <w:sz w:val="22"/>
                <w:szCs w:val="22"/>
              </w:rPr>
              <w:t>,</w:t>
            </w:r>
            <w:r w:rsidRPr="003679FD">
              <w:rPr>
                <w:rFonts w:ascii="Times New Roman" w:hAnsi="Times New Roman"/>
                <w:color w:val="FF0000"/>
                <w:sz w:val="22"/>
                <w:szCs w:val="22"/>
              </w:rPr>
              <w:t>35</w:t>
            </w:r>
            <w:r w:rsidRPr="003679FD">
              <w:rPr>
                <w:rFonts w:ascii="Times New Roman" w:hAnsi="Times New Roman"/>
                <w:sz w:val="22"/>
                <w:szCs w:val="22"/>
              </w:rPr>
              <w:t xml:space="preserve"> </w:t>
            </w:r>
            <w:r w:rsidRPr="003679FD">
              <w:rPr>
                <w:rFonts w:ascii="Times New Roman" w:hAnsi="Times New Roman"/>
                <w:color w:val="FF0000"/>
                <w:sz w:val="22"/>
                <w:szCs w:val="22"/>
              </w:rPr>
              <w:t>37</w:t>
            </w:r>
          </w:p>
        </w:tc>
      </w:tr>
      <w:tr w:rsidR="003679FD" w:rsidRPr="003679FD" w14:paraId="0AE9643A"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01251854"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8</w:t>
            </w:r>
          </w:p>
        </w:tc>
        <w:tc>
          <w:tcPr>
            <w:tcW w:w="990" w:type="dxa"/>
            <w:tcBorders>
              <w:top w:val="nil"/>
              <w:left w:val="nil"/>
              <w:bottom w:val="single" w:sz="4" w:space="0" w:color="auto"/>
              <w:right w:val="single" w:sz="8" w:space="0" w:color="auto"/>
            </w:tcBorders>
            <w:shd w:val="clear" w:color="auto" w:fill="auto"/>
            <w:noWrap/>
            <w:vAlign w:val="bottom"/>
            <w:hideMark/>
          </w:tcPr>
          <w:p w14:paraId="0722FBB4"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1425</w:t>
            </w:r>
          </w:p>
        </w:tc>
        <w:tc>
          <w:tcPr>
            <w:tcW w:w="810" w:type="dxa"/>
            <w:tcBorders>
              <w:top w:val="nil"/>
              <w:left w:val="nil"/>
              <w:bottom w:val="single" w:sz="4" w:space="0" w:color="auto"/>
              <w:right w:val="single" w:sz="8" w:space="0" w:color="auto"/>
            </w:tcBorders>
            <w:shd w:val="clear" w:color="auto" w:fill="auto"/>
            <w:noWrap/>
            <w:vAlign w:val="bottom"/>
            <w:hideMark/>
          </w:tcPr>
          <w:p w14:paraId="641EC9CF"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1429</w:t>
            </w:r>
          </w:p>
        </w:tc>
        <w:tc>
          <w:tcPr>
            <w:tcW w:w="5400" w:type="dxa"/>
            <w:tcBorders>
              <w:top w:val="nil"/>
              <w:left w:val="nil"/>
              <w:bottom w:val="single" w:sz="4" w:space="0" w:color="auto"/>
              <w:right w:val="single" w:sz="4" w:space="0" w:color="auto"/>
            </w:tcBorders>
            <w:shd w:val="clear" w:color="auto" w:fill="auto"/>
            <w:noWrap/>
            <w:vAlign w:val="bottom"/>
            <w:hideMark/>
          </w:tcPr>
          <w:p w14:paraId="0C30EFFE"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Aromatic C-N stretching (mostly). This peak overlaps with tri-substituted E’ derived (C=C) ring mode</w:t>
            </w:r>
          </w:p>
        </w:tc>
        <w:tc>
          <w:tcPr>
            <w:tcW w:w="1080" w:type="dxa"/>
            <w:tcBorders>
              <w:top w:val="nil"/>
              <w:left w:val="nil"/>
              <w:bottom w:val="single" w:sz="4" w:space="0" w:color="auto"/>
              <w:right w:val="single" w:sz="8" w:space="0" w:color="auto"/>
            </w:tcBorders>
            <w:shd w:val="clear" w:color="auto" w:fill="auto"/>
            <w:noWrap/>
            <w:vAlign w:val="bottom"/>
          </w:tcPr>
          <w:p w14:paraId="4C73A0B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34,35</w:t>
            </w:r>
            <w:r w:rsidRPr="003679FD">
              <w:rPr>
                <w:rFonts w:ascii="Times New Roman" w:hAnsi="Times New Roman"/>
                <w:sz w:val="22"/>
                <w:szCs w:val="22"/>
              </w:rPr>
              <w:t>,</w:t>
            </w:r>
            <w:r w:rsidRPr="003679FD">
              <w:rPr>
                <w:rFonts w:ascii="Times New Roman" w:hAnsi="Times New Roman"/>
                <w:color w:val="FF0000"/>
                <w:sz w:val="22"/>
                <w:szCs w:val="22"/>
              </w:rPr>
              <w:t>36</w:t>
            </w:r>
          </w:p>
        </w:tc>
      </w:tr>
      <w:tr w:rsidR="003679FD" w:rsidRPr="003679FD" w14:paraId="6A15A1ED"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36B6AD15"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9</w:t>
            </w:r>
          </w:p>
        </w:tc>
        <w:tc>
          <w:tcPr>
            <w:tcW w:w="990" w:type="dxa"/>
            <w:tcBorders>
              <w:top w:val="nil"/>
              <w:left w:val="nil"/>
              <w:bottom w:val="single" w:sz="4" w:space="0" w:color="auto"/>
              <w:right w:val="single" w:sz="8" w:space="0" w:color="auto"/>
            </w:tcBorders>
            <w:shd w:val="clear" w:color="auto" w:fill="auto"/>
            <w:noWrap/>
            <w:vAlign w:val="bottom"/>
            <w:hideMark/>
          </w:tcPr>
          <w:p w14:paraId="191AD852"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1325</w:t>
            </w:r>
          </w:p>
        </w:tc>
        <w:tc>
          <w:tcPr>
            <w:tcW w:w="810" w:type="dxa"/>
            <w:tcBorders>
              <w:top w:val="nil"/>
              <w:left w:val="nil"/>
              <w:bottom w:val="single" w:sz="4" w:space="0" w:color="auto"/>
              <w:right w:val="single" w:sz="8" w:space="0" w:color="auto"/>
            </w:tcBorders>
            <w:shd w:val="clear" w:color="auto" w:fill="auto"/>
            <w:noWrap/>
            <w:vAlign w:val="bottom"/>
            <w:hideMark/>
          </w:tcPr>
          <w:p w14:paraId="35E98586"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1320</w:t>
            </w:r>
          </w:p>
        </w:tc>
        <w:tc>
          <w:tcPr>
            <w:tcW w:w="5400" w:type="dxa"/>
            <w:tcBorders>
              <w:top w:val="nil"/>
              <w:left w:val="nil"/>
              <w:bottom w:val="single" w:sz="4" w:space="0" w:color="auto"/>
              <w:right w:val="single" w:sz="4" w:space="0" w:color="auto"/>
            </w:tcBorders>
            <w:shd w:val="clear" w:color="auto" w:fill="auto"/>
            <w:noWrap/>
            <w:vAlign w:val="bottom"/>
            <w:hideMark/>
          </w:tcPr>
          <w:p w14:paraId="5AB4474F"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In plane =C-H deformations on MPD ring</w:t>
            </w:r>
          </w:p>
        </w:tc>
        <w:tc>
          <w:tcPr>
            <w:tcW w:w="1080" w:type="dxa"/>
            <w:tcBorders>
              <w:top w:val="nil"/>
              <w:left w:val="nil"/>
              <w:bottom w:val="single" w:sz="4" w:space="0" w:color="auto"/>
              <w:right w:val="single" w:sz="8" w:space="0" w:color="auto"/>
            </w:tcBorders>
            <w:shd w:val="clear" w:color="auto" w:fill="auto"/>
            <w:noWrap/>
            <w:vAlign w:val="bottom"/>
          </w:tcPr>
          <w:p w14:paraId="5120958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31,34,35</w:t>
            </w:r>
          </w:p>
        </w:tc>
      </w:tr>
      <w:tr w:rsidR="003679FD" w:rsidRPr="003679FD" w14:paraId="24F94A0C"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5AF1F649"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10</w:t>
            </w:r>
          </w:p>
        </w:tc>
        <w:tc>
          <w:tcPr>
            <w:tcW w:w="990" w:type="dxa"/>
            <w:tcBorders>
              <w:top w:val="nil"/>
              <w:left w:val="nil"/>
              <w:bottom w:val="single" w:sz="4" w:space="0" w:color="auto"/>
              <w:right w:val="single" w:sz="8" w:space="0" w:color="auto"/>
            </w:tcBorders>
            <w:shd w:val="clear" w:color="auto" w:fill="auto"/>
            <w:noWrap/>
            <w:vAlign w:val="bottom"/>
            <w:hideMark/>
          </w:tcPr>
          <w:p w14:paraId="0F822BA9"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1306</w:t>
            </w:r>
          </w:p>
        </w:tc>
        <w:tc>
          <w:tcPr>
            <w:tcW w:w="810" w:type="dxa"/>
            <w:tcBorders>
              <w:top w:val="nil"/>
              <w:left w:val="nil"/>
              <w:bottom w:val="single" w:sz="4" w:space="0" w:color="auto"/>
              <w:right w:val="single" w:sz="8" w:space="0" w:color="auto"/>
            </w:tcBorders>
            <w:shd w:val="clear" w:color="auto" w:fill="auto"/>
            <w:noWrap/>
            <w:vAlign w:val="bottom"/>
            <w:hideMark/>
          </w:tcPr>
          <w:p w14:paraId="0FD19D68"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1295</w:t>
            </w:r>
          </w:p>
        </w:tc>
        <w:tc>
          <w:tcPr>
            <w:tcW w:w="5400" w:type="dxa"/>
            <w:tcBorders>
              <w:top w:val="nil"/>
              <w:left w:val="nil"/>
              <w:bottom w:val="single" w:sz="4" w:space="0" w:color="auto"/>
              <w:right w:val="single" w:sz="4" w:space="0" w:color="auto"/>
            </w:tcBorders>
            <w:shd w:val="clear" w:color="auto" w:fill="auto"/>
            <w:noWrap/>
            <w:vAlign w:val="bottom"/>
            <w:hideMark/>
          </w:tcPr>
          <w:p w14:paraId="77905C4B"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Amide C-N-C stretch</w:t>
            </w:r>
          </w:p>
        </w:tc>
        <w:tc>
          <w:tcPr>
            <w:tcW w:w="1080" w:type="dxa"/>
            <w:tcBorders>
              <w:top w:val="nil"/>
              <w:left w:val="nil"/>
              <w:bottom w:val="single" w:sz="4" w:space="0" w:color="auto"/>
              <w:right w:val="single" w:sz="8" w:space="0" w:color="auto"/>
            </w:tcBorders>
            <w:shd w:val="clear" w:color="auto" w:fill="auto"/>
            <w:noWrap/>
            <w:vAlign w:val="bottom"/>
          </w:tcPr>
          <w:p w14:paraId="7831AE51"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27,28,29</w:t>
            </w:r>
          </w:p>
        </w:tc>
      </w:tr>
      <w:tr w:rsidR="003679FD" w:rsidRPr="003679FD" w14:paraId="052EBBC0"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0A9A6223"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11</w:t>
            </w:r>
          </w:p>
        </w:tc>
        <w:tc>
          <w:tcPr>
            <w:tcW w:w="990" w:type="dxa"/>
            <w:tcBorders>
              <w:top w:val="nil"/>
              <w:left w:val="nil"/>
              <w:bottom w:val="single" w:sz="4" w:space="0" w:color="auto"/>
              <w:right w:val="single" w:sz="8" w:space="0" w:color="auto"/>
            </w:tcBorders>
            <w:shd w:val="clear" w:color="auto" w:fill="auto"/>
            <w:noWrap/>
            <w:vAlign w:val="bottom"/>
            <w:hideMark/>
          </w:tcPr>
          <w:p w14:paraId="5FB39FE5"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1287</w:t>
            </w:r>
          </w:p>
        </w:tc>
        <w:tc>
          <w:tcPr>
            <w:tcW w:w="810" w:type="dxa"/>
            <w:tcBorders>
              <w:top w:val="nil"/>
              <w:left w:val="nil"/>
              <w:bottom w:val="single" w:sz="4" w:space="0" w:color="auto"/>
              <w:right w:val="single" w:sz="8" w:space="0" w:color="auto"/>
            </w:tcBorders>
            <w:shd w:val="clear" w:color="auto" w:fill="auto"/>
            <w:noWrap/>
            <w:vAlign w:val="bottom"/>
            <w:hideMark/>
          </w:tcPr>
          <w:p w14:paraId="090A037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1282</w:t>
            </w:r>
          </w:p>
        </w:tc>
        <w:tc>
          <w:tcPr>
            <w:tcW w:w="5400" w:type="dxa"/>
            <w:tcBorders>
              <w:top w:val="nil"/>
              <w:left w:val="nil"/>
              <w:bottom w:val="single" w:sz="4" w:space="0" w:color="auto"/>
              <w:right w:val="single" w:sz="4" w:space="0" w:color="auto"/>
            </w:tcBorders>
            <w:shd w:val="clear" w:color="auto" w:fill="auto"/>
            <w:noWrap/>
            <w:vAlign w:val="bottom"/>
            <w:hideMark/>
          </w:tcPr>
          <w:p w14:paraId="60339597" w14:textId="77777777" w:rsidR="003679FD" w:rsidRPr="003679FD" w:rsidRDefault="003679FD" w:rsidP="003679FD">
            <w:pPr>
              <w:spacing w:after="0"/>
              <w:rPr>
                <w:rFonts w:ascii="Times New Roman" w:hAnsi="Times New Roman"/>
                <w:sz w:val="22"/>
                <w:szCs w:val="22"/>
              </w:rPr>
            </w:pPr>
            <w:r w:rsidRPr="003679FD">
              <w:rPr>
                <w:rFonts w:ascii="Times New Roman" w:eastAsia="+mn-ea" w:hAnsi="Times New Roman"/>
                <w:sz w:val="22"/>
                <w:szCs w:val="22"/>
              </w:rPr>
              <w:t>in plane =C-H deformations on TMC ring</w:t>
            </w:r>
          </w:p>
        </w:tc>
        <w:tc>
          <w:tcPr>
            <w:tcW w:w="1080" w:type="dxa"/>
            <w:tcBorders>
              <w:top w:val="nil"/>
              <w:left w:val="nil"/>
              <w:bottom w:val="single" w:sz="4" w:space="0" w:color="auto"/>
              <w:right w:val="single" w:sz="8" w:space="0" w:color="auto"/>
            </w:tcBorders>
            <w:shd w:val="clear" w:color="auto" w:fill="auto"/>
            <w:noWrap/>
            <w:vAlign w:val="bottom"/>
          </w:tcPr>
          <w:p w14:paraId="35FEA5E3"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34,36</w:t>
            </w:r>
            <w:r w:rsidRPr="003679FD">
              <w:rPr>
                <w:rFonts w:ascii="Times New Roman" w:hAnsi="Times New Roman"/>
                <w:sz w:val="22"/>
                <w:szCs w:val="22"/>
              </w:rPr>
              <w:t>,</w:t>
            </w:r>
            <w:r w:rsidRPr="003679FD">
              <w:rPr>
                <w:rFonts w:ascii="Times New Roman" w:hAnsi="Times New Roman"/>
                <w:color w:val="FF0000"/>
                <w:sz w:val="22"/>
                <w:szCs w:val="22"/>
              </w:rPr>
              <w:t>37</w:t>
            </w:r>
          </w:p>
        </w:tc>
      </w:tr>
      <w:tr w:rsidR="003679FD" w:rsidRPr="003679FD" w14:paraId="1532BE8D"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6CE576C2"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w:t>
            </w:r>
          </w:p>
        </w:tc>
        <w:tc>
          <w:tcPr>
            <w:tcW w:w="990" w:type="dxa"/>
            <w:tcBorders>
              <w:top w:val="nil"/>
              <w:left w:val="nil"/>
              <w:bottom w:val="single" w:sz="4" w:space="0" w:color="auto"/>
              <w:right w:val="single" w:sz="8" w:space="0" w:color="auto"/>
            </w:tcBorders>
            <w:shd w:val="clear" w:color="auto" w:fill="auto"/>
            <w:noWrap/>
            <w:vAlign w:val="bottom"/>
            <w:hideMark/>
          </w:tcPr>
          <w:p w14:paraId="3A09F1A7"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1246</w:t>
            </w:r>
          </w:p>
        </w:tc>
        <w:tc>
          <w:tcPr>
            <w:tcW w:w="810" w:type="dxa"/>
            <w:tcBorders>
              <w:top w:val="nil"/>
              <w:left w:val="nil"/>
              <w:bottom w:val="single" w:sz="4" w:space="0" w:color="auto"/>
              <w:right w:val="single" w:sz="8" w:space="0" w:color="auto"/>
            </w:tcBorders>
            <w:shd w:val="clear" w:color="auto" w:fill="auto"/>
            <w:noWrap/>
            <w:vAlign w:val="bottom"/>
            <w:hideMark/>
          </w:tcPr>
          <w:p w14:paraId="2A887334"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1238</w:t>
            </w:r>
          </w:p>
        </w:tc>
        <w:tc>
          <w:tcPr>
            <w:tcW w:w="5400" w:type="dxa"/>
            <w:tcBorders>
              <w:top w:val="nil"/>
              <w:left w:val="nil"/>
              <w:bottom w:val="single" w:sz="4" w:space="0" w:color="auto"/>
              <w:right w:val="single" w:sz="4" w:space="0" w:color="auto"/>
            </w:tcBorders>
            <w:shd w:val="clear" w:color="auto" w:fill="auto"/>
            <w:noWrap/>
            <w:vAlign w:val="bottom"/>
            <w:hideMark/>
          </w:tcPr>
          <w:p w14:paraId="4FB85C12"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Interaction of N-H bending and C-N stretching in amide bond</w:t>
            </w:r>
          </w:p>
        </w:tc>
        <w:tc>
          <w:tcPr>
            <w:tcW w:w="1080" w:type="dxa"/>
            <w:tcBorders>
              <w:top w:val="nil"/>
              <w:left w:val="nil"/>
              <w:bottom w:val="single" w:sz="4" w:space="0" w:color="auto"/>
              <w:right w:val="single" w:sz="8" w:space="0" w:color="auto"/>
            </w:tcBorders>
            <w:shd w:val="clear" w:color="auto" w:fill="auto"/>
            <w:noWrap/>
            <w:vAlign w:val="bottom"/>
          </w:tcPr>
          <w:p w14:paraId="6EB0F1A2"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27,28,29</w:t>
            </w:r>
          </w:p>
        </w:tc>
      </w:tr>
      <w:tr w:rsidR="003679FD" w:rsidRPr="003679FD" w14:paraId="6117B148" w14:textId="77777777" w:rsidTr="00656B54">
        <w:trPr>
          <w:trHeight w:val="300"/>
        </w:trPr>
        <w:tc>
          <w:tcPr>
            <w:tcW w:w="797" w:type="dxa"/>
            <w:tcBorders>
              <w:top w:val="nil"/>
              <w:left w:val="single" w:sz="8" w:space="0" w:color="auto"/>
              <w:bottom w:val="single" w:sz="4" w:space="0" w:color="auto"/>
              <w:right w:val="single" w:sz="8" w:space="0" w:color="auto"/>
            </w:tcBorders>
            <w:shd w:val="clear" w:color="auto" w:fill="auto"/>
            <w:noWrap/>
            <w:vAlign w:val="bottom"/>
            <w:hideMark/>
          </w:tcPr>
          <w:p w14:paraId="56C4F3E0"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13</w:t>
            </w:r>
          </w:p>
        </w:tc>
        <w:tc>
          <w:tcPr>
            <w:tcW w:w="990" w:type="dxa"/>
            <w:tcBorders>
              <w:top w:val="nil"/>
              <w:left w:val="nil"/>
              <w:bottom w:val="single" w:sz="4" w:space="0" w:color="auto"/>
              <w:right w:val="single" w:sz="8" w:space="0" w:color="auto"/>
            </w:tcBorders>
            <w:shd w:val="clear" w:color="auto" w:fill="auto"/>
            <w:noWrap/>
            <w:vAlign w:val="bottom"/>
            <w:hideMark/>
          </w:tcPr>
          <w:p w14:paraId="5CCCAB3F"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1168</w:t>
            </w:r>
          </w:p>
        </w:tc>
        <w:tc>
          <w:tcPr>
            <w:tcW w:w="810" w:type="dxa"/>
            <w:tcBorders>
              <w:top w:val="nil"/>
              <w:left w:val="nil"/>
              <w:bottom w:val="single" w:sz="4" w:space="0" w:color="auto"/>
              <w:right w:val="single" w:sz="8" w:space="0" w:color="auto"/>
            </w:tcBorders>
            <w:shd w:val="clear" w:color="auto" w:fill="auto"/>
            <w:noWrap/>
            <w:vAlign w:val="bottom"/>
            <w:hideMark/>
          </w:tcPr>
          <w:p w14:paraId="32D265AE"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1187</w:t>
            </w:r>
          </w:p>
        </w:tc>
        <w:tc>
          <w:tcPr>
            <w:tcW w:w="5400" w:type="dxa"/>
            <w:tcBorders>
              <w:top w:val="nil"/>
              <w:left w:val="nil"/>
              <w:bottom w:val="single" w:sz="4" w:space="0" w:color="auto"/>
              <w:right w:val="single" w:sz="4" w:space="0" w:color="auto"/>
            </w:tcBorders>
            <w:shd w:val="clear" w:color="auto" w:fill="auto"/>
            <w:noWrap/>
            <w:vAlign w:val="bottom"/>
            <w:hideMark/>
          </w:tcPr>
          <w:p w14:paraId="4C939D3A" w14:textId="77777777" w:rsidR="003679FD" w:rsidRPr="003679FD" w:rsidRDefault="003679FD" w:rsidP="003679FD">
            <w:pPr>
              <w:spacing w:after="0"/>
              <w:rPr>
                <w:rFonts w:ascii="Times New Roman" w:hAnsi="Times New Roman"/>
                <w:sz w:val="22"/>
                <w:szCs w:val="22"/>
              </w:rPr>
            </w:pPr>
            <w:r w:rsidRPr="003679FD">
              <w:rPr>
                <w:rFonts w:ascii="Times New Roman" w:hAnsi="Times New Roman"/>
                <w:sz w:val="22"/>
                <w:szCs w:val="22"/>
              </w:rPr>
              <w:t>CH vibration on MPD ring</w:t>
            </w:r>
          </w:p>
        </w:tc>
        <w:tc>
          <w:tcPr>
            <w:tcW w:w="1080" w:type="dxa"/>
            <w:tcBorders>
              <w:top w:val="nil"/>
              <w:left w:val="nil"/>
              <w:bottom w:val="single" w:sz="4" w:space="0" w:color="auto"/>
              <w:right w:val="single" w:sz="8" w:space="0" w:color="auto"/>
            </w:tcBorders>
            <w:shd w:val="clear" w:color="auto" w:fill="auto"/>
            <w:noWrap/>
            <w:vAlign w:val="bottom"/>
          </w:tcPr>
          <w:p w14:paraId="56038BD1" w14:textId="77777777" w:rsidR="003679FD" w:rsidRPr="003679FD" w:rsidRDefault="003679FD" w:rsidP="003679FD">
            <w:pPr>
              <w:spacing w:after="0"/>
              <w:rPr>
                <w:rFonts w:ascii="Times New Roman" w:hAnsi="Times New Roman"/>
                <w:sz w:val="22"/>
                <w:szCs w:val="22"/>
              </w:rPr>
            </w:pPr>
            <w:r w:rsidRPr="003679FD">
              <w:rPr>
                <w:rFonts w:ascii="Times New Roman" w:hAnsi="Times New Roman"/>
                <w:color w:val="FF0000"/>
                <w:sz w:val="22"/>
                <w:szCs w:val="22"/>
              </w:rPr>
              <w:t>31,34,35,</w:t>
            </w:r>
          </w:p>
        </w:tc>
      </w:tr>
    </w:tbl>
    <w:p w14:paraId="45CA223D" w14:textId="3D9454D4" w:rsidR="00032222" w:rsidRDefault="00032222" w:rsidP="00032222">
      <w:pPr>
        <w:spacing w:after="240" w:line="480" w:lineRule="auto"/>
        <w:jc w:val="left"/>
      </w:pPr>
    </w:p>
    <w:p w14:paraId="21679A8D" w14:textId="6E73E911" w:rsidR="00271F50" w:rsidRDefault="006C6837" w:rsidP="00073FE2">
      <w:pPr>
        <w:pStyle w:val="VAFigureCaption"/>
        <w:spacing w:after="240"/>
      </w:pPr>
      <w:r w:rsidRPr="006C6837">
        <w:t>Next, we applied this approach to the series of commercial membranes with varying IEC. Using the peak fitting strategy described above, the free carboxylic acid peak at 1718 cm</w:t>
      </w:r>
      <w:r w:rsidRPr="006C6837">
        <w:rPr>
          <w:vertAlign w:val="superscript"/>
        </w:rPr>
        <w:t>-1</w:t>
      </w:r>
      <w:r w:rsidRPr="006C6837">
        <w:t xml:space="preserve"> could be dependably resolved, as shown in Fig</w:t>
      </w:r>
      <w:r>
        <w:t>ure</w:t>
      </w:r>
      <w:r w:rsidRPr="006C6837">
        <w:t xml:space="preserve"> 3a. Fig</w:t>
      </w:r>
      <w:r>
        <w:t>ure</w:t>
      </w:r>
      <w:r w:rsidRPr="006C6837">
        <w:t xml:space="preserve"> 3b shows the absorbance of the peak at 1718 cm</w:t>
      </w:r>
      <w:r w:rsidRPr="006C6837">
        <w:rPr>
          <w:vertAlign w:val="superscript"/>
        </w:rPr>
        <w:t>-1</w:t>
      </w:r>
      <w:r w:rsidRPr="006C6837">
        <w:t xml:space="preserve"> as a function of the IEC for the five commercial membranes. A linear relationship between </w:t>
      </w:r>
      <w:r w:rsidRPr="006C6837">
        <w:lastRenderedPageBreak/>
        <w:t xml:space="preserve">the peak height and the carboxylic acid content of the polymer is observed as expected from the </w:t>
      </w:r>
      <w:r w:rsidR="00E9163E">
        <w:t>Beer-Lambert law:</w:t>
      </w:r>
    </w:p>
    <w:p w14:paraId="3329410D" w14:textId="4CD77FA2" w:rsidR="00271F50" w:rsidRPr="00271F50" w:rsidRDefault="00271F50" w:rsidP="0039697D">
      <w:pPr>
        <w:spacing w:after="240"/>
        <w:jc w:val="center"/>
      </w:pPr>
      <m:oMath>
        <m:r>
          <w:rPr>
            <w:rFonts w:ascii="Cambria Math" w:hAnsi="Cambria Math"/>
          </w:rPr>
          <m:t>A=εbC</m:t>
        </m:r>
      </m:oMath>
      <w:r>
        <w:t xml:space="preserve"> </w:t>
      </w:r>
    </w:p>
    <w:p w14:paraId="7E01627C" w14:textId="48B1A47D" w:rsidR="00032222" w:rsidRDefault="00B624CD" w:rsidP="00032222">
      <w:pPr>
        <w:spacing w:after="240" w:line="480" w:lineRule="auto"/>
      </w:pPr>
      <w:r>
        <w:t xml:space="preserve">where </w:t>
      </w:r>
      <m:oMath>
        <m:r>
          <w:rPr>
            <w:rFonts w:ascii="Cambria Math" w:hAnsi="Cambria Math"/>
          </w:rPr>
          <m:t>A</m:t>
        </m:r>
      </m:oMath>
      <w:r>
        <w:t xml:space="preserve"> is the absorbance, </w:t>
      </w:r>
      <m:oMath>
        <m:r>
          <w:rPr>
            <w:rFonts w:ascii="Cambria Math" w:hAnsi="Cambria Math"/>
          </w:rPr>
          <m:t>ε</m:t>
        </m:r>
      </m:oMath>
      <w:r>
        <w:t xml:space="preserve"> is the wavelength-dependent molar absorptivity, </w:t>
      </w:r>
      <m:oMath>
        <m:r>
          <w:rPr>
            <w:rFonts w:ascii="Cambria Math" w:hAnsi="Cambria Math"/>
          </w:rPr>
          <m:t>b</m:t>
        </m:r>
      </m:oMath>
      <w:r>
        <w:t xml:space="preserve"> is the path length, and </w:t>
      </w:r>
      <m:oMath>
        <m:r>
          <w:rPr>
            <w:rFonts w:ascii="Cambria Math" w:hAnsi="Cambria Math"/>
          </w:rPr>
          <m:t>C</m:t>
        </m:r>
      </m:oMath>
      <w:r>
        <w:t xml:space="preserve"> is the concentration of the species of interest (carboxylic acid groups in this case</w:t>
      </w:r>
      <w:r w:rsidRPr="0040427B">
        <w:t xml:space="preserve">). </w:t>
      </w:r>
      <w:r w:rsidR="00EE716E" w:rsidRPr="003679FD">
        <w:t xml:space="preserve">The absorbance of each sample was divided by the thickness of the pellet to normalize for the IR path length. Using the parameters shown in Table S1, the normalized IR spectra for commercial polyamide samples were fit to yield the components shown in </w:t>
      </w:r>
      <w:r w:rsidR="00357F0E" w:rsidRPr="003679FD">
        <w:t xml:space="preserve">Fig </w:t>
      </w:r>
      <w:r w:rsidR="00EE716E" w:rsidRPr="003679FD">
        <w:t xml:space="preserve">3a for the highest </w:t>
      </w:r>
      <w:r w:rsidR="00357F0E" w:rsidRPr="003679FD">
        <w:t>IEC</w:t>
      </w:r>
      <w:r w:rsidR="00EE716E" w:rsidRPr="003679FD">
        <w:t xml:space="preserve"> sample</w:t>
      </w:r>
      <w:r w:rsidR="00415AA7" w:rsidRPr="003679FD">
        <w:t xml:space="preserve">; </w:t>
      </w:r>
      <w:bookmarkStart w:id="1" w:name="_Hlk519589276"/>
      <w:r w:rsidR="00415AA7" w:rsidRPr="003679FD">
        <w:t xml:space="preserve">the complete sample set is shown in </w:t>
      </w:r>
      <w:r w:rsidR="00EE716E" w:rsidRPr="003679FD">
        <w:t>Fig S</w:t>
      </w:r>
      <w:r w:rsidR="00415AA7" w:rsidRPr="003679FD">
        <w:t>4</w:t>
      </w:r>
      <w:r w:rsidR="00EE716E" w:rsidRPr="003679FD">
        <w:t>.</w:t>
      </w:r>
      <w:r w:rsidR="00357F0E">
        <w:rPr>
          <w:u w:val="single"/>
        </w:rPr>
        <w:t xml:space="preserve"> </w:t>
      </w:r>
      <w:bookmarkEnd w:id="1"/>
      <w:r w:rsidR="006C6837">
        <w:t>The</w:t>
      </w:r>
      <w:r w:rsidR="00271F50">
        <w:t xml:space="preserve"> </w:t>
      </w:r>
      <w:r w:rsidR="00E9163E">
        <w:t xml:space="preserve">molar </w:t>
      </w:r>
      <w:r w:rsidR="00271F50">
        <w:t>absorptivity (</w:t>
      </w:r>
      <m:oMath>
        <m:r>
          <w:rPr>
            <w:rFonts w:ascii="Cambria Math" w:hAnsi="Cambria Math"/>
          </w:rPr>
          <m:t>ε</m:t>
        </m:r>
      </m:oMath>
      <w:r w:rsidR="00271F50">
        <w:t>) of the carboxylic acid group can be obtained by dividing the</w:t>
      </w:r>
      <w:r w:rsidR="006C6837">
        <w:t xml:space="preserve"> slope of the fit in </w:t>
      </w:r>
    </w:p>
    <w:p w14:paraId="6B2E38E8" w14:textId="24D44254" w:rsidR="00032222" w:rsidRDefault="00032222" w:rsidP="00032222">
      <w:pPr>
        <w:spacing w:after="0"/>
        <w:jc w:val="center"/>
      </w:pPr>
      <w:r>
        <w:rPr>
          <w:noProof/>
        </w:rPr>
        <w:lastRenderedPageBreak/>
        <w:drawing>
          <wp:inline distT="0" distB="0" distL="0" distR="0" wp14:anchorId="2B362486" wp14:editId="5723ECCA">
            <wp:extent cx="2969874" cy="4700016"/>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74" cy="4700016"/>
                    </a:xfrm>
                    <a:prstGeom prst="rect">
                      <a:avLst/>
                    </a:prstGeom>
                  </pic:spPr>
                </pic:pic>
              </a:graphicData>
            </a:graphic>
          </wp:inline>
        </w:drawing>
      </w:r>
    </w:p>
    <w:p w14:paraId="674A1C1B" w14:textId="77777777" w:rsidR="00032222" w:rsidRDefault="00032222" w:rsidP="00032222">
      <w:pPr>
        <w:spacing w:after="240" w:line="480" w:lineRule="auto"/>
        <w:jc w:val="left"/>
      </w:pPr>
    </w:p>
    <w:p w14:paraId="21253384" w14:textId="77777777" w:rsidR="00032222" w:rsidRDefault="00032222" w:rsidP="00032222">
      <w:pPr>
        <w:spacing w:after="240" w:line="480" w:lineRule="auto"/>
        <w:jc w:val="left"/>
      </w:pPr>
      <w:r>
        <w:t xml:space="preserve">Figure 3. </w:t>
      </w:r>
      <w:r w:rsidRPr="002A36D3">
        <w:t>(a) Peak fitting of the amide region of a commercial, high ion exchange capacity (IEC) polyamide membrane, showing a resolved free carboxylic acid peak at ≈1720 cm</w:t>
      </w:r>
      <w:r w:rsidRPr="00A832A7">
        <w:rPr>
          <w:vertAlign w:val="superscript"/>
        </w:rPr>
        <w:t>-1</w:t>
      </w:r>
      <w:r>
        <w:t>;</w:t>
      </w:r>
      <w:r w:rsidRPr="002A36D3">
        <w:t xml:space="preserve"> (b) </w:t>
      </w:r>
      <w:r>
        <w:t>r</w:t>
      </w:r>
      <w:r w:rsidRPr="002A36D3">
        <w:t xml:space="preserve">esulting calibration curve that relates the peak </w:t>
      </w:r>
      <w:r>
        <w:t>intensity</w:t>
      </w:r>
      <w:r w:rsidRPr="002A36D3">
        <w:t xml:space="preserve"> of the band at 1718 cm</w:t>
      </w:r>
      <w:r w:rsidRPr="00DC2AD6">
        <w:rPr>
          <w:vertAlign w:val="superscript"/>
        </w:rPr>
        <w:t>-1</w:t>
      </w:r>
      <w:r w:rsidRPr="002A36D3">
        <w:t xml:space="preserve"> to the free carboxylic acid concentration as measured by the ion exchange capacity (IEC) of each membrane.</w:t>
      </w:r>
      <w:r>
        <w:t xml:space="preserve"> </w:t>
      </w:r>
      <w:r w:rsidRPr="002A36D3">
        <w:t>The error bars represent one standard deviation of the data</w:t>
      </w:r>
      <w:r>
        <w:t xml:space="preserve"> (n = 3)</w:t>
      </w:r>
      <w:r w:rsidRPr="002A36D3">
        <w:t>, which is taken as the experimental uncertainty of the measurement.</w:t>
      </w:r>
    </w:p>
    <w:p w14:paraId="1862C8FE" w14:textId="4D6B0311" w:rsidR="006C6837" w:rsidRDefault="006C6837" w:rsidP="00073FE2">
      <w:pPr>
        <w:pStyle w:val="VAFigureCaption"/>
        <w:spacing w:after="240"/>
      </w:pPr>
      <w:r>
        <w:lastRenderedPageBreak/>
        <w:t>Figure 3b</w:t>
      </w:r>
      <w:r w:rsidR="00271F50">
        <w:t xml:space="preserve"> (</w:t>
      </w:r>
      <m:oMath>
        <m:r>
          <w:rPr>
            <w:rFonts w:ascii="Cambria Math" w:hAnsi="Cambria Math"/>
          </w:rPr>
          <m:t>εb</m:t>
        </m:r>
      </m:oMath>
      <w:r w:rsidR="00271F50">
        <w:t>) by the thickness of the pellets used (</w:t>
      </w:r>
      <m:oMath>
        <m:r>
          <w:rPr>
            <w:rFonts w:ascii="Cambria Math" w:hAnsi="Cambria Math"/>
          </w:rPr>
          <m:t>b</m:t>
        </m:r>
      </m:oMath>
      <w:r w:rsidR="00271F50">
        <w:t>).</w:t>
      </w:r>
      <w:r>
        <w:t xml:space="preserve">The absorptivity was found to be </w:t>
      </w:r>
      <w:r w:rsidR="0067580C" w:rsidRPr="0067580C">
        <w:t>4</w:t>
      </w:r>
      <w:r w:rsidRPr="0067580C">
        <w:t>8</w:t>
      </w:r>
      <w:r w:rsidR="0067580C" w:rsidRPr="0067580C">
        <w:t>8</w:t>
      </w:r>
      <w:r>
        <w:t xml:space="preserve"> M</w:t>
      </w:r>
      <w:r w:rsidRPr="18AF6025">
        <w:rPr>
          <w:vertAlign w:val="superscript"/>
        </w:rPr>
        <w:t>-1</w:t>
      </w:r>
      <w:r>
        <w:t xml:space="preserve"> cm</w:t>
      </w:r>
      <w:r w:rsidRPr="18AF6025">
        <w:rPr>
          <w:vertAlign w:val="superscript"/>
        </w:rPr>
        <w:t>-1</w:t>
      </w:r>
      <w:r>
        <w:t xml:space="preserve"> at 1718 cm</w:t>
      </w:r>
      <w:r w:rsidRPr="18AF6025">
        <w:rPr>
          <w:vertAlign w:val="superscript"/>
        </w:rPr>
        <w:t>-1</w:t>
      </w:r>
      <w:r>
        <w:t>, which falls within the range reported in the literature for carboxylates,</w:t>
      </w:r>
      <w:r w:rsidR="007B0A2A">
        <w:t xml:space="preserve"> (3</w:t>
      </w:r>
      <w:r w:rsidR="0067580C">
        <w:t xml:space="preserve">00 to </w:t>
      </w:r>
      <w:r w:rsidR="007B0A2A">
        <w:t>7</w:t>
      </w:r>
      <w:r>
        <w:t>00) M</w:t>
      </w:r>
      <w:r w:rsidRPr="18AF6025">
        <w:rPr>
          <w:vertAlign w:val="superscript"/>
        </w:rPr>
        <w:t>-1</w:t>
      </w:r>
      <w:r>
        <w:t xml:space="preserve"> cm</w:t>
      </w:r>
      <w:r w:rsidRPr="18AF6025">
        <w:rPr>
          <w:vertAlign w:val="superscript"/>
        </w:rPr>
        <w:t>-1</w:t>
      </w:r>
      <w:r>
        <w:t>.</w:t>
      </w:r>
      <w:r w:rsidR="00BC34B3">
        <w:fldChar w:fldCharType="begin" w:fldLock="1"/>
      </w:r>
      <w:r w:rsidR="00021FF6">
        <w:instrText>ADDIN CSL_CITATION { "citationID" : "5oK8uhC2", "citationItems" : [ { "id" : "ITEM-1", "itemData" : { "DOI" : "10.1080/02786826.2012.752065", "ISSN" : "0278-6826", "author" : [ { "dropping-particle" : "", "family" : "Takahama", "given" : "Satoshi", "non-dropping-particle" : "", "parse-names" : false, "suffix" : "" }, { "dropping-particle" : "", "family" : "Johnson", "given" : "Anita", "non-dropping-particle" : "", "parse-names" : false, "suffix" : "" }, { "dropping-particle" : "", "family" : "Russell", "given" : "Lynn M", "non-dropping-particle" : "", "parse-names" : false, "suffix" : "" } ], "container-title" : "Aerosol Science and Technology", "id" : "ITEM-1", "issue" : "3", "issued" : { "date-parts" : [ [ "2013", "3", "1" ] ] }, "note" : "doi: 10.1080/02786826.2012.752065", "page" : "310-325", "publisher" : "Taylor &amp; Francis", "title" : "Quantification of Carboxylic and Carbonyl Functional Groups in Organic Aerosol Infrared Absorbance Spectra", "type" : "article-journal", "volume" : "47" }, "uri" : [ "http://www.mendeley.com/documents/?uuid=cf7b9f80-6136-44a2-8a4c-f0cbb456f4fe" ], "uris" : [ "http://www.mendeley.com/documents/?uuid=cf7b9f80-6136-44a2-8a4c-f0cbb456f4fe" ] } ], "mendeley" : { "formattedCitation" : "&lt;sup&gt;41&lt;/sup&gt;", "plainTextFormattedCitation" : "41", "previouslyFormattedCitation" : "&lt;sup&gt;41&lt;/sup&gt;" }, "properties" : { "formattedCitation" : "\\super 38\\nosupersub{}", "plainCitation" : "38" }, "schema" : "https://github.com/citation-style-language/schema/raw/master/csl-citation.json" }</w:instrText>
      </w:r>
      <w:r w:rsidR="00BC34B3">
        <w:fldChar w:fldCharType="separate"/>
      </w:r>
      <w:r w:rsidR="00021FF6" w:rsidRPr="00021FF6">
        <w:rPr>
          <w:rFonts w:cs="Times"/>
          <w:noProof/>
          <w:szCs w:val="24"/>
          <w:vertAlign w:val="superscript"/>
        </w:rPr>
        <w:t>41</w:t>
      </w:r>
      <w:r w:rsidR="00BC34B3">
        <w:fldChar w:fldCharType="end"/>
      </w:r>
      <w:r w:rsidRPr="006C6837">
        <w:t xml:space="preserve"> </w:t>
      </w:r>
    </w:p>
    <w:p w14:paraId="7B148908" w14:textId="485987AE" w:rsidR="006C6837" w:rsidRDefault="006C6837" w:rsidP="00073FE2">
      <w:pPr>
        <w:pStyle w:val="VAFigureCaption"/>
        <w:spacing w:after="240"/>
      </w:pPr>
      <w:r>
        <w:t>We used this empirical relationship to deduce the “free” carboxylic acid content in the mLbL polyamide films by measuring the absorbance of the peak at 1718 cm</w:t>
      </w:r>
      <w:r w:rsidRPr="18AF6025">
        <w:rPr>
          <w:vertAlign w:val="superscript"/>
        </w:rPr>
        <w:t>-1</w:t>
      </w:r>
      <w:r>
        <w:t>. As noted earlier, unreacted carboxylic acid groups can be thought of as defects in the network. In particular, we studied the effect of the substrate used for growing the mLbL polyamide on the concentration of unreacted carboxylic acid moieties remaining in the film. For these measurements, mLbL polyamide films were prepared on two substrates: silicon with a native oxide layer, and Au-coated silicon. IR measurements of ultrathin films on Au-coated silicon are relatively straight-forward, while the same measurements on silicon are more</w:t>
      </w:r>
      <w:r w:rsidRPr="006C6837">
        <w:t xml:space="preserve"> </w:t>
      </w:r>
      <w:r>
        <w:t>challenging. However, many property and performance measurements of mLbL polyamide membranes rely on hydroxyl and amine functional groups as anchor points for the growing film</w:t>
      </w:r>
      <w:r w:rsidR="00CE72AC">
        <w:fldChar w:fldCharType="begin" w:fldLock="1"/>
      </w:r>
      <w:r w:rsidR="00E8752D">
        <w:instrText>ADDIN CSL_CITATION { "citationID" : "a1vt6g0uu3m", "citationItems" : [ { "id" : "ITEM-1", "itemData" : { "DOI" : "10.1002/adma.201302030", "ISSN" : "09359648", "author" : [ { "dropping-particle" : "", "family" : "Gu", "given" : "Joung-Eun", "non-dropping-particle" : "", "parse-names" : false, "suffix" : "" }, { "dropping-particle" : "", "family" : "Lee", "given" : "Seunghye", "non-dropping-particle" : "", "parse-names" : false, "suffix" : "" }, { "dropping-particle" : "", "family" : "Stafford", "given" : "Christopher M.", "non-dropping-particle" : "", "parse-names" : false, "suffix" : "" }, { "dropping-particle" : "", "family" : "Lee", "given" : "Jong Suk", "non-dropping-particle" : "", "parse-names" : false, "suffix" : "" }, { "dropping-particle" : "", "family" : "Choi", "given" : "Wansuk", "non-dropping-particle" : "", "parse-names" : false, "suffix" : "" }, { "dropping-particle" : "", "family" : "Kim", "given" : "Bo-Young", "non-dropping-particle" : "", "parse-names" : false, "suffix" : "" }, { "dropping-particle" : "", "family" : "Baek", "given" : "Kyung-Youl", "non-dropping-particle" : "", "parse-names" : false, "suffix" : "" }, { "dropping-particle" : "", "family" : "Chan", "given" : "Edwin P.", "non-dropping-particle" : "", "parse-names" : false, "suffix" : "" }, { "dropping-particle" : "", "family" : "Chung", "given" : "Jun Young", "non-dropping-particle" : "", "parse-names" : false, "suffix" : "" }, { "dropping-particle" : "", "family" : "Bang", "given" : "Joona", "non-dropping-particle" : "", "parse-names" : false, "suffix" : "" }, { "dropping-particle" : "", "family" : "Lee", "given" : "Jung-Hyun", "non-dropping-particle" : "", "parse-names" : false, "suffix" : "" } ], "container-title" : "Advanced Materials", "id" : "ITEM-1", "issue" : "34", "issued" : { "date-parts" : [ [ "2013", "9" ] ] }, "language" : "en", "page" : "4778-4782", "title" : "Molecular Layer-by-Layer Assembled Thin-Film Composite Membranes for Water Desalination", "type" : "article-journal", "volume" : "25" }, "uri" : [ "http://www.mendeley.com/documents/?uuid=76bd09de-7fef-449e-af9e-20cfa69ee4a5" ], "uris" : [ "http://www.mendeley.com/documents/?uuid=76bd09de-7fef-449e-af9e-20cfa69ee4a5" ] }, { "id" : "ITEM-2", "itemData" : { "DOI" : "10.1021/nn505318v", "ISSN" : "1936-0851, 1936-086X", "author" : [ { "dropping-particle" : "", "family" : "Choi", "given" : "Wansuk", "non-dropping-particle" : "", "parse-names" : false, "suffix" : "" }, { "dropping-particle" : "", "family" : "Gu", "given" : "Joung-Eun", "non-dropping-particle" : "", "parse-names" : false, "suffix" : "" }, { "dropping-particle" : "", "family" : "Park", "given" : "Sang-Hee", "non-dropping-particle" : "", "parse-names" : false, "suffix" : "" }, { "dropping-particle" : "", "family" : "Kim", "given" : "Seyong", "non-dropping-particle" : "", "parse-names" : false, "suffix" : "" }, { "dropping-particle" : "", "family" : "Bang", "given" : "Joona", "non-dropping-particle" : "", "parse-names" : false, "suffix" : "" }, { "dropping-particle" : "", "family" : "Baek", "given" : "Kyung-Youl", "non-dropping-particle" : "", "parse-names" : false, "suffix" : "" }, { "dropping-particle" : "", "family" : "Park", "given" : "Byoungnam", "non-dropping-particle" : "", "parse-names" : false, "suffix" : "" }, { "dropping-particle" : "", "family" : "Lee", "given" : "Jong Suk", "non-dropping-particle" : "", "parse-names" : false, "suffix" : "" }, { "dropping-particle" : "", "family" : "Chan", "given" : "Edwin P.", "non-dropping-particle" : "", "parse-names" : false, "suffix" : "" }, { "dropping-particle" : "", "family" : "Lee", "given" : "Jung-Hyun", "non-dropping-particle" : "", "parse-names" : false, "suffix" : "" } ], "container-title" : "ACS Nano", "id" : "ITEM-2", "issue" : "1", "issued" : { "date-parts" : [ [ "2015", "1" ] ] }, "language" : "en", "page" : "345-355", "title" : "Tailor-Made Polyamide Membranes for Water Desalination", "type" : "article-journal", "volume" : "9" }, "uri" : [ "http://www.mendeley.com/documents/?uuid=6ac56ff8-3818-478b-92a1-10b70dd4bae2" ], "uris" : [ "http://www.mendeley.com/documents/?uuid=6ac56ff8-3818-478b-92a1-10b70dd4bae2" ] } ], "mendeley" : { "formattedCitation" : "&lt;sup&gt;9,13&lt;/sup&gt;", "plainTextFormattedCitation" : "9,13", "previouslyFormattedCitation" : "&lt;sup&gt;9,13&lt;/sup&gt;" }, "properties" : { "formattedCitation" : "\\super 8,12\\nosupersub{}", "plainCitation" : "8,12" }, "schema" : "https://github.com/citation-style-language/schema/raw/master/csl-citation.json" }</w:instrText>
      </w:r>
      <w:r w:rsidR="00CE72AC">
        <w:fldChar w:fldCharType="separate"/>
      </w:r>
      <w:r w:rsidR="00E8752D" w:rsidRPr="00E8752D">
        <w:rPr>
          <w:rFonts w:cs="Times"/>
          <w:noProof/>
          <w:szCs w:val="24"/>
          <w:vertAlign w:val="superscript"/>
        </w:rPr>
        <w:t>9,13</w:t>
      </w:r>
      <w:r w:rsidR="00CE72AC">
        <w:fldChar w:fldCharType="end"/>
      </w:r>
      <w:r>
        <w:t>; thus, mLbL films grown on the native oxide of silicon perhaps better represent the polyamide growth and structure in those studies.</w:t>
      </w:r>
      <w:r w:rsidRPr="006C6837">
        <w:t xml:space="preserve"> </w:t>
      </w:r>
    </w:p>
    <w:p w14:paraId="39A83CEF" w14:textId="7DB2C5C5" w:rsidR="00EB4397" w:rsidRDefault="006C6837" w:rsidP="00073FE2">
      <w:pPr>
        <w:pStyle w:val="VAFigureCaption"/>
        <w:spacing w:after="240"/>
      </w:pPr>
      <w:r>
        <w:t>Polyamide films of increasing thickness were prepared via mLbL by controlling the number of sequential TMC and MPD deposition cycles. For this study, we prepared mLbL films having (5, 10, 15, 30, and 60) cycles on silicon and Au-coated silicon. Based on previously reported growth rates (0.34 nm/cycle)</w:t>
      </w:r>
      <w:r>
        <w:fldChar w:fldCharType="begin" w:fldLock="1"/>
      </w:r>
      <w:r w:rsidR="00E8752D">
        <w:instrText>ADDIN CSL_CITATION { "citationID" : "aniqrghphe", "citationItems" : [ { "id" : "ITEM-1", "itemData" : { "author" : [ { "dropping-particle" : "", "family" : "Chan", "given" : "Edwin P.", "non-dropping-particle" : "", "parse-names" : false, "suffix" : "" }, { "dropping-particle" : "", "family" : "Lee", "given" : "Jung-Hyun", "non-dropping-particle" : "", "parse-names" : false, "suffix" : "" }, { "dropping-particle" : "", "family" : "Chung", "given" : "Jun Young", "non-dropping-particle" : "", "parse-names" : false, "suffix" : "" }, { "dropping-particle" : "", "family" : "Stafford", "given" : "Christopher M.", "non-dropping-particle" : "", "parse-names" : false, "suffix" : "" } ], "container-title" : "Review of Scientific Instruments", "id" : "ITEM-1", "issue" : "11", "issued" : { "date-parts" : [ [ "2012" ] ] }, "page" : "114102", "title" : "An automated spin-assisted approach for molecular layer-by-layer assembly of crosslinked polymer thin films", "type" : "article-journal", "volume" : "83" }, "uri" : [ "http://www.mendeley.com/documents/?uuid=a9939c01-f4ce-46e1-b3ac-4277d439043b" ], "uris" : [ "http://www.mendeley.com/documents/?uuid=a9939c01-f4ce-46e1-b3ac-4277d439043b" ] } ], "mendeley" : { "formattedCitation" : "&lt;sup&gt;8&lt;/sup&gt;", "plainTextFormattedCitation" : "8", "previouslyFormattedCitation" : "&lt;sup&gt;8&lt;/sup&gt;" }, "properties" : { "formattedCitation" : "\\super 7\\nosupersub{}", "plainCitation" : "7" }, "schema" : "https://github.com/citation-style-language/schema/raw/master/csl-citation.json" }</w:instrText>
      </w:r>
      <w:r>
        <w:fldChar w:fldCharType="separate"/>
      </w:r>
      <w:r w:rsidR="00E8752D" w:rsidRPr="00E8752D">
        <w:rPr>
          <w:rFonts w:cs="Times"/>
          <w:noProof/>
          <w:szCs w:val="24"/>
          <w:vertAlign w:val="superscript"/>
        </w:rPr>
        <w:t>8</w:t>
      </w:r>
      <w:r>
        <w:fldChar w:fldCharType="end"/>
      </w:r>
      <w:r>
        <w:t xml:space="preserve"> for similar deposition conditions, the film thickness ranged from approximately (2 to 20) nm. The IR spectra for these films are shown in Figure 4, and the spectra were normalized to the C=C ring modes at ≈1615 cm</w:t>
      </w:r>
      <w:r w:rsidRPr="006A35E1">
        <w:rPr>
          <w:vertAlign w:val="superscript"/>
        </w:rPr>
        <w:t>-1</w:t>
      </w:r>
      <w:r>
        <w:t>. On silicon, we observed a large acid peak at low cycle numbers that decreased as the number of cycles increased; similar behavior was observed on Au</w:t>
      </w:r>
      <w:r w:rsidR="00FF6C9A">
        <w:t xml:space="preserve"> substrates</w:t>
      </w:r>
      <w:r>
        <w:t>. As the number of cycles</w:t>
      </w:r>
      <w:r w:rsidR="00EB4397" w:rsidRPr="00EB4397">
        <w:t xml:space="preserve"> </w:t>
      </w:r>
      <w:r w:rsidR="00EB4397">
        <w:t>increase</w:t>
      </w:r>
      <w:r w:rsidR="00713B50">
        <w:t>s</w:t>
      </w:r>
      <w:r w:rsidR="00EB4397">
        <w:t xml:space="preserve">, the relative number of unreacted carboxylic acids is expected to decrease as the network becomes more crosslinked. It is also </w:t>
      </w:r>
      <w:r w:rsidR="00EB4397">
        <w:lastRenderedPageBreak/>
        <w:t>possible that subsequent cycles could backfill and further react with remaining acyl chlorides left in the network from previous cycles.</w:t>
      </w:r>
      <w:r w:rsidR="00EB4397" w:rsidRPr="00EB4397">
        <w:t xml:space="preserve"> </w:t>
      </w:r>
    </w:p>
    <w:p w14:paraId="08A0A3D6" w14:textId="77777777" w:rsidR="00032222" w:rsidRDefault="00032222" w:rsidP="00032222">
      <w:pPr>
        <w:spacing w:after="240" w:line="480" w:lineRule="auto"/>
        <w:jc w:val="center"/>
      </w:pPr>
      <w:r>
        <w:rPr>
          <w:noProof/>
        </w:rPr>
        <w:drawing>
          <wp:inline distT="0" distB="0" distL="0" distR="0" wp14:anchorId="1D77C637" wp14:editId="16FBDB57">
            <wp:extent cx="2973070" cy="5099050"/>
            <wp:effectExtent l="0" t="0" r="0" b="6350"/>
            <wp:docPr id="2" name="Picture 2" descr="C:\Users\cstaffor\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taffor\AppData\Local\Microsoft\Windows\INetCache\Content.Word\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070" cy="5099050"/>
                    </a:xfrm>
                    <a:prstGeom prst="rect">
                      <a:avLst/>
                    </a:prstGeom>
                    <a:noFill/>
                    <a:ln>
                      <a:noFill/>
                    </a:ln>
                  </pic:spPr>
                </pic:pic>
              </a:graphicData>
            </a:graphic>
          </wp:inline>
        </w:drawing>
      </w:r>
    </w:p>
    <w:p w14:paraId="15BA0C55" w14:textId="77777777" w:rsidR="00032222" w:rsidRDefault="00032222" w:rsidP="00032222">
      <w:pPr>
        <w:spacing w:after="240" w:line="480" w:lineRule="auto"/>
        <w:jc w:val="left"/>
      </w:pPr>
      <w:r>
        <w:t>Figure 4. Overlay of the amide FTIR region of mLbL polyamide films of increasing cycle numbers on (a) silicon and (b) gold, showing a decrease in the carboxylic acid peak at ≈1720 cm</w:t>
      </w:r>
      <w:r w:rsidRPr="18AF6025">
        <w:rPr>
          <w:vertAlign w:val="superscript"/>
        </w:rPr>
        <w:t>-1</w:t>
      </w:r>
      <w:r>
        <w:t xml:space="preserve"> as the number of cycles increases.</w:t>
      </w:r>
    </w:p>
    <w:p w14:paraId="29A8E50B" w14:textId="56A821F6" w:rsidR="00EB4397" w:rsidRDefault="00EB4397" w:rsidP="00073FE2">
      <w:pPr>
        <w:pStyle w:val="VAFigureCaption"/>
        <w:spacing w:after="240"/>
      </w:pPr>
      <w:r w:rsidRPr="00EB4397">
        <w:t>We can further quantify the concentration of “free” carboxylic acid groups within the membrane through the molar absorptivity determined previously. These results are shown in Fig</w:t>
      </w:r>
      <w:r>
        <w:t>ure</w:t>
      </w:r>
      <w:r w:rsidRPr="00EB4397">
        <w:t xml:space="preserve"> 5. In </w:t>
      </w:r>
      <w:r w:rsidRPr="00EB4397">
        <w:lastRenderedPageBreak/>
        <w:t xml:space="preserve">general, the acid content decreases as the cycle number increases, indicative of increased crosslink density for higher cycle number films. </w:t>
      </w:r>
      <w:r w:rsidR="00A76D7A">
        <w:t xml:space="preserve">This </w:t>
      </w:r>
      <w:r w:rsidR="00713B50">
        <w:t xml:space="preserve">observation </w:t>
      </w:r>
      <w:r w:rsidR="00BD30D0">
        <w:t>agrees</w:t>
      </w:r>
      <w:r w:rsidR="00A76D7A">
        <w:t xml:space="preserve"> with recent swelling measurements on mLbL polyamide films</w:t>
      </w:r>
      <w:r w:rsidR="00BD30D0">
        <w:t xml:space="preserve"> that show the equilibrium swelling ratio decreases with increasing cycle number (i.e. thickness) of the polyamide film.</w:t>
      </w:r>
      <w:r w:rsidR="00BD30D0">
        <w:fldChar w:fldCharType="begin" w:fldLock="1"/>
      </w:r>
      <w:r w:rsidR="00021FF6">
        <w:instrText>ADDIN CSL_CITATION { "citationID" : "ciRAg3pL", "citationItems" : [ { "id" : "ITEM-1", "itemData" : { "DOI" : "10.1002/polb.24285", "ISSN" : "1099-0488", "abstract" : "The thickness-dependent water vapor swelling of molecular layer-by-layer polyamide films is studied via specular X-ray reflectivity. The maximum swelling ratio of these ultrathin films scale inversely with thickness but more importantly show a dual-mode sorption behavior characterized by Langmuir-like sorption at low relative humidity and network swelling at high relative humidity. The thickness-dependent network parameters are extracted using a proposed model that builds on Painter-Shenoy network swelling model while taking into account the glass-like characteristic below a critical swelling ratio, which also scales inversely with thickness. \u00a9 2017 Wiley Periodicals, Inc. J. Polym. Sci., Part B: Polym. Phys. 2017, 55, 412\u2013417", "author" : [ { "dropping-particle" : "", "family" : "Chan", "given" : "Edwin P.", "non-dropping-particle" : "", "parse-names" : false, "suffix" : "" }, { "dropping-particle" : "", "family" : "Lee", "given" : "Stephen C.", "non-dropping-particle" : "", "parse-names" : false, "suffix" : "" } ], "container-title" : "Journal of Polymer Science Part B: Polymer Physics", "id" : "ITEM-1", "issue" : "5", "issued" : { "date-parts" : [ [ "2017", "3" ] ] }, "language" : "en", "page" : "412-417", "title" : "Thickness-dependent swelling of molecular layer-by-layer polyamide nanomembranes", "type" : "article-journal", "volume" : "55" }, "uri" : [ "http://zotero.org/users/1351568/items/DWDVIESB" ], "uris" : [ "http://zotero.org/users/1351568/items/DWDVIESB", "http://www.mendeley.com/documents/?uuid=85278683-1c77-4f5d-9188-fabe15b8756d" ] } ], "mendeley" : { "formattedCitation" : "&lt;sup&gt;42&lt;/sup&gt;", "plainTextFormattedCitation" : "42", "previouslyFormattedCitation" : "&lt;sup&gt;42&lt;/sup&gt;" }, "properties" : { "formattedCitation" : "\\super 39\\nosupersub{}", "plainCitation" : "39" }, "schema" : "https://github.com/citation-style-language/schema/raw/master/csl-citation.json" }</w:instrText>
      </w:r>
      <w:r w:rsidR="00BD30D0">
        <w:fldChar w:fldCharType="separate"/>
      </w:r>
      <w:r w:rsidR="00021FF6" w:rsidRPr="00021FF6">
        <w:rPr>
          <w:rFonts w:cs="Times"/>
          <w:noProof/>
          <w:szCs w:val="24"/>
          <w:vertAlign w:val="superscript"/>
        </w:rPr>
        <w:t>42</w:t>
      </w:r>
      <w:r w:rsidR="00BD30D0">
        <w:fldChar w:fldCharType="end"/>
      </w:r>
      <w:r w:rsidR="00BD30D0">
        <w:t xml:space="preserve"> </w:t>
      </w:r>
      <w:r w:rsidRPr="00EB4397">
        <w:t>The IEC in the 5-cycle film on go</w:t>
      </w:r>
      <w:r>
        <w:t>ld was 0.35</w:t>
      </w:r>
      <w:r w:rsidRPr="00EB4397">
        <w:t xml:space="preserve"> mmol g</w:t>
      </w:r>
      <w:r w:rsidRPr="00EB4397">
        <w:rPr>
          <w:vertAlign w:val="superscript"/>
        </w:rPr>
        <w:t>-1</w:t>
      </w:r>
      <w:r w:rsidRPr="00EB4397">
        <w:t>, whereas the parallel sample on silicon had an IEC of 0.56 mmol g</w:t>
      </w:r>
      <w:r w:rsidRPr="00EB4397">
        <w:rPr>
          <w:vertAlign w:val="superscript"/>
        </w:rPr>
        <w:t>-1</w:t>
      </w:r>
      <w:r w:rsidRPr="00EB4397">
        <w:t xml:space="preserve">. The increased acid content on silicon may be due to the presence </w:t>
      </w:r>
      <w:r w:rsidRPr="002D67C6">
        <w:t>of surface-bound water associated</w:t>
      </w:r>
      <w:r w:rsidRPr="00EB4397">
        <w:t xml:space="preserve"> with silanol groups, which can hydrolyze some acid chloride groups [COCl] to the corresponding carboxylic acid [COOH]. Since gold has no associated oxide, the amount of adsorbed water on the surface should be negligible.  Furthermore, there is evidence that MPD may displace the first layer of TMC in the first deposition cycle due to preferential binding of amines to gold</w:t>
      </w:r>
      <w:r w:rsidRPr="00BC34B3">
        <w:t>.</w:t>
      </w:r>
      <w:r w:rsidR="00BC34B3" w:rsidRPr="00BC34B3">
        <w:fldChar w:fldCharType="begin" w:fldLock="1"/>
      </w:r>
      <w:r w:rsidR="00021FF6">
        <w:instrText>ADDIN CSL_CITATION { "citationID" : "7B0DQLB1", "citationItems" : [ { "id" : "ITEM-1", "itemData" : { "DOI" : "10.1021/jp072494t", "ISSN" : "1932-7447", "author" : [ { "dropping-particle" : "", "family" : "Hoft", "given" : "Rainer C", "non-dropping-particle" : "", "parse-names" : false, "suffix" : "" }, { "dropping-particle" : "", "family" : "Ford", "given" : "Michael J", "non-dropping-particle" : "", "parse-names" : false, "suffix" : "" }, { "dropping-particle" : "", "family" : "McDonagh", "given" : "Andrew M", "non-dropping-particle" : "", "parse-names" : false, "suffix" : "" }, { "dropping-particle" : "", "family" : "Cortie", "given" : "Michael B", "non-dropping-particle" : "", "parse-names" : false, "suffix" : "" } ], "container-title" : "The Journal of Physical Chemistry C", "id" : "ITEM-1", "issue" : "37", "issued" : { "date-parts" : [ [ "2007", "9", "1" ] ] }, "note" : "doi: 10.1021/jp072494t", "page" : "13886-13891", "publisher" : "American Chemical Society", "title" : "Adsorption of Amine Compounds on the Au(111) Surface:\u2009 A Density Functional Study", "type" : "article-journal", "volume" : "111" }, "uri" : [ "http://www.mendeley.com/documents/?uuid=4d4cee20-8f7b-46ae-a4f9-787738779c35" ], "uris" : [ "http://www.mendeley.com/documents/?uuid=4d4cee20-8f7b-46ae-a4f9-787738779c35" ] } ], "mendeley" : { "formattedCitation" : "&lt;sup&gt;43&lt;/sup&gt;", "plainTextFormattedCitation" : "43", "previouslyFormattedCitation" : "&lt;sup&gt;43&lt;/sup&gt;" }, "properties" : { "formattedCitation" : "\\super 40\\nosupersub{}", "plainCitation" : "40" }, "schema" : "https://github.com/citation-style-language/schema/raw/master/csl-citation.json" }</w:instrText>
      </w:r>
      <w:r w:rsidR="00BC34B3" w:rsidRPr="00BC34B3">
        <w:fldChar w:fldCharType="separate"/>
      </w:r>
      <w:r w:rsidR="00021FF6" w:rsidRPr="00021FF6">
        <w:rPr>
          <w:rFonts w:cs="Times"/>
          <w:noProof/>
          <w:szCs w:val="24"/>
          <w:vertAlign w:val="superscript"/>
        </w:rPr>
        <w:t>43</w:t>
      </w:r>
      <w:r w:rsidR="00BC34B3" w:rsidRPr="00BC34B3">
        <w:fldChar w:fldCharType="end"/>
      </w:r>
      <w:r w:rsidRPr="00EB4397">
        <w:t xml:space="preserve"> Thus, there could be a half cycle difference between silicon and gold substrates, causing a slight </w:t>
      </w:r>
      <w:r>
        <w:t>difference</w:t>
      </w:r>
      <w:r w:rsidRPr="00EB4397">
        <w:t xml:space="preserve"> in the </w:t>
      </w:r>
      <w:r w:rsidR="00252CF4">
        <w:t xml:space="preserve">cycle number </w:t>
      </w:r>
      <w:r w:rsidR="00713B50">
        <w:t xml:space="preserve">and thickness </w:t>
      </w:r>
      <w:r w:rsidR="00252CF4">
        <w:t>between substrates</w:t>
      </w:r>
      <w:r w:rsidRPr="00EB4397">
        <w:t xml:space="preserve">. As the cycle number increased beyond 10 cycles, the influence of the initial layer growth </w:t>
      </w:r>
      <w:r w:rsidR="00F44B74" w:rsidRPr="00EB4397">
        <w:t>bec</w:t>
      </w:r>
      <w:r w:rsidR="00F44B74">
        <w:t>a</w:t>
      </w:r>
      <w:r w:rsidR="00F44B74" w:rsidRPr="00EB4397">
        <w:t xml:space="preserve">me </w:t>
      </w:r>
      <w:r w:rsidRPr="00EB4397">
        <w:t>less significant as the crosslink density of the polyamide films on both substrates appeared similar for thicker films.</w:t>
      </w:r>
      <w:r w:rsidR="003A0307">
        <w:t xml:space="preserve"> This observation could be rationalized in one of two ways: (1) the initial layers near the substrate contribute less to the overall FTIR signal as the film</w:t>
      </w:r>
      <w:r w:rsidR="00270787">
        <w:t>s</w:t>
      </w:r>
      <w:r w:rsidR="003A0307">
        <w:t xml:space="preserve"> becomes </w:t>
      </w:r>
      <w:r w:rsidR="00382595">
        <w:t>thicker</w:t>
      </w:r>
      <w:r w:rsidR="003A0307">
        <w:t>, or (2) the monomers (TMC/MPD) can reasonabl</w:t>
      </w:r>
      <w:r w:rsidR="008A3760">
        <w:t>y</w:t>
      </w:r>
      <w:r w:rsidR="003A0307">
        <w:t xml:space="preserve"> penetrate the growing film</w:t>
      </w:r>
      <w:r w:rsidR="008A3760">
        <w:t xml:space="preserve"> and access unreacted groups in the interior of the film (</w:t>
      </w:r>
      <w:r w:rsidR="003A0307">
        <w:t xml:space="preserve">back-filling). The data presented here cannot unequivocally discern which </w:t>
      </w:r>
      <w:r w:rsidR="008A3760">
        <w:t>scenario</w:t>
      </w:r>
      <w:r w:rsidR="003A0307">
        <w:t xml:space="preserve"> is </w:t>
      </w:r>
      <w:r w:rsidR="008A3760">
        <w:t>indeed</w:t>
      </w:r>
      <w:r w:rsidR="003A0307">
        <w:t xml:space="preserve"> correct, and this</w:t>
      </w:r>
      <w:r w:rsidR="003A0307" w:rsidRPr="003A0307">
        <w:t xml:space="preserve"> </w:t>
      </w:r>
      <w:r w:rsidR="003A0307">
        <w:t>ambiguity presents an interesting topic for future studies.</w:t>
      </w:r>
    </w:p>
    <w:p w14:paraId="710FB044" w14:textId="77777777" w:rsidR="00032222" w:rsidRDefault="00032222" w:rsidP="00032222">
      <w:pPr>
        <w:spacing w:after="0"/>
        <w:jc w:val="center"/>
      </w:pPr>
      <w:r>
        <w:rPr>
          <w:noProof/>
        </w:rPr>
        <w:lastRenderedPageBreak/>
        <w:drawing>
          <wp:inline distT="0" distB="0" distL="0" distR="0" wp14:anchorId="2FCBA5A5" wp14:editId="329E7E1D">
            <wp:extent cx="2971800"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377440"/>
                    </a:xfrm>
                    <a:prstGeom prst="rect">
                      <a:avLst/>
                    </a:prstGeom>
                  </pic:spPr>
                </pic:pic>
              </a:graphicData>
            </a:graphic>
          </wp:inline>
        </w:drawing>
      </w:r>
    </w:p>
    <w:p w14:paraId="01EA24CF" w14:textId="77777777" w:rsidR="00032222" w:rsidRDefault="00032222" w:rsidP="00032222">
      <w:pPr>
        <w:spacing w:after="0"/>
        <w:jc w:val="center"/>
      </w:pPr>
    </w:p>
    <w:p w14:paraId="1CE33654" w14:textId="77777777" w:rsidR="00032222" w:rsidRDefault="00032222" w:rsidP="00032222">
      <w:pPr>
        <w:pStyle w:val="VAFigureCaption"/>
        <w:spacing w:after="240"/>
      </w:pPr>
      <w:r>
        <w:t xml:space="preserve">Figure 5. </w:t>
      </w:r>
      <w:r w:rsidRPr="002A36D3">
        <w:t>Concentration of carboxylic acid as a function of mLbL cycle number on silicon (closed circles) and on gold (open circles) substrates. The error bars represent one standard deviation of the data</w:t>
      </w:r>
      <w:r>
        <w:t xml:space="preserve"> (n = 3)</w:t>
      </w:r>
      <w:r w:rsidRPr="002A36D3">
        <w:t>, which is taken as the experimental uncertainty of the measurement. Some error bars are smaller than the symbol.</w:t>
      </w:r>
    </w:p>
    <w:p w14:paraId="0FCD5BAF" w14:textId="77777777" w:rsidR="00032222" w:rsidRDefault="00032222" w:rsidP="00032222">
      <w:pPr>
        <w:pStyle w:val="VAFigureCaption"/>
        <w:spacing w:after="240"/>
      </w:pPr>
    </w:p>
    <w:p w14:paraId="3159B49E" w14:textId="2ED04925" w:rsidR="00BE4470" w:rsidRDefault="00EB4397" w:rsidP="00032222">
      <w:pPr>
        <w:pStyle w:val="VAFigureCaption"/>
        <w:spacing w:after="240"/>
      </w:pPr>
      <w:r w:rsidRPr="00EB4397">
        <w:t xml:space="preserve">It is </w:t>
      </w:r>
      <w:r w:rsidR="00835C48">
        <w:t>instructive</w:t>
      </w:r>
      <w:r w:rsidR="00835C48" w:rsidRPr="00EB4397">
        <w:t xml:space="preserve"> </w:t>
      </w:r>
      <w:r w:rsidRPr="00EB4397">
        <w:t xml:space="preserve">to put the carboxylic acid </w:t>
      </w:r>
      <w:r>
        <w:t>concentration</w:t>
      </w:r>
      <w:r w:rsidRPr="00EB4397">
        <w:t xml:space="preserve"> as measured by FTIR in</w:t>
      </w:r>
      <w:r w:rsidR="00835C48">
        <w:t>to</w:t>
      </w:r>
      <w:r w:rsidRPr="00EB4397">
        <w:t xml:space="preserve"> some</w:t>
      </w:r>
      <w:r>
        <w:t xml:space="preserve"> perspectiv</w:t>
      </w:r>
      <w:r w:rsidRPr="0040427B">
        <w:t>e</w:t>
      </w:r>
      <w:r w:rsidRPr="003679FD">
        <w:t xml:space="preserve">. Coronell et al. measured the carboxylic acid content in commercial polyamide reverse osmosis membranes </w:t>
      </w:r>
      <w:r w:rsidR="00875190" w:rsidRPr="003679FD">
        <w:t>with an average thickness of 111</w:t>
      </w:r>
      <w:r w:rsidR="00415AA7" w:rsidRPr="003679FD">
        <w:t xml:space="preserve"> </w:t>
      </w:r>
      <w:r w:rsidR="00875190" w:rsidRPr="003679FD">
        <w:t xml:space="preserve">nm </w:t>
      </w:r>
      <w:r w:rsidRPr="003679FD">
        <w:t>using Rutherford backscattering spectrometry after ion exchange with a heavy ion probe.</w:t>
      </w:r>
      <w:r w:rsidRPr="0040427B">
        <w:fldChar w:fldCharType="begin" w:fldLock="1"/>
      </w:r>
      <w:r w:rsidR="00021FF6" w:rsidRPr="003679FD">
        <w:instrText>ADDIN CSL_CITATION { "citationID" : "Nn49ymwN", "citationItems" : [ { "id" : "ITEM-1", "itemData" : { "DOI" : "10.1021/es100891r", "ISSN" : "0013-936X, 1520-5851", "author" : [ { "dropping-particle" : "", "family" : "Coronell", "given" : "Orlando", "non-dropping-particle" : "", "parse-names" : false, "suffix" : "" }, { "dropping-particle" : "", "family" : "Gonz\u00e1lez", "given" : "Mari I.", "non-dropping-particle" : "", "parse-names" : false, "suffix" : "" }, { "dropping-particle" : "", "family" : "Mari\u00f1as", "given" : "Benito J.", "non-dropping-particle" : "", "parse-names" : false, "suffix" : "" }, { "dropping-particle" : "", "family" : "Cahill", "given" : "David G.", "non-dropping-particle" : "", "parse-names" : false, "suffix" : "" } ], "container-title" : "Environmental Science &amp; Technology", "id" : "ITEM-1", "issue" : "17", "issued" : { "date-parts" : [ [ "2010", "9" ] ] }, "language" : "en", "page" : "6808-6814", "title" : "Ionization Behavior, Stoichiometry of Association, and Accessibility of Functional Groups in the Active Layers of Reverse Osmosis and Nanofiltration Membranes", "type" : "article-journal", "volume" : "44" }, "uri" : [ "http://www.mendeley.com/documents/?uuid=f53d398a-7508-4b98-9476-8b5464d46e9d" ], "uris" : [ "http://www.mendeley.com/documents/?uuid=f53d398a-7508-4b98-9476-8b5464d46e9d" ] }, { "id" : "ITEM-2", "itemData" : { "DOI" : "10.1021/es8002712", "ISSN" : "0013-936X, 1520-5851", "author" : [ { "dropping-particle" : "", "family" : "Coronell", "given" : "Orlando", "non-dropping-particle" : "", "parse-names" : false, "suffix" : "" }, { "dropping-particle" : "", "family" : "Mari\u00f1as", "given" : "Benito J.", "non-dropping-particle" : "", "parse-names" : false, "suffix" : "" }, { "dropping-particle" : "", "family" : "Zhang", "given" : "Xijing", "non-dropping-particle" : "", "parse-names" : false, "suffix" : "" }, { "dropping-particle" : "", "family" : "Cahill", "given" : "David G.", "non-dropping-particle" : "", "parse-names" : false, "suffix" : "" } ], "container-title" : "Environmental Science &amp; Technology", "id" : "ITEM-2", "issue" : "14", "issued" : { "date-parts" : [ [ "2008", "7" ] ] }, "language" : "en", "page" : "5260-5266", "title" : "Quantification of Functional Groups and Modeling of Their Ionization Behavior in the Active Layer of FT30 Reverse Osmosis Membrane", "type" : "article-journal", "volume" : "42" }, "uri" : [ "http://www.mendeley.com/documents/?uuid=f3b7ca9a-356e-46c4-ad21-52dd61254086" ], "uris" : [ "http://www.mendeley.com/documents/?uuid=f3b7ca9a-356e-46c4-ad21-52dd61254086" ] } ], "mendeley" : { "formattedCitation" : "&lt;sup&gt;44,45&lt;/sup&gt;", "plainTextFormattedCitation" : "44,45", "previouslyFormattedCitation" : "&lt;sup&gt;44,45&lt;/sup&gt;" }, "properties" : { "dontUpdate" : true, "formattedCitation" : "\\super 40,41\\nosupersub{}", "plainCitation" : "40,41" }, "schema" : "https://github.com/citation-style-language/schema/raw/master/csl-citation.json" }</w:instrText>
      </w:r>
      <w:r w:rsidRPr="0040427B">
        <w:fldChar w:fldCharType="separate"/>
      </w:r>
      <w:r w:rsidR="00021FF6" w:rsidRPr="0040427B">
        <w:rPr>
          <w:rFonts w:cs="Times"/>
          <w:noProof/>
          <w:szCs w:val="24"/>
          <w:vertAlign w:val="superscript"/>
        </w:rPr>
        <w:t>44,45</w:t>
      </w:r>
      <w:r w:rsidRPr="0040427B">
        <w:fldChar w:fldCharType="end"/>
      </w:r>
      <w:r w:rsidRPr="00EB4397">
        <w:t xml:space="preserve"> They determined the carboxylic acid concentration to be (0.45 ± 0.25) mmol g</w:t>
      </w:r>
      <w:r w:rsidRPr="00EB4397">
        <w:rPr>
          <w:vertAlign w:val="superscript"/>
        </w:rPr>
        <w:t>-1</w:t>
      </w:r>
      <w:r w:rsidRPr="00EB4397">
        <w:t xml:space="preserve"> for a variety of reverse osmosis membranes, which is within the range of values obtained via FTIR on mLbL membranes. </w:t>
      </w:r>
      <w:r w:rsidR="007D47D5">
        <w:t xml:space="preserve">Sunday et al. used resonant soft x-ray reflectivity on comparable mLbL polyamide films </w:t>
      </w:r>
      <w:r w:rsidR="00FC52FB">
        <w:t>(TMC/MPD</w:t>
      </w:r>
      <w:r w:rsidR="008F64DF">
        <w:t>,</w:t>
      </w:r>
      <w:r w:rsidR="00FC52FB">
        <w:t xml:space="preserve"> 150 cycles)</w:t>
      </w:r>
      <w:r w:rsidR="008F64DF">
        <w:t>,</w:t>
      </w:r>
      <w:r w:rsidR="008F64DF">
        <w:fldChar w:fldCharType="begin" w:fldLock="1"/>
      </w:r>
      <w:r w:rsidR="00021FF6">
        <w:instrText>ADDIN CSL_CITATION { "citationID" : "eY4DghJL", "citationItems" : [ { "id" : "ITEM-1", "itemData" : { "DOI" : "10.1103/PhysRevMaterials.2.032601", "ISSN" : "2475-9953", "author" : [ { "dropping-particle" : "", "family" : "Sunday", "given" : "Daniel F.", "non-dropping-particle" : "", "parse-names" : false, "suffix" : "" }, { "dropping-particle" : "", "family" : "Chan", "given" : "Edwin P.", "non-dropping-particle" : "", "parse-names" : false, "suffix" : "" }, { "dropping-particle" : "V.", "family" : "Orski", "given" : "Sara", "non-dropping-particle" : "", "parse-names" : false, "suffix" : "" }, { "dropping-particle" : "", "family" : "Nieuwendaal", "given" : "Ryan C.", "non-dropping-particle" : "", "parse-names" : false, "suffix" : "" }, { "dropping-particle" : "", "family" : "Stafford", "given" : "Christopher M.", "non-dropping-particle" : "", "parse-names" : false, "suffix" : "" } ], "container-title" : "Physical Review Materials", "id" : "ITEM-1", "issue" : "3", "issued" : { "date-parts" : [ [ "2018", "3" ] ] }, "language" : "en", "title" : "Functional group quantification of polymer nanomembranes with soft x-rays", "type" : "article-journal", "volume" : "2" }, "uri" : [ "http://zotero.org/users/1351568/items/2YWMZEY6" ], "uris" : [ "http://zotero.org/users/1351568/items/2YWMZEY6", "http://www.mendeley.com/documents/?uuid=a3d0c174-8ce7-4b5f-9224-b41793af2d8f" ] } ], "mendeley" : { "formattedCitation" : "&lt;sup&gt;46&lt;/sup&gt;", "plainTextFormattedCitation" : "46", "previouslyFormattedCitation" : "&lt;sup&gt;46&lt;/sup&gt;" }, "properties" : { "formattedCitation" : "\\super 43\\nosupersub{}", "plainCitation" : "43" }, "schema" : "https://github.com/citation-style-language/schema/raw/master/csl-citation.json" }</w:instrText>
      </w:r>
      <w:r w:rsidR="008F64DF">
        <w:fldChar w:fldCharType="separate"/>
      </w:r>
      <w:r w:rsidR="00021FF6" w:rsidRPr="00021FF6">
        <w:rPr>
          <w:rFonts w:cs="Times"/>
          <w:noProof/>
          <w:szCs w:val="24"/>
          <w:vertAlign w:val="superscript"/>
        </w:rPr>
        <w:t>46</w:t>
      </w:r>
      <w:r w:rsidR="008F64DF">
        <w:fldChar w:fldCharType="end"/>
      </w:r>
      <w:r w:rsidR="00FC52FB">
        <w:t xml:space="preserve"> </w:t>
      </w:r>
      <w:r w:rsidR="007D47D5">
        <w:t xml:space="preserve">and </w:t>
      </w:r>
      <w:r w:rsidR="008F64DF">
        <w:t xml:space="preserve">they </w:t>
      </w:r>
      <w:r w:rsidR="007D47D5">
        <w:t xml:space="preserve">found the carboxylic acid concentration </w:t>
      </w:r>
      <w:r w:rsidR="00FC52FB">
        <w:t xml:space="preserve">to be </w:t>
      </w:r>
      <w:r w:rsidR="00956429">
        <w:t>0.5</w:t>
      </w:r>
      <w:r w:rsidR="00FC52FB">
        <w:t xml:space="preserve"> mmol cm</w:t>
      </w:r>
      <w:r w:rsidR="00FC52FB" w:rsidRPr="00FC52FB">
        <w:rPr>
          <w:vertAlign w:val="superscript"/>
        </w:rPr>
        <w:t>-3</w:t>
      </w:r>
      <w:r w:rsidR="00FC52FB">
        <w:t xml:space="preserve">, which </w:t>
      </w:r>
      <w:r w:rsidR="00BD30D0">
        <w:t>equates</w:t>
      </w:r>
      <w:r w:rsidR="00FC52FB">
        <w:t xml:space="preserve"> to</w:t>
      </w:r>
      <w:r w:rsidR="00956429">
        <w:t xml:space="preserve"> 0.38 mmol g</w:t>
      </w:r>
      <w:r w:rsidR="00956429" w:rsidRPr="00956429">
        <w:rPr>
          <w:vertAlign w:val="superscript"/>
        </w:rPr>
        <w:t>-1</w:t>
      </w:r>
      <w:r w:rsidR="00956429">
        <w:t xml:space="preserve"> assuming a density </w:t>
      </w:r>
      <w:r w:rsidR="00BD30D0">
        <w:t xml:space="preserve">of </w:t>
      </w:r>
      <w:r w:rsidR="00BD30D0" w:rsidRPr="00EB4397">
        <w:rPr>
          <w:rFonts w:ascii="Symbol" w:hAnsi="Symbol"/>
        </w:rPr>
        <w:t></w:t>
      </w:r>
      <w:r w:rsidR="00BD30D0" w:rsidRPr="00EB4397">
        <w:t xml:space="preserve"> =</w:t>
      </w:r>
      <w:r w:rsidR="00BD30D0">
        <w:t xml:space="preserve"> 1.33 g cm</w:t>
      </w:r>
      <w:r w:rsidR="00BD30D0" w:rsidRPr="00956429">
        <w:rPr>
          <w:vertAlign w:val="superscript"/>
        </w:rPr>
        <w:t>-3</w:t>
      </w:r>
      <w:r w:rsidR="00BD30D0" w:rsidRPr="00BD30D0">
        <w:t xml:space="preserve"> </w:t>
      </w:r>
      <w:r w:rsidR="00956429">
        <w:t>for the polyamide.</w:t>
      </w:r>
      <w:r w:rsidR="00FC52FB">
        <w:t xml:space="preserve"> </w:t>
      </w:r>
      <w:r w:rsidR="00956429">
        <w:t xml:space="preserve">It should be noted </w:t>
      </w:r>
      <w:r w:rsidR="008F64DF">
        <w:t>that the mLbL films in that study were prepared using</w:t>
      </w:r>
      <w:r w:rsidR="00956429">
        <w:t xml:space="preserve"> a different rinse solvent (isopropanol) compared to the films in </w:t>
      </w:r>
      <w:r w:rsidR="00956429">
        <w:lastRenderedPageBreak/>
        <w:t xml:space="preserve">this study (acetone). It has been reported that the rinse solvent can dramatically </w:t>
      </w:r>
      <w:r w:rsidR="00835C48">
        <w:t xml:space="preserve">influence </w:t>
      </w:r>
      <w:r w:rsidR="00956429">
        <w:t>the growth rate in mLbL of polyamides, which can be presumed to have a significant</w:t>
      </w:r>
      <w:r w:rsidR="00956429" w:rsidRPr="00EB4397">
        <w:t xml:space="preserve"> </w:t>
      </w:r>
      <w:r w:rsidR="00956429">
        <w:t xml:space="preserve">impact on the crosslink density and thus the number of unreacted carboxylic acid groups. </w:t>
      </w:r>
      <w:r w:rsidR="008F64DF">
        <w:t>The use of isopropanol leads to a higher growth rate in mLbL when compared to acetone,</w:t>
      </w:r>
      <w:r w:rsidR="008518E6" w:rsidRPr="008518E6">
        <w:rPr>
          <w:rFonts w:cs="Times"/>
          <w:szCs w:val="24"/>
          <w:vertAlign w:val="superscript"/>
        </w:rPr>
        <w:t>7</w:t>
      </w:r>
      <w:r w:rsidR="008F64DF">
        <w:t xml:space="preserve"> which could be argued would result in a lower crosslink density </w:t>
      </w:r>
      <w:r w:rsidR="008518E6">
        <w:t>when</w:t>
      </w:r>
      <w:r w:rsidR="008F64DF">
        <w:t xml:space="preserve"> isopropanol </w:t>
      </w:r>
      <w:r w:rsidR="008518E6">
        <w:t xml:space="preserve">is used </w:t>
      </w:r>
      <w:r w:rsidR="008F64DF">
        <w:t xml:space="preserve">as a rinse solvent. </w:t>
      </w:r>
      <w:r w:rsidRPr="00EB4397">
        <w:t>Alternatively, one can calculate the carboxylic acid concentration for several acid-containing polymers from the polymer density (</w:t>
      </w:r>
      <w:r w:rsidRPr="00EB4397">
        <w:rPr>
          <w:rFonts w:ascii="Symbol" w:hAnsi="Symbol"/>
        </w:rPr>
        <w:t></w:t>
      </w:r>
      <w:r w:rsidRPr="00EB4397">
        <w:t>) and the molar mass of a repeat unit. For example, poly</w:t>
      </w:r>
      <w:r w:rsidR="00252CF4">
        <w:t>(</w:t>
      </w:r>
      <w:r w:rsidRPr="00EB4397">
        <w:t>acrylic acid</w:t>
      </w:r>
      <w:r w:rsidR="00252CF4">
        <w:t>)</w:t>
      </w:r>
      <w:r w:rsidRPr="00EB4397">
        <w:t xml:space="preserve"> (molar mass = 72.1 g mol</w:t>
      </w:r>
      <w:r w:rsidRPr="00EB4397">
        <w:rPr>
          <w:vertAlign w:val="superscript"/>
        </w:rPr>
        <w:t>-1</w:t>
      </w:r>
      <w:r w:rsidRPr="00EB4397">
        <w:t xml:space="preserve">, </w:t>
      </w:r>
      <w:r w:rsidRPr="00EB4397">
        <w:rPr>
          <w:rFonts w:ascii="Symbol" w:hAnsi="Symbol"/>
        </w:rPr>
        <w:t></w:t>
      </w:r>
      <w:r w:rsidRPr="00EB4397">
        <w:t xml:space="preserve"> = 1.41 g mol</w:t>
      </w:r>
      <w:r w:rsidRPr="00EB4397">
        <w:rPr>
          <w:vertAlign w:val="superscript"/>
        </w:rPr>
        <w:t>-1</w:t>
      </w:r>
      <w:r w:rsidRPr="00EB4397">
        <w:t>) has a carboxylic acid concentration of 19.6 mmol g</w:t>
      </w:r>
      <w:r w:rsidRPr="00EB4397">
        <w:rPr>
          <w:vertAlign w:val="superscript"/>
        </w:rPr>
        <w:t>-1</w:t>
      </w:r>
      <w:r w:rsidRPr="00EB4397">
        <w:t>, whereas poly(glutamic acid) (molar mass = 129.11 g mol</w:t>
      </w:r>
      <w:r w:rsidRPr="00EB4397">
        <w:rPr>
          <w:vertAlign w:val="superscript"/>
        </w:rPr>
        <w:t>-1</w:t>
      </w:r>
      <w:r w:rsidRPr="00EB4397">
        <w:t xml:space="preserve">, </w:t>
      </w:r>
      <w:r w:rsidRPr="00EB4397">
        <w:rPr>
          <w:rFonts w:ascii="Symbol" w:hAnsi="Symbol"/>
        </w:rPr>
        <w:t></w:t>
      </w:r>
      <w:r w:rsidRPr="00EB4397">
        <w:t xml:space="preserve"> = 1.41 g mol</w:t>
      </w:r>
      <w:r w:rsidRPr="00EB4397">
        <w:rPr>
          <w:vertAlign w:val="superscript"/>
        </w:rPr>
        <w:t>-1</w:t>
      </w:r>
      <w:r w:rsidRPr="00EB4397">
        <w:t>) has an acid concentration of 10.9 mmol g</w:t>
      </w:r>
      <w:r w:rsidRPr="00EB4397">
        <w:rPr>
          <w:vertAlign w:val="superscript"/>
        </w:rPr>
        <w:t>-1</w:t>
      </w:r>
      <w:r w:rsidRPr="00EB4397">
        <w:t>. These comparisons confirm that the polyamide selective layer is indeed highly crosslinked with a small fraction of unreacted carboxylic acid group</w:t>
      </w:r>
      <w:r w:rsidR="00835C48">
        <w:t>s</w:t>
      </w:r>
      <w:r w:rsidR="00236E08">
        <w:t>.</w:t>
      </w:r>
      <w:r w:rsidRPr="00EB4397">
        <w:t xml:space="preserve"> Future studies could examine how changes in the mLbL process (e.g., choice of solvent, co-monomers, post-fabrication annealing) affect the measured carboxylic acid content of the films</w:t>
      </w:r>
      <w:r w:rsidR="00835C48">
        <w:t xml:space="preserve"> now that this quantitative FTIR method has been established</w:t>
      </w:r>
      <w:r w:rsidRPr="00EB4397">
        <w:t>.</w:t>
      </w:r>
      <w:r w:rsidR="00BE4470">
        <w:br w:type="page"/>
      </w:r>
    </w:p>
    <w:p w14:paraId="15C70B9E" w14:textId="7B9C2C3A" w:rsidR="00EB4397" w:rsidRDefault="00EB4397" w:rsidP="00EB4397">
      <w:pPr>
        <w:pStyle w:val="VAFigureCaption"/>
        <w:spacing w:after="240"/>
        <w:jc w:val="left"/>
      </w:pPr>
      <w:r>
        <w:lastRenderedPageBreak/>
        <w:t>CONCLUSIONS</w:t>
      </w:r>
    </w:p>
    <w:p w14:paraId="4E6F66FE" w14:textId="7984B739" w:rsidR="00EB4397" w:rsidRPr="00EB4397" w:rsidRDefault="00AC732A" w:rsidP="00BC34B3">
      <w:pPr>
        <w:pStyle w:val="VAFigureCaption"/>
        <w:spacing w:after="240"/>
      </w:pPr>
      <w:r w:rsidRPr="00CA761A">
        <w:t>We demonstrate</w:t>
      </w:r>
      <w:r w:rsidR="00C61B99" w:rsidRPr="00CA761A">
        <w:t>d</w:t>
      </w:r>
      <w:r w:rsidRPr="00CA761A">
        <w:t xml:space="preserve"> a </w:t>
      </w:r>
      <w:r w:rsidR="00835C48">
        <w:t>technique</w:t>
      </w:r>
      <w:r w:rsidR="00835C48" w:rsidRPr="00CA761A">
        <w:t xml:space="preserve"> </w:t>
      </w:r>
      <w:r w:rsidRPr="00CA761A">
        <w:t>to measure the residual carboxylic acid content in thin polymer films and membranes. In particular, we examine</w:t>
      </w:r>
      <w:r w:rsidR="00C61B99" w:rsidRPr="00CA761A">
        <w:t>d</w:t>
      </w:r>
      <w:r w:rsidRPr="00CA761A">
        <w:t xml:space="preserve"> the acid content in thin polyamide films </w:t>
      </w:r>
      <w:r w:rsidR="00835C48">
        <w:t xml:space="preserve">which are </w:t>
      </w:r>
      <w:r w:rsidRPr="00CA761A">
        <w:t xml:space="preserve">at the heart </w:t>
      </w:r>
      <w:r w:rsidR="00C61B99" w:rsidRPr="00CA761A">
        <w:t>of reverse osmosis desalination membranes</w:t>
      </w:r>
      <w:r w:rsidRPr="00CA761A">
        <w:t xml:space="preserve">. Leveraging DFT calculations to decompose the amide-I region into five </w:t>
      </w:r>
      <w:r w:rsidR="00C61B99" w:rsidRPr="00CA761A">
        <w:t xml:space="preserve">principle </w:t>
      </w:r>
      <w:r w:rsidRPr="00CA761A">
        <w:t>vibrational components, we place</w:t>
      </w:r>
      <w:r w:rsidR="00C61B99" w:rsidRPr="00CA761A">
        <w:t>d</w:t>
      </w:r>
      <w:r w:rsidRPr="00CA761A">
        <w:t xml:space="preserve"> bounds on the peak position and peak shape of the carboxylic acid compo</w:t>
      </w:r>
      <w:r w:rsidR="00C61B99" w:rsidRPr="00CA761A">
        <w:t>nen</w:t>
      </w:r>
      <w:r w:rsidRPr="00CA761A">
        <w:t>t</w:t>
      </w:r>
      <w:r w:rsidR="00C61B99" w:rsidRPr="00CA761A">
        <w:t xml:space="preserve"> and used those bounds to quantify the residual carboxylic acid content in five prototype membranes with varying ion exchange capacity</w:t>
      </w:r>
      <w:r w:rsidRPr="00CA761A">
        <w:t xml:space="preserve">. </w:t>
      </w:r>
      <w:r w:rsidR="00C61B99" w:rsidRPr="00CA761A">
        <w:t xml:space="preserve">A linear relationship was found between the absorbance of the carboxylic acid peak in the IR spectra and acid content determined via IEC measurements. Armed with this knowledge, we then synthesized model polyamide films via molecular layer-by-layer deposition to overcome the </w:t>
      </w:r>
      <w:r w:rsidR="000D7288" w:rsidRPr="00CA761A">
        <w:t xml:space="preserve">chemical </w:t>
      </w:r>
      <w:r w:rsidR="00C61B99" w:rsidRPr="00CA761A">
        <w:t>h</w:t>
      </w:r>
      <w:r w:rsidRPr="00CA761A">
        <w:t>eterogeneity</w:t>
      </w:r>
      <w:r w:rsidR="00C61B99" w:rsidRPr="00CA761A">
        <w:t xml:space="preserve"> and roughness</w:t>
      </w:r>
      <w:r w:rsidRPr="00CA761A">
        <w:t xml:space="preserve"> </w:t>
      </w:r>
      <w:r w:rsidR="000D7288" w:rsidRPr="00CA761A">
        <w:t>inherent to conventional interfacially polymerized polyamide membranes</w:t>
      </w:r>
      <w:r w:rsidR="00DB289E" w:rsidRPr="00CA761A">
        <w:t xml:space="preserve">  </w:t>
      </w:r>
      <w:r w:rsidR="000D7288" w:rsidRPr="00CA761A">
        <w:t xml:space="preserve"> </w:t>
      </w:r>
      <w:r w:rsidR="00763246" w:rsidRPr="00CA761A">
        <w:t>FTIR enabled</w:t>
      </w:r>
      <w:r w:rsidR="00EB4397" w:rsidRPr="00CA761A">
        <w:t xml:space="preserve"> the determination of carboxylic acid</w:t>
      </w:r>
      <w:r w:rsidR="00763246" w:rsidRPr="00CA761A">
        <w:t xml:space="preserve"> content</w:t>
      </w:r>
      <w:r w:rsidR="00EB4397" w:rsidRPr="00CA761A">
        <w:t xml:space="preserve"> in </w:t>
      </w:r>
      <w:r w:rsidR="00C61B99" w:rsidRPr="00CA761A">
        <w:t xml:space="preserve">these </w:t>
      </w:r>
      <w:r w:rsidR="00EB4397" w:rsidRPr="00CA761A">
        <w:t>mLbL polyamide membranes by interpolation</w:t>
      </w:r>
      <w:r w:rsidR="00763246" w:rsidRPr="00CA761A">
        <w:t xml:space="preserve"> of C=O band intensities onto the</w:t>
      </w:r>
      <w:r w:rsidR="00EB4397" w:rsidRPr="00CA761A">
        <w:t xml:space="preserve"> experimentally determined calibration line for acid content. The results of this work show that at </w:t>
      </w:r>
      <w:r w:rsidR="00C61B99" w:rsidRPr="00CA761A">
        <w:t xml:space="preserve">low thicknesses, the mLbL films have a high free acid content, which can be ascribed to </w:t>
      </w:r>
      <w:r w:rsidR="00835C48">
        <w:t>incomplete</w:t>
      </w:r>
      <w:r w:rsidR="00835C48" w:rsidRPr="00CA761A">
        <w:t xml:space="preserve"> </w:t>
      </w:r>
      <w:r w:rsidR="00C61B99" w:rsidRPr="00CA761A">
        <w:t xml:space="preserve">network formation and dangling network chain ends.  At </w:t>
      </w:r>
      <w:r w:rsidR="00835C48">
        <w:t>greater</w:t>
      </w:r>
      <w:r w:rsidR="00835C48" w:rsidRPr="00CA761A">
        <w:t xml:space="preserve"> </w:t>
      </w:r>
      <w:r w:rsidR="00D8038E" w:rsidRPr="00CA761A">
        <w:t>thicknesses</w:t>
      </w:r>
      <w:r w:rsidR="00C61B99" w:rsidRPr="00CA761A">
        <w:t xml:space="preserve">, the free acid content asymptotes to </w:t>
      </w:r>
      <w:r w:rsidR="00210305" w:rsidRPr="00CA761A">
        <w:t>a constant value of approximately 0.12 mmol g</w:t>
      </w:r>
      <w:r w:rsidR="00210305" w:rsidRPr="00CA761A">
        <w:rPr>
          <w:vertAlign w:val="superscript"/>
        </w:rPr>
        <w:t>-1</w:t>
      </w:r>
      <w:r w:rsidR="00210305" w:rsidRPr="00CA761A">
        <w:t>, which we put into context with other measurements of acid content in polyamide membranes such as RBS and RSoXR. We believe these results, combined with the wide-spread availability of FTIR, provide a robust measurement platf</w:t>
      </w:r>
      <w:r w:rsidR="00D8038E" w:rsidRPr="00CA761A">
        <w:t>or</w:t>
      </w:r>
      <w:r w:rsidR="00210305" w:rsidRPr="00CA761A">
        <w:t>m for quantifying residual carboxylic acid concentrations in thin polymer films and membranes.</w:t>
      </w:r>
    </w:p>
    <w:p w14:paraId="78641DA9" w14:textId="5857DC6C" w:rsidR="00C061DF" w:rsidRDefault="00C061DF" w:rsidP="00BC34B3">
      <w:pPr>
        <w:spacing w:after="0"/>
      </w:pPr>
      <w:r>
        <w:br w:type="page"/>
      </w:r>
    </w:p>
    <w:p w14:paraId="78FC2F92" w14:textId="77777777" w:rsidR="00DD6DBB" w:rsidRDefault="00C10EE0" w:rsidP="000B5610">
      <w:pPr>
        <w:pStyle w:val="TESupportingInformation"/>
        <w:spacing w:after="240"/>
        <w:ind w:firstLine="0"/>
        <w:jc w:val="left"/>
      </w:pPr>
      <w:r>
        <w:lastRenderedPageBreak/>
        <w:t>ASSOCIATED CONTENT</w:t>
      </w:r>
    </w:p>
    <w:p w14:paraId="64E05D8F" w14:textId="77777777" w:rsidR="009A1BD2" w:rsidRPr="00DC2AD6" w:rsidRDefault="00C10EE0" w:rsidP="009A1BD2">
      <w:pPr>
        <w:pStyle w:val="TESupportingInformation"/>
        <w:spacing w:after="240"/>
        <w:ind w:firstLine="0"/>
        <w:jc w:val="left"/>
      </w:pPr>
      <w:r w:rsidRPr="00DC2AD6">
        <w:rPr>
          <w:b/>
        </w:rPr>
        <w:t>Supporting Information</w:t>
      </w:r>
      <w:r w:rsidRPr="00DC2AD6">
        <w:t xml:space="preserve">. </w:t>
      </w:r>
      <w:r w:rsidR="009A1BD2" w:rsidRPr="00DC2AD6">
        <w:t>The Supporting Information is available free of charge on the ACS Publications website at DOI: XYZ.</w:t>
      </w:r>
    </w:p>
    <w:p w14:paraId="0E72271F" w14:textId="5C91AB34" w:rsidR="009A1BD2" w:rsidRDefault="009A1BD2" w:rsidP="009A1BD2">
      <w:r w:rsidRPr="00DC2AD6">
        <w:t>Additional data on IR peak fitting, peak intensities, calculated absorbance of carboxylic acid groups, and calculations of acid content and path length via each IR technique (PDF)</w:t>
      </w:r>
      <w:r w:rsidR="00DC2AD6">
        <w:t>.</w:t>
      </w:r>
    </w:p>
    <w:p w14:paraId="7DB9ECAC" w14:textId="2D7DA085" w:rsidR="00C10EE0" w:rsidRPr="00C10EE0" w:rsidRDefault="00C10EE0" w:rsidP="000B5610">
      <w:pPr>
        <w:pStyle w:val="TESupportingInformation"/>
        <w:spacing w:after="240"/>
        <w:ind w:firstLine="0"/>
        <w:jc w:val="left"/>
      </w:pPr>
    </w:p>
    <w:p w14:paraId="60B96D68" w14:textId="77777777" w:rsidR="00DD6DBB" w:rsidRDefault="00DD6DBB" w:rsidP="00DD6DBB">
      <w:pPr>
        <w:pStyle w:val="FACorrespondingAuthorFootnote"/>
        <w:spacing w:after="0"/>
        <w:jc w:val="left"/>
      </w:pPr>
      <w:r>
        <w:t>AUTHOR INFORMATION</w:t>
      </w:r>
    </w:p>
    <w:p w14:paraId="44A7106A" w14:textId="7139E5E8" w:rsidR="00DD6DBB" w:rsidRPr="00DD6DBB" w:rsidRDefault="00DD6DBB" w:rsidP="005C4512">
      <w:pPr>
        <w:pStyle w:val="FAAuthorInfoSubtitle"/>
      </w:pPr>
      <w:r w:rsidRPr="00DD6DBB">
        <w:t>Corresponding Author</w:t>
      </w:r>
      <w:r w:rsidR="004B17F3">
        <w:t>s</w:t>
      </w:r>
    </w:p>
    <w:p w14:paraId="25868688" w14:textId="77777777" w:rsidR="004B17F3" w:rsidRDefault="004B17F3" w:rsidP="004B17F3">
      <w:pPr>
        <w:pStyle w:val="FACorrespondingAuthorFootnote"/>
        <w:spacing w:after="0"/>
        <w:jc w:val="left"/>
      </w:pPr>
      <w:r>
        <w:t>*E-mail (MAH)</w:t>
      </w:r>
      <w:r w:rsidRPr="00126C96">
        <w:t xml:space="preserve">: </w:t>
      </w:r>
      <w:hyperlink r:id="rId15" w:history="1">
        <w:r w:rsidRPr="003E09A6">
          <w:rPr>
            <w:rStyle w:val="Hyperlink"/>
          </w:rPr>
          <w:t>hickner@matse.psu.edu</w:t>
        </w:r>
      </w:hyperlink>
    </w:p>
    <w:p w14:paraId="6C0B8D8B" w14:textId="7A588280" w:rsidR="004B17F3" w:rsidRDefault="004B17F3" w:rsidP="004B17F3">
      <w:pPr>
        <w:pStyle w:val="FACorrespondingAuthorFootnote"/>
        <w:spacing w:after="0"/>
        <w:jc w:val="left"/>
      </w:pPr>
      <w:r>
        <w:t>*E-mail (CMS):</w:t>
      </w:r>
      <w:r w:rsidRPr="00126C96">
        <w:t xml:space="preserve"> </w:t>
      </w:r>
      <w:hyperlink r:id="rId16" w:history="1">
        <w:r w:rsidRPr="003E09A6">
          <w:rPr>
            <w:rStyle w:val="Hyperlink"/>
          </w:rPr>
          <w:t>chris.stafford@nist.gov</w:t>
        </w:r>
      </w:hyperlink>
    </w:p>
    <w:p w14:paraId="30935C1E" w14:textId="0E37B513" w:rsidR="004B17F3" w:rsidRPr="004B17F3" w:rsidRDefault="004B17F3" w:rsidP="004B17F3">
      <w:pPr>
        <w:pStyle w:val="TAMainText"/>
        <w:ind w:firstLine="0"/>
        <w:rPr>
          <w:b/>
        </w:rPr>
      </w:pPr>
      <w:r w:rsidRPr="004B17F3">
        <w:rPr>
          <w:b/>
        </w:rPr>
        <w:t>ORCID</w:t>
      </w:r>
    </w:p>
    <w:p w14:paraId="68FDCC13" w14:textId="1D6A226C" w:rsidR="004B17F3" w:rsidRDefault="004B17F3" w:rsidP="004B17F3">
      <w:pPr>
        <w:pStyle w:val="TAMainText"/>
        <w:ind w:firstLine="0"/>
      </w:pPr>
      <w:r>
        <w:t xml:space="preserve">Tawanda J. Zimudzi: </w:t>
      </w:r>
      <w:r w:rsidRPr="004B17F3">
        <w:t>0000-0001-7847-9646</w:t>
      </w:r>
    </w:p>
    <w:p w14:paraId="783CE28F" w14:textId="2CEF0775" w:rsidR="004B17F3" w:rsidRDefault="004B17F3" w:rsidP="004B17F3">
      <w:pPr>
        <w:pStyle w:val="TAMainText"/>
        <w:ind w:firstLine="0"/>
      </w:pPr>
      <w:r>
        <w:t xml:space="preserve">Michael A. Hickner: </w:t>
      </w:r>
      <w:r w:rsidRPr="004B17F3">
        <w:t>0000-0002-2252-7626</w:t>
      </w:r>
    </w:p>
    <w:p w14:paraId="0A2A655C" w14:textId="5765D22D" w:rsidR="004B17F3" w:rsidRPr="004B17F3" w:rsidRDefault="004B17F3" w:rsidP="004B17F3">
      <w:pPr>
        <w:pStyle w:val="TAMainText"/>
        <w:ind w:firstLine="0"/>
      </w:pPr>
      <w:r>
        <w:t xml:space="preserve">Christopher M. Stafford: </w:t>
      </w:r>
      <w:r w:rsidRPr="004B17F3">
        <w:t>0000-0002-9362-8707</w:t>
      </w:r>
    </w:p>
    <w:p w14:paraId="5068C241" w14:textId="77777777" w:rsidR="005C4512" w:rsidRDefault="005C4512" w:rsidP="005C4512">
      <w:pPr>
        <w:pStyle w:val="FAAuthorInfoSubtitle"/>
      </w:pPr>
      <w:r>
        <w:t>Notes</w:t>
      </w:r>
    </w:p>
    <w:p w14:paraId="07CDBACD" w14:textId="77777777" w:rsidR="005C4512" w:rsidRPr="005C4512" w:rsidRDefault="005C4512" w:rsidP="005C4512">
      <w:pPr>
        <w:pStyle w:val="FAAuthorInfoSubtitle"/>
        <w:rPr>
          <w:b w:val="0"/>
        </w:rPr>
      </w:pPr>
      <w:r w:rsidRPr="005C4512">
        <w:rPr>
          <w:b w:val="0"/>
        </w:rPr>
        <w:t>The authors declare no competing financial interest.</w:t>
      </w:r>
    </w:p>
    <w:p w14:paraId="6493B957" w14:textId="2CA426F4" w:rsidR="00C10EE0" w:rsidRPr="00DD6DBB" w:rsidRDefault="00C10EE0" w:rsidP="005C4512">
      <w:pPr>
        <w:pStyle w:val="FAAuthorInfoSubtitle"/>
      </w:pPr>
      <w:r w:rsidRPr="00DD6DBB">
        <w:t>Present Addresses</w:t>
      </w:r>
    </w:p>
    <w:p w14:paraId="123A33CC" w14:textId="77777777"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†If an author’s address is different than the one given in the affiliation line, this information may be included here.</w:t>
      </w:r>
    </w:p>
    <w:p w14:paraId="5DE1CFE1" w14:textId="77777777" w:rsidR="00C10EE0" w:rsidRPr="00DD6DBB" w:rsidRDefault="00C10EE0" w:rsidP="005C4512">
      <w:pPr>
        <w:pStyle w:val="FAAuthorInfoSubtitle"/>
      </w:pPr>
      <w:r w:rsidRPr="00DD6DBB">
        <w:t>Author Contributions</w:t>
      </w:r>
    </w:p>
    <w:p w14:paraId="3AF0E279" w14:textId="63890C06" w:rsidR="00C10EE0" w:rsidRPr="00DD6DBB" w:rsidRDefault="00835C48" w:rsidP="00DD6DBB">
      <w:pPr>
        <w:pStyle w:val="StyleFACorrespondingAuthorFootnote7pt"/>
        <w:spacing w:after="240" w:line="480" w:lineRule="auto"/>
        <w:rPr>
          <w:rFonts w:ascii="Times" w:hAnsi="Times"/>
          <w:kern w:val="0"/>
          <w:sz w:val="24"/>
        </w:rPr>
      </w:pPr>
      <w:r>
        <w:rPr>
          <w:rFonts w:ascii="Times" w:hAnsi="Times"/>
          <w:kern w:val="0"/>
          <w:sz w:val="24"/>
        </w:rPr>
        <w:lastRenderedPageBreak/>
        <w:t xml:space="preserve">T.J.Z and M.A.H. conceived the FTIR analysis and T.J.Z. performed the DFT modeling and IR experiments.  C.M.S. conceived the mLBL studies.  </w:t>
      </w:r>
      <w:r w:rsidR="00C10EE0" w:rsidRPr="00DD6DBB">
        <w:rPr>
          <w:rFonts w:ascii="Times" w:hAnsi="Times"/>
          <w:kern w:val="0"/>
          <w:sz w:val="24"/>
        </w:rPr>
        <w:t>The manuscript was written throug</w:t>
      </w:r>
      <w:r w:rsidR="00DD6DBB">
        <w:rPr>
          <w:rFonts w:ascii="Times" w:hAnsi="Times"/>
          <w:kern w:val="0"/>
          <w:sz w:val="24"/>
        </w:rPr>
        <w:t xml:space="preserve">h contributions of all authors. </w:t>
      </w:r>
      <w:r w:rsidR="00C10EE0" w:rsidRPr="00DD6DBB">
        <w:rPr>
          <w:rFonts w:ascii="Times" w:hAnsi="Times"/>
          <w:kern w:val="0"/>
          <w:sz w:val="24"/>
        </w:rPr>
        <w:t>All authors have given approval to the final version of the manuscript.</w:t>
      </w:r>
    </w:p>
    <w:p w14:paraId="4698E9B1" w14:textId="3A58C80B" w:rsidR="00DD6DBB" w:rsidRDefault="00DD6DBB" w:rsidP="000B5610">
      <w:pPr>
        <w:pStyle w:val="TDAcknowledgments"/>
        <w:spacing w:before="0" w:after="0"/>
        <w:ind w:firstLine="0"/>
        <w:jc w:val="left"/>
      </w:pPr>
      <w:r>
        <w:t>ACKNOWLEDGMENT</w:t>
      </w:r>
      <w:r w:rsidR="004B17F3">
        <w:t>S</w:t>
      </w:r>
    </w:p>
    <w:p w14:paraId="7349F853" w14:textId="0161B329" w:rsidR="009246AD" w:rsidRDefault="004B17F3" w:rsidP="000B5610">
      <w:pPr>
        <w:pStyle w:val="TDAcknowledgments"/>
        <w:spacing w:before="0" w:after="240"/>
        <w:ind w:firstLine="0"/>
        <w:jc w:val="left"/>
      </w:pPr>
      <w:r w:rsidRPr="004B17F3">
        <w:t xml:space="preserve">The authors thank </w:t>
      </w:r>
      <w:r>
        <w:t>the</w:t>
      </w:r>
      <w:r w:rsidRPr="004B17F3">
        <w:t xml:space="preserve"> Dow Chemical</w:t>
      </w:r>
      <w:r>
        <w:t xml:space="preserve"> Company</w:t>
      </w:r>
      <w:r w:rsidRPr="004B17F3">
        <w:t xml:space="preserve"> for </w:t>
      </w:r>
      <w:r>
        <w:t>financial support</w:t>
      </w:r>
      <w:r w:rsidRPr="004B17F3">
        <w:t xml:space="preserve"> and </w:t>
      </w:r>
      <w:r>
        <w:t xml:space="preserve">for </w:t>
      </w:r>
      <w:r w:rsidRPr="004B17F3">
        <w:t>providing thin film composite membranes. T</w:t>
      </w:r>
      <w:r w:rsidR="00890206">
        <w:t>.</w:t>
      </w:r>
      <w:r w:rsidRPr="004B17F3">
        <w:t>J</w:t>
      </w:r>
      <w:r w:rsidR="00890206">
        <w:t>.</w:t>
      </w:r>
      <w:r w:rsidRPr="004B17F3">
        <w:t>Z</w:t>
      </w:r>
      <w:r w:rsidR="00890206">
        <w:t>.</w:t>
      </w:r>
      <w:r w:rsidRPr="004B17F3">
        <w:t xml:space="preserve"> a</w:t>
      </w:r>
      <w:r>
        <w:t>c</w:t>
      </w:r>
      <w:r w:rsidRPr="004B17F3">
        <w:t>knowledges Ian T. McCrum for helpful discussions about conducting DFT calculations. K</w:t>
      </w:r>
      <w:r w:rsidR="00890206">
        <w:t>.</w:t>
      </w:r>
      <w:r w:rsidRPr="004B17F3">
        <w:t>E</w:t>
      </w:r>
      <w:r w:rsidR="00890206">
        <w:t>.</w:t>
      </w:r>
      <w:r w:rsidRPr="004B17F3">
        <w:t>F</w:t>
      </w:r>
      <w:r w:rsidR="00890206">
        <w:t>.</w:t>
      </w:r>
      <w:r w:rsidRPr="004B17F3">
        <w:t xml:space="preserve"> acknowledges the National Research Council for financial support. Official contribution of the National Institute of Standards and Technology; not subject to copyright in the United States.</w:t>
      </w:r>
    </w:p>
    <w:p w14:paraId="2358C294" w14:textId="32D1A892" w:rsidR="00DD6DBB" w:rsidRDefault="00DD6DBB" w:rsidP="000B5610">
      <w:pPr>
        <w:pStyle w:val="TFReferencesSection"/>
        <w:spacing w:after="0"/>
        <w:ind w:firstLine="0"/>
      </w:pPr>
      <w:r>
        <w:t>REFERENCES</w:t>
      </w:r>
    </w:p>
    <w:p w14:paraId="56D5C8B0" w14:textId="1ACF8BDF" w:rsidR="00021FF6" w:rsidRPr="00021FF6" w:rsidRDefault="003D0DED" w:rsidP="00021FF6">
      <w:pPr>
        <w:widowControl w:val="0"/>
        <w:autoSpaceDE w:val="0"/>
        <w:autoSpaceDN w:val="0"/>
        <w:adjustRightInd w:val="0"/>
        <w:spacing w:after="0"/>
        <w:ind w:left="640" w:hanging="640"/>
        <w:rPr>
          <w:rFonts w:cs="Times"/>
          <w:noProof/>
          <w:szCs w:val="24"/>
        </w:rPr>
      </w:pPr>
      <w:r>
        <w:fldChar w:fldCharType="begin" w:fldLock="1"/>
      </w:r>
      <w:r>
        <w:instrText xml:space="preserve">ADDIN Mendeley Bibliography CSL_BIBLIOGRAPHY </w:instrText>
      </w:r>
      <w:r>
        <w:fldChar w:fldCharType="separate"/>
      </w:r>
      <w:r w:rsidR="00021FF6" w:rsidRPr="00021FF6">
        <w:rPr>
          <w:rFonts w:cs="Times"/>
          <w:noProof/>
          <w:szCs w:val="24"/>
        </w:rPr>
        <w:t xml:space="preserve">(1) </w:t>
      </w:r>
      <w:r w:rsidR="00021FF6" w:rsidRPr="00021FF6">
        <w:rPr>
          <w:rFonts w:cs="Times"/>
          <w:noProof/>
          <w:szCs w:val="24"/>
        </w:rPr>
        <w:tab/>
        <w:t xml:space="preserve">Lu, X.; Nejati, S.; Choo, Y.; Osuji, C. O.; Ma, J.; Elimelech, M. Elements Provide a Clue: Nanoscale Characterization of Thin-Film Composite Polyamide Membranes. </w:t>
      </w:r>
      <w:r w:rsidR="00021FF6" w:rsidRPr="00021FF6">
        <w:rPr>
          <w:rFonts w:cs="Times"/>
          <w:i/>
          <w:iCs/>
          <w:noProof/>
          <w:szCs w:val="24"/>
        </w:rPr>
        <w:t>ACS Appl. Mater. Interfaces</w:t>
      </w:r>
      <w:r w:rsidR="00021FF6" w:rsidRPr="00021FF6">
        <w:rPr>
          <w:rFonts w:cs="Times"/>
          <w:noProof/>
          <w:szCs w:val="24"/>
        </w:rPr>
        <w:t xml:space="preserve"> </w:t>
      </w:r>
      <w:r w:rsidR="00021FF6" w:rsidRPr="00021FF6">
        <w:rPr>
          <w:rFonts w:cs="Times"/>
          <w:b/>
          <w:bCs/>
          <w:noProof/>
          <w:szCs w:val="24"/>
        </w:rPr>
        <w:t>2015</w:t>
      </w:r>
      <w:r w:rsidR="00021FF6" w:rsidRPr="00021FF6">
        <w:rPr>
          <w:rFonts w:cs="Times"/>
          <w:noProof/>
          <w:szCs w:val="24"/>
        </w:rPr>
        <w:t xml:space="preserve">, </w:t>
      </w:r>
      <w:r w:rsidR="00021FF6" w:rsidRPr="00021FF6">
        <w:rPr>
          <w:rFonts w:cs="Times"/>
          <w:i/>
          <w:iCs/>
          <w:noProof/>
          <w:szCs w:val="24"/>
        </w:rPr>
        <w:t>7</w:t>
      </w:r>
      <w:r w:rsidR="00021FF6" w:rsidRPr="00021FF6">
        <w:rPr>
          <w:rFonts w:cs="Times"/>
          <w:noProof/>
          <w:szCs w:val="24"/>
        </w:rPr>
        <w:t xml:space="preserve"> (31), 16917–16922.</w:t>
      </w:r>
    </w:p>
    <w:p w14:paraId="6280D9AF"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 </w:t>
      </w:r>
      <w:r w:rsidRPr="00021FF6">
        <w:rPr>
          <w:rFonts w:cs="Times"/>
          <w:noProof/>
          <w:szCs w:val="24"/>
        </w:rPr>
        <w:tab/>
        <w:t xml:space="preserve">Rao, A. P.; Joshi, S. V.; Trivedi, J. J.; Devmurari, C. V.; Shah, V. J. Structure–performance Correlation of Polyamide Thin Film Composite Membranes: Effect of Coating Conditions on Film Formation. </w:t>
      </w:r>
      <w:r w:rsidRPr="00021FF6">
        <w:rPr>
          <w:rFonts w:cs="Times"/>
          <w:i/>
          <w:iCs/>
          <w:noProof/>
          <w:szCs w:val="24"/>
        </w:rPr>
        <w:t>J. Memb. Sci.</w:t>
      </w:r>
      <w:r w:rsidRPr="00021FF6">
        <w:rPr>
          <w:rFonts w:cs="Times"/>
          <w:noProof/>
          <w:szCs w:val="24"/>
        </w:rPr>
        <w:t xml:space="preserve"> </w:t>
      </w:r>
      <w:r w:rsidRPr="00021FF6">
        <w:rPr>
          <w:rFonts w:cs="Times"/>
          <w:b/>
          <w:bCs/>
          <w:noProof/>
          <w:szCs w:val="24"/>
        </w:rPr>
        <w:t>2003</w:t>
      </w:r>
      <w:r w:rsidRPr="00021FF6">
        <w:rPr>
          <w:rFonts w:cs="Times"/>
          <w:noProof/>
          <w:szCs w:val="24"/>
        </w:rPr>
        <w:t xml:space="preserve">, </w:t>
      </w:r>
      <w:r w:rsidRPr="00021FF6">
        <w:rPr>
          <w:rFonts w:cs="Times"/>
          <w:i/>
          <w:iCs/>
          <w:noProof/>
          <w:szCs w:val="24"/>
        </w:rPr>
        <w:t>211</w:t>
      </w:r>
      <w:r w:rsidRPr="00021FF6">
        <w:rPr>
          <w:rFonts w:cs="Times"/>
          <w:noProof/>
          <w:szCs w:val="24"/>
        </w:rPr>
        <w:t xml:space="preserve"> (1), 13–24.</w:t>
      </w:r>
    </w:p>
    <w:p w14:paraId="042BEEF0"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 </w:t>
      </w:r>
      <w:r w:rsidRPr="00021FF6">
        <w:rPr>
          <w:rFonts w:cs="Times"/>
          <w:noProof/>
          <w:szCs w:val="24"/>
        </w:rPr>
        <w:tab/>
        <w:t xml:space="preserve">Pacheco, F. A.; Pinnau, I.; Reinhard, M.; Leckie, J. O. Characterization of Isolated Polyamide Thin Films of RO and NF Membranes Using Novel TEM Techniques. </w:t>
      </w:r>
      <w:r w:rsidRPr="00021FF6">
        <w:rPr>
          <w:rFonts w:cs="Times"/>
          <w:i/>
          <w:iCs/>
          <w:noProof/>
          <w:szCs w:val="24"/>
        </w:rPr>
        <w:t>J. Memb. Sci.</w:t>
      </w:r>
      <w:r w:rsidRPr="00021FF6">
        <w:rPr>
          <w:rFonts w:cs="Times"/>
          <w:noProof/>
          <w:szCs w:val="24"/>
        </w:rPr>
        <w:t xml:space="preserve"> </w:t>
      </w:r>
      <w:r w:rsidRPr="00021FF6">
        <w:rPr>
          <w:rFonts w:cs="Times"/>
          <w:b/>
          <w:bCs/>
          <w:noProof/>
          <w:szCs w:val="24"/>
        </w:rPr>
        <w:t>2010</w:t>
      </w:r>
      <w:r w:rsidRPr="00021FF6">
        <w:rPr>
          <w:rFonts w:cs="Times"/>
          <w:noProof/>
          <w:szCs w:val="24"/>
        </w:rPr>
        <w:t xml:space="preserve">, </w:t>
      </w:r>
      <w:r w:rsidRPr="00021FF6">
        <w:rPr>
          <w:rFonts w:cs="Times"/>
          <w:i/>
          <w:iCs/>
          <w:noProof/>
          <w:szCs w:val="24"/>
        </w:rPr>
        <w:t>358</w:t>
      </w:r>
      <w:r w:rsidRPr="00021FF6">
        <w:rPr>
          <w:rFonts w:cs="Times"/>
          <w:noProof/>
          <w:szCs w:val="24"/>
        </w:rPr>
        <w:t xml:space="preserve"> (1–2), 51–59.</w:t>
      </w:r>
    </w:p>
    <w:p w14:paraId="247A10E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 </w:t>
      </w:r>
      <w:r w:rsidRPr="00021FF6">
        <w:rPr>
          <w:rFonts w:cs="Times"/>
          <w:noProof/>
          <w:szCs w:val="24"/>
        </w:rPr>
        <w:tab/>
        <w:t xml:space="preserve">Culp, T. E.; Ye, D.; Paul, M.; Roy, A.; Behr, M. J.; Jons, S.; Rosenberg, S.; Wang, C.; Gomez, E. W.; Kumar, M.; et al. Probing the Internal Microstructure of Polyamide Thin-Film Composite Membranes Using Resonant Soft X-Ray Scattering. </w:t>
      </w:r>
      <w:r w:rsidRPr="00021FF6">
        <w:rPr>
          <w:rFonts w:cs="Times"/>
          <w:i/>
          <w:iCs/>
          <w:noProof/>
          <w:szCs w:val="24"/>
        </w:rPr>
        <w:t>ACS Macro Lett.</w:t>
      </w:r>
      <w:r w:rsidRPr="00021FF6">
        <w:rPr>
          <w:rFonts w:cs="Times"/>
          <w:noProof/>
          <w:szCs w:val="24"/>
        </w:rPr>
        <w:t xml:space="preserve"> </w:t>
      </w:r>
      <w:r w:rsidRPr="00021FF6">
        <w:rPr>
          <w:rFonts w:cs="Times"/>
          <w:b/>
          <w:bCs/>
          <w:noProof/>
          <w:szCs w:val="24"/>
        </w:rPr>
        <w:t>2018</w:t>
      </w:r>
      <w:r w:rsidRPr="00021FF6">
        <w:rPr>
          <w:rFonts w:cs="Times"/>
          <w:noProof/>
          <w:szCs w:val="24"/>
        </w:rPr>
        <w:t>, 927–932.</w:t>
      </w:r>
    </w:p>
    <w:p w14:paraId="79E84696"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(5) </w:t>
      </w:r>
      <w:r w:rsidRPr="00021FF6">
        <w:rPr>
          <w:rFonts w:cs="Times"/>
          <w:noProof/>
          <w:szCs w:val="24"/>
        </w:rPr>
        <w:tab/>
        <w:t xml:space="preserve">Lin, L.; Feng, C.; Lopez, R.; Coronell, O. Identifying Facile and Accurate Methods to Measure the Thickness of the Active Layers of Thin-Film Composite Membranes – A Comparison of Seven Characterization Techniques. </w:t>
      </w:r>
      <w:r w:rsidRPr="00021FF6">
        <w:rPr>
          <w:rFonts w:cs="Times"/>
          <w:i/>
          <w:iCs/>
          <w:noProof/>
          <w:szCs w:val="24"/>
        </w:rPr>
        <w:t>J. Memb. Sci.</w:t>
      </w:r>
      <w:r w:rsidRPr="00021FF6">
        <w:rPr>
          <w:rFonts w:cs="Times"/>
          <w:noProof/>
          <w:szCs w:val="24"/>
        </w:rPr>
        <w:t xml:space="preserve"> </w:t>
      </w:r>
      <w:r w:rsidRPr="00021FF6">
        <w:rPr>
          <w:rFonts w:cs="Times"/>
          <w:b/>
          <w:bCs/>
          <w:noProof/>
          <w:szCs w:val="24"/>
        </w:rPr>
        <w:t>2016</w:t>
      </w:r>
      <w:r w:rsidRPr="00021FF6">
        <w:rPr>
          <w:rFonts w:cs="Times"/>
          <w:noProof/>
          <w:szCs w:val="24"/>
        </w:rPr>
        <w:t xml:space="preserve">, </w:t>
      </w:r>
      <w:r w:rsidRPr="00021FF6">
        <w:rPr>
          <w:rFonts w:cs="Times"/>
          <w:i/>
          <w:iCs/>
          <w:noProof/>
          <w:szCs w:val="24"/>
        </w:rPr>
        <w:t>498</w:t>
      </w:r>
      <w:r w:rsidRPr="00021FF6">
        <w:rPr>
          <w:rFonts w:cs="Times"/>
          <w:noProof/>
          <w:szCs w:val="24"/>
        </w:rPr>
        <w:t>, 167–179.</w:t>
      </w:r>
    </w:p>
    <w:p w14:paraId="5EE8D74F"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(6) </w:t>
      </w:r>
      <w:r w:rsidRPr="00021FF6">
        <w:rPr>
          <w:rFonts w:cs="Times"/>
          <w:noProof/>
          <w:szCs w:val="24"/>
        </w:rPr>
        <w:tab/>
        <w:t xml:space="preserve">Xie, W.; Geise, G. M.; Freeman, B. D.; Lee, H.-S.; Byun, G.; McGrath, J. E. Polyamide Interfacial Composite Membranes Prepared from M-Phenylene Diamine, Trimesoyl Chloride and a New Disulfonated Diamine. </w:t>
      </w:r>
      <w:r w:rsidRPr="00021FF6">
        <w:rPr>
          <w:rFonts w:cs="Times"/>
          <w:i/>
          <w:iCs/>
          <w:noProof/>
          <w:szCs w:val="24"/>
        </w:rPr>
        <w:t>J. Memb. Sci.</w:t>
      </w:r>
      <w:r w:rsidRPr="00021FF6">
        <w:rPr>
          <w:rFonts w:cs="Times"/>
          <w:noProof/>
          <w:szCs w:val="24"/>
        </w:rPr>
        <w:t xml:space="preserve"> </w:t>
      </w:r>
      <w:r w:rsidRPr="00021FF6">
        <w:rPr>
          <w:rFonts w:cs="Times"/>
          <w:b/>
          <w:bCs/>
          <w:noProof/>
          <w:szCs w:val="24"/>
        </w:rPr>
        <w:t>2012</w:t>
      </w:r>
      <w:r w:rsidRPr="00021FF6">
        <w:rPr>
          <w:rFonts w:cs="Times"/>
          <w:noProof/>
          <w:szCs w:val="24"/>
        </w:rPr>
        <w:t xml:space="preserve">, </w:t>
      </w:r>
      <w:r w:rsidRPr="00021FF6">
        <w:rPr>
          <w:rFonts w:cs="Times"/>
          <w:i/>
          <w:iCs/>
          <w:noProof/>
          <w:szCs w:val="24"/>
        </w:rPr>
        <w:t>403</w:t>
      </w:r>
      <w:r w:rsidRPr="00021FF6">
        <w:rPr>
          <w:rFonts w:cs="Times"/>
          <w:noProof/>
          <w:szCs w:val="24"/>
        </w:rPr>
        <w:t>–</w:t>
      </w:r>
      <w:r w:rsidRPr="00021FF6">
        <w:rPr>
          <w:rFonts w:cs="Times"/>
          <w:i/>
          <w:iCs/>
          <w:noProof/>
          <w:szCs w:val="24"/>
        </w:rPr>
        <w:t>404</w:t>
      </w:r>
      <w:r w:rsidRPr="00021FF6">
        <w:rPr>
          <w:rFonts w:cs="Times"/>
          <w:noProof/>
          <w:szCs w:val="24"/>
        </w:rPr>
        <w:t>, 152–161.</w:t>
      </w:r>
    </w:p>
    <w:p w14:paraId="2598E46B"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(7) </w:t>
      </w:r>
      <w:r w:rsidRPr="00021FF6">
        <w:rPr>
          <w:rFonts w:cs="Times"/>
          <w:noProof/>
          <w:szCs w:val="24"/>
        </w:rPr>
        <w:tab/>
        <w:t xml:space="preserve">Johnson, P. M.; Yoon, J.; Kelly, J. Y.; Howarter, J. a.; Stafford, C. M. Molecular Layer-by-Layer Deposition of Highly Crosslinked Polyamide Films. </w:t>
      </w:r>
      <w:r w:rsidRPr="00021FF6">
        <w:rPr>
          <w:rFonts w:cs="Times"/>
          <w:i/>
          <w:iCs/>
          <w:noProof/>
          <w:szCs w:val="24"/>
        </w:rPr>
        <w:t>J. Polym. Sci. Part B Polym. Phys.</w:t>
      </w:r>
      <w:r w:rsidRPr="00021FF6">
        <w:rPr>
          <w:rFonts w:cs="Times"/>
          <w:noProof/>
          <w:szCs w:val="24"/>
        </w:rPr>
        <w:t xml:space="preserve"> </w:t>
      </w:r>
      <w:r w:rsidRPr="00021FF6">
        <w:rPr>
          <w:rFonts w:cs="Times"/>
          <w:b/>
          <w:bCs/>
          <w:noProof/>
          <w:szCs w:val="24"/>
        </w:rPr>
        <w:t>2012</w:t>
      </w:r>
      <w:r w:rsidRPr="00021FF6">
        <w:rPr>
          <w:rFonts w:cs="Times"/>
          <w:noProof/>
          <w:szCs w:val="24"/>
        </w:rPr>
        <w:t xml:space="preserve">, </w:t>
      </w:r>
      <w:r w:rsidRPr="00021FF6">
        <w:rPr>
          <w:rFonts w:cs="Times"/>
          <w:i/>
          <w:iCs/>
          <w:noProof/>
          <w:szCs w:val="24"/>
        </w:rPr>
        <w:t>50</w:t>
      </w:r>
      <w:r w:rsidRPr="00021FF6">
        <w:rPr>
          <w:rFonts w:cs="Times"/>
          <w:noProof/>
          <w:szCs w:val="24"/>
        </w:rPr>
        <w:t xml:space="preserve"> (3), 168–173.</w:t>
      </w:r>
    </w:p>
    <w:p w14:paraId="757F93D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(8) </w:t>
      </w:r>
      <w:r w:rsidRPr="00021FF6">
        <w:rPr>
          <w:rFonts w:cs="Times"/>
          <w:noProof/>
          <w:szCs w:val="24"/>
        </w:rPr>
        <w:tab/>
        <w:t xml:space="preserve">Chan, E. P.; Lee, J.-H.; Chung, J. Y.; Stafford, C. M. An Automated Spin-Assisted </w:t>
      </w:r>
      <w:r w:rsidRPr="00021FF6">
        <w:rPr>
          <w:rFonts w:cs="Times"/>
          <w:noProof/>
          <w:szCs w:val="24"/>
        </w:rPr>
        <w:lastRenderedPageBreak/>
        <w:t xml:space="preserve">Approach for Molecular Layer-by-Layer Assembly of Crosslinked Polymer Thin Films. </w:t>
      </w:r>
      <w:r w:rsidRPr="00021FF6">
        <w:rPr>
          <w:rFonts w:cs="Times"/>
          <w:i/>
          <w:iCs/>
          <w:noProof/>
          <w:szCs w:val="24"/>
        </w:rPr>
        <w:t>Rev. Sci. Instrum.</w:t>
      </w:r>
      <w:r w:rsidRPr="00021FF6">
        <w:rPr>
          <w:rFonts w:cs="Times"/>
          <w:noProof/>
          <w:szCs w:val="24"/>
        </w:rPr>
        <w:t xml:space="preserve"> </w:t>
      </w:r>
      <w:r w:rsidRPr="00021FF6">
        <w:rPr>
          <w:rFonts w:cs="Times"/>
          <w:b/>
          <w:bCs/>
          <w:noProof/>
          <w:szCs w:val="24"/>
        </w:rPr>
        <w:t>2012</w:t>
      </w:r>
      <w:r w:rsidRPr="00021FF6">
        <w:rPr>
          <w:rFonts w:cs="Times"/>
          <w:noProof/>
          <w:szCs w:val="24"/>
        </w:rPr>
        <w:t xml:space="preserve">, </w:t>
      </w:r>
      <w:r w:rsidRPr="00021FF6">
        <w:rPr>
          <w:rFonts w:cs="Times"/>
          <w:i/>
          <w:iCs/>
          <w:noProof/>
          <w:szCs w:val="24"/>
        </w:rPr>
        <w:t>83</w:t>
      </w:r>
      <w:r w:rsidRPr="00021FF6">
        <w:rPr>
          <w:rFonts w:cs="Times"/>
          <w:noProof/>
          <w:szCs w:val="24"/>
        </w:rPr>
        <w:t xml:space="preserve"> (11), 114102.</w:t>
      </w:r>
    </w:p>
    <w:p w14:paraId="3A5891ED"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(9) </w:t>
      </w:r>
      <w:r w:rsidRPr="00021FF6">
        <w:rPr>
          <w:rFonts w:cs="Times"/>
          <w:noProof/>
          <w:szCs w:val="24"/>
        </w:rPr>
        <w:tab/>
        <w:t xml:space="preserve">Gu, J.-E.; Lee, S.; Stafford, C. M.; Lee, J. S.; Choi, W.; Kim, B.-Y.; Baek, K.-Y.; Chan, E. P.; Chung, J. Y.; Bang, J.; et al. Molecular Layer-by-Layer Assembled Thin-Film Composite Membranes for Water Desalination. </w:t>
      </w:r>
      <w:r w:rsidRPr="00021FF6">
        <w:rPr>
          <w:rFonts w:cs="Times"/>
          <w:i/>
          <w:iCs/>
          <w:noProof/>
          <w:szCs w:val="24"/>
        </w:rPr>
        <w:t>Adv. Mater.</w:t>
      </w:r>
      <w:r w:rsidRPr="00021FF6">
        <w:rPr>
          <w:rFonts w:cs="Times"/>
          <w:noProof/>
          <w:szCs w:val="24"/>
        </w:rPr>
        <w:t xml:space="preserve"> </w:t>
      </w:r>
      <w:r w:rsidRPr="00021FF6">
        <w:rPr>
          <w:rFonts w:cs="Times"/>
          <w:b/>
          <w:bCs/>
          <w:noProof/>
          <w:szCs w:val="24"/>
        </w:rPr>
        <w:t>2013</w:t>
      </w:r>
      <w:r w:rsidRPr="00021FF6">
        <w:rPr>
          <w:rFonts w:cs="Times"/>
          <w:noProof/>
          <w:szCs w:val="24"/>
        </w:rPr>
        <w:t xml:space="preserve">, </w:t>
      </w:r>
      <w:r w:rsidRPr="00021FF6">
        <w:rPr>
          <w:rFonts w:cs="Times"/>
          <w:i/>
          <w:iCs/>
          <w:noProof/>
          <w:szCs w:val="24"/>
        </w:rPr>
        <w:t>25</w:t>
      </w:r>
      <w:r w:rsidRPr="00021FF6">
        <w:rPr>
          <w:rFonts w:cs="Times"/>
          <w:noProof/>
          <w:szCs w:val="24"/>
        </w:rPr>
        <w:t xml:space="preserve"> (34), 4778–4782.</w:t>
      </w:r>
    </w:p>
    <w:p w14:paraId="72E308B0"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(10) </w:t>
      </w:r>
      <w:r w:rsidRPr="00021FF6">
        <w:rPr>
          <w:rFonts w:cs="Times"/>
          <w:noProof/>
          <w:szCs w:val="24"/>
        </w:rPr>
        <w:tab/>
        <w:t xml:space="preserve">Chan, E. P.; Young, A. P.; Lee, J.-H.; Stafford, C. M. Swelling of Ultrathin Molecular Layer-by-Layer Polyamide Water Desalination Membranes. </w:t>
      </w:r>
      <w:r w:rsidRPr="00021FF6">
        <w:rPr>
          <w:rFonts w:cs="Times"/>
          <w:i/>
          <w:iCs/>
          <w:noProof/>
          <w:szCs w:val="24"/>
        </w:rPr>
        <w:t>J. Polym. Sci. Part B Polym. Phys.</w:t>
      </w:r>
      <w:r w:rsidRPr="00021FF6">
        <w:rPr>
          <w:rFonts w:cs="Times"/>
          <w:noProof/>
          <w:szCs w:val="24"/>
        </w:rPr>
        <w:t xml:space="preserve"> </w:t>
      </w:r>
      <w:r w:rsidRPr="00021FF6">
        <w:rPr>
          <w:rFonts w:cs="Times"/>
          <w:b/>
          <w:bCs/>
          <w:noProof/>
          <w:szCs w:val="24"/>
        </w:rPr>
        <w:t>2013</w:t>
      </w:r>
      <w:r w:rsidRPr="00021FF6">
        <w:rPr>
          <w:rFonts w:cs="Times"/>
          <w:noProof/>
          <w:szCs w:val="24"/>
        </w:rPr>
        <w:t xml:space="preserve">, </w:t>
      </w:r>
      <w:r w:rsidRPr="00021FF6">
        <w:rPr>
          <w:rFonts w:cs="Times"/>
          <w:i/>
          <w:iCs/>
          <w:noProof/>
          <w:szCs w:val="24"/>
        </w:rPr>
        <w:t>51</w:t>
      </w:r>
      <w:r w:rsidRPr="00021FF6">
        <w:rPr>
          <w:rFonts w:cs="Times"/>
          <w:noProof/>
          <w:szCs w:val="24"/>
        </w:rPr>
        <w:t xml:space="preserve"> (22), 1647–1655.</w:t>
      </w:r>
    </w:p>
    <w:p w14:paraId="0AD12EB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(11) </w:t>
      </w:r>
      <w:r w:rsidRPr="00021FF6">
        <w:rPr>
          <w:rFonts w:cs="Times"/>
          <w:noProof/>
          <w:szCs w:val="24"/>
        </w:rPr>
        <w:tab/>
        <w:t xml:space="preserve">Chan, E. P. Deswelling of Ultrathin Molecular Layer-by-Layer Polyamide Water Desalination Membranes. </w:t>
      </w:r>
      <w:r w:rsidRPr="00021FF6">
        <w:rPr>
          <w:rFonts w:cs="Times"/>
          <w:i/>
          <w:iCs/>
          <w:noProof/>
          <w:szCs w:val="24"/>
        </w:rPr>
        <w:t>Soft Matter</w:t>
      </w:r>
      <w:r w:rsidRPr="00021FF6">
        <w:rPr>
          <w:rFonts w:cs="Times"/>
          <w:noProof/>
          <w:szCs w:val="24"/>
        </w:rPr>
        <w:t xml:space="preserve"> </w:t>
      </w:r>
      <w:r w:rsidRPr="00021FF6">
        <w:rPr>
          <w:rFonts w:cs="Times"/>
          <w:b/>
          <w:bCs/>
          <w:noProof/>
          <w:szCs w:val="24"/>
        </w:rPr>
        <w:t>2014</w:t>
      </w:r>
      <w:r w:rsidRPr="00021FF6">
        <w:rPr>
          <w:rFonts w:cs="Times"/>
          <w:noProof/>
          <w:szCs w:val="24"/>
        </w:rPr>
        <w:t xml:space="preserve">, </w:t>
      </w:r>
      <w:r w:rsidRPr="00021FF6">
        <w:rPr>
          <w:rFonts w:cs="Times"/>
          <w:i/>
          <w:iCs/>
          <w:noProof/>
          <w:szCs w:val="24"/>
        </w:rPr>
        <w:t>10</w:t>
      </w:r>
      <w:r w:rsidRPr="00021FF6">
        <w:rPr>
          <w:rFonts w:cs="Times"/>
          <w:noProof/>
          <w:szCs w:val="24"/>
        </w:rPr>
        <w:t xml:space="preserve"> (17), 2949.</w:t>
      </w:r>
    </w:p>
    <w:p w14:paraId="15FAEA98"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(12) </w:t>
      </w:r>
      <w:r w:rsidRPr="00021FF6">
        <w:rPr>
          <w:rFonts w:cs="Times"/>
          <w:noProof/>
          <w:szCs w:val="24"/>
        </w:rPr>
        <w:tab/>
        <w:t xml:space="preserve">Liyana-Arachchi, T. P.; Sturnfield, J. F.; Colina, C. M. Ultrathin Molecular-Layer-by-Layer Polyamide Membranes: Insights from Atomistic Molecular Simulations. </w:t>
      </w:r>
      <w:r w:rsidRPr="00021FF6">
        <w:rPr>
          <w:rFonts w:cs="Times"/>
          <w:i/>
          <w:iCs/>
          <w:noProof/>
          <w:szCs w:val="24"/>
        </w:rPr>
        <w:t>J. Phys. Chem. B</w:t>
      </w:r>
      <w:r w:rsidRPr="00021FF6">
        <w:rPr>
          <w:rFonts w:cs="Times"/>
          <w:noProof/>
          <w:szCs w:val="24"/>
        </w:rPr>
        <w:t xml:space="preserve"> </w:t>
      </w:r>
      <w:r w:rsidRPr="00021FF6">
        <w:rPr>
          <w:rFonts w:cs="Times"/>
          <w:b/>
          <w:bCs/>
          <w:noProof/>
          <w:szCs w:val="24"/>
        </w:rPr>
        <w:t>2016</w:t>
      </w:r>
      <w:r w:rsidRPr="00021FF6">
        <w:rPr>
          <w:rFonts w:cs="Times"/>
          <w:noProof/>
          <w:szCs w:val="24"/>
        </w:rPr>
        <w:t xml:space="preserve">, </w:t>
      </w:r>
      <w:r w:rsidRPr="00021FF6">
        <w:rPr>
          <w:rFonts w:cs="Times"/>
          <w:i/>
          <w:iCs/>
          <w:noProof/>
          <w:szCs w:val="24"/>
        </w:rPr>
        <w:t>120</w:t>
      </w:r>
      <w:r w:rsidRPr="00021FF6">
        <w:rPr>
          <w:rFonts w:cs="Times"/>
          <w:noProof/>
          <w:szCs w:val="24"/>
        </w:rPr>
        <w:t xml:space="preserve"> (35), 9484–9494.</w:t>
      </w:r>
    </w:p>
    <w:p w14:paraId="56068C34"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(13) </w:t>
      </w:r>
      <w:r w:rsidRPr="00021FF6">
        <w:rPr>
          <w:rFonts w:cs="Times"/>
          <w:noProof/>
          <w:szCs w:val="24"/>
        </w:rPr>
        <w:tab/>
        <w:t xml:space="preserve">Choi, W.; Gu, J.-E.; Park, S.-H.; Kim, S.; Bang, J.; Baek, K.-Y.; Park, B.; Lee, J. S.; Chan, E. P.; Lee, J.-H. Tailor-Made Polyamide Membranes for Water Desalination. </w:t>
      </w:r>
      <w:r w:rsidRPr="00021FF6">
        <w:rPr>
          <w:rFonts w:cs="Times"/>
          <w:i/>
          <w:iCs/>
          <w:noProof/>
          <w:szCs w:val="24"/>
        </w:rPr>
        <w:t>ACS Nano</w:t>
      </w:r>
      <w:r w:rsidRPr="00021FF6">
        <w:rPr>
          <w:rFonts w:cs="Times"/>
          <w:noProof/>
          <w:szCs w:val="24"/>
        </w:rPr>
        <w:t xml:space="preserve"> </w:t>
      </w:r>
      <w:r w:rsidRPr="00021FF6">
        <w:rPr>
          <w:rFonts w:cs="Times"/>
          <w:b/>
          <w:bCs/>
          <w:noProof/>
          <w:szCs w:val="24"/>
        </w:rPr>
        <w:t>2015</w:t>
      </w:r>
      <w:r w:rsidRPr="00021FF6">
        <w:rPr>
          <w:rFonts w:cs="Times"/>
          <w:noProof/>
          <w:szCs w:val="24"/>
        </w:rPr>
        <w:t xml:space="preserve">, </w:t>
      </w:r>
      <w:r w:rsidRPr="00021FF6">
        <w:rPr>
          <w:rFonts w:cs="Times"/>
          <w:i/>
          <w:iCs/>
          <w:noProof/>
          <w:szCs w:val="24"/>
        </w:rPr>
        <w:t>9</w:t>
      </w:r>
      <w:r w:rsidRPr="00021FF6">
        <w:rPr>
          <w:rFonts w:cs="Times"/>
          <w:noProof/>
          <w:szCs w:val="24"/>
        </w:rPr>
        <w:t xml:space="preserve"> (1), 345–355.</w:t>
      </w:r>
    </w:p>
    <w:p w14:paraId="543D8F91"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(14) </w:t>
      </w:r>
      <w:r w:rsidRPr="00021FF6">
        <w:rPr>
          <w:rFonts w:cs="Times"/>
          <w:noProof/>
          <w:szCs w:val="24"/>
        </w:rPr>
        <w:tab/>
        <w:t xml:space="preserve">Childress, A. E.; Elimelech, M. Effect of Solution Chemistry on the Surface Charge of Polymeric Reverse Osmosis and Nanofiltration Membranes. </w:t>
      </w:r>
      <w:r w:rsidRPr="00021FF6">
        <w:rPr>
          <w:rFonts w:cs="Times"/>
          <w:i/>
          <w:iCs/>
          <w:noProof/>
          <w:szCs w:val="24"/>
        </w:rPr>
        <w:t>J. Memb. Sci.</w:t>
      </w:r>
      <w:r w:rsidRPr="00021FF6">
        <w:rPr>
          <w:rFonts w:cs="Times"/>
          <w:noProof/>
          <w:szCs w:val="24"/>
        </w:rPr>
        <w:t xml:space="preserve"> </w:t>
      </w:r>
      <w:r w:rsidRPr="00021FF6">
        <w:rPr>
          <w:rFonts w:cs="Times"/>
          <w:b/>
          <w:bCs/>
          <w:noProof/>
          <w:szCs w:val="24"/>
        </w:rPr>
        <w:t>1996</w:t>
      </w:r>
      <w:r w:rsidRPr="00021FF6">
        <w:rPr>
          <w:rFonts w:cs="Times"/>
          <w:noProof/>
          <w:szCs w:val="24"/>
        </w:rPr>
        <w:t xml:space="preserve">, </w:t>
      </w:r>
      <w:r w:rsidRPr="00021FF6">
        <w:rPr>
          <w:rFonts w:cs="Times"/>
          <w:i/>
          <w:iCs/>
          <w:noProof/>
          <w:szCs w:val="24"/>
        </w:rPr>
        <w:t>119</w:t>
      </w:r>
      <w:r w:rsidRPr="00021FF6">
        <w:rPr>
          <w:rFonts w:cs="Times"/>
          <w:noProof/>
          <w:szCs w:val="24"/>
        </w:rPr>
        <w:t xml:space="preserve"> (2), 253–268.</w:t>
      </w:r>
    </w:p>
    <w:p w14:paraId="58B97DFF"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(15) </w:t>
      </w:r>
      <w:r w:rsidRPr="00021FF6">
        <w:rPr>
          <w:rFonts w:cs="Times"/>
          <w:noProof/>
          <w:szCs w:val="24"/>
        </w:rPr>
        <w:tab/>
        <w:t xml:space="preserve">Coronell, O.; Mariñas, B. J.; Cahill, D. G. Depth Heterogeneity of Fully Aromatic Polyamide Active Layers in Reverse Osmosis and Nanofiltration Membranes. </w:t>
      </w:r>
      <w:r w:rsidRPr="00021FF6">
        <w:rPr>
          <w:rFonts w:cs="Times"/>
          <w:i/>
          <w:iCs/>
          <w:noProof/>
          <w:szCs w:val="24"/>
        </w:rPr>
        <w:t>Environ. Sci. Technol.</w:t>
      </w:r>
      <w:r w:rsidRPr="00021FF6">
        <w:rPr>
          <w:rFonts w:cs="Times"/>
          <w:noProof/>
          <w:szCs w:val="24"/>
        </w:rPr>
        <w:t xml:space="preserve"> </w:t>
      </w:r>
      <w:r w:rsidRPr="00021FF6">
        <w:rPr>
          <w:rFonts w:cs="Times"/>
          <w:b/>
          <w:bCs/>
          <w:noProof/>
          <w:szCs w:val="24"/>
        </w:rPr>
        <w:t>2011</w:t>
      </w:r>
      <w:r w:rsidRPr="00021FF6">
        <w:rPr>
          <w:rFonts w:cs="Times"/>
          <w:noProof/>
          <w:szCs w:val="24"/>
        </w:rPr>
        <w:t xml:space="preserve">, </w:t>
      </w:r>
      <w:r w:rsidRPr="00021FF6">
        <w:rPr>
          <w:rFonts w:cs="Times"/>
          <w:i/>
          <w:iCs/>
          <w:noProof/>
          <w:szCs w:val="24"/>
        </w:rPr>
        <w:t>45</w:t>
      </w:r>
      <w:r w:rsidRPr="00021FF6">
        <w:rPr>
          <w:rFonts w:cs="Times"/>
          <w:noProof/>
          <w:szCs w:val="24"/>
        </w:rPr>
        <w:t xml:space="preserve"> (10), 4513–4520.</w:t>
      </w:r>
    </w:p>
    <w:p w14:paraId="5F23950C"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(16) </w:t>
      </w:r>
      <w:r w:rsidRPr="00021FF6">
        <w:rPr>
          <w:rFonts w:cs="Times"/>
          <w:noProof/>
          <w:szCs w:val="24"/>
        </w:rPr>
        <w:tab/>
        <w:t xml:space="preserve">Jin, Y.; Wang, W.; Su, Z. Spectroscopic Study on Water Diffusion in Aromatic Polyamide Thin Film. </w:t>
      </w:r>
      <w:r w:rsidRPr="00021FF6">
        <w:rPr>
          <w:rFonts w:cs="Times"/>
          <w:i/>
          <w:iCs/>
          <w:noProof/>
          <w:szCs w:val="24"/>
        </w:rPr>
        <w:t>J. Memb. Sci.</w:t>
      </w:r>
      <w:r w:rsidRPr="00021FF6">
        <w:rPr>
          <w:rFonts w:cs="Times"/>
          <w:noProof/>
          <w:szCs w:val="24"/>
        </w:rPr>
        <w:t xml:space="preserve"> </w:t>
      </w:r>
      <w:r w:rsidRPr="00021FF6">
        <w:rPr>
          <w:rFonts w:cs="Times"/>
          <w:b/>
          <w:bCs/>
          <w:noProof/>
          <w:szCs w:val="24"/>
        </w:rPr>
        <w:t>2011</w:t>
      </w:r>
      <w:r w:rsidRPr="00021FF6">
        <w:rPr>
          <w:rFonts w:cs="Times"/>
          <w:noProof/>
          <w:szCs w:val="24"/>
        </w:rPr>
        <w:t xml:space="preserve">, </w:t>
      </w:r>
      <w:r w:rsidRPr="00021FF6">
        <w:rPr>
          <w:rFonts w:cs="Times"/>
          <w:i/>
          <w:iCs/>
          <w:noProof/>
          <w:szCs w:val="24"/>
        </w:rPr>
        <w:t>379</w:t>
      </w:r>
      <w:r w:rsidRPr="00021FF6">
        <w:rPr>
          <w:rFonts w:cs="Times"/>
          <w:noProof/>
          <w:szCs w:val="24"/>
        </w:rPr>
        <w:t xml:space="preserve"> (1–2), 121–130.</w:t>
      </w:r>
    </w:p>
    <w:p w14:paraId="7319DF66"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(17) </w:t>
      </w:r>
      <w:r w:rsidRPr="00021FF6">
        <w:rPr>
          <w:rFonts w:cs="Times"/>
          <w:noProof/>
          <w:szCs w:val="24"/>
        </w:rPr>
        <w:tab/>
        <w:t xml:space="preserve">Coronell, O.; Benito J Mariñas; Cahill, D. G. Accessibility and Ion Exchange Stoichiometry of Ionized Carboxylic Groups in the Active Layer of FT30 Reverse Osmosis Membrane. </w:t>
      </w:r>
      <w:r w:rsidRPr="00021FF6">
        <w:rPr>
          <w:rFonts w:cs="Times"/>
          <w:i/>
          <w:iCs/>
          <w:noProof/>
          <w:szCs w:val="24"/>
        </w:rPr>
        <w:t>Environ. Sci. Technol.</w:t>
      </w:r>
      <w:r w:rsidRPr="00021FF6">
        <w:rPr>
          <w:rFonts w:cs="Times"/>
          <w:noProof/>
          <w:szCs w:val="24"/>
        </w:rPr>
        <w:t xml:space="preserve"> </w:t>
      </w:r>
      <w:r w:rsidRPr="00021FF6">
        <w:rPr>
          <w:rFonts w:cs="Times"/>
          <w:b/>
          <w:bCs/>
          <w:noProof/>
          <w:szCs w:val="24"/>
        </w:rPr>
        <w:t>2009</w:t>
      </w:r>
      <w:r w:rsidRPr="00021FF6">
        <w:rPr>
          <w:rFonts w:cs="Times"/>
          <w:noProof/>
          <w:szCs w:val="24"/>
        </w:rPr>
        <w:t xml:space="preserve">, </w:t>
      </w:r>
      <w:r w:rsidRPr="00021FF6">
        <w:rPr>
          <w:rFonts w:cs="Times"/>
          <w:i/>
          <w:iCs/>
          <w:noProof/>
          <w:szCs w:val="24"/>
        </w:rPr>
        <w:t>43</w:t>
      </w:r>
      <w:r w:rsidRPr="00021FF6">
        <w:rPr>
          <w:rFonts w:cs="Times"/>
          <w:noProof/>
          <w:szCs w:val="24"/>
        </w:rPr>
        <w:t xml:space="preserve"> (13), 5042–5048.</w:t>
      </w:r>
    </w:p>
    <w:p w14:paraId="429C376D"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(18) </w:t>
      </w:r>
      <w:r w:rsidRPr="00021FF6">
        <w:rPr>
          <w:rFonts w:cs="Times"/>
          <w:noProof/>
          <w:szCs w:val="24"/>
        </w:rPr>
        <w:tab/>
        <w:t xml:space="preserve">Mi, B.; Coronell, O.; Mariñas, B. J.; Watanabe, F.; Cahill, D. G.; Petrov, I. Physico-Chemical Characterization of NF/RO Membrane Active Layers by Rutherford Backscattering Spectrometry. </w:t>
      </w:r>
      <w:r w:rsidRPr="00021FF6">
        <w:rPr>
          <w:rFonts w:cs="Times"/>
          <w:i/>
          <w:iCs/>
          <w:noProof/>
          <w:szCs w:val="24"/>
        </w:rPr>
        <w:t>J. Memb. Sci.</w:t>
      </w:r>
      <w:r w:rsidRPr="00021FF6">
        <w:rPr>
          <w:rFonts w:cs="Times"/>
          <w:noProof/>
          <w:szCs w:val="24"/>
        </w:rPr>
        <w:t xml:space="preserve"> </w:t>
      </w:r>
      <w:r w:rsidRPr="00021FF6">
        <w:rPr>
          <w:rFonts w:cs="Times"/>
          <w:b/>
          <w:bCs/>
          <w:noProof/>
          <w:szCs w:val="24"/>
        </w:rPr>
        <w:t>2006</w:t>
      </w:r>
      <w:r w:rsidRPr="00021FF6">
        <w:rPr>
          <w:rFonts w:cs="Times"/>
          <w:noProof/>
          <w:szCs w:val="24"/>
        </w:rPr>
        <w:t xml:space="preserve">, </w:t>
      </w:r>
      <w:r w:rsidRPr="00021FF6">
        <w:rPr>
          <w:rFonts w:cs="Times"/>
          <w:i/>
          <w:iCs/>
          <w:noProof/>
          <w:szCs w:val="24"/>
        </w:rPr>
        <w:t>282</w:t>
      </w:r>
      <w:r w:rsidRPr="00021FF6">
        <w:rPr>
          <w:rFonts w:cs="Times"/>
          <w:noProof/>
          <w:szCs w:val="24"/>
        </w:rPr>
        <w:t xml:space="preserve"> (1), 71–81.</w:t>
      </w:r>
    </w:p>
    <w:p w14:paraId="7E0735AC"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(19) </w:t>
      </w:r>
      <w:r w:rsidRPr="00021FF6">
        <w:rPr>
          <w:rFonts w:cs="Times"/>
          <w:noProof/>
          <w:szCs w:val="24"/>
        </w:rPr>
        <w:tab/>
        <w:t xml:space="preserve">Freger, V. Swelling and Morphology of the Skin Layer of Polyamide Composite Membranes:  An Atomic Force Microscopy Study. </w:t>
      </w:r>
      <w:r w:rsidRPr="00021FF6">
        <w:rPr>
          <w:rFonts w:cs="Times"/>
          <w:i/>
          <w:iCs/>
          <w:noProof/>
          <w:szCs w:val="24"/>
        </w:rPr>
        <w:t>Environ. Sci. Technol.</w:t>
      </w:r>
      <w:r w:rsidRPr="00021FF6">
        <w:rPr>
          <w:rFonts w:cs="Times"/>
          <w:noProof/>
          <w:szCs w:val="24"/>
        </w:rPr>
        <w:t xml:space="preserve"> </w:t>
      </w:r>
      <w:r w:rsidRPr="00021FF6">
        <w:rPr>
          <w:rFonts w:cs="Times"/>
          <w:b/>
          <w:bCs/>
          <w:noProof/>
          <w:szCs w:val="24"/>
        </w:rPr>
        <w:t>2004</w:t>
      </w:r>
      <w:r w:rsidRPr="00021FF6">
        <w:rPr>
          <w:rFonts w:cs="Times"/>
          <w:noProof/>
          <w:szCs w:val="24"/>
        </w:rPr>
        <w:t xml:space="preserve">, </w:t>
      </w:r>
      <w:r w:rsidRPr="00021FF6">
        <w:rPr>
          <w:rFonts w:cs="Times"/>
          <w:i/>
          <w:iCs/>
          <w:noProof/>
          <w:szCs w:val="24"/>
        </w:rPr>
        <w:t>38</w:t>
      </w:r>
      <w:r w:rsidRPr="00021FF6">
        <w:rPr>
          <w:rFonts w:cs="Times"/>
          <w:noProof/>
          <w:szCs w:val="24"/>
        </w:rPr>
        <w:t xml:space="preserve"> (11), 3168–3175.</w:t>
      </w:r>
    </w:p>
    <w:p w14:paraId="75A308F5"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(20) </w:t>
      </w:r>
      <w:r w:rsidRPr="00021FF6">
        <w:rPr>
          <w:rFonts w:cs="Times"/>
          <w:noProof/>
          <w:szCs w:val="24"/>
        </w:rPr>
        <w:tab/>
        <w:t xml:space="preserve">Valeri, P.; Irina, V.; Valeri, A.; Tolstoy, V. P.; Chernyshova, I. V; Skryshevsky, V. A. </w:t>
      </w:r>
      <w:r w:rsidRPr="00021FF6">
        <w:rPr>
          <w:rFonts w:cs="Times"/>
          <w:i/>
          <w:iCs/>
          <w:noProof/>
          <w:szCs w:val="24"/>
        </w:rPr>
        <w:t>Handbook of Infrared Spectroscopy of Ultrathin Films</w:t>
      </w:r>
      <w:r w:rsidRPr="00021FF6">
        <w:rPr>
          <w:rFonts w:cs="Times"/>
          <w:noProof/>
          <w:szCs w:val="24"/>
        </w:rPr>
        <w:t>; Wiley Interscience: New Jersey, 2003.</w:t>
      </w:r>
    </w:p>
    <w:p w14:paraId="0A9B9A6A"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(21) </w:t>
      </w:r>
      <w:r w:rsidRPr="00021FF6">
        <w:rPr>
          <w:rFonts w:cs="Times"/>
          <w:noProof/>
          <w:szCs w:val="24"/>
        </w:rPr>
        <w:tab/>
        <w:t xml:space="preserve">Liu, Z.; Amiridis, M. D. FT-IRRAS Quantitative Analysis of Specific Avidin Adsorption on Biotinylated Au Surfaces. </w:t>
      </w:r>
      <w:r w:rsidRPr="00021FF6">
        <w:rPr>
          <w:rFonts w:cs="Times"/>
          <w:i/>
          <w:iCs/>
          <w:noProof/>
          <w:szCs w:val="24"/>
        </w:rPr>
        <w:t>Surf. Sci.</w:t>
      </w:r>
      <w:r w:rsidRPr="00021FF6">
        <w:rPr>
          <w:rFonts w:cs="Times"/>
          <w:noProof/>
          <w:szCs w:val="24"/>
        </w:rPr>
        <w:t xml:space="preserve"> </w:t>
      </w:r>
      <w:r w:rsidRPr="00021FF6">
        <w:rPr>
          <w:rFonts w:cs="Times"/>
          <w:b/>
          <w:bCs/>
          <w:noProof/>
          <w:szCs w:val="24"/>
        </w:rPr>
        <w:t>2005</w:t>
      </w:r>
      <w:r w:rsidRPr="00021FF6">
        <w:rPr>
          <w:rFonts w:cs="Times"/>
          <w:noProof/>
          <w:szCs w:val="24"/>
        </w:rPr>
        <w:t xml:space="preserve">, </w:t>
      </w:r>
      <w:r w:rsidRPr="00021FF6">
        <w:rPr>
          <w:rFonts w:cs="Times"/>
          <w:i/>
          <w:iCs/>
          <w:noProof/>
          <w:szCs w:val="24"/>
        </w:rPr>
        <w:t>596</w:t>
      </w:r>
      <w:r w:rsidRPr="00021FF6">
        <w:rPr>
          <w:rFonts w:cs="Times"/>
          <w:noProof/>
          <w:szCs w:val="24"/>
        </w:rPr>
        <w:t xml:space="preserve"> (1), 117–125.</w:t>
      </w:r>
    </w:p>
    <w:p w14:paraId="0E7F8E48"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(22) </w:t>
      </w:r>
      <w:r w:rsidRPr="00021FF6">
        <w:rPr>
          <w:rFonts w:cs="Times"/>
          <w:noProof/>
          <w:szCs w:val="24"/>
        </w:rPr>
        <w:tab/>
        <w:t xml:space="preserve">Zimudzi, T. J.; Hickner, M. A. Signal Enhanced FTIR Analysis of Alignment in NAFION Thin Films at SiO </w:t>
      </w:r>
      <w:r w:rsidRPr="00021FF6">
        <w:rPr>
          <w:rFonts w:cs="Times"/>
          <w:noProof/>
          <w:szCs w:val="24"/>
          <w:vertAlign w:val="subscript"/>
        </w:rPr>
        <w:t>2</w:t>
      </w:r>
      <w:r w:rsidRPr="00021FF6">
        <w:rPr>
          <w:rFonts w:cs="Times"/>
          <w:noProof/>
          <w:szCs w:val="24"/>
        </w:rPr>
        <w:t xml:space="preserve"> and Au Interfaces. </w:t>
      </w:r>
      <w:r w:rsidRPr="00021FF6">
        <w:rPr>
          <w:rFonts w:cs="Times"/>
          <w:i/>
          <w:iCs/>
          <w:noProof/>
          <w:szCs w:val="24"/>
        </w:rPr>
        <w:t>ACS Macro Lett.</w:t>
      </w:r>
      <w:r w:rsidRPr="00021FF6">
        <w:rPr>
          <w:rFonts w:cs="Times"/>
          <w:noProof/>
          <w:szCs w:val="24"/>
        </w:rPr>
        <w:t xml:space="preserve"> </w:t>
      </w:r>
      <w:r w:rsidRPr="00021FF6">
        <w:rPr>
          <w:rFonts w:cs="Times"/>
          <w:b/>
          <w:bCs/>
          <w:noProof/>
          <w:szCs w:val="24"/>
        </w:rPr>
        <w:t>2016</w:t>
      </w:r>
      <w:r w:rsidRPr="00021FF6">
        <w:rPr>
          <w:rFonts w:cs="Times"/>
          <w:noProof/>
          <w:szCs w:val="24"/>
        </w:rPr>
        <w:t xml:space="preserve">, </w:t>
      </w:r>
      <w:r w:rsidRPr="00021FF6">
        <w:rPr>
          <w:rFonts w:cs="Times"/>
          <w:i/>
          <w:iCs/>
          <w:noProof/>
          <w:szCs w:val="24"/>
        </w:rPr>
        <w:t>5</w:t>
      </w:r>
      <w:r w:rsidRPr="00021FF6">
        <w:rPr>
          <w:rFonts w:cs="Times"/>
          <w:noProof/>
          <w:szCs w:val="24"/>
        </w:rPr>
        <w:t xml:space="preserve"> (1), 83–87.</w:t>
      </w:r>
    </w:p>
    <w:p w14:paraId="4E82155B"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(23) </w:t>
      </w:r>
      <w:r w:rsidRPr="00021FF6">
        <w:rPr>
          <w:rFonts w:cs="Times"/>
          <w:noProof/>
          <w:szCs w:val="24"/>
        </w:rPr>
        <w:tab/>
        <w:t xml:space="preserve">Parikh, A. N.; Allara, D. L. Quantitative Determination of Molecular Structure in Multilayered Thin Films of Biaxial and Lower Symmetry from Photon Spectroscopies. I. Reflection Infrared Vibrational Spectroscopy. </w:t>
      </w:r>
      <w:r w:rsidRPr="00021FF6">
        <w:rPr>
          <w:rFonts w:cs="Times"/>
          <w:i/>
          <w:iCs/>
          <w:noProof/>
          <w:szCs w:val="24"/>
        </w:rPr>
        <w:t>J. Chem. Phys.</w:t>
      </w:r>
      <w:r w:rsidRPr="00021FF6">
        <w:rPr>
          <w:rFonts w:cs="Times"/>
          <w:noProof/>
          <w:szCs w:val="24"/>
        </w:rPr>
        <w:t xml:space="preserve"> </w:t>
      </w:r>
      <w:r w:rsidRPr="00021FF6">
        <w:rPr>
          <w:rFonts w:cs="Times"/>
          <w:b/>
          <w:bCs/>
          <w:noProof/>
          <w:szCs w:val="24"/>
        </w:rPr>
        <w:t>1992</w:t>
      </w:r>
      <w:r w:rsidRPr="00021FF6">
        <w:rPr>
          <w:rFonts w:cs="Times"/>
          <w:noProof/>
          <w:szCs w:val="24"/>
        </w:rPr>
        <w:t xml:space="preserve">, </w:t>
      </w:r>
      <w:r w:rsidRPr="00021FF6">
        <w:rPr>
          <w:rFonts w:cs="Times"/>
          <w:i/>
          <w:iCs/>
          <w:noProof/>
          <w:szCs w:val="24"/>
        </w:rPr>
        <w:t>96</w:t>
      </w:r>
      <w:r w:rsidRPr="00021FF6">
        <w:rPr>
          <w:rFonts w:cs="Times"/>
          <w:noProof/>
          <w:szCs w:val="24"/>
        </w:rPr>
        <w:t xml:space="preserve"> (2), 927.</w:t>
      </w:r>
    </w:p>
    <w:p w14:paraId="6F7A1C8C"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(24) </w:t>
      </w:r>
      <w:r w:rsidRPr="00021FF6">
        <w:rPr>
          <w:rFonts w:cs="Times"/>
          <w:noProof/>
          <w:szCs w:val="24"/>
        </w:rPr>
        <w:tab/>
        <w:t xml:space="preserve">Allara, D. L.; Nuzzo, R. G. Spontaneously Organized Molecular Assemblies. 1. Formation, Dynamics, and Physical Properties of N-Alkanoic Acids Adsorbed from Solution on an Oxidized Aluminum Surface. </w:t>
      </w:r>
      <w:r w:rsidRPr="00021FF6">
        <w:rPr>
          <w:rFonts w:cs="Times"/>
          <w:i/>
          <w:iCs/>
          <w:noProof/>
          <w:szCs w:val="24"/>
        </w:rPr>
        <w:t>Langmuir</w:t>
      </w:r>
      <w:r w:rsidRPr="00021FF6">
        <w:rPr>
          <w:rFonts w:cs="Times"/>
          <w:noProof/>
          <w:szCs w:val="24"/>
        </w:rPr>
        <w:t xml:space="preserve"> </w:t>
      </w:r>
      <w:r w:rsidRPr="00021FF6">
        <w:rPr>
          <w:rFonts w:cs="Times"/>
          <w:b/>
          <w:bCs/>
          <w:noProof/>
          <w:szCs w:val="24"/>
        </w:rPr>
        <w:t>1985</w:t>
      </w:r>
      <w:r w:rsidRPr="00021FF6">
        <w:rPr>
          <w:rFonts w:cs="Times"/>
          <w:noProof/>
          <w:szCs w:val="24"/>
        </w:rPr>
        <w:t xml:space="preserve">, </w:t>
      </w:r>
      <w:r w:rsidRPr="00021FF6">
        <w:rPr>
          <w:rFonts w:cs="Times"/>
          <w:i/>
          <w:iCs/>
          <w:noProof/>
          <w:szCs w:val="24"/>
        </w:rPr>
        <w:t>1</w:t>
      </w:r>
      <w:r w:rsidRPr="00021FF6">
        <w:rPr>
          <w:rFonts w:cs="Times"/>
          <w:noProof/>
          <w:szCs w:val="24"/>
        </w:rPr>
        <w:t xml:space="preserve"> (1), 45–52.</w:t>
      </w:r>
    </w:p>
    <w:p w14:paraId="3AA6148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lastRenderedPageBreak/>
        <w:t xml:space="preserve">(25) </w:t>
      </w:r>
      <w:r w:rsidRPr="00021FF6">
        <w:rPr>
          <w:rFonts w:cs="Times"/>
          <w:noProof/>
          <w:szCs w:val="24"/>
        </w:rPr>
        <w:tab/>
        <w:t xml:space="preserve">Borowski, P.; Pasieczna-Patkowska, S.; Barczak, M.; Pilorz, K. Theoretical Determination of the Infrared Spectra of Amorphous Polymers. </w:t>
      </w:r>
      <w:r w:rsidRPr="00021FF6">
        <w:rPr>
          <w:rFonts w:cs="Times"/>
          <w:i/>
          <w:iCs/>
          <w:noProof/>
          <w:szCs w:val="24"/>
        </w:rPr>
        <w:t>J. Phys. Chem. A</w:t>
      </w:r>
      <w:r w:rsidRPr="00021FF6">
        <w:rPr>
          <w:rFonts w:cs="Times"/>
          <w:noProof/>
          <w:szCs w:val="24"/>
        </w:rPr>
        <w:t xml:space="preserve"> </w:t>
      </w:r>
      <w:r w:rsidRPr="00021FF6">
        <w:rPr>
          <w:rFonts w:cs="Times"/>
          <w:b/>
          <w:bCs/>
          <w:noProof/>
          <w:szCs w:val="24"/>
        </w:rPr>
        <w:t>2012</w:t>
      </w:r>
      <w:r w:rsidRPr="00021FF6">
        <w:rPr>
          <w:rFonts w:cs="Times"/>
          <w:noProof/>
          <w:szCs w:val="24"/>
        </w:rPr>
        <w:t xml:space="preserve">, </w:t>
      </w:r>
      <w:r w:rsidRPr="00021FF6">
        <w:rPr>
          <w:rFonts w:cs="Times"/>
          <w:i/>
          <w:iCs/>
          <w:noProof/>
          <w:szCs w:val="24"/>
        </w:rPr>
        <w:t>116</w:t>
      </w:r>
      <w:r w:rsidRPr="00021FF6">
        <w:rPr>
          <w:rFonts w:cs="Times"/>
          <w:noProof/>
          <w:szCs w:val="24"/>
        </w:rPr>
        <w:t xml:space="preserve"> (27), 7424–7435.</w:t>
      </w:r>
    </w:p>
    <w:p w14:paraId="106F626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(26) </w:t>
      </w:r>
      <w:r w:rsidRPr="00021FF6">
        <w:rPr>
          <w:rFonts w:cs="Times"/>
          <w:noProof/>
          <w:szCs w:val="24"/>
        </w:rPr>
        <w:tab/>
        <w:t xml:space="preserve">Bouř, P.; Sopková, J.; Bednárová, L.; Maloň, P.; Keiderling, T. A. Transfer of Molecular Property Tensors in Cartesian Coordinates: A New Algorithm for Simulation of Vibrational Spectra. </w:t>
      </w:r>
      <w:r w:rsidRPr="00021FF6">
        <w:rPr>
          <w:rFonts w:cs="Times"/>
          <w:i/>
          <w:iCs/>
          <w:noProof/>
          <w:szCs w:val="24"/>
        </w:rPr>
        <w:t>J. Comput. Chem.</w:t>
      </w:r>
      <w:r w:rsidRPr="00021FF6">
        <w:rPr>
          <w:rFonts w:cs="Times"/>
          <w:noProof/>
          <w:szCs w:val="24"/>
        </w:rPr>
        <w:t xml:space="preserve"> </w:t>
      </w:r>
      <w:r w:rsidRPr="00021FF6">
        <w:rPr>
          <w:rFonts w:cs="Times"/>
          <w:b/>
          <w:bCs/>
          <w:noProof/>
          <w:szCs w:val="24"/>
        </w:rPr>
        <w:t>1997</w:t>
      </w:r>
      <w:r w:rsidRPr="00021FF6">
        <w:rPr>
          <w:rFonts w:cs="Times"/>
          <w:noProof/>
          <w:szCs w:val="24"/>
        </w:rPr>
        <w:t xml:space="preserve">, </w:t>
      </w:r>
      <w:r w:rsidRPr="00021FF6">
        <w:rPr>
          <w:rFonts w:cs="Times"/>
          <w:i/>
          <w:iCs/>
          <w:noProof/>
          <w:szCs w:val="24"/>
        </w:rPr>
        <w:t>18</w:t>
      </w:r>
      <w:r w:rsidRPr="00021FF6">
        <w:rPr>
          <w:rFonts w:cs="Times"/>
          <w:noProof/>
          <w:szCs w:val="24"/>
        </w:rPr>
        <w:t xml:space="preserve"> (5), 646–659.</w:t>
      </w:r>
    </w:p>
    <w:p w14:paraId="1C1FDD72"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(27) </w:t>
      </w:r>
      <w:r w:rsidRPr="00021FF6">
        <w:rPr>
          <w:rFonts w:cs="Times"/>
          <w:noProof/>
          <w:szCs w:val="24"/>
        </w:rPr>
        <w:tab/>
        <w:t xml:space="preserve">Choi, J.-H.; Cho, M. Calculations of Intermode Coupling Constants and Simulations of Amide I, II, and III Vibrational Spectra of Dipeptides. </w:t>
      </w:r>
      <w:r w:rsidRPr="00021FF6">
        <w:rPr>
          <w:rFonts w:cs="Times"/>
          <w:i/>
          <w:iCs/>
          <w:noProof/>
          <w:szCs w:val="24"/>
        </w:rPr>
        <w:t>Chem. Phys.</w:t>
      </w:r>
      <w:r w:rsidRPr="00021FF6">
        <w:rPr>
          <w:rFonts w:cs="Times"/>
          <w:noProof/>
          <w:szCs w:val="24"/>
        </w:rPr>
        <w:t xml:space="preserve"> </w:t>
      </w:r>
      <w:r w:rsidRPr="00021FF6">
        <w:rPr>
          <w:rFonts w:cs="Times"/>
          <w:b/>
          <w:bCs/>
          <w:noProof/>
          <w:szCs w:val="24"/>
        </w:rPr>
        <w:t>2009</w:t>
      </w:r>
      <w:r w:rsidRPr="00021FF6">
        <w:rPr>
          <w:rFonts w:cs="Times"/>
          <w:noProof/>
          <w:szCs w:val="24"/>
        </w:rPr>
        <w:t xml:space="preserve">, </w:t>
      </w:r>
      <w:r w:rsidRPr="00021FF6">
        <w:rPr>
          <w:rFonts w:cs="Times"/>
          <w:i/>
          <w:iCs/>
          <w:noProof/>
          <w:szCs w:val="24"/>
        </w:rPr>
        <w:t>361</w:t>
      </w:r>
      <w:r w:rsidRPr="00021FF6">
        <w:rPr>
          <w:rFonts w:cs="Times"/>
          <w:noProof/>
          <w:szCs w:val="24"/>
        </w:rPr>
        <w:t xml:space="preserve"> (3), 168–175.</w:t>
      </w:r>
    </w:p>
    <w:p w14:paraId="0D7F1CD5"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(28) </w:t>
      </w:r>
      <w:r w:rsidRPr="00021FF6">
        <w:rPr>
          <w:rFonts w:cs="Times"/>
          <w:noProof/>
          <w:szCs w:val="24"/>
        </w:rPr>
        <w:tab/>
        <w:t xml:space="preserve">Choi, J.-H.; Cho, M. Amide I Raman Optical Activity of Polypeptides: Fragment Approximation. </w:t>
      </w:r>
      <w:r w:rsidRPr="00021FF6">
        <w:rPr>
          <w:rFonts w:cs="Times"/>
          <w:i/>
          <w:iCs/>
          <w:noProof/>
          <w:szCs w:val="24"/>
        </w:rPr>
        <w:t>J. Chem. Phys.</w:t>
      </w:r>
      <w:r w:rsidRPr="00021FF6">
        <w:rPr>
          <w:rFonts w:cs="Times"/>
          <w:noProof/>
          <w:szCs w:val="24"/>
        </w:rPr>
        <w:t xml:space="preserve"> </w:t>
      </w:r>
      <w:r w:rsidRPr="00021FF6">
        <w:rPr>
          <w:rFonts w:cs="Times"/>
          <w:b/>
          <w:bCs/>
          <w:noProof/>
          <w:szCs w:val="24"/>
        </w:rPr>
        <w:t>2009</w:t>
      </w:r>
      <w:r w:rsidRPr="00021FF6">
        <w:rPr>
          <w:rFonts w:cs="Times"/>
          <w:noProof/>
          <w:szCs w:val="24"/>
        </w:rPr>
        <w:t xml:space="preserve">, </w:t>
      </w:r>
      <w:r w:rsidRPr="00021FF6">
        <w:rPr>
          <w:rFonts w:cs="Times"/>
          <w:i/>
          <w:iCs/>
          <w:noProof/>
          <w:szCs w:val="24"/>
        </w:rPr>
        <w:t>130</w:t>
      </w:r>
      <w:r w:rsidRPr="00021FF6">
        <w:rPr>
          <w:rFonts w:cs="Times"/>
          <w:noProof/>
          <w:szCs w:val="24"/>
        </w:rPr>
        <w:t xml:space="preserve"> (1).</w:t>
      </w:r>
    </w:p>
    <w:p w14:paraId="6081D69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(29) </w:t>
      </w:r>
      <w:r w:rsidRPr="00021FF6">
        <w:rPr>
          <w:rFonts w:cs="Times"/>
          <w:noProof/>
          <w:szCs w:val="24"/>
        </w:rPr>
        <w:tab/>
        <w:t xml:space="preserve">Bour, P.; Kubelka, J.; Keiderling, T. A. Ab Initio Quantum Mechanical Models of Peptide Helices and Their Vibrational Spectra. </w:t>
      </w:r>
      <w:r w:rsidRPr="00021FF6">
        <w:rPr>
          <w:rFonts w:cs="Times"/>
          <w:i/>
          <w:iCs/>
          <w:noProof/>
          <w:szCs w:val="24"/>
        </w:rPr>
        <w:t>Biopolymers</w:t>
      </w:r>
      <w:r w:rsidRPr="00021FF6">
        <w:rPr>
          <w:rFonts w:cs="Times"/>
          <w:noProof/>
          <w:szCs w:val="24"/>
        </w:rPr>
        <w:t xml:space="preserve"> </w:t>
      </w:r>
      <w:r w:rsidRPr="00021FF6">
        <w:rPr>
          <w:rFonts w:cs="Times"/>
          <w:b/>
          <w:bCs/>
          <w:noProof/>
          <w:szCs w:val="24"/>
        </w:rPr>
        <w:t>2002</w:t>
      </w:r>
      <w:r w:rsidRPr="00021FF6">
        <w:rPr>
          <w:rFonts w:cs="Times"/>
          <w:noProof/>
          <w:szCs w:val="24"/>
        </w:rPr>
        <w:t xml:space="preserve">, </w:t>
      </w:r>
      <w:r w:rsidRPr="00021FF6">
        <w:rPr>
          <w:rFonts w:cs="Times"/>
          <w:i/>
          <w:iCs/>
          <w:noProof/>
          <w:szCs w:val="24"/>
        </w:rPr>
        <w:t>65</w:t>
      </w:r>
      <w:r w:rsidRPr="00021FF6">
        <w:rPr>
          <w:rFonts w:cs="Times"/>
          <w:noProof/>
          <w:szCs w:val="24"/>
        </w:rPr>
        <w:t xml:space="preserve"> (1), 45–59.</w:t>
      </w:r>
    </w:p>
    <w:p w14:paraId="701350EC"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(30) </w:t>
      </w:r>
      <w:r w:rsidRPr="00021FF6">
        <w:rPr>
          <w:rFonts w:cs="Times"/>
          <w:noProof/>
          <w:szCs w:val="24"/>
        </w:rPr>
        <w:tab/>
        <w:t xml:space="preserve">Hasegawa, T. Infrared External Reflection Study of Molecular Orientation in Thin Langmuir-Blodgett Films. </w:t>
      </w:r>
      <w:r w:rsidRPr="00021FF6">
        <w:rPr>
          <w:rFonts w:cs="Times"/>
          <w:i/>
          <w:iCs/>
          <w:noProof/>
          <w:szCs w:val="24"/>
        </w:rPr>
        <w:t>J. Phys. …</w:t>
      </w:r>
      <w:r w:rsidRPr="00021FF6">
        <w:rPr>
          <w:rFonts w:cs="Times"/>
          <w:noProof/>
          <w:szCs w:val="24"/>
        </w:rPr>
        <w:t xml:space="preserve"> </w:t>
      </w:r>
      <w:r w:rsidRPr="00021FF6">
        <w:rPr>
          <w:rFonts w:cs="Times"/>
          <w:b/>
          <w:bCs/>
          <w:noProof/>
          <w:szCs w:val="24"/>
        </w:rPr>
        <w:t>1993</w:t>
      </w:r>
      <w:r w:rsidRPr="00021FF6">
        <w:rPr>
          <w:rFonts w:cs="Times"/>
          <w:noProof/>
          <w:szCs w:val="24"/>
        </w:rPr>
        <w:t>, No. 100, 9009–9012.</w:t>
      </w:r>
    </w:p>
    <w:p w14:paraId="301472A9"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(31) </w:t>
      </w:r>
      <w:r w:rsidRPr="00021FF6">
        <w:rPr>
          <w:rFonts w:cs="Times"/>
          <w:noProof/>
          <w:szCs w:val="24"/>
        </w:rPr>
        <w:tab/>
        <w:t xml:space="preserve">Katritzky, A. R.; Sinnott, M. V; Tidwell, T. T.; Topsom, R. D. Infrared Intensities as a Quantitative Measure of Intramolecular Interactions. V. Ortho- and Meta-Disubstituted Benzenes. Nu16 Band near 1600 Cm.-1. </w:t>
      </w:r>
      <w:r w:rsidRPr="00021FF6">
        <w:rPr>
          <w:rFonts w:cs="Times"/>
          <w:i/>
          <w:iCs/>
          <w:noProof/>
          <w:szCs w:val="24"/>
        </w:rPr>
        <w:t>J. Am. Chem. Soc.</w:t>
      </w:r>
      <w:r w:rsidRPr="00021FF6">
        <w:rPr>
          <w:rFonts w:cs="Times"/>
          <w:noProof/>
          <w:szCs w:val="24"/>
        </w:rPr>
        <w:t xml:space="preserve"> </w:t>
      </w:r>
      <w:r w:rsidRPr="00021FF6">
        <w:rPr>
          <w:rFonts w:cs="Times"/>
          <w:b/>
          <w:bCs/>
          <w:noProof/>
          <w:szCs w:val="24"/>
        </w:rPr>
        <w:t>1969</w:t>
      </w:r>
      <w:r w:rsidRPr="00021FF6">
        <w:rPr>
          <w:rFonts w:cs="Times"/>
          <w:noProof/>
          <w:szCs w:val="24"/>
        </w:rPr>
        <w:t xml:space="preserve">, </w:t>
      </w:r>
      <w:r w:rsidRPr="00021FF6">
        <w:rPr>
          <w:rFonts w:cs="Times"/>
          <w:i/>
          <w:iCs/>
          <w:noProof/>
          <w:szCs w:val="24"/>
        </w:rPr>
        <w:t>91</w:t>
      </w:r>
      <w:r w:rsidRPr="00021FF6">
        <w:rPr>
          <w:rFonts w:cs="Times"/>
          <w:noProof/>
          <w:szCs w:val="24"/>
        </w:rPr>
        <w:t xml:space="preserve"> (3), 628–636.</w:t>
      </w:r>
    </w:p>
    <w:p w14:paraId="1B7F79DD"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(32) </w:t>
      </w:r>
      <w:r w:rsidRPr="00021FF6">
        <w:rPr>
          <w:rFonts w:cs="Times"/>
          <w:noProof/>
          <w:szCs w:val="24"/>
        </w:rPr>
        <w:tab/>
        <w:t xml:space="preserve">Kwon, Y.-N.; Tang, C. Y.; Leckie, J. O. Change of Chemical Composition and Hydrogen Bonding Behavior due to Chlorination of Crosslinked Polyamide Membranes. </w:t>
      </w:r>
      <w:r w:rsidRPr="00021FF6">
        <w:rPr>
          <w:rFonts w:cs="Times"/>
          <w:i/>
          <w:iCs/>
          <w:noProof/>
          <w:szCs w:val="24"/>
        </w:rPr>
        <w:t>J. Appl. Polym. Sci.</w:t>
      </w:r>
      <w:r w:rsidRPr="00021FF6">
        <w:rPr>
          <w:rFonts w:cs="Times"/>
          <w:noProof/>
          <w:szCs w:val="24"/>
        </w:rPr>
        <w:t xml:space="preserve"> </w:t>
      </w:r>
      <w:r w:rsidRPr="00021FF6">
        <w:rPr>
          <w:rFonts w:cs="Times"/>
          <w:b/>
          <w:bCs/>
          <w:noProof/>
          <w:szCs w:val="24"/>
        </w:rPr>
        <w:t>2008</w:t>
      </w:r>
      <w:r w:rsidRPr="00021FF6">
        <w:rPr>
          <w:rFonts w:cs="Times"/>
          <w:noProof/>
          <w:szCs w:val="24"/>
        </w:rPr>
        <w:t xml:space="preserve">, </w:t>
      </w:r>
      <w:r w:rsidRPr="00021FF6">
        <w:rPr>
          <w:rFonts w:cs="Times"/>
          <w:i/>
          <w:iCs/>
          <w:noProof/>
          <w:szCs w:val="24"/>
        </w:rPr>
        <w:t>108</w:t>
      </w:r>
      <w:r w:rsidRPr="00021FF6">
        <w:rPr>
          <w:rFonts w:cs="Times"/>
          <w:noProof/>
          <w:szCs w:val="24"/>
        </w:rPr>
        <w:t xml:space="preserve"> (4), 2061–2066.</w:t>
      </w:r>
    </w:p>
    <w:p w14:paraId="0472DD2B"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(33) </w:t>
      </w:r>
      <w:r w:rsidRPr="00021FF6">
        <w:rPr>
          <w:rFonts w:cs="Times"/>
          <w:noProof/>
          <w:szCs w:val="24"/>
        </w:rPr>
        <w:tab/>
        <w:t xml:space="preserve">Mahalakshmi, G.; Balachandran, V. FT-IR and FT-Raman Spectra, Normal Coordinate Analysis and Ab Initio Computations of Trimesic Acid. </w:t>
      </w:r>
      <w:r w:rsidRPr="00021FF6">
        <w:rPr>
          <w:rFonts w:cs="Times"/>
          <w:i/>
          <w:iCs/>
          <w:noProof/>
          <w:szCs w:val="24"/>
        </w:rPr>
        <w:t>Spectrochim. Acta Part A Mol. Biomol. Spectrosc.</w:t>
      </w:r>
      <w:r w:rsidRPr="00021FF6">
        <w:rPr>
          <w:rFonts w:cs="Times"/>
          <w:noProof/>
          <w:szCs w:val="24"/>
        </w:rPr>
        <w:t xml:space="preserve"> </w:t>
      </w:r>
      <w:r w:rsidRPr="00021FF6">
        <w:rPr>
          <w:rFonts w:cs="Times"/>
          <w:b/>
          <w:bCs/>
          <w:noProof/>
          <w:szCs w:val="24"/>
        </w:rPr>
        <w:t>2014</w:t>
      </w:r>
      <w:r w:rsidRPr="00021FF6">
        <w:rPr>
          <w:rFonts w:cs="Times"/>
          <w:noProof/>
          <w:szCs w:val="24"/>
        </w:rPr>
        <w:t xml:space="preserve">, </w:t>
      </w:r>
      <w:r w:rsidRPr="00021FF6">
        <w:rPr>
          <w:rFonts w:cs="Times"/>
          <w:i/>
          <w:iCs/>
          <w:noProof/>
          <w:szCs w:val="24"/>
        </w:rPr>
        <w:t>124</w:t>
      </w:r>
      <w:r w:rsidRPr="00021FF6">
        <w:rPr>
          <w:rFonts w:cs="Times"/>
          <w:noProof/>
          <w:szCs w:val="24"/>
        </w:rPr>
        <w:t>, 535–547.</w:t>
      </w:r>
    </w:p>
    <w:p w14:paraId="459B71D8"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(34) </w:t>
      </w:r>
      <w:r w:rsidRPr="00021FF6">
        <w:rPr>
          <w:rFonts w:cs="Times"/>
          <w:noProof/>
          <w:szCs w:val="24"/>
        </w:rPr>
        <w:tab/>
        <w:t xml:space="preserve">Varsanyi, G. </w:t>
      </w:r>
      <w:r w:rsidRPr="00021FF6">
        <w:rPr>
          <w:rFonts w:cs="Times"/>
          <w:i/>
          <w:iCs/>
          <w:noProof/>
          <w:szCs w:val="24"/>
        </w:rPr>
        <w:t>Vibrational Spectra of Benzene Deivatives</w:t>
      </w:r>
      <w:r w:rsidRPr="00021FF6">
        <w:rPr>
          <w:rFonts w:cs="Times"/>
          <w:noProof/>
          <w:szCs w:val="24"/>
        </w:rPr>
        <w:t>; Academic press: London, 1969.</w:t>
      </w:r>
    </w:p>
    <w:p w14:paraId="776B4049"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(35) </w:t>
      </w:r>
      <w:r w:rsidRPr="00021FF6">
        <w:rPr>
          <w:rFonts w:cs="Times"/>
          <w:noProof/>
          <w:szCs w:val="24"/>
        </w:rPr>
        <w:tab/>
        <w:t xml:space="preserve">Katritzky, A. R.; Simmons, P. 414. Infrared Absorption of Heteroaromatic and Benzenoid Six-Membered Monocylclic Nuclei. Part VIII.-Meta-Disubstitiuted Benzenes. </w:t>
      </w:r>
      <w:r w:rsidRPr="00021FF6">
        <w:rPr>
          <w:rFonts w:cs="Times"/>
          <w:i/>
          <w:iCs/>
          <w:noProof/>
          <w:szCs w:val="24"/>
        </w:rPr>
        <w:t>J. Chem. Soc.</w:t>
      </w:r>
      <w:r w:rsidRPr="00021FF6">
        <w:rPr>
          <w:rFonts w:cs="Times"/>
          <w:noProof/>
          <w:szCs w:val="24"/>
        </w:rPr>
        <w:t xml:space="preserve"> </w:t>
      </w:r>
      <w:r w:rsidRPr="00021FF6">
        <w:rPr>
          <w:rFonts w:cs="Times"/>
          <w:b/>
          <w:bCs/>
          <w:noProof/>
          <w:szCs w:val="24"/>
        </w:rPr>
        <w:t>1959</w:t>
      </w:r>
      <w:r w:rsidRPr="00021FF6">
        <w:rPr>
          <w:rFonts w:cs="Times"/>
          <w:noProof/>
          <w:szCs w:val="24"/>
        </w:rPr>
        <w:t>, No. 0, 2058–2062.</w:t>
      </w:r>
    </w:p>
    <w:p w14:paraId="688E2209"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(36) </w:t>
      </w:r>
      <w:r w:rsidRPr="00021FF6">
        <w:rPr>
          <w:rFonts w:cs="Times"/>
          <w:noProof/>
          <w:szCs w:val="24"/>
        </w:rPr>
        <w:tab/>
        <w:t xml:space="preserve">Scherer, J. R. Group Vibrations of Substituted benzenes—II. Planar CH Deformations and Ring Stretching and Bending Modes of Chlorinated Benzenes. </w:t>
      </w:r>
      <w:r w:rsidRPr="00021FF6">
        <w:rPr>
          <w:rFonts w:cs="Times"/>
          <w:i/>
          <w:iCs/>
          <w:noProof/>
          <w:szCs w:val="24"/>
        </w:rPr>
        <w:t>Spectrochim. Acta</w:t>
      </w:r>
      <w:r w:rsidRPr="00021FF6">
        <w:rPr>
          <w:rFonts w:cs="Times"/>
          <w:noProof/>
          <w:szCs w:val="24"/>
        </w:rPr>
        <w:t xml:space="preserve"> </w:t>
      </w:r>
      <w:r w:rsidRPr="00021FF6">
        <w:rPr>
          <w:rFonts w:cs="Times"/>
          <w:b/>
          <w:bCs/>
          <w:noProof/>
          <w:szCs w:val="24"/>
        </w:rPr>
        <w:t>1965</w:t>
      </w:r>
      <w:r w:rsidRPr="00021FF6">
        <w:rPr>
          <w:rFonts w:cs="Times"/>
          <w:noProof/>
          <w:szCs w:val="24"/>
        </w:rPr>
        <w:t xml:space="preserve">, </w:t>
      </w:r>
      <w:r w:rsidRPr="00021FF6">
        <w:rPr>
          <w:rFonts w:cs="Times"/>
          <w:i/>
          <w:iCs/>
          <w:noProof/>
          <w:szCs w:val="24"/>
        </w:rPr>
        <w:t>21</w:t>
      </w:r>
      <w:r w:rsidRPr="00021FF6">
        <w:rPr>
          <w:rFonts w:cs="Times"/>
          <w:noProof/>
          <w:szCs w:val="24"/>
        </w:rPr>
        <w:t xml:space="preserve"> (2), 321–339.</w:t>
      </w:r>
    </w:p>
    <w:p w14:paraId="2FBC944E"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(37) </w:t>
      </w:r>
      <w:r w:rsidRPr="00021FF6">
        <w:rPr>
          <w:rFonts w:cs="Times"/>
          <w:noProof/>
          <w:szCs w:val="24"/>
        </w:rPr>
        <w:tab/>
        <w:t xml:space="preserve">Green, J. H. S.; Harrison, D. J.; Kynaston, W. Vibrational Spectra of Benzene derivatives—XI1 1,3,5- and 1,2,3-Trisubstituted Compounds. </w:t>
      </w:r>
      <w:r w:rsidRPr="00021FF6">
        <w:rPr>
          <w:rFonts w:cs="Times"/>
          <w:i/>
          <w:iCs/>
          <w:noProof/>
          <w:szCs w:val="24"/>
        </w:rPr>
        <w:t>Spectrochim. Acta Part A Mol. Spectrosc.</w:t>
      </w:r>
      <w:r w:rsidRPr="00021FF6">
        <w:rPr>
          <w:rFonts w:cs="Times"/>
          <w:noProof/>
          <w:szCs w:val="24"/>
        </w:rPr>
        <w:t xml:space="preserve"> </w:t>
      </w:r>
      <w:r w:rsidRPr="00021FF6">
        <w:rPr>
          <w:rFonts w:cs="Times"/>
          <w:b/>
          <w:bCs/>
          <w:noProof/>
          <w:szCs w:val="24"/>
        </w:rPr>
        <w:t>1971</w:t>
      </w:r>
      <w:r w:rsidRPr="00021FF6">
        <w:rPr>
          <w:rFonts w:cs="Times"/>
          <w:noProof/>
          <w:szCs w:val="24"/>
        </w:rPr>
        <w:t xml:space="preserve">, </w:t>
      </w:r>
      <w:r w:rsidRPr="00021FF6">
        <w:rPr>
          <w:rFonts w:cs="Times"/>
          <w:i/>
          <w:iCs/>
          <w:noProof/>
          <w:szCs w:val="24"/>
        </w:rPr>
        <w:t>27</w:t>
      </w:r>
      <w:r w:rsidRPr="00021FF6">
        <w:rPr>
          <w:rFonts w:cs="Times"/>
          <w:noProof/>
          <w:szCs w:val="24"/>
        </w:rPr>
        <w:t xml:space="preserve"> (6), 793–806.</w:t>
      </w:r>
    </w:p>
    <w:p w14:paraId="7092306D"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(38) </w:t>
      </w:r>
      <w:r w:rsidRPr="00021FF6">
        <w:rPr>
          <w:rFonts w:cs="Times"/>
          <w:noProof/>
          <w:szCs w:val="24"/>
        </w:rPr>
        <w:tab/>
        <w:t xml:space="preserve">Marquardt, D. An Algorithm for Least-Squares Estimation of Nonlinear Parameters. </w:t>
      </w:r>
      <w:r w:rsidRPr="00021FF6">
        <w:rPr>
          <w:rFonts w:cs="Times"/>
          <w:i/>
          <w:iCs/>
          <w:noProof/>
          <w:szCs w:val="24"/>
        </w:rPr>
        <w:t>J. Soc. Ind. Appl. Math.</w:t>
      </w:r>
      <w:r w:rsidRPr="00021FF6">
        <w:rPr>
          <w:rFonts w:cs="Times"/>
          <w:noProof/>
          <w:szCs w:val="24"/>
        </w:rPr>
        <w:t xml:space="preserve"> </w:t>
      </w:r>
      <w:r w:rsidRPr="00021FF6">
        <w:rPr>
          <w:rFonts w:cs="Times"/>
          <w:b/>
          <w:bCs/>
          <w:noProof/>
          <w:szCs w:val="24"/>
        </w:rPr>
        <w:t>1963</w:t>
      </w:r>
      <w:r w:rsidRPr="00021FF6">
        <w:rPr>
          <w:rFonts w:cs="Times"/>
          <w:noProof/>
          <w:szCs w:val="24"/>
        </w:rPr>
        <w:t xml:space="preserve">, </w:t>
      </w:r>
      <w:r w:rsidRPr="00021FF6">
        <w:rPr>
          <w:rFonts w:cs="Times"/>
          <w:i/>
          <w:iCs/>
          <w:noProof/>
          <w:szCs w:val="24"/>
        </w:rPr>
        <w:t>11</w:t>
      </w:r>
      <w:r w:rsidRPr="00021FF6">
        <w:rPr>
          <w:rFonts w:cs="Times"/>
          <w:noProof/>
          <w:szCs w:val="24"/>
        </w:rPr>
        <w:t xml:space="preserve"> (2), 431–441.</w:t>
      </w:r>
    </w:p>
    <w:p w14:paraId="3358B95D"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(39) </w:t>
      </w:r>
      <w:r w:rsidRPr="00021FF6">
        <w:rPr>
          <w:rFonts w:cs="Times"/>
          <w:noProof/>
          <w:szCs w:val="24"/>
        </w:rPr>
        <w:tab/>
        <w:t xml:space="preserve">Alsmeyer, F.; Marquardt, W. Automatic Generation of Peak-Shaped Models. </w:t>
      </w:r>
      <w:r w:rsidRPr="00021FF6">
        <w:rPr>
          <w:rFonts w:cs="Times"/>
          <w:i/>
          <w:iCs/>
          <w:noProof/>
          <w:szCs w:val="24"/>
        </w:rPr>
        <w:t>Appl. Spectrosc.</w:t>
      </w:r>
      <w:r w:rsidRPr="00021FF6">
        <w:rPr>
          <w:rFonts w:cs="Times"/>
          <w:noProof/>
          <w:szCs w:val="24"/>
        </w:rPr>
        <w:t xml:space="preserve"> </w:t>
      </w:r>
      <w:r w:rsidRPr="00021FF6">
        <w:rPr>
          <w:rFonts w:cs="Times"/>
          <w:b/>
          <w:bCs/>
          <w:noProof/>
          <w:szCs w:val="24"/>
        </w:rPr>
        <w:t>2004</w:t>
      </w:r>
      <w:r w:rsidRPr="00021FF6">
        <w:rPr>
          <w:rFonts w:cs="Times"/>
          <w:noProof/>
          <w:szCs w:val="24"/>
        </w:rPr>
        <w:t xml:space="preserve">, </w:t>
      </w:r>
      <w:r w:rsidRPr="00021FF6">
        <w:rPr>
          <w:rFonts w:cs="Times"/>
          <w:i/>
          <w:iCs/>
          <w:noProof/>
          <w:szCs w:val="24"/>
        </w:rPr>
        <w:t>58</w:t>
      </w:r>
      <w:r w:rsidRPr="00021FF6">
        <w:rPr>
          <w:rFonts w:cs="Times"/>
          <w:noProof/>
          <w:szCs w:val="24"/>
        </w:rPr>
        <w:t xml:space="preserve"> (8), 986–994.</w:t>
      </w:r>
    </w:p>
    <w:p w14:paraId="6DCBF0AF"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(40) </w:t>
      </w:r>
      <w:r w:rsidRPr="00021FF6">
        <w:rPr>
          <w:rFonts w:cs="Times"/>
          <w:noProof/>
          <w:szCs w:val="24"/>
        </w:rPr>
        <w:tab/>
        <w:t xml:space="preserve">Vandeginste, B. G. M.; De Galan, L. Critical Evaluation of Curve Fitting in Infrared Spectrometry. </w:t>
      </w:r>
      <w:r w:rsidRPr="00021FF6">
        <w:rPr>
          <w:rFonts w:cs="Times"/>
          <w:i/>
          <w:iCs/>
          <w:noProof/>
          <w:szCs w:val="24"/>
        </w:rPr>
        <w:t>Anal. Chem.</w:t>
      </w:r>
      <w:r w:rsidRPr="00021FF6">
        <w:rPr>
          <w:rFonts w:cs="Times"/>
          <w:noProof/>
          <w:szCs w:val="24"/>
        </w:rPr>
        <w:t xml:space="preserve"> </w:t>
      </w:r>
      <w:r w:rsidRPr="00021FF6">
        <w:rPr>
          <w:rFonts w:cs="Times"/>
          <w:b/>
          <w:bCs/>
          <w:noProof/>
          <w:szCs w:val="24"/>
        </w:rPr>
        <w:t>1975</w:t>
      </w:r>
      <w:r w:rsidRPr="00021FF6">
        <w:rPr>
          <w:rFonts w:cs="Times"/>
          <w:noProof/>
          <w:szCs w:val="24"/>
        </w:rPr>
        <w:t xml:space="preserve">, </w:t>
      </w:r>
      <w:r w:rsidRPr="00021FF6">
        <w:rPr>
          <w:rFonts w:cs="Times"/>
          <w:i/>
          <w:iCs/>
          <w:noProof/>
          <w:szCs w:val="24"/>
        </w:rPr>
        <w:t>47</w:t>
      </w:r>
      <w:r w:rsidRPr="00021FF6">
        <w:rPr>
          <w:rFonts w:cs="Times"/>
          <w:noProof/>
          <w:szCs w:val="24"/>
        </w:rPr>
        <w:t xml:space="preserve"> (13), 2124–2132.</w:t>
      </w:r>
    </w:p>
    <w:p w14:paraId="43DD69DA"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(41) </w:t>
      </w:r>
      <w:r w:rsidRPr="00021FF6">
        <w:rPr>
          <w:rFonts w:cs="Times"/>
          <w:noProof/>
          <w:szCs w:val="24"/>
        </w:rPr>
        <w:tab/>
        <w:t xml:space="preserve">Takahama, S.; Johnson, A.; Russell, L. M. Quantification of Carboxylic and Carbonyl Functional Groups in Organic Aerosol Infrared Absorbance Spectra. </w:t>
      </w:r>
      <w:r w:rsidRPr="00021FF6">
        <w:rPr>
          <w:rFonts w:cs="Times"/>
          <w:i/>
          <w:iCs/>
          <w:noProof/>
          <w:szCs w:val="24"/>
        </w:rPr>
        <w:t>Aerosol Sci. Technol.</w:t>
      </w:r>
      <w:r w:rsidRPr="00021FF6">
        <w:rPr>
          <w:rFonts w:cs="Times"/>
          <w:noProof/>
          <w:szCs w:val="24"/>
        </w:rPr>
        <w:t xml:space="preserve"> </w:t>
      </w:r>
      <w:r w:rsidRPr="00021FF6">
        <w:rPr>
          <w:rFonts w:cs="Times"/>
          <w:b/>
          <w:bCs/>
          <w:noProof/>
          <w:szCs w:val="24"/>
        </w:rPr>
        <w:t>2013</w:t>
      </w:r>
      <w:r w:rsidRPr="00021FF6">
        <w:rPr>
          <w:rFonts w:cs="Times"/>
          <w:noProof/>
          <w:szCs w:val="24"/>
        </w:rPr>
        <w:t xml:space="preserve">, </w:t>
      </w:r>
      <w:r w:rsidRPr="00021FF6">
        <w:rPr>
          <w:rFonts w:cs="Times"/>
          <w:i/>
          <w:iCs/>
          <w:noProof/>
          <w:szCs w:val="24"/>
        </w:rPr>
        <w:t>47</w:t>
      </w:r>
      <w:r w:rsidRPr="00021FF6">
        <w:rPr>
          <w:rFonts w:cs="Times"/>
          <w:noProof/>
          <w:szCs w:val="24"/>
        </w:rPr>
        <w:t xml:space="preserve"> (3), 310–325.</w:t>
      </w:r>
    </w:p>
    <w:p w14:paraId="2032A8D6"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(42) </w:t>
      </w:r>
      <w:r w:rsidRPr="00021FF6">
        <w:rPr>
          <w:rFonts w:cs="Times"/>
          <w:noProof/>
          <w:szCs w:val="24"/>
        </w:rPr>
        <w:tab/>
        <w:t xml:space="preserve">Chan, E. P.; Lee, S. C. Thickness-Dependent Swelling of Molecular Layer-by-Layer Polyamide Nanomembranes. </w:t>
      </w:r>
      <w:r w:rsidRPr="00021FF6">
        <w:rPr>
          <w:rFonts w:cs="Times"/>
          <w:i/>
          <w:iCs/>
          <w:noProof/>
          <w:szCs w:val="24"/>
        </w:rPr>
        <w:t>J. Polym. Sci. Part B Polym. Phys.</w:t>
      </w:r>
      <w:r w:rsidRPr="00021FF6">
        <w:rPr>
          <w:rFonts w:cs="Times"/>
          <w:noProof/>
          <w:szCs w:val="24"/>
        </w:rPr>
        <w:t xml:space="preserve"> </w:t>
      </w:r>
      <w:r w:rsidRPr="00021FF6">
        <w:rPr>
          <w:rFonts w:cs="Times"/>
          <w:b/>
          <w:bCs/>
          <w:noProof/>
          <w:szCs w:val="24"/>
        </w:rPr>
        <w:t>2017</w:t>
      </w:r>
      <w:r w:rsidRPr="00021FF6">
        <w:rPr>
          <w:rFonts w:cs="Times"/>
          <w:noProof/>
          <w:szCs w:val="24"/>
        </w:rPr>
        <w:t xml:space="preserve">, </w:t>
      </w:r>
      <w:r w:rsidRPr="00021FF6">
        <w:rPr>
          <w:rFonts w:cs="Times"/>
          <w:i/>
          <w:iCs/>
          <w:noProof/>
          <w:szCs w:val="24"/>
        </w:rPr>
        <w:t>55</w:t>
      </w:r>
      <w:r w:rsidRPr="00021FF6">
        <w:rPr>
          <w:rFonts w:cs="Times"/>
          <w:noProof/>
          <w:szCs w:val="24"/>
        </w:rPr>
        <w:t xml:space="preserve"> (5), 412–417.</w:t>
      </w:r>
    </w:p>
    <w:p w14:paraId="5283EF03"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(43) </w:t>
      </w:r>
      <w:r w:rsidRPr="00021FF6">
        <w:rPr>
          <w:rFonts w:cs="Times"/>
          <w:noProof/>
          <w:szCs w:val="24"/>
        </w:rPr>
        <w:tab/>
        <w:t xml:space="preserve">Hoft, R. C.; Ford, M. J.; McDonagh, A. M.; Cortie, M. B. Adsorption of Amine Compounds on the Au(111) Surface:  A Density Functional Study. </w:t>
      </w:r>
      <w:r w:rsidRPr="00021FF6">
        <w:rPr>
          <w:rFonts w:cs="Times"/>
          <w:i/>
          <w:iCs/>
          <w:noProof/>
          <w:szCs w:val="24"/>
        </w:rPr>
        <w:t>J. Phys. Chem. C</w:t>
      </w:r>
      <w:r w:rsidRPr="00021FF6">
        <w:rPr>
          <w:rFonts w:cs="Times"/>
          <w:noProof/>
          <w:szCs w:val="24"/>
        </w:rPr>
        <w:t xml:space="preserve"> </w:t>
      </w:r>
      <w:r w:rsidRPr="00021FF6">
        <w:rPr>
          <w:rFonts w:cs="Times"/>
          <w:b/>
          <w:bCs/>
          <w:noProof/>
          <w:szCs w:val="24"/>
        </w:rPr>
        <w:t>2007</w:t>
      </w:r>
      <w:r w:rsidRPr="00021FF6">
        <w:rPr>
          <w:rFonts w:cs="Times"/>
          <w:noProof/>
          <w:szCs w:val="24"/>
        </w:rPr>
        <w:t xml:space="preserve">, </w:t>
      </w:r>
      <w:r w:rsidRPr="00021FF6">
        <w:rPr>
          <w:rFonts w:cs="Times"/>
          <w:i/>
          <w:iCs/>
          <w:noProof/>
          <w:szCs w:val="24"/>
        </w:rPr>
        <w:t>111</w:t>
      </w:r>
      <w:r w:rsidRPr="00021FF6">
        <w:rPr>
          <w:rFonts w:cs="Times"/>
          <w:noProof/>
          <w:szCs w:val="24"/>
        </w:rPr>
        <w:t xml:space="preserve"> (37), </w:t>
      </w:r>
      <w:r w:rsidRPr="00021FF6">
        <w:rPr>
          <w:rFonts w:cs="Times"/>
          <w:noProof/>
          <w:szCs w:val="24"/>
        </w:rPr>
        <w:lastRenderedPageBreak/>
        <w:t>13886–13891.</w:t>
      </w:r>
    </w:p>
    <w:p w14:paraId="2A7514B1"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(44) </w:t>
      </w:r>
      <w:r w:rsidRPr="00021FF6">
        <w:rPr>
          <w:rFonts w:cs="Times"/>
          <w:noProof/>
          <w:szCs w:val="24"/>
        </w:rPr>
        <w:tab/>
        <w:t xml:space="preserve">Coronell, O.; González, M. I.; Mariñas, B. J.; Cahill, D. G. Ionization Behavior, Stoichiometry of Association, and Accessibility of Functional Groups in the Active Layers of Reverse Osmosis and Nanofiltration Membranes. </w:t>
      </w:r>
      <w:r w:rsidRPr="00021FF6">
        <w:rPr>
          <w:rFonts w:cs="Times"/>
          <w:i/>
          <w:iCs/>
          <w:noProof/>
          <w:szCs w:val="24"/>
        </w:rPr>
        <w:t>Environ. Sci. Technol.</w:t>
      </w:r>
      <w:r w:rsidRPr="00021FF6">
        <w:rPr>
          <w:rFonts w:cs="Times"/>
          <w:noProof/>
          <w:szCs w:val="24"/>
        </w:rPr>
        <w:t xml:space="preserve"> </w:t>
      </w:r>
      <w:r w:rsidRPr="00021FF6">
        <w:rPr>
          <w:rFonts w:cs="Times"/>
          <w:b/>
          <w:bCs/>
          <w:noProof/>
          <w:szCs w:val="24"/>
        </w:rPr>
        <w:t>2010</w:t>
      </w:r>
      <w:r w:rsidRPr="00021FF6">
        <w:rPr>
          <w:rFonts w:cs="Times"/>
          <w:noProof/>
          <w:szCs w:val="24"/>
        </w:rPr>
        <w:t xml:space="preserve">, </w:t>
      </w:r>
      <w:r w:rsidRPr="00021FF6">
        <w:rPr>
          <w:rFonts w:cs="Times"/>
          <w:i/>
          <w:iCs/>
          <w:noProof/>
          <w:szCs w:val="24"/>
        </w:rPr>
        <w:t>44</w:t>
      </w:r>
      <w:r w:rsidRPr="00021FF6">
        <w:rPr>
          <w:rFonts w:cs="Times"/>
          <w:noProof/>
          <w:szCs w:val="24"/>
        </w:rPr>
        <w:t xml:space="preserve"> (17), 6808–6814.</w:t>
      </w:r>
    </w:p>
    <w:p w14:paraId="68A79288" w14:textId="77777777" w:rsidR="00021FF6" w:rsidRPr="00021FF6" w:rsidRDefault="00021FF6" w:rsidP="00021FF6">
      <w:pPr>
        <w:widowControl w:val="0"/>
        <w:autoSpaceDE w:val="0"/>
        <w:autoSpaceDN w:val="0"/>
        <w:adjustRightInd w:val="0"/>
        <w:spacing w:after="0"/>
        <w:ind w:left="640" w:hanging="640"/>
        <w:rPr>
          <w:rFonts w:cs="Times"/>
          <w:noProof/>
          <w:szCs w:val="24"/>
        </w:rPr>
      </w:pPr>
      <w:r w:rsidRPr="00021FF6">
        <w:rPr>
          <w:rFonts w:cs="Times"/>
          <w:noProof/>
          <w:szCs w:val="24"/>
        </w:rPr>
        <w:t xml:space="preserve">(45) </w:t>
      </w:r>
      <w:r w:rsidRPr="00021FF6">
        <w:rPr>
          <w:rFonts w:cs="Times"/>
          <w:noProof/>
          <w:szCs w:val="24"/>
        </w:rPr>
        <w:tab/>
        <w:t xml:space="preserve">Coronell, O.; Mariñas, B. J.; Zhang, X.; Cahill, D. G. Quantification of Functional Groups and Modeling of Their Ionization Behavior in the Active Layer of FT30 Reverse Osmosis Membrane. </w:t>
      </w:r>
      <w:r w:rsidRPr="00021FF6">
        <w:rPr>
          <w:rFonts w:cs="Times"/>
          <w:i/>
          <w:iCs/>
          <w:noProof/>
          <w:szCs w:val="24"/>
        </w:rPr>
        <w:t>Environ. Sci. Technol.</w:t>
      </w:r>
      <w:r w:rsidRPr="00021FF6">
        <w:rPr>
          <w:rFonts w:cs="Times"/>
          <w:noProof/>
          <w:szCs w:val="24"/>
        </w:rPr>
        <w:t xml:space="preserve"> </w:t>
      </w:r>
      <w:r w:rsidRPr="00021FF6">
        <w:rPr>
          <w:rFonts w:cs="Times"/>
          <w:b/>
          <w:bCs/>
          <w:noProof/>
          <w:szCs w:val="24"/>
        </w:rPr>
        <w:t>2008</w:t>
      </w:r>
      <w:r w:rsidRPr="00021FF6">
        <w:rPr>
          <w:rFonts w:cs="Times"/>
          <w:noProof/>
          <w:szCs w:val="24"/>
        </w:rPr>
        <w:t xml:space="preserve">, </w:t>
      </w:r>
      <w:r w:rsidRPr="00021FF6">
        <w:rPr>
          <w:rFonts w:cs="Times"/>
          <w:i/>
          <w:iCs/>
          <w:noProof/>
          <w:szCs w:val="24"/>
        </w:rPr>
        <w:t>42</w:t>
      </w:r>
      <w:r w:rsidRPr="00021FF6">
        <w:rPr>
          <w:rFonts w:cs="Times"/>
          <w:noProof/>
          <w:szCs w:val="24"/>
        </w:rPr>
        <w:t xml:space="preserve"> (14), 5260–5266.</w:t>
      </w:r>
    </w:p>
    <w:p w14:paraId="7FAD4923" w14:textId="77777777" w:rsidR="00021FF6" w:rsidRPr="00021FF6" w:rsidRDefault="00021FF6" w:rsidP="00021FF6">
      <w:pPr>
        <w:widowControl w:val="0"/>
        <w:autoSpaceDE w:val="0"/>
        <w:autoSpaceDN w:val="0"/>
        <w:adjustRightInd w:val="0"/>
        <w:spacing w:after="0"/>
        <w:ind w:left="640" w:hanging="640"/>
        <w:rPr>
          <w:rFonts w:cs="Times"/>
          <w:noProof/>
        </w:rPr>
      </w:pPr>
      <w:r w:rsidRPr="00021FF6">
        <w:rPr>
          <w:rFonts w:cs="Times"/>
          <w:noProof/>
          <w:szCs w:val="24"/>
        </w:rPr>
        <w:t xml:space="preserve">(46) </w:t>
      </w:r>
      <w:r w:rsidRPr="00021FF6">
        <w:rPr>
          <w:rFonts w:cs="Times"/>
          <w:noProof/>
          <w:szCs w:val="24"/>
        </w:rPr>
        <w:tab/>
        <w:t xml:space="preserve">Sunday, D. F.; Chan, E. P.; Orski, S. V.; Nieuwendaal, R. C.; Stafford, C. M. Functional Group Quantification of Polymer Nanomembranes with Soft X-Rays. </w:t>
      </w:r>
      <w:r w:rsidRPr="00021FF6">
        <w:rPr>
          <w:rFonts w:cs="Times"/>
          <w:i/>
          <w:iCs/>
          <w:noProof/>
          <w:szCs w:val="24"/>
        </w:rPr>
        <w:t>Phys. Rev. Mater.</w:t>
      </w:r>
      <w:r w:rsidRPr="00021FF6">
        <w:rPr>
          <w:rFonts w:cs="Times"/>
          <w:noProof/>
          <w:szCs w:val="24"/>
        </w:rPr>
        <w:t xml:space="preserve"> </w:t>
      </w:r>
      <w:r w:rsidRPr="00021FF6">
        <w:rPr>
          <w:rFonts w:cs="Times"/>
          <w:b/>
          <w:bCs/>
          <w:noProof/>
          <w:szCs w:val="24"/>
        </w:rPr>
        <w:t>2018</w:t>
      </w:r>
      <w:r w:rsidRPr="00021FF6">
        <w:rPr>
          <w:rFonts w:cs="Times"/>
          <w:noProof/>
          <w:szCs w:val="24"/>
        </w:rPr>
        <w:t xml:space="preserve">, </w:t>
      </w:r>
      <w:r w:rsidRPr="00021FF6">
        <w:rPr>
          <w:rFonts w:cs="Times"/>
          <w:i/>
          <w:iCs/>
          <w:noProof/>
          <w:szCs w:val="24"/>
        </w:rPr>
        <w:t>2</w:t>
      </w:r>
      <w:r w:rsidRPr="00021FF6">
        <w:rPr>
          <w:rFonts w:cs="Times"/>
          <w:noProof/>
          <w:szCs w:val="24"/>
        </w:rPr>
        <w:t xml:space="preserve"> (3).</w:t>
      </w:r>
    </w:p>
    <w:p w14:paraId="303CC56D" w14:textId="6E90AE23" w:rsidR="00207DA0" w:rsidRDefault="003D0DED" w:rsidP="000B5610">
      <w:pPr>
        <w:pStyle w:val="TFReferencesSection"/>
        <w:spacing w:after="0"/>
        <w:ind w:firstLine="0"/>
      </w:pPr>
      <w:r>
        <w:fldChar w:fldCharType="end"/>
      </w:r>
    </w:p>
    <w:p w14:paraId="3F75760B" w14:textId="77777777" w:rsidR="00207DA0" w:rsidRDefault="00207DA0">
      <w:pPr>
        <w:spacing w:after="0"/>
        <w:jc w:val="left"/>
      </w:pPr>
      <w:r>
        <w:br w:type="page"/>
      </w:r>
    </w:p>
    <w:p w14:paraId="7B9EF1B8" w14:textId="77777777" w:rsidR="00207DA0" w:rsidRPr="0007263E" w:rsidRDefault="00207DA0" w:rsidP="00207DA0">
      <w:pPr>
        <w:spacing w:line="276" w:lineRule="auto"/>
        <w:jc w:val="center"/>
        <w:rPr>
          <w:rFonts w:eastAsia="Calibri" w:cs="Times"/>
          <w:b/>
          <w:sz w:val="28"/>
          <w:szCs w:val="24"/>
        </w:rPr>
      </w:pPr>
      <w:r w:rsidRPr="0007263E">
        <w:rPr>
          <w:rFonts w:eastAsia="Calibri" w:cs="Times"/>
          <w:b/>
          <w:sz w:val="28"/>
          <w:szCs w:val="24"/>
        </w:rPr>
        <w:lastRenderedPageBreak/>
        <w:t>Supporting Information</w:t>
      </w:r>
    </w:p>
    <w:p w14:paraId="1BAC2AD7" w14:textId="77777777" w:rsidR="00207DA0" w:rsidRPr="0007263E" w:rsidRDefault="00207DA0" w:rsidP="00207DA0">
      <w:pPr>
        <w:pStyle w:val="BATitle"/>
        <w:spacing w:before="0" w:line="240" w:lineRule="auto"/>
        <w:rPr>
          <w:rFonts w:ascii="Times" w:hAnsi="Times" w:cs="Times"/>
          <w:sz w:val="28"/>
        </w:rPr>
      </w:pPr>
      <w:r w:rsidRPr="0007263E">
        <w:rPr>
          <w:rFonts w:ascii="Times" w:hAnsi="Times" w:cs="Times"/>
          <w:sz w:val="28"/>
        </w:rPr>
        <w:t>Quantifying Carboxylic Acid Concentration in Model Polyamide Desalination Membranes via Fourier Transform Infrared Spectroscopy</w:t>
      </w:r>
    </w:p>
    <w:p w14:paraId="36F42B7C" w14:textId="77777777" w:rsidR="00207DA0" w:rsidRPr="0007263E" w:rsidRDefault="00207DA0" w:rsidP="00207DA0">
      <w:pPr>
        <w:pStyle w:val="BBAuthorName"/>
        <w:spacing w:line="240" w:lineRule="auto"/>
        <w:jc w:val="left"/>
        <w:rPr>
          <w:rFonts w:cs="Times"/>
        </w:rPr>
      </w:pPr>
      <w:r w:rsidRPr="0007263E">
        <w:rPr>
          <w:rFonts w:cs="Times"/>
        </w:rPr>
        <w:t>Tawanda J. Zimudzi,</w:t>
      </w:r>
      <w:r w:rsidRPr="00C815BD">
        <w:rPr>
          <w:rFonts w:cs="Times"/>
          <w:vertAlign w:val="superscript"/>
        </w:rPr>
        <w:t>†</w:t>
      </w:r>
      <w:r w:rsidRPr="0007263E">
        <w:rPr>
          <w:rFonts w:cs="Times"/>
        </w:rPr>
        <w:t xml:space="preserve"> Kathleen E. Feldman,</w:t>
      </w:r>
      <w:r w:rsidRPr="0007263E">
        <w:rPr>
          <w:rFonts w:cs="Times"/>
          <w:vertAlign w:val="superscript"/>
        </w:rPr>
        <w:t>§</w:t>
      </w:r>
      <w:r w:rsidRPr="0007263E">
        <w:rPr>
          <w:rFonts w:cs="Times"/>
        </w:rPr>
        <w:t xml:space="preserve"> James F. Sturnfield,</w:t>
      </w:r>
      <w:r w:rsidRPr="0007263E">
        <w:rPr>
          <w:rFonts w:cs="Times"/>
          <w:vertAlign w:val="superscript"/>
        </w:rPr>
        <w:t>‖</w:t>
      </w:r>
      <w:r w:rsidRPr="0007263E">
        <w:rPr>
          <w:rFonts w:cs="Times"/>
        </w:rPr>
        <w:t xml:space="preserve"> Abhishek Roy,</w:t>
      </w:r>
      <w:r w:rsidRPr="0007263E">
        <w:rPr>
          <w:rFonts w:cs="Times"/>
          <w:vertAlign w:val="superscript"/>
        </w:rPr>
        <w:t>ǂ</w:t>
      </w:r>
      <w:r w:rsidRPr="0007263E">
        <w:rPr>
          <w:rFonts w:cs="Times"/>
        </w:rPr>
        <w:t xml:space="preserve"> Michael A. Hickner,</w:t>
      </w:r>
      <w:r w:rsidRPr="00C815BD">
        <w:rPr>
          <w:rFonts w:cs="Times"/>
          <w:vertAlign w:val="superscript"/>
        </w:rPr>
        <w:t xml:space="preserve"> ‡*</w:t>
      </w:r>
      <w:r w:rsidRPr="0007263E">
        <w:rPr>
          <w:rFonts w:cs="Times"/>
        </w:rPr>
        <w:t xml:space="preserve"> and Christopher M. Stafford,</w:t>
      </w:r>
      <w:r w:rsidRPr="0007263E">
        <w:rPr>
          <w:rFonts w:cs="Times"/>
          <w:vertAlign w:val="superscript"/>
        </w:rPr>
        <w:t xml:space="preserve"> §*</w:t>
      </w:r>
    </w:p>
    <w:p w14:paraId="5035026C" w14:textId="77777777" w:rsidR="00207DA0" w:rsidRPr="0007263E" w:rsidRDefault="00207DA0" w:rsidP="00207DA0">
      <w:pPr>
        <w:pStyle w:val="BCAuthorAddress"/>
        <w:spacing w:line="240" w:lineRule="auto"/>
        <w:jc w:val="left"/>
        <w:rPr>
          <w:rFonts w:cs="Times"/>
        </w:rPr>
      </w:pPr>
      <w:r w:rsidRPr="00C815BD">
        <w:rPr>
          <w:rFonts w:cs="Times"/>
          <w:vertAlign w:val="superscript"/>
        </w:rPr>
        <w:t xml:space="preserve">† </w:t>
      </w:r>
      <w:r>
        <w:rPr>
          <w:rFonts w:cs="Times"/>
        </w:rPr>
        <w:t>Materials Research Institute</w:t>
      </w:r>
      <w:r w:rsidRPr="0007263E">
        <w:rPr>
          <w:rFonts w:cs="Times"/>
        </w:rPr>
        <w:t>, The Pennsylvania State University, University Park, PA 16802, USA</w:t>
      </w:r>
    </w:p>
    <w:p w14:paraId="1CAAC2ED" w14:textId="77777777" w:rsidR="00207DA0" w:rsidRPr="0007263E" w:rsidRDefault="00207DA0" w:rsidP="00207DA0">
      <w:pPr>
        <w:pStyle w:val="BCAuthorAddress"/>
        <w:spacing w:line="240" w:lineRule="auto"/>
        <w:jc w:val="left"/>
        <w:rPr>
          <w:rFonts w:cs="Times"/>
        </w:rPr>
      </w:pPr>
      <w:r w:rsidRPr="0007263E">
        <w:rPr>
          <w:rFonts w:cs="Times"/>
          <w:vertAlign w:val="superscript"/>
        </w:rPr>
        <w:t>§</w:t>
      </w:r>
      <w:r w:rsidRPr="0007263E">
        <w:rPr>
          <w:rFonts w:cs="Times"/>
        </w:rPr>
        <w:t xml:space="preserve"> Materials Science and Engineering Division, National Institute of Standards and Technology, Gaithersburg, MD 20899, USA</w:t>
      </w:r>
    </w:p>
    <w:p w14:paraId="5E04C1D5" w14:textId="77777777" w:rsidR="00207DA0" w:rsidRDefault="00207DA0" w:rsidP="00207DA0">
      <w:pPr>
        <w:pStyle w:val="BCAuthorAddress"/>
        <w:spacing w:line="240" w:lineRule="auto"/>
        <w:jc w:val="left"/>
        <w:rPr>
          <w:rFonts w:cs="Times"/>
        </w:rPr>
      </w:pPr>
      <w:r w:rsidRPr="0007263E">
        <w:rPr>
          <w:rFonts w:cs="Times"/>
          <w:vertAlign w:val="superscript"/>
        </w:rPr>
        <w:t>‖</w:t>
      </w:r>
      <w:r w:rsidRPr="0007263E">
        <w:rPr>
          <w:rFonts w:cs="Times"/>
        </w:rPr>
        <w:t xml:space="preserve"> Engineering and Process Sciences, Process Optimization, The Dow Chemical Company, Freeport, Texas 77541, USA</w:t>
      </w:r>
    </w:p>
    <w:p w14:paraId="778CEA02" w14:textId="77777777" w:rsidR="00207DA0" w:rsidRPr="0007263E" w:rsidRDefault="00207DA0" w:rsidP="00207DA0">
      <w:pPr>
        <w:pStyle w:val="BCAuthorAddress"/>
        <w:spacing w:line="240" w:lineRule="auto"/>
        <w:jc w:val="left"/>
        <w:rPr>
          <w:rFonts w:cs="Times"/>
        </w:rPr>
      </w:pPr>
      <w:r w:rsidRPr="0007263E">
        <w:rPr>
          <w:rFonts w:cs="Times"/>
        </w:rPr>
        <w:t>ǂ Dow Water and Process Solutions, The Dow Chemical Company, Edina, Minnesota 55439, USA</w:t>
      </w:r>
    </w:p>
    <w:p w14:paraId="73FA4290" w14:textId="77777777" w:rsidR="00207DA0" w:rsidRPr="0007263E" w:rsidRDefault="00207DA0" w:rsidP="00207DA0">
      <w:pPr>
        <w:pStyle w:val="BCAuthorAddress"/>
        <w:spacing w:line="240" w:lineRule="auto"/>
        <w:jc w:val="left"/>
        <w:rPr>
          <w:rFonts w:cs="Times"/>
        </w:rPr>
      </w:pPr>
      <w:r w:rsidRPr="00C815BD">
        <w:rPr>
          <w:rFonts w:cs="Times"/>
          <w:vertAlign w:val="superscript"/>
        </w:rPr>
        <w:t>‡</w:t>
      </w:r>
      <w:r w:rsidRPr="0007263E">
        <w:rPr>
          <w:rFonts w:cs="Times"/>
        </w:rPr>
        <w:t xml:space="preserve"> Department of Materials Science and Engineering, The Pennsylvania State University, University Park, PA 16802, USA</w:t>
      </w:r>
    </w:p>
    <w:p w14:paraId="62D8879F" w14:textId="77777777" w:rsidR="00207DA0" w:rsidRPr="0007263E" w:rsidRDefault="00207DA0" w:rsidP="00207DA0">
      <w:pPr>
        <w:pStyle w:val="FAAuthorInfoSubtitle"/>
        <w:spacing w:before="0" w:line="240" w:lineRule="auto"/>
        <w:rPr>
          <w:rFonts w:cs="Times"/>
        </w:rPr>
      </w:pPr>
      <w:r w:rsidRPr="0007263E">
        <w:rPr>
          <w:rFonts w:cs="Times"/>
        </w:rPr>
        <w:t>Corresponding Authors</w:t>
      </w:r>
    </w:p>
    <w:p w14:paraId="27D7BB9A" w14:textId="77777777" w:rsidR="00207DA0" w:rsidRPr="0007263E" w:rsidRDefault="00207DA0" w:rsidP="00207DA0">
      <w:pPr>
        <w:pStyle w:val="FACorrespondingAuthorFootnote"/>
        <w:spacing w:after="0" w:line="240" w:lineRule="auto"/>
        <w:jc w:val="left"/>
        <w:rPr>
          <w:rFonts w:cs="Times"/>
        </w:rPr>
      </w:pPr>
      <w:r w:rsidRPr="0007263E">
        <w:rPr>
          <w:rFonts w:cs="Times"/>
        </w:rPr>
        <w:t xml:space="preserve">*E-mail (MAH): </w:t>
      </w:r>
      <w:hyperlink r:id="rId17" w:history="1">
        <w:r w:rsidRPr="0007263E">
          <w:rPr>
            <w:rStyle w:val="Hyperlink"/>
            <w:rFonts w:cs="Times"/>
          </w:rPr>
          <w:t>hickner@matse.psu.edu</w:t>
        </w:r>
      </w:hyperlink>
    </w:p>
    <w:p w14:paraId="1A44B872" w14:textId="77777777" w:rsidR="00207DA0" w:rsidRPr="0007263E" w:rsidRDefault="00207DA0" w:rsidP="00207DA0">
      <w:pPr>
        <w:pStyle w:val="FACorrespondingAuthorFootnote"/>
        <w:spacing w:after="0" w:line="240" w:lineRule="auto"/>
        <w:jc w:val="left"/>
        <w:rPr>
          <w:rFonts w:cs="Times"/>
        </w:rPr>
      </w:pPr>
      <w:r w:rsidRPr="0007263E">
        <w:rPr>
          <w:rFonts w:cs="Times"/>
        </w:rPr>
        <w:t xml:space="preserve">*E-mail (CMS): </w:t>
      </w:r>
      <w:hyperlink r:id="rId18" w:history="1">
        <w:r w:rsidRPr="0007263E">
          <w:rPr>
            <w:rStyle w:val="Hyperlink"/>
            <w:rFonts w:cs="Times"/>
          </w:rPr>
          <w:t>chris.stafford@nist.gov</w:t>
        </w:r>
      </w:hyperlink>
    </w:p>
    <w:p w14:paraId="5964BB6A" w14:textId="77777777" w:rsidR="00207DA0" w:rsidRPr="0007263E" w:rsidRDefault="00207DA0" w:rsidP="00207DA0">
      <w:pPr>
        <w:rPr>
          <w:rFonts w:cs="Times"/>
        </w:rPr>
      </w:pPr>
    </w:p>
    <w:p w14:paraId="0876AEB9" w14:textId="77777777" w:rsidR="00207DA0" w:rsidRDefault="00207DA0" w:rsidP="00207DA0">
      <w:pPr>
        <w:rPr>
          <w:rFonts w:eastAsia="Calibri" w:cs="Times"/>
          <w:szCs w:val="24"/>
        </w:rPr>
      </w:pPr>
      <w:r>
        <w:rPr>
          <w:rFonts w:eastAsia="Calibri" w:cs="Times"/>
          <w:szCs w:val="24"/>
        </w:rPr>
        <w:br w:type="page"/>
      </w:r>
    </w:p>
    <w:p w14:paraId="4C19A12F" w14:textId="77777777" w:rsidR="00207DA0" w:rsidRPr="0007263E" w:rsidRDefault="00207DA0" w:rsidP="00207DA0">
      <w:pPr>
        <w:spacing w:after="0" w:line="480" w:lineRule="auto"/>
        <w:rPr>
          <w:rFonts w:eastAsia="Calibri" w:cs="Times"/>
          <w:b/>
          <w:szCs w:val="24"/>
        </w:rPr>
      </w:pPr>
      <w:r w:rsidRPr="0007263E">
        <w:rPr>
          <w:rFonts w:eastAsia="Calibri" w:cs="Times"/>
          <w:b/>
          <w:szCs w:val="24"/>
        </w:rPr>
        <w:lastRenderedPageBreak/>
        <w:t>Confirmation of polysulfone</w:t>
      </w:r>
      <w:r>
        <w:rPr>
          <w:rFonts w:eastAsia="Calibri" w:cs="Times"/>
          <w:b/>
          <w:szCs w:val="24"/>
        </w:rPr>
        <w:t xml:space="preserve"> support</w:t>
      </w:r>
      <w:r w:rsidRPr="0007263E">
        <w:rPr>
          <w:rFonts w:eastAsia="Calibri" w:cs="Times"/>
          <w:b/>
          <w:szCs w:val="24"/>
        </w:rPr>
        <w:t xml:space="preserve"> removal</w:t>
      </w:r>
    </w:p>
    <w:p w14:paraId="0E4967D6" w14:textId="77777777" w:rsidR="00207DA0" w:rsidRPr="00C437CE" w:rsidRDefault="00207DA0" w:rsidP="00207DA0">
      <w:pPr>
        <w:spacing w:after="0" w:line="480" w:lineRule="auto"/>
        <w:rPr>
          <w:rFonts w:eastAsia="Calibri" w:cs="Times"/>
          <w:szCs w:val="24"/>
        </w:rPr>
      </w:pPr>
      <w:r w:rsidRPr="00C437CE">
        <w:rPr>
          <w:rFonts w:eastAsia="Calibri" w:cs="Times"/>
          <w:szCs w:val="24"/>
        </w:rPr>
        <w:t>The dissolution and removal of the porous polysulfone support was confirmed spectroscopically by the disappearance of characteristic polysulfone peaks (O-S-O stretching at ≈1150 cm</w:t>
      </w:r>
      <w:r w:rsidRPr="00C437CE">
        <w:rPr>
          <w:rFonts w:eastAsia="Calibri" w:cs="Times"/>
          <w:szCs w:val="24"/>
          <w:vertAlign w:val="superscript"/>
        </w:rPr>
        <w:t>-1</w:t>
      </w:r>
      <w:r w:rsidRPr="00C437CE">
        <w:rPr>
          <w:rFonts w:eastAsia="Calibri" w:cs="Times"/>
          <w:szCs w:val="24"/>
        </w:rPr>
        <w:t xml:space="preserve"> and aromatic C=C at ≈1585 cm</w:t>
      </w:r>
      <w:r w:rsidRPr="00C437CE">
        <w:rPr>
          <w:rFonts w:eastAsia="Calibri" w:cs="Times"/>
          <w:szCs w:val="24"/>
          <w:vertAlign w:val="superscript"/>
        </w:rPr>
        <w:t>-1</w:t>
      </w:r>
      <w:r w:rsidRPr="00C437CE">
        <w:rPr>
          <w:rFonts w:eastAsia="Calibri" w:cs="Times"/>
          <w:szCs w:val="24"/>
        </w:rPr>
        <w:t>) as shown in Fig S1.</w:t>
      </w:r>
    </w:p>
    <w:p w14:paraId="31213577" w14:textId="77777777" w:rsidR="00207DA0" w:rsidRPr="00C437CE" w:rsidRDefault="00207DA0" w:rsidP="00207DA0">
      <w:pPr>
        <w:spacing w:line="276" w:lineRule="auto"/>
        <w:jc w:val="center"/>
        <w:rPr>
          <w:rFonts w:eastAsia="Calibri" w:cs="Times"/>
        </w:rPr>
      </w:pPr>
      <w:r w:rsidRPr="00C437CE">
        <w:rPr>
          <w:rFonts w:cs="Times"/>
        </w:rPr>
        <w:object w:dxaOrig="6024" w:dyaOrig="5011" w14:anchorId="17145753">
          <v:shape id="_x0000_i1026" type="#_x0000_t75" style="width:224.4pt;height:187pt" o:ole="">
            <v:imagedata r:id="rId19" o:title=""/>
          </v:shape>
          <o:OLEObject Type="Embed" ProgID="Origin50.Graph" ShapeID="_x0000_i1026" DrawAspect="Content" ObjectID="_1598710350" r:id="rId20"/>
        </w:object>
      </w:r>
    </w:p>
    <w:p w14:paraId="620CDCF6" w14:textId="77777777" w:rsidR="00207DA0" w:rsidRPr="00C437CE" w:rsidRDefault="00207DA0" w:rsidP="00207DA0">
      <w:pPr>
        <w:spacing w:after="0" w:line="480" w:lineRule="auto"/>
        <w:rPr>
          <w:rFonts w:eastAsia="Calibri" w:cs="Times"/>
        </w:rPr>
      </w:pPr>
      <w:r w:rsidRPr="00C437CE">
        <w:rPr>
          <w:rFonts w:eastAsia="Calibri" w:cs="Times"/>
          <w:b/>
        </w:rPr>
        <w:t>Figure S1.</w:t>
      </w:r>
      <w:r w:rsidRPr="00C437CE">
        <w:rPr>
          <w:rFonts w:eastAsia="Calibri" w:cs="Times"/>
        </w:rPr>
        <w:t xml:space="preserve"> FT-IR spectra before and after polysulfone (PSf) dissolution, showing the successful removal of PSf from the polyamide as evidenced by the loss of O-S-O stretching modes around 1150 cm</w:t>
      </w:r>
      <w:r w:rsidRPr="00C437CE">
        <w:rPr>
          <w:rFonts w:eastAsia="Calibri" w:cs="Times"/>
          <w:vertAlign w:val="superscript"/>
        </w:rPr>
        <w:t>-1</w:t>
      </w:r>
      <w:r w:rsidRPr="00C437CE">
        <w:rPr>
          <w:rFonts w:eastAsia="Calibri" w:cs="Times"/>
        </w:rPr>
        <w:t xml:space="preserve"> and aromatic C=C at ≈1585 cm</w:t>
      </w:r>
      <w:r w:rsidRPr="00C437CE">
        <w:rPr>
          <w:rFonts w:eastAsia="Calibri" w:cs="Times"/>
          <w:vertAlign w:val="superscript"/>
        </w:rPr>
        <w:t>-1</w:t>
      </w:r>
      <w:r w:rsidRPr="00C437CE">
        <w:rPr>
          <w:rFonts w:eastAsia="Calibri" w:cs="Times"/>
        </w:rPr>
        <w:t>.</w:t>
      </w:r>
    </w:p>
    <w:p w14:paraId="2285B531" w14:textId="77777777" w:rsidR="00207DA0" w:rsidRDefault="00207DA0" w:rsidP="00207DA0">
      <w:pPr>
        <w:spacing w:after="0" w:line="480" w:lineRule="auto"/>
        <w:rPr>
          <w:rFonts w:eastAsia="Calibri" w:cs="Times"/>
        </w:rPr>
      </w:pPr>
    </w:p>
    <w:p w14:paraId="7E84DAE2" w14:textId="77777777" w:rsidR="00207DA0" w:rsidRPr="00FB0A2B" w:rsidRDefault="00207DA0" w:rsidP="00207DA0">
      <w:pPr>
        <w:spacing w:after="0" w:line="480" w:lineRule="auto"/>
        <w:rPr>
          <w:rFonts w:eastAsia="Calibri" w:cs="Times"/>
          <w:b/>
        </w:rPr>
      </w:pPr>
      <w:r w:rsidRPr="00FB0A2B">
        <w:rPr>
          <w:rFonts w:eastAsia="Calibri" w:cs="Times"/>
          <w:b/>
        </w:rPr>
        <w:t>Peak assignments</w:t>
      </w:r>
    </w:p>
    <w:p w14:paraId="49CE183F" w14:textId="77777777" w:rsidR="00207DA0" w:rsidRDefault="00207DA0" w:rsidP="00207DA0">
      <w:pPr>
        <w:tabs>
          <w:tab w:val="left" w:pos="1764"/>
        </w:tabs>
        <w:spacing w:after="0" w:line="480" w:lineRule="auto"/>
        <w:rPr>
          <w:rFonts w:eastAsia="Calibri" w:cs="Times"/>
        </w:rPr>
      </w:pPr>
      <w:r>
        <w:rPr>
          <w:rFonts w:eastAsia="Calibri" w:cs="Times"/>
        </w:rPr>
        <w:t>The 1492 cm</w:t>
      </w:r>
      <w:r w:rsidRPr="00051B08">
        <w:rPr>
          <w:rFonts w:eastAsia="Calibri" w:cs="Times"/>
          <w:vertAlign w:val="superscript"/>
        </w:rPr>
        <w:t>-1</w:t>
      </w:r>
      <w:r>
        <w:rPr>
          <w:rFonts w:eastAsia="Calibri" w:cs="Times"/>
        </w:rPr>
        <w:t xml:space="preserve"> peak of the polyamide system can be deconvoluted into two C=C aromatic ring vibrations. These vibrations have been thoroughly characterized by </w:t>
      </w:r>
      <w:r w:rsidRPr="003D645A">
        <w:rPr>
          <w:rFonts w:eastAsia="Calibri" w:cs="Times"/>
        </w:rPr>
        <w:t>Varsanyi, and others</w:t>
      </w:r>
      <w:r w:rsidRPr="004D0F51">
        <w:rPr>
          <w:rFonts w:eastAsia="Calibri" w:cs="Times"/>
          <w:color w:val="000000" w:themeColor="text1"/>
        </w:rPr>
        <w:t xml:space="preserve"> (refs 36-39) </w:t>
      </w:r>
      <w:r w:rsidRPr="003D645A">
        <w:rPr>
          <w:rFonts w:eastAsia="Calibri" w:cs="Times"/>
        </w:rPr>
        <w:t>and assigned to C-H vibrations in the plane of</w:t>
      </w:r>
      <w:r>
        <w:rPr>
          <w:rFonts w:eastAsia="Calibri" w:cs="Times"/>
        </w:rPr>
        <w:t xml:space="preserve"> the MPD</w:t>
      </w:r>
      <w:r w:rsidRPr="003D645A">
        <w:rPr>
          <w:rFonts w:eastAsia="Calibri" w:cs="Times"/>
        </w:rPr>
        <w:t xml:space="preserve"> di-substituted aromatic ring. </w:t>
      </w:r>
      <w:r>
        <w:rPr>
          <w:rFonts w:eastAsia="Calibri" w:cs="Times"/>
        </w:rPr>
        <w:t xml:space="preserve"> As both components result from well understood vibrations associated with the aromatic ring the 1492 cm</w:t>
      </w:r>
      <w:r w:rsidRPr="00051B08">
        <w:rPr>
          <w:rFonts w:eastAsia="Calibri" w:cs="Times"/>
          <w:vertAlign w:val="superscript"/>
        </w:rPr>
        <w:t>-1</w:t>
      </w:r>
      <w:r>
        <w:rPr>
          <w:rFonts w:eastAsia="Calibri" w:cs="Times"/>
        </w:rPr>
        <w:t xml:space="preserve"> peak can be used to determine the orientation of the aromatic ring.</w:t>
      </w:r>
      <w:r>
        <w:rPr>
          <w:rFonts w:eastAsia="Calibri" w:cs="Times"/>
        </w:rPr>
        <w:tab/>
      </w:r>
    </w:p>
    <w:p w14:paraId="02850461" w14:textId="77777777" w:rsidR="00207DA0" w:rsidRDefault="00207DA0" w:rsidP="00207DA0">
      <w:pPr>
        <w:tabs>
          <w:tab w:val="left" w:pos="1764"/>
        </w:tabs>
        <w:spacing w:after="0" w:line="480" w:lineRule="auto"/>
        <w:rPr>
          <w:rFonts w:eastAsia="Calibri" w:cs="Times"/>
        </w:rPr>
      </w:pPr>
    </w:p>
    <w:p w14:paraId="4405A866" w14:textId="77777777" w:rsidR="00207DA0" w:rsidRPr="0055530D" w:rsidRDefault="00207DA0" w:rsidP="00207DA0">
      <w:pPr>
        <w:tabs>
          <w:tab w:val="left" w:pos="720"/>
        </w:tabs>
        <w:suppressAutoHyphens/>
        <w:spacing w:after="0" w:line="480" w:lineRule="auto"/>
        <w:ind w:firstLine="720"/>
        <w:jc w:val="center"/>
        <w:rPr>
          <w:rFonts w:ascii="Times New Roman" w:eastAsia="+mn-ea" w:hAnsi="Times New Roman"/>
          <w:kern w:val="24"/>
          <w:szCs w:val="24"/>
          <w:highlight w:val="yellow"/>
        </w:rPr>
      </w:pPr>
      <w:r w:rsidRPr="004D0F51">
        <w:object w:dxaOrig="11756" w:dyaOrig="6816" w14:anchorId="0266B87D">
          <v:shape id="_x0000_i1027" type="#_x0000_t75" style="width:468pt;height:271.65pt" o:ole="">
            <v:imagedata r:id="rId21" o:title=""/>
          </v:shape>
          <o:OLEObject Type="Embed" ProgID="Origin50.Graph" ShapeID="_x0000_i1027" DrawAspect="Content" ObjectID="_1598710351" r:id="rId22"/>
        </w:object>
      </w:r>
    </w:p>
    <w:p w14:paraId="281A1C83" w14:textId="77777777" w:rsidR="00207DA0" w:rsidRDefault="00207DA0" w:rsidP="00207DA0">
      <w:pPr>
        <w:tabs>
          <w:tab w:val="left" w:pos="1764"/>
        </w:tabs>
        <w:spacing w:after="0" w:line="480" w:lineRule="auto"/>
        <w:rPr>
          <w:rFonts w:ascii="Times New Roman" w:hAnsi="Times New Roman"/>
          <w:szCs w:val="24"/>
        </w:rPr>
      </w:pPr>
      <w:r w:rsidRPr="00C437CE">
        <w:rPr>
          <w:rFonts w:ascii="Times New Roman" w:hAnsi="Times New Roman"/>
          <w:b/>
          <w:szCs w:val="24"/>
        </w:rPr>
        <w:t>Figure S2.</w:t>
      </w:r>
      <w:r w:rsidRPr="00C437CE">
        <w:rPr>
          <w:rFonts w:ascii="Times New Roman" w:hAnsi="Times New Roman"/>
          <w:szCs w:val="24"/>
        </w:rPr>
        <w:t xml:space="preserve"> Deconvolution of the experimentally observed mLbL polyamide mid-IR vibrational spectrum. Peak position and peak shape was informed by the DFT calculations of the polyamide fragment. This figure corresponds to Figure 2 in the main manuscript.</w:t>
      </w:r>
    </w:p>
    <w:p w14:paraId="0CC494B3" w14:textId="77777777" w:rsidR="00207DA0" w:rsidRDefault="00207DA0" w:rsidP="00207DA0">
      <w:pPr>
        <w:tabs>
          <w:tab w:val="left" w:pos="1764"/>
        </w:tabs>
        <w:spacing w:after="0" w:line="480" w:lineRule="auto"/>
        <w:rPr>
          <w:rFonts w:ascii="Times New Roman" w:eastAsia="+mn-ea" w:hAnsi="Times New Roman"/>
          <w:szCs w:val="24"/>
        </w:rPr>
      </w:pPr>
    </w:p>
    <w:p w14:paraId="6C8958F6" w14:textId="77777777" w:rsidR="00207DA0" w:rsidRDefault="00207DA0" w:rsidP="00207DA0">
      <w:pPr>
        <w:tabs>
          <w:tab w:val="left" w:pos="1764"/>
        </w:tabs>
        <w:spacing w:after="0" w:line="480" w:lineRule="auto"/>
        <w:rPr>
          <w:rFonts w:ascii="Times New Roman" w:eastAsia="+mn-ea" w:hAnsi="Times New Roman"/>
          <w:szCs w:val="24"/>
        </w:rPr>
      </w:pPr>
      <w:r>
        <w:rPr>
          <w:rFonts w:ascii="Times New Roman" w:eastAsia="+mn-ea" w:hAnsi="Times New Roman"/>
          <w:szCs w:val="24"/>
        </w:rPr>
        <w:t>At 0.5 cycles there is only pure TMC on the substrate.  The spectrum below, Figure S3, shows TMC freshly spin cast on a gold substrate and a peak at 1765 cm</w:t>
      </w:r>
      <w:r w:rsidRPr="00952896">
        <w:rPr>
          <w:rFonts w:ascii="Times New Roman" w:eastAsia="+mn-ea" w:hAnsi="Times New Roman"/>
          <w:szCs w:val="24"/>
          <w:vertAlign w:val="superscript"/>
        </w:rPr>
        <w:t>-1</w:t>
      </w:r>
      <w:r>
        <w:rPr>
          <w:rFonts w:ascii="Times New Roman" w:eastAsia="+mn-ea" w:hAnsi="Times New Roman"/>
          <w:szCs w:val="24"/>
        </w:rPr>
        <w:t xml:space="preserve"> is observed which is consistent with the DFT calculated frequency of unhydrolyzed TMC. At very low cycle numbers (below 5) this peak can still be observed although the signal to noise ratio does not enable reliable quantification.</w:t>
      </w:r>
    </w:p>
    <w:p w14:paraId="6C26CF93" w14:textId="77777777" w:rsidR="00207DA0" w:rsidRDefault="00207DA0" w:rsidP="00207DA0">
      <w:pPr>
        <w:tabs>
          <w:tab w:val="left" w:pos="1764"/>
        </w:tabs>
        <w:spacing w:after="0" w:line="480" w:lineRule="auto"/>
        <w:rPr>
          <w:rFonts w:ascii="Times New Roman" w:eastAsia="+mn-ea" w:hAnsi="Times New Roman"/>
          <w:szCs w:val="24"/>
        </w:rPr>
      </w:pPr>
    </w:p>
    <w:p w14:paraId="27F61E22" w14:textId="77777777" w:rsidR="00207DA0" w:rsidRDefault="00207DA0" w:rsidP="00207DA0">
      <w:pPr>
        <w:tabs>
          <w:tab w:val="left" w:pos="1764"/>
        </w:tabs>
        <w:spacing w:after="0" w:line="480" w:lineRule="auto"/>
        <w:rPr>
          <w:rFonts w:ascii="Times New Roman" w:eastAsia="+mn-ea" w:hAnsi="Times New Roman"/>
          <w:szCs w:val="24"/>
        </w:rPr>
      </w:pPr>
      <w:r>
        <w:rPr>
          <w:rFonts w:ascii="Times New Roman" w:eastAsia="+mn-ea" w:hAnsi="Times New Roman"/>
          <w:noProof/>
          <w:szCs w:val="24"/>
        </w:rPr>
        <w:lastRenderedPageBreak/>
        <w:object w:dxaOrig="1440" w:dyaOrig="1440" w14:anchorId="0A05AEEC">
          <v:shape id="Object 5" o:spid="_x0000_s1027" type="#_x0000_t75" style="position:absolute;left:0;text-align:left;margin-left:-10.9pt;margin-top:0;width:365.65pt;height:283.35pt;z-index:251659264;visibility:visible">
            <v:imagedata r:id="rId23" o:title=""/>
            <w10:wrap type="topAndBottom"/>
          </v:shape>
          <o:OLEObject Type="Embed" ProgID="Origin50.Graph" ShapeID="Object 5" DrawAspect="Content" ObjectID="_1598710357" r:id="rId24"/>
        </w:object>
      </w:r>
    </w:p>
    <w:p w14:paraId="27EECF33" w14:textId="77777777" w:rsidR="00207DA0" w:rsidRDefault="00207DA0" w:rsidP="00207DA0">
      <w:pPr>
        <w:tabs>
          <w:tab w:val="left" w:pos="1764"/>
        </w:tabs>
        <w:spacing w:after="0" w:line="480" w:lineRule="auto"/>
        <w:rPr>
          <w:rFonts w:ascii="Times New Roman" w:eastAsia="Calibri" w:hAnsi="Times New Roman"/>
          <w:szCs w:val="24"/>
        </w:rPr>
      </w:pPr>
      <w:r w:rsidRPr="00C437CE">
        <w:rPr>
          <w:rFonts w:ascii="Times New Roman" w:eastAsia="Calibri" w:hAnsi="Times New Roman"/>
          <w:b/>
          <w:szCs w:val="24"/>
        </w:rPr>
        <w:t>Figure S3.</w:t>
      </w:r>
      <w:r w:rsidRPr="00C437CE">
        <w:rPr>
          <w:rFonts w:ascii="Times New Roman" w:eastAsia="Calibri" w:hAnsi="Times New Roman"/>
          <w:szCs w:val="24"/>
        </w:rPr>
        <w:t xml:space="preserve"> Reflection-Absorption IR spectroscopy (RAIRS) spectrum of pure TMC spin cast on gold overlaid with a 2.5 cycle mLbL sample on gold, showing the unhydrolyzed acid chloride peak at 1765 cm</w:t>
      </w:r>
      <w:r w:rsidRPr="00C437CE">
        <w:rPr>
          <w:rFonts w:ascii="Times New Roman" w:eastAsia="Calibri" w:hAnsi="Times New Roman"/>
          <w:szCs w:val="24"/>
          <w:vertAlign w:val="superscript"/>
        </w:rPr>
        <w:t>-1</w:t>
      </w:r>
      <w:r w:rsidRPr="00C437CE">
        <w:rPr>
          <w:rFonts w:ascii="Times New Roman" w:eastAsia="Calibri" w:hAnsi="Times New Roman"/>
          <w:szCs w:val="24"/>
        </w:rPr>
        <w:t>.</w:t>
      </w:r>
    </w:p>
    <w:p w14:paraId="0F8FB0FF" w14:textId="77777777" w:rsidR="00207DA0" w:rsidRPr="008F776B" w:rsidRDefault="00207DA0" w:rsidP="00207DA0">
      <w:pPr>
        <w:tabs>
          <w:tab w:val="left" w:pos="1764"/>
        </w:tabs>
        <w:spacing w:after="0" w:line="480" w:lineRule="auto"/>
        <w:rPr>
          <w:rFonts w:ascii="Times New Roman" w:eastAsia="Calibri" w:hAnsi="Times New Roman"/>
          <w:szCs w:val="24"/>
        </w:rPr>
      </w:pPr>
    </w:p>
    <w:p w14:paraId="1685D578" w14:textId="77777777" w:rsidR="00207DA0" w:rsidRPr="0007263E" w:rsidRDefault="00207DA0" w:rsidP="00207DA0">
      <w:pPr>
        <w:spacing w:after="0" w:line="480" w:lineRule="auto"/>
        <w:rPr>
          <w:rFonts w:eastAsia="Calibri" w:cs="Times"/>
          <w:b/>
          <w:szCs w:val="24"/>
        </w:rPr>
      </w:pPr>
      <w:r w:rsidRPr="0007263E">
        <w:rPr>
          <w:rFonts w:eastAsia="Calibri" w:cs="Times"/>
          <w:b/>
          <w:szCs w:val="24"/>
        </w:rPr>
        <w:t xml:space="preserve"> Calibration curve</w:t>
      </w:r>
      <w:r>
        <w:rPr>
          <w:rFonts w:eastAsia="Calibri" w:cs="Times"/>
          <w:b/>
          <w:szCs w:val="24"/>
        </w:rPr>
        <w:t xml:space="preserve"> for [COOH]</w:t>
      </w:r>
    </w:p>
    <w:p w14:paraId="275B243A" w14:textId="77777777" w:rsidR="00207DA0" w:rsidRPr="0007263E" w:rsidRDefault="00207DA0" w:rsidP="00207DA0">
      <w:pPr>
        <w:spacing w:after="0" w:line="480" w:lineRule="auto"/>
        <w:rPr>
          <w:rFonts w:cs="Times"/>
        </w:rPr>
      </w:pPr>
      <w:r w:rsidRPr="0007263E">
        <w:rPr>
          <w:rFonts w:eastAsia="Calibri" w:cs="Times"/>
          <w:szCs w:val="24"/>
        </w:rPr>
        <w:t xml:space="preserve">The absorbance of each sample was divided by the thickness of the pellet to normalize for </w:t>
      </w:r>
      <w:r>
        <w:rPr>
          <w:rFonts w:eastAsia="Calibri" w:cs="Times"/>
          <w:szCs w:val="24"/>
        </w:rPr>
        <w:t xml:space="preserve">the IR </w:t>
      </w:r>
      <w:r w:rsidRPr="0007263E">
        <w:rPr>
          <w:rFonts w:eastAsia="Calibri" w:cs="Times"/>
          <w:szCs w:val="24"/>
        </w:rPr>
        <w:t xml:space="preserve">path length. </w:t>
      </w:r>
      <w:r>
        <w:rPr>
          <w:rFonts w:eastAsia="Calibri" w:cs="Times"/>
          <w:szCs w:val="24"/>
        </w:rPr>
        <w:t xml:space="preserve">Using the parameters shown in Table S1, the </w:t>
      </w:r>
      <w:r w:rsidRPr="0007263E">
        <w:rPr>
          <w:rFonts w:eastAsia="Calibri" w:cs="Times"/>
          <w:szCs w:val="24"/>
        </w:rPr>
        <w:t xml:space="preserve">normalized </w:t>
      </w:r>
      <w:r>
        <w:rPr>
          <w:rFonts w:eastAsia="Calibri" w:cs="Times"/>
          <w:szCs w:val="24"/>
        </w:rPr>
        <w:t xml:space="preserve">IR </w:t>
      </w:r>
      <w:r w:rsidRPr="0007263E">
        <w:rPr>
          <w:rFonts w:eastAsia="Calibri" w:cs="Times"/>
          <w:szCs w:val="24"/>
        </w:rPr>
        <w:t>spectr</w:t>
      </w:r>
      <w:r>
        <w:rPr>
          <w:rFonts w:eastAsia="Calibri" w:cs="Times"/>
          <w:szCs w:val="24"/>
        </w:rPr>
        <w:t>a</w:t>
      </w:r>
      <w:r w:rsidRPr="0007263E">
        <w:rPr>
          <w:rFonts w:eastAsia="Calibri" w:cs="Times"/>
          <w:szCs w:val="24"/>
        </w:rPr>
        <w:t xml:space="preserve"> </w:t>
      </w:r>
      <w:r>
        <w:rPr>
          <w:rFonts w:eastAsia="Calibri" w:cs="Times"/>
          <w:szCs w:val="24"/>
        </w:rPr>
        <w:t xml:space="preserve">for commercial polyamide samples </w:t>
      </w:r>
      <w:r w:rsidRPr="0007263E">
        <w:rPr>
          <w:rFonts w:eastAsia="Calibri" w:cs="Times"/>
          <w:szCs w:val="24"/>
        </w:rPr>
        <w:t>w</w:t>
      </w:r>
      <w:r>
        <w:rPr>
          <w:rFonts w:eastAsia="Calibri" w:cs="Times"/>
          <w:szCs w:val="24"/>
        </w:rPr>
        <w:t>ere</w:t>
      </w:r>
      <w:r w:rsidRPr="0007263E">
        <w:rPr>
          <w:rFonts w:eastAsia="Calibri" w:cs="Times"/>
          <w:szCs w:val="24"/>
        </w:rPr>
        <w:t xml:space="preserve"> fit to </w:t>
      </w:r>
      <w:r>
        <w:rPr>
          <w:rFonts w:eastAsia="Calibri" w:cs="Times"/>
          <w:szCs w:val="24"/>
        </w:rPr>
        <w:t>yield</w:t>
      </w:r>
      <w:r w:rsidRPr="0007263E">
        <w:rPr>
          <w:rFonts w:eastAsia="Calibri" w:cs="Times"/>
          <w:szCs w:val="24"/>
        </w:rPr>
        <w:t xml:space="preserve"> </w:t>
      </w:r>
      <w:r>
        <w:rPr>
          <w:rFonts w:eastAsia="Calibri" w:cs="Times"/>
          <w:szCs w:val="24"/>
        </w:rPr>
        <w:t xml:space="preserve">the components </w:t>
      </w:r>
      <w:r w:rsidRPr="0007263E">
        <w:rPr>
          <w:rFonts w:eastAsia="Calibri" w:cs="Times"/>
          <w:szCs w:val="24"/>
        </w:rPr>
        <w:t xml:space="preserve">shown in </w:t>
      </w:r>
      <w:r>
        <w:rPr>
          <w:rFonts w:eastAsia="Calibri" w:cs="Times"/>
          <w:szCs w:val="24"/>
        </w:rPr>
        <w:t>Fig S4</w:t>
      </w:r>
      <w:r w:rsidRPr="0007263E">
        <w:rPr>
          <w:rFonts w:eastAsia="Calibri" w:cs="Times"/>
          <w:szCs w:val="24"/>
        </w:rPr>
        <w:t>.</w:t>
      </w:r>
    </w:p>
    <w:p w14:paraId="6E89916B" w14:textId="77777777" w:rsidR="00207DA0" w:rsidRPr="0007263E" w:rsidRDefault="00207DA0" w:rsidP="00207DA0">
      <w:pPr>
        <w:tabs>
          <w:tab w:val="left" w:pos="720"/>
        </w:tabs>
        <w:suppressAutoHyphens/>
        <w:spacing w:after="0" w:line="480" w:lineRule="auto"/>
        <w:ind w:firstLine="720"/>
        <w:rPr>
          <w:rFonts w:cs="Times"/>
        </w:rPr>
      </w:pPr>
      <w:r w:rsidRPr="0007263E">
        <w:rPr>
          <w:rFonts w:cs="Times"/>
        </w:rPr>
        <w:t xml:space="preserve"> </w:t>
      </w:r>
    </w:p>
    <w:p w14:paraId="2E9CB999" w14:textId="77777777" w:rsidR="00207DA0" w:rsidRPr="0007263E" w:rsidRDefault="00207DA0" w:rsidP="00207DA0">
      <w:pPr>
        <w:tabs>
          <w:tab w:val="left" w:pos="720"/>
        </w:tabs>
        <w:suppressAutoHyphens/>
        <w:spacing w:after="0" w:line="480" w:lineRule="auto"/>
        <w:ind w:firstLine="720"/>
        <w:rPr>
          <w:rFonts w:cs="Times"/>
        </w:rPr>
      </w:pPr>
    </w:p>
    <w:p w14:paraId="4D88E2A5" w14:textId="77777777" w:rsidR="00207DA0" w:rsidRPr="0007263E" w:rsidRDefault="00207DA0" w:rsidP="00207DA0">
      <w:pPr>
        <w:tabs>
          <w:tab w:val="left" w:pos="720"/>
        </w:tabs>
        <w:suppressAutoHyphens/>
        <w:spacing w:after="0" w:line="480" w:lineRule="auto"/>
        <w:ind w:firstLine="720"/>
        <w:rPr>
          <w:rFonts w:cs="Times"/>
        </w:rPr>
      </w:pPr>
    </w:p>
    <w:p w14:paraId="176BB966" w14:textId="77777777" w:rsidR="00207DA0" w:rsidRPr="0007263E" w:rsidRDefault="00207DA0" w:rsidP="00207DA0">
      <w:pPr>
        <w:tabs>
          <w:tab w:val="left" w:pos="720"/>
        </w:tabs>
        <w:suppressAutoHyphens/>
        <w:spacing w:after="0" w:line="480" w:lineRule="auto"/>
        <w:ind w:firstLine="720"/>
        <w:rPr>
          <w:rFonts w:cs="Times"/>
        </w:rPr>
      </w:pPr>
    </w:p>
    <w:p w14:paraId="1AB42F49" w14:textId="77777777" w:rsidR="00207DA0" w:rsidRPr="0007263E" w:rsidRDefault="00207DA0" w:rsidP="00207DA0">
      <w:pPr>
        <w:tabs>
          <w:tab w:val="left" w:pos="720"/>
        </w:tabs>
        <w:suppressAutoHyphens/>
        <w:spacing w:after="0" w:line="480" w:lineRule="auto"/>
        <w:ind w:firstLine="720"/>
        <w:rPr>
          <w:rFonts w:cs="Times"/>
        </w:rPr>
      </w:pPr>
    </w:p>
    <w:p w14:paraId="0D86C3F6" w14:textId="77777777" w:rsidR="00207DA0" w:rsidRPr="00C437CE" w:rsidRDefault="00207DA0" w:rsidP="00207DA0">
      <w:pPr>
        <w:tabs>
          <w:tab w:val="left" w:pos="720"/>
        </w:tabs>
        <w:suppressAutoHyphens/>
        <w:spacing w:after="0"/>
        <w:rPr>
          <w:rFonts w:cs="Times"/>
          <w:szCs w:val="24"/>
        </w:rPr>
      </w:pPr>
      <w:r w:rsidRPr="00C437CE">
        <w:rPr>
          <w:rFonts w:cs="Times"/>
          <w:b/>
          <w:szCs w:val="24"/>
        </w:rPr>
        <w:t>Table S1.</w:t>
      </w:r>
      <w:r w:rsidRPr="00C437CE">
        <w:rPr>
          <w:rFonts w:cs="Times"/>
          <w:szCs w:val="24"/>
        </w:rPr>
        <w:t xml:space="preserve"> Fitting parameters used to generate plots in Figs 3a and S4.</w:t>
      </w:r>
    </w:p>
    <w:p w14:paraId="06186FF0" w14:textId="77777777" w:rsidR="00207DA0" w:rsidRPr="00C437CE" w:rsidRDefault="00207DA0" w:rsidP="00207DA0">
      <w:pPr>
        <w:tabs>
          <w:tab w:val="left" w:pos="720"/>
        </w:tabs>
        <w:suppressAutoHyphens/>
        <w:spacing w:after="0"/>
        <w:rPr>
          <w:rFonts w:cs="Times"/>
          <w:szCs w:val="24"/>
        </w:rPr>
      </w:pPr>
    </w:p>
    <w:tbl>
      <w:tblPr>
        <w:tblW w:w="6950" w:type="dxa"/>
        <w:tblInd w:w="-10" w:type="dxa"/>
        <w:tblLook w:val="04A0" w:firstRow="1" w:lastRow="0" w:firstColumn="1" w:lastColumn="0" w:noHBand="0" w:noVBand="1"/>
      </w:tblPr>
      <w:tblGrid>
        <w:gridCol w:w="1170"/>
        <w:gridCol w:w="1346"/>
        <w:gridCol w:w="1161"/>
        <w:gridCol w:w="1161"/>
        <w:gridCol w:w="1161"/>
        <w:gridCol w:w="1161"/>
      </w:tblGrid>
      <w:tr w:rsidR="00207DA0" w:rsidRPr="00C437CE" w14:paraId="173A2531" w14:textId="77777777" w:rsidTr="00A17A02">
        <w:trPr>
          <w:trHeight w:val="1092"/>
        </w:trPr>
        <w:tc>
          <w:tcPr>
            <w:tcW w:w="117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28B0D2C"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Sample</w:t>
            </w:r>
            <w:r w:rsidRPr="00C437CE">
              <w:rPr>
                <w:rFonts w:ascii="Times New Roman" w:hAnsi="Times New Roman"/>
                <w:b/>
                <w:bCs/>
                <w:color w:val="000000"/>
                <w:sz w:val="20"/>
              </w:rPr>
              <w:br/>
              <w:t>(</w:t>
            </w:r>
            <w:r w:rsidRPr="00C437CE">
              <w:rPr>
                <w:rFonts w:ascii="Times New Roman" w:hAnsi="Times New Roman"/>
                <w:bCs/>
                <w:color w:val="000000"/>
                <w:sz w:val="20"/>
              </w:rPr>
              <w:t>fit RMS error</w:t>
            </w:r>
            <w:r w:rsidRPr="00C437CE">
              <w:rPr>
                <w:rFonts w:ascii="Times New Roman" w:hAnsi="Times New Roman"/>
                <w:b/>
                <w:bCs/>
                <w:color w:val="000000"/>
                <w:sz w:val="20"/>
              </w:rPr>
              <w:t>)</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B8539A8"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component</w:t>
            </w:r>
          </w:p>
        </w:tc>
        <w:tc>
          <w:tcPr>
            <w:tcW w:w="11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2101D8CB"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component position (cm</w:t>
            </w:r>
            <w:r w:rsidRPr="00C437CE">
              <w:rPr>
                <w:rFonts w:ascii="Times New Roman" w:hAnsi="Times New Roman"/>
                <w:b/>
                <w:bCs/>
                <w:color w:val="000000"/>
                <w:sz w:val="20"/>
                <w:vertAlign w:val="superscript"/>
              </w:rPr>
              <w:t>-1</w:t>
            </w:r>
            <w:r w:rsidRPr="00C437CE">
              <w:rPr>
                <w:rFonts w:ascii="Times New Roman" w:hAnsi="Times New Roman"/>
                <w:b/>
                <w:bCs/>
                <w:color w:val="000000"/>
                <w:sz w:val="20"/>
              </w:rPr>
              <w:t>)</w:t>
            </w:r>
          </w:p>
        </w:tc>
        <w:tc>
          <w:tcPr>
            <w:tcW w:w="11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EE6B9C3"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component intensity</w:t>
            </w:r>
          </w:p>
        </w:tc>
        <w:tc>
          <w:tcPr>
            <w:tcW w:w="11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4715BC2"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component full width at half maximum (cm</w:t>
            </w:r>
            <w:r w:rsidRPr="00C437CE">
              <w:rPr>
                <w:rFonts w:ascii="Times New Roman" w:hAnsi="Times New Roman"/>
                <w:b/>
                <w:bCs/>
                <w:color w:val="000000"/>
                <w:sz w:val="20"/>
                <w:vertAlign w:val="superscript"/>
              </w:rPr>
              <w:t>-1</w:t>
            </w:r>
            <w:r w:rsidRPr="00C437CE">
              <w:rPr>
                <w:rFonts w:ascii="Times New Roman" w:hAnsi="Times New Roman"/>
                <w:b/>
                <w:bCs/>
                <w:color w:val="000000"/>
                <w:sz w:val="20"/>
              </w:rPr>
              <w:t>)</w:t>
            </w:r>
          </w:p>
        </w:tc>
        <w:tc>
          <w:tcPr>
            <w:tcW w:w="11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BDA0D3A"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component peak shape</w:t>
            </w:r>
            <w:r w:rsidRPr="00C437CE">
              <w:rPr>
                <w:rFonts w:ascii="Times New Roman" w:hAnsi="Times New Roman"/>
                <w:b/>
                <w:bCs/>
                <w:color w:val="000000"/>
                <w:sz w:val="20"/>
                <w:vertAlign w:val="superscript"/>
              </w:rPr>
              <w:t>◊</w:t>
            </w:r>
          </w:p>
        </w:tc>
      </w:tr>
      <w:tr w:rsidR="00207DA0" w:rsidRPr="00C437CE" w14:paraId="39581DF0" w14:textId="77777777" w:rsidTr="00A17A02">
        <w:trPr>
          <w:trHeight w:val="540"/>
        </w:trPr>
        <w:tc>
          <w:tcPr>
            <w:tcW w:w="1170" w:type="dxa"/>
            <w:vMerge/>
            <w:tcBorders>
              <w:top w:val="single" w:sz="8" w:space="0" w:color="auto"/>
              <w:left w:val="single" w:sz="8" w:space="0" w:color="auto"/>
              <w:bottom w:val="single" w:sz="8" w:space="0" w:color="000000"/>
              <w:right w:val="single" w:sz="8" w:space="0" w:color="auto"/>
            </w:tcBorders>
            <w:vAlign w:val="center"/>
            <w:hideMark/>
          </w:tcPr>
          <w:p w14:paraId="2CB18857" w14:textId="77777777" w:rsidR="00207DA0" w:rsidRPr="00C437CE" w:rsidRDefault="00207DA0" w:rsidP="00A17A02">
            <w:pPr>
              <w:spacing w:after="0"/>
              <w:rPr>
                <w:rFonts w:ascii="Times New Roman" w:hAnsi="Times New Roman"/>
                <w:b/>
                <w:bCs/>
                <w:color w:val="000000"/>
                <w:sz w:val="20"/>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31C84CA5" w14:textId="77777777" w:rsidR="00207DA0" w:rsidRPr="00C437CE" w:rsidRDefault="00207DA0" w:rsidP="00A17A02">
            <w:pPr>
              <w:spacing w:after="0"/>
              <w:rPr>
                <w:rFonts w:ascii="Times New Roman" w:hAnsi="Times New Roman"/>
                <w:b/>
                <w:bCs/>
                <w:color w:val="000000"/>
                <w:sz w:val="20"/>
              </w:rPr>
            </w:pPr>
          </w:p>
        </w:tc>
        <w:tc>
          <w:tcPr>
            <w:tcW w:w="1161" w:type="dxa"/>
            <w:vMerge/>
            <w:tcBorders>
              <w:top w:val="single" w:sz="8" w:space="0" w:color="auto"/>
              <w:left w:val="single" w:sz="8" w:space="0" w:color="auto"/>
              <w:bottom w:val="single" w:sz="8" w:space="0" w:color="000000"/>
              <w:right w:val="single" w:sz="8" w:space="0" w:color="auto"/>
            </w:tcBorders>
            <w:vAlign w:val="center"/>
            <w:hideMark/>
          </w:tcPr>
          <w:p w14:paraId="6C312404" w14:textId="77777777" w:rsidR="00207DA0" w:rsidRPr="00C437CE" w:rsidRDefault="00207DA0" w:rsidP="00A17A02">
            <w:pPr>
              <w:spacing w:after="0"/>
              <w:rPr>
                <w:rFonts w:ascii="Times New Roman" w:hAnsi="Times New Roman"/>
                <w:b/>
                <w:bCs/>
                <w:color w:val="000000"/>
                <w:sz w:val="20"/>
              </w:rPr>
            </w:pPr>
          </w:p>
        </w:tc>
        <w:tc>
          <w:tcPr>
            <w:tcW w:w="1161" w:type="dxa"/>
            <w:vMerge/>
            <w:tcBorders>
              <w:top w:val="single" w:sz="8" w:space="0" w:color="auto"/>
              <w:left w:val="single" w:sz="8" w:space="0" w:color="auto"/>
              <w:bottom w:val="single" w:sz="8" w:space="0" w:color="000000"/>
              <w:right w:val="single" w:sz="8" w:space="0" w:color="auto"/>
            </w:tcBorders>
            <w:vAlign w:val="center"/>
            <w:hideMark/>
          </w:tcPr>
          <w:p w14:paraId="343F91A2" w14:textId="77777777" w:rsidR="00207DA0" w:rsidRPr="00C437CE" w:rsidRDefault="00207DA0" w:rsidP="00A17A02">
            <w:pPr>
              <w:spacing w:after="0"/>
              <w:rPr>
                <w:rFonts w:ascii="Times New Roman" w:hAnsi="Times New Roman"/>
                <w:b/>
                <w:bCs/>
                <w:color w:val="000000"/>
                <w:sz w:val="20"/>
              </w:rPr>
            </w:pPr>
          </w:p>
        </w:tc>
        <w:tc>
          <w:tcPr>
            <w:tcW w:w="1161" w:type="dxa"/>
            <w:vMerge/>
            <w:tcBorders>
              <w:top w:val="single" w:sz="8" w:space="0" w:color="auto"/>
              <w:left w:val="single" w:sz="8" w:space="0" w:color="auto"/>
              <w:bottom w:val="single" w:sz="8" w:space="0" w:color="000000"/>
              <w:right w:val="single" w:sz="8" w:space="0" w:color="auto"/>
            </w:tcBorders>
            <w:vAlign w:val="center"/>
            <w:hideMark/>
          </w:tcPr>
          <w:p w14:paraId="05C2C826" w14:textId="77777777" w:rsidR="00207DA0" w:rsidRPr="00C437CE" w:rsidRDefault="00207DA0" w:rsidP="00A17A02">
            <w:pPr>
              <w:spacing w:after="0"/>
              <w:rPr>
                <w:rFonts w:ascii="Times New Roman" w:hAnsi="Times New Roman"/>
                <w:b/>
                <w:bCs/>
                <w:color w:val="000000"/>
                <w:sz w:val="20"/>
              </w:rPr>
            </w:pPr>
          </w:p>
        </w:tc>
        <w:tc>
          <w:tcPr>
            <w:tcW w:w="1161" w:type="dxa"/>
            <w:vMerge/>
            <w:tcBorders>
              <w:top w:val="single" w:sz="8" w:space="0" w:color="auto"/>
              <w:left w:val="single" w:sz="8" w:space="0" w:color="auto"/>
              <w:bottom w:val="single" w:sz="8" w:space="0" w:color="000000"/>
              <w:right w:val="single" w:sz="8" w:space="0" w:color="auto"/>
            </w:tcBorders>
            <w:vAlign w:val="center"/>
            <w:hideMark/>
          </w:tcPr>
          <w:p w14:paraId="1C851A8C" w14:textId="77777777" w:rsidR="00207DA0" w:rsidRPr="00C437CE" w:rsidRDefault="00207DA0" w:rsidP="00A17A02">
            <w:pPr>
              <w:spacing w:after="0"/>
              <w:rPr>
                <w:rFonts w:ascii="Times New Roman" w:hAnsi="Times New Roman"/>
                <w:b/>
                <w:bCs/>
                <w:color w:val="000000"/>
                <w:sz w:val="20"/>
              </w:rPr>
            </w:pPr>
          </w:p>
        </w:tc>
      </w:tr>
      <w:tr w:rsidR="00207DA0" w:rsidRPr="00C437CE" w14:paraId="4F2FC0FF"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0481590E"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w:t>
            </w:r>
          </w:p>
        </w:tc>
        <w:tc>
          <w:tcPr>
            <w:tcW w:w="1136" w:type="dxa"/>
            <w:tcBorders>
              <w:top w:val="nil"/>
              <w:left w:val="nil"/>
              <w:bottom w:val="single" w:sz="8" w:space="0" w:color="auto"/>
              <w:right w:val="single" w:sz="8" w:space="0" w:color="auto"/>
            </w:tcBorders>
            <w:shd w:val="clear" w:color="auto" w:fill="auto"/>
            <w:noWrap/>
            <w:vAlign w:val="center"/>
            <w:hideMark/>
          </w:tcPr>
          <w:p w14:paraId="714231E5"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C=C aromatic</w:t>
            </w:r>
          </w:p>
        </w:tc>
        <w:tc>
          <w:tcPr>
            <w:tcW w:w="1161" w:type="dxa"/>
            <w:tcBorders>
              <w:top w:val="nil"/>
              <w:left w:val="nil"/>
              <w:bottom w:val="single" w:sz="8" w:space="0" w:color="auto"/>
              <w:right w:val="single" w:sz="8" w:space="0" w:color="auto"/>
            </w:tcBorders>
            <w:shd w:val="clear" w:color="auto" w:fill="auto"/>
            <w:noWrap/>
            <w:vAlign w:val="center"/>
            <w:hideMark/>
          </w:tcPr>
          <w:p w14:paraId="138106C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1627</w:t>
            </w:r>
          </w:p>
        </w:tc>
        <w:tc>
          <w:tcPr>
            <w:tcW w:w="1161" w:type="dxa"/>
            <w:tcBorders>
              <w:top w:val="nil"/>
              <w:left w:val="nil"/>
              <w:bottom w:val="single" w:sz="8" w:space="0" w:color="auto"/>
              <w:right w:val="single" w:sz="8" w:space="0" w:color="auto"/>
            </w:tcBorders>
            <w:shd w:val="clear" w:color="auto" w:fill="auto"/>
            <w:noWrap/>
            <w:vAlign w:val="center"/>
            <w:hideMark/>
          </w:tcPr>
          <w:p w14:paraId="57EE631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0.18</w:t>
            </w:r>
          </w:p>
        </w:tc>
        <w:tc>
          <w:tcPr>
            <w:tcW w:w="1161" w:type="dxa"/>
            <w:tcBorders>
              <w:top w:val="nil"/>
              <w:left w:val="nil"/>
              <w:bottom w:val="single" w:sz="8" w:space="0" w:color="auto"/>
              <w:right w:val="single" w:sz="8" w:space="0" w:color="auto"/>
            </w:tcBorders>
            <w:shd w:val="clear" w:color="auto" w:fill="auto"/>
            <w:noWrap/>
            <w:vAlign w:val="center"/>
            <w:hideMark/>
          </w:tcPr>
          <w:p w14:paraId="6F5CAF9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16.6</w:t>
            </w:r>
          </w:p>
        </w:tc>
        <w:tc>
          <w:tcPr>
            <w:tcW w:w="1161" w:type="dxa"/>
            <w:tcBorders>
              <w:top w:val="nil"/>
              <w:left w:val="nil"/>
              <w:bottom w:val="single" w:sz="8" w:space="0" w:color="auto"/>
              <w:right w:val="single" w:sz="8" w:space="0" w:color="auto"/>
            </w:tcBorders>
            <w:shd w:val="clear" w:color="auto" w:fill="auto"/>
            <w:noWrap/>
            <w:vAlign w:val="center"/>
            <w:hideMark/>
          </w:tcPr>
          <w:p w14:paraId="51CA0BB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92%L+G</w:t>
            </w:r>
          </w:p>
        </w:tc>
      </w:tr>
      <w:tr w:rsidR="00207DA0" w:rsidRPr="00C437CE" w14:paraId="41CAFC2C" w14:textId="77777777" w:rsidTr="00A17A02">
        <w:trPr>
          <w:trHeight w:val="324"/>
        </w:trPr>
        <w:tc>
          <w:tcPr>
            <w:tcW w:w="1170" w:type="dxa"/>
            <w:tcBorders>
              <w:top w:val="nil"/>
              <w:left w:val="single" w:sz="8" w:space="0" w:color="auto"/>
              <w:bottom w:val="nil"/>
              <w:right w:val="single" w:sz="8" w:space="0" w:color="auto"/>
            </w:tcBorders>
            <w:shd w:val="clear" w:color="auto" w:fill="auto"/>
            <w:noWrap/>
            <w:vAlign w:val="center"/>
            <w:hideMark/>
          </w:tcPr>
          <w:p w14:paraId="760BD0D9"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(1.24 E</w:t>
            </w:r>
            <w:r w:rsidRPr="00C437CE">
              <w:rPr>
                <w:rFonts w:ascii="Times New Roman" w:hAnsi="Times New Roman"/>
                <w:b/>
                <w:bCs/>
                <w:color w:val="000000"/>
                <w:sz w:val="20"/>
                <w:vertAlign w:val="superscript"/>
              </w:rPr>
              <w:t>-3</w:t>
            </w:r>
            <w:r w:rsidRPr="00C437CE">
              <w:rPr>
                <w:rFonts w:ascii="Times New Roman" w:hAnsi="Times New Roman"/>
                <w:b/>
                <w:bCs/>
                <w:color w:val="000000"/>
                <w:sz w:val="20"/>
              </w:rPr>
              <w:t>)</w:t>
            </w:r>
          </w:p>
        </w:tc>
        <w:tc>
          <w:tcPr>
            <w:tcW w:w="1136" w:type="dxa"/>
            <w:tcBorders>
              <w:top w:val="nil"/>
              <w:left w:val="nil"/>
              <w:bottom w:val="single" w:sz="8" w:space="0" w:color="auto"/>
              <w:right w:val="single" w:sz="8" w:space="0" w:color="auto"/>
            </w:tcBorders>
            <w:shd w:val="clear" w:color="auto" w:fill="auto"/>
            <w:noWrap/>
            <w:vAlign w:val="center"/>
            <w:hideMark/>
          </w:tcPr>
          <w:p w14:paraId="3E58095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H-bonded C=O</w:t>
            </w:r>
          </w:p>
        </w:tc>
        <w:tc>
          <w:tcPr>
            <w:tcW w:w="1161" w:type="dxa"/>
            <w:tcBorders>
              <w:top w:val="nil"/>
              <w:left w:val="nil"/>
              <w:bottom w:val="single" w:sz="8" w:space="0" w:color="auto"/>
              <w:right w:val="single" w:sz="8" w:space="0" w:color="auto"/>
            </w:tcBorders>
            <w:shd w:val="clear" w:color="auto" w:fill="auto"/>
            <w:noWrap/>
            <w:vAlign w:val="center"/>
            <w:hideMark/>
          </w:tcPr>
          <w:p w14:paraId="526B6031"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1649</w:t>
            </w:r>
          </w:p>
        </w:tc>
        <w:tc>
          <w:tcPr>
            <w:tcW w:w="1161" w:type="dxa"/>
            <w:tcBorders>
              <w:top w:val="nil"/>
              <w:left w:val="nil"/>
              <w:bottom w:val="single" w:sz="8" w:space="0" w:color="auto"/>
              <w:right w:val="single" w:sz="8" w:space="0" w:color="auto"/>
            </w:tcBorders>
            <w:shd w:val="clear" w:color="auto" w:fill="auto"/>
            <w:noWrap/>
            <w:vAlign w:val="center"/>
            <w:hideMark/>
          </w:tcPr>
          <w:p w14:paraId="7C560ED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0.43</w:t>
            </w:r>
          </w:p>
        </w:tc>
        <w:tc>
          <w:tcPr>
            <w:tcW w:w="1161" w:type="dxa"/>
            <w:tcBorders>
              <w:top w:val="nil"/>
              <w:left w:val="nil"/>
              <w:bottom w:val="single" w:sz="8" w:space="0" w:color="auto"/>
              <w:right w:val="single" w:sz="8" w:space="0" w:color="auto"/>
            </w:tcBorders>
            <w:shd w:val="clear" w:color="auto" w:fill="auto"/>
            <w:noWrap/>
            <w:vAlign w:val="center"/>
            <w:hideMark/>
          </w:tcPr>
          <w:p w14:paraId="0C85370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39.8</w:t>
            </w:r>
          </w:p>
        </w:tc>
        <w:tc>
          <w:tcPr>
            <w:tcW w:w="1161" w:type="dxa"/>
            <w:tcBorders>
              <w:top w:val="nil"/>
              <w:left w:val="nil"/>
              <w:bottom w:val="single" w:sz="8" w:space="0" w:color="auto"/>
              <w:right w:val="single" w:sz="8" w:space="0" w:color="auto"/>
            </w:tcBorders>
            <w:shd w:val="clear" w:color="auto" w:fill="auto"/>
            <w:noWrap/>
            <w:vAlign w:val="center"/>
            <w:hideMark/>
          </w:tcPr>
          <w:p w14:paraId="6D9D2CC2"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0%L+G</w:t>
            </w:r>
          </w:p>
        </w:tc>
      </w:tr>
      <w:tr w:rsidR="00207DA0" w:rsidRPr="00C437CE" w14:paraId="32003BAD"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2338FAD4"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auto" w:fill="auto"/>
            <w:noWrap/>
            <w:vAlign w:val="center"/>
            <w:hideMark/>
          </w:tcPr>
          <w:p w14:paraId="5BFB5E7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amide</w:t>
            </w:r>
          </w:p>
        </w:tc>
        <w:tc>
          <w:tcPr>
            <w:tcW w:w="1161" w:type="dxa"/>
            <w:tcBorders>
              <w:top w:val="nil"/>
              <w:left w:val="nil"/>
              <w:bottom w:val="single" w:sz="8" w:space="0" w:color="auto"/>
              <w:right w:val="single" w:sz="8" w:space="0" w:color="auto"/>
            </w:tcBorders>
            <w:shd w:val="clear" w:color="auto" w:fill="auto"/>
            <w:noWrap/>
            <w:vAlign w:val="center"/>
            <w:hideMark/>
          </w:tcPr>
          <w:p w14:paraId="556512E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1677</w:t>
            </w:r>
          </w:p>
        </w:tc>
        <w:tc>
          <w:tcPr>
            <w:tcW w:w="1161" w:type="dxa"/>
            <w:tcBorders>
              <w:top w:val="nil"/>
              <w:left w:val="nil"/>
              <w:bottom w:val="single" w:sz="8" w:space="0" w:color="auto"/>
              <w:right w:val="single" w:sz="8" w:space="0" w:color="auto"/>
            </w:tcBorders>
            <w:shd w:val="clear" w:color="auto" w:fill="auto"/>
            <w:noWrap/>
            <w:vAlign w:val="center"/>
            <w:hideMark/>
          </w:tcPr>
          <w:p w14:paraId="2193809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0.4</w:t>
            </w:r>
          </w:p>
        </w:tc>
        <w:tc>
          <w:tcPr>
            <w:tcW w:w="1161" w:type="dxa"/>
            <w:tcBorders>
              <w:top w:val="nil"/>
              <w:left w:val="nil"/>
              <w:bottom w:val="single" w:sz="8" w:space="0" w:color="auto"/>
              <w:right w:val="single" w:sz="8" w:space="0" w:color="auto"/>
            </w:tcBorders>
            <w:shd w:val="clear" w:color="auto" w:fill="auto"/>
            <w:noWrap/>
            <w:vAlign w:val="center"/>
            <w:hideMark/>
          </w:tcPr>
          <w:p w14:paraId="32B9C63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37.5</w:t>
            </w:r>
          </w:p>
        </w:tc>
        <w:tc>
          <w:tcPr>
            <w:tcW w:w="1161" w:type="dxa"/>
            <w:tcBorders>
              <w:top w:val="nil"/>
              <w:left w:val="nil"/>
              <w:bottom w:val="single" w:sz="8" w:space="0" w:color="auto"/>
              <w:right w:val="single" w:sz="8" w:space="0" w:color="auto"/>
            </w:tcBorders>
            <w:shd w:val="clear" w:color="auto" w:fill="auto"/>
            <w:noWrap/>
            <w:vAlign w:val="center"/>
            <w:hideMark/>
          </w:tcPr>
          <w:p w14:paraId="1BF5711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0%L+G</w:t>
            </w:r>
          </w:p>
        </w:tc>
      </w:tr>
      <w:tr w:rsidR="00207DA0" w:rsidRPr="00C437CE" w14:paraId="245DC8CF" w14:textId="77777777" w:rsidTr="00A17A02">
        <w:trPr>
          <w:trHeight w:val="300"/>
        </w:trPr>
        <w:tc>
          <w:tcPr>
            <w:tcW w:w="1170" w:type="dxa"/>
            <w:tcBorders>
              <w:top w:val="nil"/>
              <w:left w:val="single" w:sz="8" w:space="0" w:color="auto"/>
              <w:bottom w:val="single" w:sz="8" w:space="0" w:color="000000"/>
              <w:right w:val="single" w:sz="8" w:space="0" w:color="auto"/>
            </w:tcBorders>
            <w:shd w:val="clear" w:color="auto" w:fill="auto"/>
            <w:noWrap/>
            <w:vAlign w:val="center"/>
            <w:hideMark/>
          </w:tcPr>
          <w:p w14:paraId="4DFE17CA"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000000" w:fill="E7E6E6"/>
            <w:noWrap/>
            <w:vAlign w:val="center"/>
            <w:hideMark/>
          </w:tcPr>
          <w:p w14:paraId="27E3863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acid</w:t>
            </w:r>
          </w:p>
        </w:tc>
        <w:tc>
          <w:tcPr>
            <w:tcW w:w="1161" w:type="dxa"/>
            <w:tcBorders>
              <w:top w:val="nil"/>
              <w:left w:val="nil"/>
              <w:bottom w:val="single" w:sz="8" w:space="0" w:color="auto"/>
              <w:right w:val="single" w:sz="8" w:space="0" w:color="auto"/>
            </w:tcBorders>
            <w:shd w:val="clear" w:color="000000" w:fill="E7E6E6"/>
            <w:noWrap/>
            <w:vAlign w:val="center"/>
            <w:hideMark/>
          </w:tcPr>
          <w:p w14:paraId="5EA099A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1718</w:t>
            </w:r>
          </w:p>
        </w:tc>
        <w:tc>
          <w:tcPr>
            <w:tcW w:w="1161" w:type="dxa"/>
            <w:tcBorders>
              <w:top w:val="nil"/>
              <w:left w:val="nil"/>
              <w:bottom w:val="single" w:sz="8" w:space="0" w:color="auto"/>
              <w:right w:val="single" w:sz="8" w:space="0" w:color="auto"/>
            </w:tcBorders>
            <w:shd w:val="clear" w:color="000000" w:fill="E7E6E6"/>
            <w:noWrap/>
            <w:vAlign w:val="center"/>
            <w:hideMark/>
          </w:tcPr>
          <w:p w14:paraId="5234C722"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0.07</w:t>
            </w:r>
          </w:p>
        </w:tc>
        <w:tc>
          <w:tcPr>
            <w:tcW w:w="1161" w:type="dxa"/>
            <w:tcBorders>
              <w:top w:val="nil"/>
              <w:left w:val="nil"/>
              <w:bottom w:val="single" w:sz="8" w:space="0" w:color="auto"/>
              <w:right w:val="single" w:sz="8" w:space="0" w:color="auto"/>
            </w:tcBorders>
            <w:shd w:val="clear" w:color="000000" w:fill="E7E6E6"/>
            <w:noWrap/>
            <w:vAlign w:val="center"/>
            <w:hideMark/>
          </w:tcPr>
          <w:p w14:paraId="4DC84728"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49.4</w:t>
            </w:r>
          </w:p>
        </w:tc>
        <w:tc>
          <w:tcPr>
            <w:tcW w:w="1161" w:type="dxa"/>
            <w:tcBorders>
              <w:top w:val="nil"/>
              <w:left w:val="nil"/>
              <w:bottom w:val="single" w:sz="8" w:space="0" w:color="auto"/>
              <w:right w:val="single" w:sz="8" w:space="0" w:color="auto"/>
            </w:tcBorders>
            <w:shd w:val="clear" w:color="000000" w:fill="E7E6E6"/>
            <w:noWrap/>
            <w:vAlign w:val="center"/>
            <w:hideMark/>
          </w:tcPr>
          <w:p w14:paraId="175EA14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66%L+G</w:t>
            </w:r>
          </w:p>
        </w:tc>
      </w:tr>
      <w:tr w:rsidR="00207DA0" w:rsidRPr="00C437CE" w14:paraId="2091D91C"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3CED6087"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2</w:t>
            </w:r>
          </w:p>
        </w:tc>
        <w:tc>
          <w:tcPr>
            <w:tcW w:w="1136" w:type="dxa"/>
            <w:tcBorders>
              <w:top w:val="nil"/>
              <w:left w:val="nil"/>
              <w:bottom w:val="single" w:sz="8" w:space="0" w:color="auto"/>
              <w:right w:val="single" w:sz="8" w:space="0" w:color="auto"/>
            </w:tcBorders>
            <w:shd w:val="clear" w:color="auto" w:fill="auto"/>
            <w:noWrap/>
            <w:vAlign w:val="center"/>
            <w:hideMark/>
          </w:tcPr>
          <w:p w14:paraId="799CDEC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C=C aromatic</w:t>
            </w:r>
          </w:p>
        </w:tc>
        <w:tc>
          <w:tcPr>
            <w:tcW w:w="1161" w:type="dxa"/>
            <w:tcBorders>
              <w:top w:val="nil"/>
              <w:left w:val="nil"/>
              <w:bottom w:val="single" w:sz="8" w:space="0" w:color="auto"/>
              <w:right w:val="single" w:sz="8" w:space="0" w:color="auto"/>
            </w:tcBorders>
            <w:shd w:val="clear" w:color="auto" w:fill="auto"/>
            <w:noWrap/>
            <w:vAlign w:val="center"/>
            <w:hideMark/>
          </w:tcPr>
          <w:p w14:paraId="121B59E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1627</w:t>
            </w:r>
          </w:p>
        </w:tc>
        <w:tc>
          <w:tcPr>
            <w:tcW w:w="1161" w:type="dxa"/>
            <w:tcBorders>
              <w:top w:val="nil"/>
              <w:left w:val="nil"/>
              <w:bottom w:val="single" w:sz="8" w:space="0" w:color="auto"/>
              <w:right w:val="single" w:sz="8" w:space="0" w:color="auto"/>
            </w:tcBorders>
            <w:shd w:val="clear" w:color="auto" w:fill="auto"/>
            <w:noWrap/>
            <w:vAlign w:val="center"/>
            <w:hideMark/>
          </w:tcPr>
          <w:p w14:paraId="3E55A6A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0.13</w:t>
            </w:r>
          </w:p>
        </w:tc>
        <w:tc>
          <w:tcPr>
            <w:tcW w:w="1161" w:type="dxa"/>
            <w:tcBorders>
              <w:top w:val="nil"/>
              <w:left w:val="nil"/>
              <w:bottom w:val="single" w:sz="8" w:space="0" w:color="auto"/>
              <w:right w:val="single" w:sz="8" w:space="0" w:color="auto"/>
            </w:tcBorders>
            <w:shd w:val="clear" w:color="auto" w:fill="auto"/>
            <w:noWrap/>
            <w:vAlign w:val="center"/>
            <w:hideMark/>
          </w:tcPr>
          <w:p w14:paraId="76E70811"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15</w:t>
            </w:r>
          </w:p>
        </w:tc>
        <w:tc>
          <w:tcPr>
            <w:tcW w:w="1161" w:type="dxa"/>
            <w:tcBorders>
              <w:top w:val="nil"/>
              <w:left w:val="nil"/>
              <w:bottom w:val="single" w:sz="8" w:space="0" w:color="auto"/>
              <w:right w:val="single" w:sz="8" w:space="0" w:color="auto"/>
            </w:tcBorders>
            <w:shd w:val="clear" w:color="auto" w:fill="auto"/>
            <w:noWrap/>
            <w:vAlign w:val="center"/>
            <w:hideMark/>
          </w:tcPr>
          <w:p w14:paraId="182D653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92% L+G</w:t>
            </w:r>
          </w:p>
        </w:tc>
      </w:tr>
      <w:tr w:rsidR="00207DA0" w:rsidRPr="00C437CE" w14:paraId="434E2731" w14:textId="77777777" w:rsidTr="00A17A02">
        <w:trPr>
          <w:trHeight w:val="324"/>
        </w:trPr>
        <w:tc>
          <w:tcPr>
            <w:tcW w:w="1170" w:type="dxa"/>
            <w:tcBorders>
              <w:top w:val="nil"/>
              <w:left w:val="single" w:sz="8" w:space="0" w:color="auto"/>
              <w:bottom w:val="nil"/>
              <w:right w:val="single" w:sz="8" w:space="0" w:color="auto"/>
            </w:tcBorders>
            <w:shd w:val="clear" w:color="auto" w:fill="auto"/>
            <w:noWrap/>
            <w:vAlign w:val="center"/>
            <w:hideMark/>
          </w:tcPr>
          <w:p w14:paraId="1642DBFE"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(1.97 E</w:t>
            </w:r>
            <w:r w:rsidRPr="00C437CE">
              <w:rPr>
                <w:rFonts w:ascii="Times New Roman" w:hAnsi="Times New Roman"/>
                <w:b/>
                <w:bCs/>
                <w:color w:val="000000"/>
                <w:sz w:val="20"/>
                <w:vertAlign w:val="superscript"/>
              </w:rPr>
              <w:t>-3</w:t>
            </w:r>
            <w:r w:rsidRPr="00C437CE">
              <w:rPr>
                <w:rFonts w:ascii="Times New Roman" w:hAnsi="Times New Roman"/>
                <w:b/>
                <w:bCs/>
                <w:color w:val="000000"/>
                <w:sz w:val="20"/>
              </w:rPr>
              <w:t>)</w:t>
            </w:r>
          </w:p>
        </w:tc>
        <w:tc>
          <w:tcPr>
            <w:tcW w:w="1136" w:type="dxa"/>
            <w:tcBorders>
              <w:top w:val="nil"/>
              <w:left w:val="nil"/>
              <w:bottom w:val="single" w:sz="8" w:space="0" w:color="auto"/>
              <w:right w:val="single" w:sz="8" w:space="0" w:color="auto"/>
            </w:tcBorders>
            <w:shd w:val="clear" w:color="auto" w:fill="auto"/>
            <w:noWrap/>
            <w:vAlign w:val="center"/>
            <w:hideMark/>
          </w:tcPr>
          <w:p w14:paraId="1DFE6A6E"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H-bonded C=O</w:t>
            </w:r>
          </w:p>
        </w:tc>
        <w:tc>
          <w:tcPr>
            <w:tcW w:w="1161" w:type="dxa"/>
            <w:tcBorders>
              <w:top w:val="nil"/>
              <w:left w:val="nil"/>
              <w:bottom w:val="single" w:sz="8" w:space="0" w:color="auto"/>
              <w:right w:val="single" w:sz="8" w:space="0" w:color="auto"/>
            </w:tcBorders>
            <w:shd w:val="clear" w:color="auto" w:fill="auto"/>
            <w:noWrap/>
            <w:vAlign w:val="center"/>
            <w:hideMark/>
          </w:tcPr>
          <w:p w14:paraId="4445B88E"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1651</w:t>
            </w:r>
          </w:p>
        </w:tc>
        <w:tc>
          <w:tcPr>
            <w:tcW w:w="1161" w:type="dxa"/>
            <w:tcBorders>
              <w:top w:val="nil"/>
              <w:left w:val="nil"/>
              <w:bottom w:val="single" w:sz="8" w:space="0" w:color="auto"/>
              <w:right w:val="single" w:sz="8" w:space="0" w:color="auto"/>
            </w:tcBorders>
            <w:shd w:val="clear" w:color="auto" w:fill="auto"/>
            <w:noWrap/>
            <w:vAlign w:val="center"/>
            <w:hideMark/>
          </w:tcPr>
          <w:p w14:paraId="41C5FB1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0.42</w:t>
            </w:r>
          </w:p>
        </w:tc>
        <w:tc>
          <w:tcPr>
            <w:tcW w:w="1161" w:type="dxa"/>
            <w:tcBorders>
              <w:top w:val="nil"/>
              <w:left w:val="nil"/>
              <w:bottom w:val="single" w:sz="8" w:space="0" w:color="auto"/>
              <w:right w:val="single" w:sz="8" w:space="0" w:color="auto"/>
            </w:tcBorders>
            <w:shd w:val="clear" w:color="auto" w:fill="auto"/>
            <w:noWrap/>
            <w:vAlign w:val="center"/>
            <w:hideMark/>
          </w:tcPr>
          <w:p w14:paraId="633DD96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42.9</w:t>
            </w:r>
          </w:p>
        </w:tc>
        <w:tc>
          <w:tcPr>
            <w:tcW w:w="1161" w:type="dxa"/>
            <w:tcBorders>
              <w:top w:val="nil"/>
              <w:left w:val="nil"/>
              <w:bottom w:val="single" w:sz="8" w:space="0" w:color="auto"/>
              <w:right w:val="single" w:sz="8" w:space="0" w:color="auto"/>
            </w:tcBorders>
            <w:shd w:val="clear" w:color="auto" w:fill="auto"/>
            <w:noWrap/>
            <w:vAlign w:val="center"/>
            <w:hideMark/>
          </w:tcPr>
          <w:p w14:paraId="56CAF60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C437CE" w14:paraId="014A6956"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28424DCE"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auto" w:fill="auto"/>
            <w:noWrap/>
            <w:vAlign w:val="center"/>
            <w:hideMark/>
          </w:tcPr>
          <w:p w14:paraId="12AFAAD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amide</w:t>
            </w:r>
          </w:p>
        </w:tc>
        <w:tc>
          <w:tcPr>
            <w:tcW w:w="1161" w:type="dxa"/>
            <w:tcBorders>
              <w:top w:val="nil"/>
              <w:left w:val="nil"/>
              <w:bottom w:val="single" w:sz="8" w:space="0" w:color="auto"/>
              <w:right w:val="single" w:sz="8" w:space="0" w:color="auto"/>
            </w:tcBorders>
            <w:shd w:val="clear" w:color="auto" w:fill="auto"/>
            <w:noWrap/>
            <w:vAlign w:val="center"/>
            <w:hideMark/>
          </w:tcPr>
          <w:p w14:paraId="783A774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1676</w:t>
            </w:r>
          </w:p>
        </w:tc>
        <w:tc>
          <w:tcPr>
            <w:tcW w:w="1161" w:type="dxa"/>
            <w:tcBorders>
              <w:top w:val="nil"/>
              <w:left w:val="nil"/>
              <w:bottom w:val="single" w:sz="8" w:space="0" w:color="auto"/>
              <w:right w:val="single" w:sz="8" w:space="0" w:color="auto"/>
            </w:tcBorders>
            <w:shd w:val="clear" w:color="auto" w:fill="auto"/>
            <w:noWrap/>
            <w:vAlign w:val="center"/>
            <w:hideMark/>
          </w:tcPr>
          <w:p w14:paraId="75FF22A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0.33</w:t>
            </w:r>
          </w:p>
        </w:tc>
        <w:tc>
          <w:tcPr>
            <w:tcW w:w="1161" w:type="dxa"/>
            <w:tcBorders>
              <w:top w:val="nil"/>
              <w:left w:val="nil"/>
              <w:bottom w:val="single" w:sz="8" w:space="0" w:color="auto"/>
              <w:right w:val="single" w:sz="8" w:space="0" w:color="auto"/>
            </w:tcBorders>
            <w:shd w:val="clear" w:color="auto" w:fill="auto"/>
            <w:noWrap/>
            <w:vAlign w:val="center"/>
            <w:hideMark/>
          </w:tcPr>
          <w:p w14:paraId="57E159A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35.7</w:t>
            </w:r>
          </w:p>
        </w:tc>
        <w:tc>
          <w:tcPr>
            <w:tcW w:w="1161" w:type="dxa"/>
            <w:tcBorders>
              <w:top w:val="nil"/>
              <w:left w:val="nil"/>
              <w:bottom w:val="single" w:sz="8" w:space="0" w:color="auto"/>
              <w:right w:val="single" w:sz="8" w:space="0" w:color="auto"/>
            </w:tcBorders>
            <w:shd w:val="clear" w:color="auto" w:fill="auto"/>
            <w:noWrap/>
            <w:vAlign w:val="center"/>
            <w:hideMark/>
          </w:tcPr>
          <w:p w14:paraId="7B3A292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C437CE" w14:paraId="2D321A1E" w14:textId="77777777" w:rsidTr="00A17A02">
        <w:trPr>
          <w:trHeight w:val="300"/>
        </w:trPr>
        <w:tc>
          <w:tcPr>
            <w:tcW w:w="1170" w:type="dxa"/>
            <w:tcBorders>
              <w:top w:val="nil"/>
              <w:left w:val="single" w:sz="8" w:space="0" w:color="auto"/>
              <w:bottom w:val="single" w:sz="8" w:space="0" w:color="000000"/>
              <w:right w:val="single" w:sz="8" w:space="0" w:color="auto"/>
            </w:tcBorders>
            <w:shd w:val="clear" w:color="auto" w:fill="auto"/>
            <w:noWrap/>
            <w:vAlign w:val="center"/>
            <w:hideMark/>
          </w:tcPr>
          <w:p w14:paraId="1EB7AE88"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000000" w:fill="E7E6E6"/>
            <w:noWrap/>
            <w:vAlign w:val="center"/>
            <w:hideMark/>
          </w:tcPr>
          <w:p w14:paraId="07AF6A48"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acid</w:t>
            </w:r>
          </w:p>
        </w:tc>
        <w:tc>
          <w:tcPr>
            <w:tcW w:w="1161" w:type="dxa"/>
            <w:tcBorders>
              <w:top w:val="nil"/>
              <w:left w:val="nil"/>
              <w:bottom w:val="single" w:sz="8" w:space="0" w:color="auto"/>
              <w:right w:val="single" w:sz="8" w:space="0" w:color="auto"/>
            </w:tcBorders>
            <w:shd w:val="clear" w:color="000000" w:fill="E7E6E6"/>
            <w:noWrap/>
            <w:vAlign w:val="center"/>
            <w:hideMark/>
          </w:tcPr>
          <w:p w14:paraId="6F8D071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1718</w:t>
            </w:r>
          </w:p>
        </w:tc>
        <w:tc>
          <w:tcPr>
            <w:tcW w:w="1161" w:type="dxa"/>
            <w:tcBorders>
              <w:top w:val="nil"/>
              <w:left w:val="nil"/>
              <w:bottom w:val="single" w:sz="8" w:space="0" w:color="auto"/>
              <w:right w:val="single" w:sz="8" w:space="0" w:color="auto"/>
            </w:tcBorders>
            <w:shd w:val="clear" w:color="000000" w:fill="E7E6E6"/>
            <w:noWrap/>
            <w:vAlign w:val="center"/>
            <w:hideMark/>
          </w:tcPr>
          <w:p w14:paraId="1055BEA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0.07</w:t>
            </w:r>
          </w:p>
        </w:tc>
        <w:tc>
          <w:tcPr>
            <w:tcW w:w="1161" w:type="dxa"/>
            <w:tcBorders>
              <w:top w:val="nil"/>
              <w:left w:val="nil"/>
              <w:bottom w:val="single" w:sz="8" w:space="0" w:color="auto"/>
              <w:right w:val="single" w:sz="8" w:space="0" w:color="auto"/>
            </w:tcBorders>
            <w:shd w:val="clear" w:color="000000" w:fill="E7E6E6"/>
            <w:noWrap/>
            <w:vAlign w:val="center"/>
            <w:hideMark/>
          </w:tcPr>
          <w:p w14:paraId="4480053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45.4</w:t>
            </w:r>
          </w:p>
        </w:tc>
        <w:tc>
          <w:tcPr>
            <w:tcW w:w="1161" w:type="dxa"/>
            <w:tcBorders>
              <w:top w:val="nil"/>
              <w:left w:val="nil"/>
              <w:bottom w:val="single" w:sz="8" w:space="0" w:color="auto"/>
              <w:right w:val="single" w:sz="8" w:space="0" w:color="auto"/>
            </w:tcBorders>
            <w:shd w:val="clear" w:color="000000" w:fill="E7E6E6"/>
            <w:noWrap/>
            <w:vAlign w:val="center"/>
            <w:hideMark/>
          </w:tcPr>
          <w:p w14:paraId="7E5565D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66%L+G</w:t>
            </w:r>
          </w:p>
        </w:tc>
      </w:tr>
      <w:tr w:rsidR="00207DA0" w:rsidRPr="00C437CE" w14:paraId="42E0FBF7"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7620BF58"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3</w:t>
            </w:r>
          </w:p>
        </w:tc>
        <w:tc>
          <w:tcPr>
            <w:tcW w:w="1136" w:type="dxa"/>
            <w:tcBorders>
              <w:top w:val="nil"/>
              <w:left w:val="nil"/>
              <w:bottom w:val="single" w:sz="8" w:space="0" w:color="auto"/>
              <w:right w:val="single" w:sz="8" w:space="0" w:color="auto"/>
            </w:tcBorders>
            <w:shd w:val="clear" w:color="auto" w:fill="auto"/>
            <w:noWrap/>
            <w:vAlign w:val="center"/>
            <w:hideMark/>
          </w:tcPr>
          <w:p w14:paraId="615999F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C=C aromatic</w:t>
            </w:r>
          </w:p>
        </w:tc>
        <w:tc>
          <w:tcPr>
            <w:tcW w:w="1161" w:type="dxa"/>
            <w:tcBorders>
              <w:top w:val="nil"/>
              <w:left w:val="nil"/>
              <w:bottom w:val="single" w:sz="8" w:space="0" w:color="auto"/>
              <w:right w:val="single" w:sz="8" w:space="0" w:color="auto"/>
            </w:tcBorders>
            <w:shd w:val="clear" w:color="auto" w:fill="auto"/>
            <w:noWrap/>
            <w:vAlign w:val="center"/>
            <w:hideMark/>
          </w:tcPr>
          <w:p w14:paraId="4575650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1630</w:t>
            </w:r>
          </w:p>
        </w:tc>
        <w:tc>
          <w:tcPr>
            <w:tcW w:w="1161" w:type="dxa"/>
            <w:tcBorders>
              <w:top w:val="nil"/>
              <w:left w:val="nil"/>
              <w:bottom w:val="single" w:sz="8" w:space="0" w:color="auto"/>
              <w:right w:val="single" w:sz="8" w:space="0" w:color="auto"/>
            </w:tcBorders>
            <w:shd w:val="clear" w:color="auto" w:fill="auto"/>
            <w:noWrap/>
            <w:vAlign w:val="center"/>
            <w:hideMark/>
          </w:tcPr>
          <w:p w14:paraId="43B1FA3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0.06</w:t>
            </w:r>
          </w:p>
        </w:tc>
        <w:tc>
          <w:tcPr>
            <w:tcW w:w="1161" w:type="dxa"/>
            <w:tcBorders>
              <w:top w:val="nil"/>
              <w:left w:val="nil"/>
              <w:bottom w:val="single" w:sz="8" w:space="0" w:color="auto"/>
              <w:right w:val="single" w:sz="8" w:space="0" w:color="auto"/>
            </w:tcBorders>
            <w:shd w:val="clear" w:color="auto" w:fill="auto"/>
            <w:noWrap/>
            <w:vAlign w:val="center"/>
            <w:hideMark/>
          </w:tcPr>
          <w:p w14:paraId="1DD8D1B2"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15.1</w:t>
            </w:r>
          </w:p>
        </w:tc>
        <w:tc>
          <w:tcPr>
            <w:tcW w:w="1161" w:type="dxa"/>
            <w:tcBorders>
              <w:top w:val="nil"/>
              <w:left w:val="nil"/>
              <w:bottom w:val="single" w:sz="8" w:space="0" w:color="auto"/>
              <w:right w:val="single" w:sz="8" w:space="0" w:color="auto"/>
            </w:tcBorders>
            <w:shd w:val="clear" w:color="auto" w:fill="auto"/>
            <w:noWrap/>
            <w:vAlign w:val="center"/>
            <w:hideMark/>
          </w:tcPr>
          <w:p w14:paraId="21F1589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92%L+G</w:t>
            </w:r>
          </w:p>
        </w:tc>
      </w:tr>
      <w:tr w:rsidR="00207DA0" w:rsidRPr="00C437CE" w14:paraId="0B326907" w14:textId="77777777" w:rsidTr="00A17A02">
        <w:trPr>
          <w:trHeight w:val="324"/>
        </w:trPr>
        <w:tc>
          <w:tcPr>
            <w:tcW w:w="1170" w:type="dxa"/>
            <w:tcBorders>
              <w:top w:val="nil"/>
              <w:left w:val="single" w:sz="8" w:space="0" w:color="auto"/>
              <w:bottom w:val="nil"/>
              <w:right w:val="single" w:sz="8" w:space="0" w:color="auto"/>
            </w:tcBorders>
            <w:shd w:val="clear" w:color="auto" w:fill="auto"/>
            <w:noWrap/>
            <w:vAlign w:val="center"/>
            <w:hideMark/>
          </w:tcPr>
          <w:p w14:paraId="4C2EFB69"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(1.32 E</w:t>
            </w:r>
            <w:r w:rsidRPr="00C437CE">
              <w:rPr>
                <w:rFonts w:ascii="Times New Roman" w:hAnsi="Times New Roman"/>
                <w:b/>
                <w:bCs/>
                <w:color w:val="000000"/>
                <w:sz w:val="20"/>
                <w:vertAlign w:val="superscript"/>
              </w:rPr>
              <w:t>-3</w:t>
            </w:r>
            <w:r w:rsidRPr="00C437CE">
              <w:rPr>
                <w:rFonts w:ascii="Times New Roman" w:hAnsi="Times New Roman"/>
                <w:b/>
                <w:bCs/>
                <w:color w:val="000000"/>
                <w:sz w:val="20"/>
              </w:rPr>
              <w:t>)</w:t>
            </w:r>
          </w:p>
        </w:tc>
        <w:tc>
          <w:tcPr>
            <w:tcW w:w="1136" w:type="dxa"/>
            <w:tcBorders>
              <w:top w:val="nil"/>
              <w:left w:val="nil"/>
              <w:bottom w:val="single" w:sz="8" w:space="0" w:color="auto"/>
              <w:right w:val="single" w:sz="8" w:space="0" w:color="auto"/>
            </w:tcBorders>
            <w:shd w:val="clear" w:color="auto" w:fill="auto"/>
            <w:noWrap/>
            <w:vAlign w:val="center"/>
            <w:hideMark/>
          </w:tcPr>
          <w:p w14:paraId="416FCC5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H-bonded C=O</w:t>
            </w:r>
          </w:p>
        </w:tc>
        <w:tc>
          <w:tcPr>
            <w:tcW w:w="1161" w:type="dxa"/>
            <w:tcBorders>
              <w:top w:val="nil"/>
              <w:left w:val="nil"/>
              <w:bottom w:val="single" w:sz="8" w:space="0" w:color="auto"/>
              <w:right w:val="single" w:sz="8" w:space="0" w:color="auto"/>
            </w:tcBorders>
            <w:shd w:val="clear" w:color="auto" w:fill="auto"/>
            <w:noWrap/>
            <w:vAlign w:val="center"/>
            <w:hideMark/>
          </w:tcPr>
          <w:p w14:paraId="78FE7C8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1653</w:t>
            </w:r>
          </w:p>
        </w:tc>
        <w:tc>
          <w:tcPr>
            <w:tcW w:w="1161" w:type="dxa"/>
            <w:tcBorders>
              <w:top w:val="nil"/>
              <w:left w:val="nil"/>
              <w:bottom w:val="single" w:sz="8" w:space="0" w:color="auto"/>
              <w:right w:val="single" w:sz="8" w:space="0" w:color="auto"/>
            </w:tcBorders>
            <w:shd w:val="clear" w:color="auto" w:fill="auto"/>
            <w:noWrap/>
            <w:vAlign w:val="center"/>
            <w:hideMark/>
          </w:tcPr>
          <w:p w14:paraId="55FCCC0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0.22</w:t>
            </w:r>
          </w:p>
        </w:tc>
        <w:tc>
          <w:tcPr>
            <w:tcW w:w="1161" w:type="dxa"/>
            <w:tcBorders>
              <w:top w:val="nil"/>
              <w:left w:val="nil"/>
              <w:bottom w:val="single" w:sz="8" w:space="0" w:color="auto"/>
              <w:right w:val="single" w:sz="8" w:space="0" w:color="auto"/>
            </w:tcBorders>
            <w:shd w:val="clear" w:color="auto" w:fill="auto"/>
            <w:noWrap/>
            <w:vAlign w:val="center"/>
            <w:hideMark/>
          </w:tcPr>
          <w:p w14:paraId="5E2BA87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44.9</w:t>
            </w:r>
          </w:p>
        </w:tc>
        <w:tc>
          <w:tcPr>
            <w:tcW w:w="1161" w:type="dxa"/>
            <w:tcBorders>
              <w:top w:val="nil"/>
              <w:left w:val="nil"/>
              <w:bottom w:val="single" w:sz="8" w:space="0" w:color="auto"/>
              <w:right w:val="single" w:sz="8" w:space="0" w:color="auto"/>
            </w:tcBorders>
            <w:shd w:val="clear" w:color="auto" w:fill="auto"/>
            <w:noWrap/>
            <w:vAlign w:val="center"/>
            <w:hideMark/>
          </w:tcPr>
          <w:p w14:paraId="4BEAD67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0%L+G</w:t>
            </w:r>
          </w:p>
        </w:tc>
      </w:tr>
      <w:tr w:rsidR="00207DA0" w:rsidRPr="00C437CE" w14:paraId="58B39DED"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27F3E432"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auto" w:fill="auto"/>
            <w:noWrap/>
            <w:vAlign w:val="center"/>
            <w:hideMark/>
          </w:tcPr>
          <w:p w14:paraId="528623E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amide</w:t>
            </w:r>
          </w:p>
        </w:tc>
        <w:tc>
          <w:tcPr>
            <w:tcW w:w="1161" w:type="dxa"/>
            <w:tcBorders>
              <w:top w:val="nil"/>
              <w:left w:val="nil"/>
              <w:bottom w:val="single" w:sz="8" w:space="0" w:color="auto"/>
              <w:right w:val="single" w:sz="8" w:space="0" w:color="auto"/>
            </w:tcBorders>
            <w:shd w:val="clear" w:color="auto" w:fill="auto"/>
            <w:noWrap/>
            <w:vAlign w:val="center"/>
            <w:hideMark/>
          </w:tcPr>
          <w:p w14:paraId="7F1C8200"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1677</w:t>
            </w:r>
          </w:p>
        </w:tc>
        <w:tc>
          <w:tcPr>
            <w:tcW w:w="1161" w:type="dxa"/>
            <w:tcBorders>
              <w:top w:val="nil"/>
              <w:left w:val="nil"/>
              <w:bottom w:val="single" w:sz="8" w:space="0" w:color="auto"/>
              <w:right w:val="single" w:sz="8" w:space="0" w:color="auto"/>
            </w:tcBorders>
            <w:shd w:val="clear" w:color="auto" w:fill="auto"/>
            <w:noWrap/>
            <w:vAlign w:val="center"/>
            <w:hideMark/>
          </w:tcPr>
          <w:p w14:paraId="03B42A7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0.13</w:t>
            </w:r>
          </w:p>
        </w:tc>
        <w:tc>
          <w:tcPr>
            <w:tcW w:w="1161" w:type="dxa"/>
            <w:tcBorders>
              <w:top w:val="nil"/>
              <w:left w:val="nil"/>
              <w:bottom w:val="single" w:sz="8" w:space="0" w:color="auto"/>
              <w:right w:val="single" w:sz="8" w:space="0" w:color="auto"/>
            </w:tcBorders>
            <w:shd w:val="clear" w:color="auto" w:fill="auto"/>
            <w:noWrap/>
            <w:vAlign w:val="center"/>
            <w:hideMark/>
          </w:tcPr>
          <w:p w14:paraId="31CE09C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32.8</w:t>
            </w:r>
          </w:p>
        </w:tc>
        <w:tc>
          <w:tcPr>
            <w:tcW w:w="1161" w:type="dxa"/>
            <w:tcBorders>
              <w:top w:val="nil"/>
              <w:left w:val="nil"/>
              <w:bottom w:val="single" w:sz="8" w:space="0" w:color="auto"/>
              <w:right w:val="single" w:sz="8" w:space="0" w:color="auto"/>
            </w:tcBorders>
            <w:shd w:val="clear" w:color="auto" w:fill="auto"/>
            <w:noWrap/>
            <w:vAlign w:val="center"/>
            <w:hideMark/>
          </w:tcPr>
          <w:p w14:paraId="485AA688"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0%L+G</w:t>
            </w:r>
          </w:p>
        </w:tc>
      </w:tr>
      <w:tr w:rsidR="00207DA0" w:rsidRPr="00C437CE" w14:paraId="320C26B8" w14:textId="77777777" w:rsidTr="00A17A02">
        <w:trPr>
          <w:trHeight w:val="300"/>
        </w:trPr>
        <w:tc>
          <w:tcPr>
            <w:tcW w:w="1170" w:type="dxa"/>
            <w:tcBorders>
              <w:top w:val="nil"/>
              <w:left w:val="single" w:sz="8" w:space="0" w:color="auto"/>
              <w:bottom w:val="single" w:sz="8" w:space="0" w:color="000000"/>
              <w:right w:val="single" w:sz="8" w:space="0" w:color="auto"/>
            </w:tcBorders>
            <w:shd w:val="clear" w:color="auto" w:fill="auto"/>
            <w:noWrap/>
            <w:vAlign w:val="center"/>
            <w:hideMark/>
          </w:tcPr>
          <w:p w14:paraId="7DBE63DC"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000000" w:fill="E7E6E6"/>
            <w:noWrap/>
            <w:vAlign w:val="center"/>
            <w:hideMark/>
          </w:tcPr>
          <w:p w14:paraId="0C09FC2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acid</w:t>
            </w:r>
          </w:p>
        </w:tc>
        <w:tc>
          <w:tcPr>
            <w:tcW w:w="1161" w:type="dxa"/>
            <w:tcBorders>
              <w:top w:val="nil"/>
              <w:left w:val="nil"/>
              <w:bottom w:val="single" w:sz="8" w:space="0" w:color="auto"/>
              <w:right w:val="single" w:sz="8" w:space="0" w:color="auto"/>
            </w:tcBorders>
            <w:shd w:val="clear" w:color="000000" w:fill="E7E6E6"/>
            <w:noWrap/>
            <w:vAlign w:val="center"/>
            <w:hideMark/>
          </w:tcPr>
          <w:p w14:paraId="761B99DE"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1718</w:t>
            </w:r>
          </w:p>
        </w:tc>
        <w:tc>
          <w:tcPr>
            <w:tcW w:w="1161" w:type="dxa"/>
            <w:tcBorders>
              <w:top w:val="nil"/>
              <w:left w:val="nil"/>
              <w:bottom w:val="single" w:sz="8" w:space="0" w:color="auto"/>
              <w:right w:val="single" w:sz="8" w:space="0" w:color="auto"/>
            </w:tcBorders>
            <w:shd w:val="clear" w:color="000000" w:fill="E7E6E6"/>
            <w:noWrap/>
            <w:vAlign w:val="center"/>
            <w:hideMark/>
          </w:tcPr>
          <w:p w14:paraId="1BEAC5D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0.04</w:t>
            </w:r>
          </w:p>
        </w:tc>
        <w:tc>
          <w:tcPr>
            <w:tcW w:w="1161" w:type="dxa"/>
            <w:tcBorders>
              <w:top w:val="nil"/>
              <w:left w:val="nil"/>
              <w:bottom w:val="single" w:sz="8" w:space="0" w:color="auto"/>
              <w:right w:val="single" w:sz="8" w:space="0" w:color="auto"/>
            </w:tcBorders>
            <w:shd w:val="clear" w:color="000000" w:fill="E7E6E6"/>
            <w:noWrap/>
            <w:vAlign w:val="center"/>
            <w:hideMark/>
          </w:tcPr>
          <w:p w14:paraId="18B4D46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45.6</w:t>
            </w:r>
          </w:p>
        </w:tc>
        <w:tc>
          <w:tcPr>
            <w:tcW w:w="1161" w:type="dxa"/>
            <w:tcBorders>
              <w:top w:val="nil"/>
              <w:left w:val="nil"/>
              <w:bottom w:val="single" w:sz="8" w:space="0" w:color="auto"/>
              <w:right w:val="single" w:sz="8" w:space="0" w:color="auto"/>
            </w:tcBorders>
            <w:shd w:val="clear" w:color="000000" w:fill="E7E6E6"/>
            <w:noWrap/>
            <w:vAlign w:val="center"/>
            <w:hideMark/>
          </w:tcPr>
          <w:p w14:paraId="6C451A3A"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66%L+G</w:t>
            </w:r>
          </w:p>
        </w:tc>
      </w:tr>
      <w:tr w:rsidR="00207DA0" w:rsidRPr="00C437CE" w14:paraId="04B77EC5"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1736403B"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4</w:t>
            </w:r>
          </w:p>
        </w:tc>
        <w:tc>
          <w:tcPr>
            <w:tcW w:w="1136" w:type="dxa"/>
            <w:tcBorders>
              <w:top w:val="nil"/>
              <w:left w:val="nil"/>
              <w:bottom w:val="single" w:sz="8" w:space="0" w:color="auto"/>
              <w:right w:val="single" w:sz="8" w:space="0" w:color="auto"/>
            </w:tcBorders>
            <w:shd w:val="clear" w:color="auto" w:fill="auto"/>
            <w:noWrap/>
            <w:vAlign w:val="center"/>
            <w:hideMark/>
          </w:tcPr>
          <w:p w14:paraId="174AD3AE"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C=C aromatic</w:t>
            </w:r>
          </w:p>
        </w:tc>
        <w:tc>
          <w:tcPr>
            <w:tcW w:w="1161" w:type="dxa"/>
            <w:tcBorders>
              <w:top w:val="nil"/>
              <w:left w:val="nil"/>
              <w:bottom w:val="single" w:sz="8" w:space="0" w:color="auto"/>
              <w:right w:val="single" w:sz="8" w:space="0" w:color="auto"/>
            </w:tcBorders>
            <w:shd w:val="clear" w:color="auto" w:fill="auto"/>
            <w:noWrap/>
            <w:vAlign w:val="center"/>
            <w:hideMark/>
          </w:tcPr>
          <w:p w14:paraId="2CA76F30"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1627</w:t>
            </w:r>
          </w:p>
        </w:tc>
        <w:tc>
          <w:tcPr>
            <w:tcW w:w="1161" w:type="dxa"/>
            <w:tcBorders>
              <w:top w:val="nil"/>
              <w:left w:val="nil"/>
              <w:bottom w:val="single" w:sz="8" w:space="0" w:color="auto"/>
              <w:right w:val="single" w:sz="8" w:space="0" w:color="auto"/>
            </w:tcBorders>
            <w:shd w:val="clear" w:color="auto" w:fill="auto"/>
            <w:noWrap/>
            <w:vAlign w:val="center"/>
            <w:hideMark/>
          </w:tcPr>
          <w:p w14:paraId="2E61480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0.06</w:t>
            </w:r>
          </w:p>
        </w:tc>
        <w:tc>
          <w:tcPr>
            <w:tcW w:w="1161" w:type="dxa"/>
            <w:tcBorders>
              <w:top w:val="nil"/>
              <w:left w:val="nil"/>
              <w:bottom w:val="single" w:sz="8" w:space="0" w:color="auto"/>
              <w:right w:val="single" w:sz="8" w:space="0" w:color="auto"/>
            </w:tcBorders>
            <w:shd w:val="clear" w:color="auto" w:fill="auto"/>
            <w:noWrap/>
            <w:vAlign w:val="center"/>
            <w:hideMark/>
          </w:tcPr>
          <w:p w14:paraId="6514E1D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11.7</w:t>
            </w:r>
          </w:p>
        </w:tc>
        <w:tc>
          <w:tcPr>
            <w:tcW w:w="1161" w:type="dxa"/>
            <w:tcBorders>
              <w:top w:val="nil"/>
              <w:left w:val="nil"/>
              <w:bottom w:val="single" w:sz="8" w:space="0" w:color="auto"/>
              <w:right w:val="single" w:sz="8" w:space="0" w:color="auto"/>
            </w:tcBorders>
            <w:shd w:val="clear" w:color="auto" w:fill="auto"/>
            <w:noWrap/>
            <w:vAlign w:val="center"/>
            <w:hideMark/>
          </w:tcPr>
          <w:p w14:paraId="6D2A241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92% L+G</w:t>
            </w:r>
          </w:p>
        </w:tc>
      </w:tr>
      <w:tr w:rsidR="00207DA0" w:rsidRPr="00C437CE" w14:paraId="1179A0CA" w14:textId="77777777" w:rsidTr="00A17A02">
        <w:trPr>
          <w:trHeight w:val="324"/>
        </w:trPr>
        <w:tc>
          <w:tcPr>
            <w:tcW w:w="1170" w:type="dxa"/>
            <w:tcBorders>
              <w:top w:val="nil"/>
              <w:left w:val="single" w:sz="8" w:space="0" w:color="auto"/>
              <w:bottom w:val="nil"/>
              <w:right w:val="single" w:sz="8" w:space="0" w:color="auto"/>
            </w:tcBorders>
            <w:shd w:val="clear" w:color="auto" w:fill="auto"/>
            <w:noWrap/>
            <w:vAlign w:val="center"/>
            <w:hideMark/>
          </w:tcPr>
          <w:p w14:paraId="0E86FB26"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(1.53 E</w:t>
            </w:r>
            <w:r w:rsidRPr="00C437CE">
              <w:rPr>
                <w:rFonts w:ascii="Times New Roman" w:hAnsi="Times New Roman"/>
                <w:b/>
                <w:bCs/>
                <w:color w:val="000000"/>
                <w:sz w:val="20"/>
                <w:vertAlign w:val="superscript"/>
              </w:rPr>
              <w:t>-3</w:t>
            </w:r>
            <w:r w:rsidRPr="00C437CE">
              <w:rPr>
                <w:rFonts w:ascii="Times New Roman" w:hAnsi="Times New Roman"/>
                <w:b/>
                <w:bCs/>
                <w:color w:val="000000"/>
                <w:sz w:val="20"/>
              </w:rPr>
              <w:t>)</w:t>
            </w:r>
          </w:p>
        </w:tc>
        <w:tc>
          <w:tcPr>
            <w:tcW w:w="1136" w:type="dxa"/>
            <w:tcBorders>
              <w:top w:val="nil"/>
              <w:left w:val="nil"/>
              <w:bottom w:val="single" w:sz="8" w:space="0" w:color="auto"/>
              <w:right w:val="single" w:sz="8" w:space="0" w:color="auto"/>
            </w:tcBorders>
            <w:shd w:val="clear" w:color="auto" w:fill="auto"/>
            <w:noWrap/>
            <w:vAlign w:val="center"/>
            <w:hideMark/>
          </w:tcPr>
          <w:p w14:paraId="6B5DA16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H-bonded C=O</w:t>
            </w:r>
          </w:p>
        </w:tc>
        <w:tc>
          <w:tcPr>
            <w:tcW w:w="1161" w:type="dxa"/>
            <w:tcBorders>
              <w:top w:val="nil"/>
              <w:left w:val="nil"/>
              <w:bottom w:val="single" w:sz="8" w:space="0" w:color="auto"/>
              <w:right w:val="single" w:sz="8" w:space="0" w:color="auto"/>
            </w:tcBorders>
            <w:shd w:val="clear" w:color="auto" w:fill="auto"/>
            <w:noWrap/>
            <w:vAlign w:val="center"/>
            <w:hideMark/>
          </w:tcPr>
          <w:p w14:paraId="0205693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1645</w:t>
            </w:r>
          </w:p>
        </w:tc>
        <w:tc>
          <w:tcPr>
            <w:tcW w:w="1161" w:type="dxa"/>
            <w:tcBorders>
              <w:top w:val="nil"/>
              <w:left w:val="nil"/>
              <w:bottom w:val="single" w:sz="8" w:space="0" w:color="auto"/>
              <w:right w:val="single" w:sz="8" w:space="0" w:color="auto"/>
            </w:tcBorders>
            <w:shd w:val="clear" w:color="auto" w:fill="auto"/>
            <w:noWrap/>
            <w:vAlign w:val="center"/>
            <w:hideMark/>
          </w:tcPr>
          <w:p w14:paraId="24A1845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0.22</w:t>
            </w:r>
          </w:p>
        </w:tc>
        <w:tc>
          <w:tcPr>
            <w:tcW w:w="1161" w:type="dxa"/>
            <w:tcBorders>
              <w:top w:val="nil"/>
              <w:left w:val="nil"/>
              <w:bottom w:val="single" w:sz="8" w:space="0" w:color="auto"/>
              <w:right w:val="single" w:sz="8" w:space="0" w:color="auto"/>
            </w:tcBorders>
            <w:shd w:val="clear" w:color="auto" w:fill="auto"/>
            <w:noWrap/>
            <w:vAlign w:val="center"/>
            <w:hideMark/>
          </w:tcPr>
          <w:p w14:paraId="635F145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44.6</w:t>
            </w:r>
          </w:p>
        </w:tc>
        <w:tc>
          <w:tcPr>
            <w:tcW w:w="1161" w:type="dxa"/>
            <w:tcBorders>
              <w:top w:val="nil"/>
              <w:left w:val="nil"/>
              <w:bottom w:val="single" w:sz="8" w:space="0" w:color="auto"/>
              <w:right w:val="single" w:sz="8" w:space="0" w:color="auto"/>
            </w:tcBorders>
            <w:shd w:val="clear" w:color="auto" w:fill="auto"/>
            <w:noWrap/>
            <w:vAlign w:val="center"/>
            <w:hideMark/>
          </w:tcPr>
          <w:p w14:paraId="519D0FF2"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C437CE" w14:paraId="49B35808"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021A321D"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auto" w:fill="auto"/>
            <w:noWrap/>
            <w:vAlign w:val="center"/>
            <w:hideMark/>
          </w:tcPr>
          <w:p w14:paraId="4201360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amide</w:t>
            </w:r>
          </w:p>
        </w:tc>
        <w:tc>
          <w:tcPr>
            <w:tcW w:w="1161" w:type="dxa"/>
            <w:tcBorders>
              <w:top w:val="nil"/>
              <w:left w:val="nil"/>
              <w:bottom w:val="single" w:sz="8" w:space="0" w:color="auto"/>
              <w:right w:val="single" w:sz="8" w:space="0" w:color="auto"/>
            </w:tcBorders>
            <w:shd w:val="clear" w:color="auto" w:fill="auto"/>
            <w:noWrap/>
            <w:vAlign w:val="center"/>
            <w:hideMark/>
          </w:tcPr>
          <w:p w14:paraId="4381E2C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1677</w:t>
            </w:r>
          </w:p>
        </w:tc>
        <w:tc>
          <w:tcPr>
            <w:tcW w:w="1161" w:type="dxa"/>
            <w:tcBorders>
              <w:top w:val="nil"/>
              <w:left w:val="nil"/>
              <w:bottom w:val="single" w:sz="8" w:space="0" w:color="auto"/>
              <w:right w:val="single" w:sz="8" w:space="0" w:color="auto"/>
            </w:tcBorders>
            <w:shd w:val="clear" w:color="auto" w:fill="auto"/>
            <w:noWrap/>
            <w:vAlign w:val="center"/>
            <w:hideMark/>
          </w:tcPr>
          <w:p w14:paraId="68E5433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0.21</w:t>
            </w:r>
          </w:p>
        </w:tc>
        <w:tc>
          <w:tcPr>
            <w:tcW w:w="1161" w:type="dxa"/>
            <w:tcBorders>
              <w:top w:val="nil"/>
              <w:left w:val="nil"/>
              <w:bottom w:val="single" w:sz="8" w:space="0" w:color="auto"/>
              <w:right w:val="single" w:sz="8" w:space="0" w:color="auto"/>
            </w:tcBorders>
            <w:shd w:val="clear" w:color="auto" w:fill="auto"/>
            <w:noWrap/>
            <w:vAlign w:val="center"/>
            <w:hideMark/>
          </w:tcPr>
          <w:p w14:paraId="3E5119F5"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40.9</w:t>
            </w:r>
          </w:p>
        </w:tc>
        <w:tc>
          <w:tcPr>
            <w:tcW w:w="1161" w:type="dxa"/>
            <w:tcBorders>
              <w:top w:val="nil"/>
              <w:left w:val="nil"/>
              <w:bottom w:val="single" w:sz="8" w:space="0" w:color="auto"/>
              <w:right w:val="single" w:sz="8" w:space="0" w:color="auto"/>
            </w:tcBorders>
            <w:shd w:val="clear" w:color="auto" w:fill="auto"/>
            <w:noWrap/>
            <w:vAlign w:val="center"/>
            <w:hideMark/>
          </w:tcPr>
          <w:p w14:paraId="485D9895"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C437CE" w14:paraId="65F795FB" w14:textId="77777777" w:rsidTr="00A17A02">
        <w:trPr>
          <w:trHeight w:val="300"/>
        </w:trPr>
        <w:tc>
          <w:tcPr>
            <w:tcW w:w="1170" w:type="dxa"/>
            <w:tcBorders>
              <w:top w:val="nil"/>
              <w:left w:val="single" w:sz="8" w:space="0" w:color="auto"/>
              <w:bottom w:val="single" w:sz="8" w:space="0" w:color="000000"/>
              <w:right w:val="single" w:sz="8" w:space="0" w:color="auto"/>
            </w:tcBorders>
            <w:shd w:val="clear" w:color="auto" w:fill="auto"/>
            <w:noWrap/>
            <w:vAlign w:val="center"/>
            <w:hideMark/>
          </w:tcPr>
          <w:p w14:paraId="004504D3"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000000" w:fill="E7E6E6"/>
            <w:noWrap/>
            <w:vAlign w:val="center"/>
            <w:hideMark/>
          </w:tcPr>
          <w:p w14:paraId="72D6C4ED"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acid</w:t>
            </w:r>
          </w:p>
        </w:tc>
        <w:tc>
          <w:tcPr>
            <w:tcW w:w="1161" w:type="dxa"/>
            <w:tcBorders>
              <w:top w:val="nil"/>
              <w:left w:val="nil"/>
              <w:bottom w:val="single" w:sz="8" w:space="0" w:color="auto"/>
              <w:right w:val="single" w:sz="8" w:space="0" w:color="auto"/>
            </w:tcBorders>
            <w:shd w:val="clear" w:color="000000" w:fill="E7E6E6"/>
            <w:noWrap/>
            <w:vAlign w:val="center"/>
            <w:hideMark/>
          </w:tcPr>
          <w:p w14:paraId="344DB3B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1718</w:t>
            </w:r>
          </w:p>
        </w:tc>
        <w:tc>
          <w:tcPr>
            <w:tcW w:w="1161" w:type="dxa"/>
            <w:tcBorders>
              <w:top w:val="nil"/>
              <w:left w:val="nil"/>
              <w:bottom w:val="single" w:sz="8" w:space="0" w:color="auto"/>
              <w:right w:val="single" w:sz="8" w:space="0" w:color="auto"/>
            </w:tcBorders>
            <w:shd w:val="clear" w:color="000000" w:fill="E7E6E6"/>
            <w:noWrap/>
            <w:vAlign w:val="center"/>
            <w:hideMark/>
          </w:tcPr>
          <w:p w14:paraId="23F4E9E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0.06</w:t>
            </w:r>
          </w:p>
        </w:tc>
        <w:tc>
          <w:tcPr>
            <w:tcW w:w="1161" w:type="dxa"/>
            <w:tcBorders>
              <w:top w:val="nil"/>
              <w:left w:val="nil"/>
              <w:bottom w:val="single" w:sz="8" w:space="0" w:color="auto"/>
              <w:right w:val="single" w:sz="8" w:space="0" w:color="auto"/>
            </w:tcBorders>
            <w:shd w:val="clear" w:color="000000" w:fill="E7E6E6"/>
            <w:noWrap/>
            <w:vAlign w:val="center"/>
            <w:hideMark/>
          </w:tcPr>
          <w:p w14:paraId="05BEC62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45.8</w:t>
            </w:r>
          </w:p>
        </w:tc>
        <w:tc>
          <w:tcPr>
            <w:tcW w:w="1161" w:type="dxa"/>
            <w:tcBorders>
              <w:top w:val="nil"/>
              <w:left w:val="nil"/>
              <w:bottom w:val="single" w:sz="8" w:space="0" w:color="auto"/>
              <w:right w:val="single" w:sz="8" w:space="0" w:color="auto"/>
            </w:tcBorders>
            <w:shd w:val="clear" w:color="000000" w:fill="E7E6E6"/>
            <w:noWrap/>
            <w:vAlign w:val="center"/>
            <w:hideMark/>
          </w:tcPr>
          <w:p w14:paraId="02C54BB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66%L+G</w:t>
            </w:r>
          </w:p>
        </w:tc>
      </w:tr>
      <w:tr w:rsidR="00207DA0" w:rsidRPr="00C437CE" w14:paraId="146AE9CB"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6641B5D8"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5</w:t>
            </w:r>
          </w:p>
        </w:tc>
        <w:tc>
          <w:tcPr>
            <w:tcW w:w="1136" w:type="dxa"/>
            <w:tcBorders>
              <w:top w:val="nil"/>
              <w:left w:val="nil"/>
              <w:bottom w:val="single" w:sz="8" w:space="0" w:color="auto"/>
              <w:right w:val="single" w:sz="8" w:space="0" w:color="auto"/>
            </w:tcBorders>
            <w:shd w:val="clear" w:color="auto" w:fill="auto"/>
            <w:noWrap/>
            <w:vAlign w:val="center"/>
            <w:hideMark/>
          </w:tcPr>
          <w:p w14:paraId="01EA136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C=C aromatic</w:t>
            </w:r>
          </w:p>
        </w:tc>
        <w:tc>
          <w:tcPr>
            <w:tcW w:w="1161" w:type="dxa"/>
            <w:tcBorders>
              <w:top w:val="nil"/>
              <w:left w:val="nil"/>
              <w:bottom w:val="single" w:sz="8" w:space="0" w:color="auto"/>
              <w:right w:val="single" w:sz="8" w:space="0" w:color="auto"/>
            </w:tcBorders>
            <w:shd w:val="clear" w:color="auto" w:fill="auto"/>
            <w:noWrap/>
            <w:vAlign w:val="center"/>
            <w:hideMark/>
          </w:tcPr>
          <w:p w14:paraId="0BF6705F"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1627</w:t>
            </w:r>
          </w:p>
        </w:tc>
        <w:tc>
          <w:tcPr>
            <w:tcW w:w="1161" w:type="dxa"/>
            <w:tcBorders>
              <w:top w:val="nil"/>
              <w:left w:val="nil"/>
              <w:bottom w:val="single" w:sz="8" w:space="0" w:color="auto"/>
              <w:right w:val="single" w:sz="8" w:space="0" w:color="auto"/>
            </w:tcBorders>
            <w:shd w:val="clear" w:color="auto" w:fill="auto"/>
            <w:noWrap/>
            <w:vAlign w:val="center"/>
            <w:hideMark/>
          </w:tcPr>
          <w:p w14:paraId="084190D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0.1</w:t>
            </w:r>
          </w:p>
        </w:tc>
        <w:tc>
          <w:tcPr>
            <w:tcW w:w="1161" w:type="dxa"/>
            <w:tcBorders>
              <w:top w:val="nil"/>
              <w:left w:val="nil"/>
              <w:bottom w:val="single" w:sz="8" w:space="0" w:color="auto"/>
              <w:right w:val="single" w:sz="8" w:space="0" w:color="auto"/>
            </w:tcBorders>
            <w:shd w:val="clear" w:color="auto" w:fill="auto"/>
            <w:noWrap/>
            <w:vAlign w:val="center"/>
            <w:hideMark/>
          </w:tcPr>
          <w:p w14:paraId="565EEFB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14.6</w:t>
            </w:r>
          </w:p>
        </w:tc>
        <w:tc>
          <w:tcPr>
            <w:tcW w:w="1161" w:type="dxa"/>
            <w:tcBorders>
              <w:top w:val="nil"/>
              <w:left w:val="nil"/>
              <w:bottom w:val="single" w:sz="8" w:space="0" w:color="auto"/>
              <w:right w:val="single" w:sz="8" w:space="0" w:color="auto"/>
            </w:tcBorders>
            <w:shd w:val="clear" w:color="auto" w:fill="auto"/>
            <w:noWrap/>
            <w:vAlign w:val="center"/>
            <w:hideMark/>
          </w:tcPr>
          <w:p w14:paraId="131E81EC"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92% L+G</w:t>
            </w:r>
          </w:p>
        </w:tc>
      </w:tr>
      <w:tr w:rsidR="00207DA0" w:rsidRPr="00C437CE" w14:paraId="7A9B875F" w14:textId="77777777" w:rsidTr="00A17A02">
        <w:trPr>
          <w:trHeight w:val="324"/>
        </w:trPr>
        <w:tc>
          <w:tcPr>
            <w:tcW w:w="1170" w:type="dxa"/>
            <w:tcBorders>
              <w:top w:val="nil"/>
              <w:left w:val="single" w:sz="8" w:space="0" w:color="auto"/>
              <w:bottom w:val="nil"/>
              <w:right w:val="single" w:sz="8" w:space="0" w:color="auto"/>
            </w:tcBorders>
            <w:shd w:val="clear" w:color="auto" w:fill="auto"/>
            <w:noWrap/>
            <w:vAlign w:val="center"/>
            <w:hideMark/>
          </w:tcPr>
          <w:p w14:paraId="6497C6EB" w14:textId="77777777" w:rsidR="00207DA0" w:rsidRPr="00C437CE" w:rsidRDefault="00207DA0" w:rsidP="00A17A02">
            <w:pPr>
              <w:spacing w:after="0"/>
              <w:jc w:val="center"/>
              <w:rPr>
                <w:rFonts w:ascii="Times New Roman" w:hAnsi="Times New Roman"/>
                <w:b/>
                <w:bCs/>
                <w:color w:val="000000"/>
                <w:sz w:val="20"/>
              </w:rPr>
            </w:pPr>
            <w:r w:rsidRPr="00C437CE">
              <w:rPr>
                <w:rFonts w:ascii="Times New Roman" w:hAnsi="Times New Roman"/>
                <w:b/>
                <w:bCs/>
                <w:color w:val="000000"/>
                <w:sz w:val="20"/>
              </w:rPr>
              <w:t>(1.97 E</w:t>
            </w:r>
            <w:r w:rsidRPr="00C437CE">
              <w:rPr>
                <w:rFonts w:ascii="Times New Roman" w:hAnsi="Times New Roman"/>
                <w:b/>
                <w:bCs/>
                <w:color w:val="000000"/>
                <w:sz w:val="20"/>
                <w:vertAlign w:val="superscript"/>
              </w:rPr>
              <w:t>-3</w:t>
            </w:r>
            <w:r w:rsidRPr="00C437CE">
              <w:rPr>
                <w:rFonts w:ascii="Times New Roman" w:hAnsi="Times New Roman"/>
                <w:b/>
                <w:bCs/>
                <w:color w:val="000000"/>
                <w:sz w:val="20"/>
              </w:rPr>
              <w:t>)</w:t>
            </w:r>
          </w:p>
        </w:tc>
        <w:tc>
          <w:tcPr>
            <w:tcW w:w="1136" w:type="dxa"/>
            <w:tcBorders>
              <w:top w:val="nil"/>
              <w:left w:val="nil"/>
              <w:bottom w:val="single" w:sz="8" w:space="0" w:color="auto"/>
              <w:right w:val="single" w:sz="8" w:space="0" w:color="auto"/>
            </w:tcBorders>
            <w:shd w:val="clear" w:color="auto" w:fill="auto"/>
            <w:noWrap/>
            <w:vAlign w:val="center"/>
            <w:hideMark/>
          </w:tcPr>
          <w:p w14:paraId="2DB70BB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H-bonded C=O</w:t>
            </w:r>
          </w:p>
        </w:tc>
        <w:tc>
          <w:tcPr>
            <w:tcW w:w="1161" w:type="dxa"/>
            <w:tcBorders>
              <w:top w:val="nil"/>
              <w:left w:val="nil"/>
              <w:bottom w:val="single" w:sz="8" w:space="0" w:color="auto"/>
              <w:right w:val="single" w:sz="8" w:space="0" w:color="auto"/>
            </w:tcBorders>
            <w:shd w:val="clear" w:color="auto" w:fill="auto"/>
            <w:noWrap/>
            <w:vAlign w:val="center"/>
            <w:hideMark/>
          </w:tcPr>
          <w:p w14:paraId="624996B1"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1645</w:t>
            </w:r>
          </w:p>
        </w:tc>
        <w:tc>
          <w:tcPr>
            <w:tcW w:w="1161" w:type="dxa"/>
            <w:tcBorders>
              <w:top w:val="nil"/>
              <w:left w:val="nil"/>
              <w:bottom w:val="single" w:sz="8" w:space="0" w:color="auto"/>
              <w:right w:val="single" w:sz="8" w:space="0" w:color="auto"/>
            </w:tcBorders>
            <w:shd w:val="clear" w:color="auto" w:fill="auto"/>
            <w:noWrap/>
            <w:vAlign w:val="center"/>
            <w:hideMark/>
          </w:tcPr>
          <w:p w14:paraId="3C26E00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0.3</w:t>
            </w:r>
          </w:p>
        </w:tc>
        <w:tc>
          <w:tcPr>
            <w:tcW w:w="1161" w:type="dxa"/>
            <w:tcBorders>
              <w:top w:val="nil"/>
              <w:left w:val="nil"/>
              <w:bottom w:val="single" w:sz="8" w:space="0" w:color="auto"/>
              <w:right w:val="single" w:sz="8" w:space="0" w:color="auto"/>
            </w:tcBorders>
            <w:shd w:val="clear" w:color="auto" w:fill="auto"/>
            <w:noWrap/>
            <w:vAlign w:val="center"/>
            <w:hideMark/>
          </w:tcPr>
          <w:p w14:paraId="3A6CB98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41.7</w:t>
            </w:r>
          </w:p>
        </w:tc>
        <w:tc>
          <w:tcPr>
            <w:tcW w:w="1161" w:type="dxa"/>
            <w:tcBorders>
              <w:top w:val="nil"/>
              <w:left w:val="nil"/>
              <w:bottom w:val="single" w:sz="8" w:space="0" w:color="auto"/>
              <w:right w:val="single" w:sz="8" w:space="0" w:color="auto"/>
            </w:tcBorders>
            <w:shd w:val="clear" w:color="auto" w:fill="auto"/>
            <w:noWrap/>
            <w:vAlign w:val="center"/>
            <w:hideMark/>
          </w:tcPr>
          <w:p w14:paraId="7815E26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C437CE" w14:paraId="264F47D2" w14:textId="77777777" w:rsidTr="00A17A02">
        <w:trPr>
          <w:trHeight w:val="300"/>
        </w:trPr>
        <w:tc>
          <w:tcPr>
            <w:tcW w:w="1170" w:type="dxa"/>
            <w:tcBorders>
              <w:top w:val="nil"/>
              <w:left w:val="single" w:sz="8" w:space="0" w:color="auto"/>
              <w:bottom w:val="nil"/>
              <w:right w:val="single" w:sz="8" w:space="0" w:color="auto"/>
            </w:tcBorders>
            <w:shd w:val="clear" w:color="auto" w:fill="auto"/>
            <w:noWrap/>
            <w:vAlign w:val="center"/>
            <w:hideMark/>
          </w:tcPr>
          <w:p w14:paraId="3BA52E64"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auto" w:fill="auto"/>
            <w:noWrap/>
            <w:vAlign w:val="center"/>
            <w:hideMark/>
          </w:tcPr>
          <w:p w14:paraId="4AF174F0"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amide</w:t>
            </w:r>
          </w:p>
        </w:tc>
        <w:tc>
          <w:tcPr>
            <w:tcW w:w="1161" w:type="dxa"/>
            <w:tcBorders>
              <w:top w:val="nil"/>
              <w:left w:val="nil"/>
              <w:bottom w:val="single" w:sz="8" w:space="0" w:color="auto"/>
              <w:right w:val="single" w:sz="8" w:space="0" w:color="auto"/>
            </w:tcBorders>
            <w:shd w:val="clear" w:color="auto" w:fill="auto"/>
            <w:noWrap/>
            <w:vAlign w:val="center"/>
            <w:hideMark/>
          </w:tcPr>
          <w:p w14:paraId="2C200763"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1677</w:t>
            </w:r>
          </w:p>
        </w:tc>
        <w:tc>
          <w:tcPr>
            <w:tcW w:w="1161" w:type="dxa"/>
            <w:tcBorders>
              <w:top w:val="nil"/>
              <w:left w:val="nil"/>
              <w:bottom w:val="single" w:sz="8" w:space="0" w:color="auto"/>
              <w:right w:val="single" w:sz="8" w:space="0" w:color="auto"/>
            </w:tcBorders>
            <w:shd w:val="clear" w:color="auto" w:fill="auto"/>
            <w:noWrap/>
            <w:vAlign w:val="center"/>
            <w:hideMark/>
          </w:tcPr>
          <w:p w14:paraId="63C81F87"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0.3</w:t>
            </w:r>
          </w:p>
        </w:tc>
        <w:tc>
          <w:tcPr>
            <w:tcW w:w="1161" w:type="dxa"/>
            <w:tcBorders>
              <w:top w:val="nil"/>
              <w:left w:val="nil"/>
              <w:bottom w:val="single" w:sz="8" w:space="0" w:color="auto"/>
              <w:right w:val="single" w:sz="8" w:space="0" w:color="auto"/>
            </w:tcBorders>
            <w:shd w:val="clear" w:color="auto" w:fill="auto"/>
            <w:noWrap/>
            <w:vAlign w:val="center"/>
            <w:hideMark/>
          </w:tcPr>
          <w:p w14:paraId="0F6E719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41.5</w:t>
            </w:r>
          </w:p>
        </w:tc>
        <w:tc>
          <w:tcPr>
            <w:tcW w:w="1161" w:type="dxa"/>
            <w:tcBorders>
              <w:top w:val="nil"/>
              <w:left w:val="nil"/>
              <w:bottom w:val="single" w:sz="8" w:space="0" w:color="auto"/>
              <w:right w:val="single" w:sz="8" w:space="0" w:color="auto"/>
            </w:tcBorders>
            <w:shd w:val="clear" w:color="auto" w:fill="auto"/>
            <w:noWrap/>
            <w:vAlign w:val="center"/>
            <w:hideMark/>
          </w:tcPr>
          <w:p w14:paraId="1B083E6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 L+G</w:t>
            </w:r>
          </w:p>
        </w:tc>
      </w:tr>
      <w:tr w:rsidR="00207DA0" w:rsidRPr="00DA3527" w14:paraId="48E544F7" w14:textId="77777777" w:rsidTr="00A17A02">
        <w:trPr>
          <w:trHeight w:val="300"/>
        </w:trPr>
        <w:tc>
          <w:tcPr>
            <w:tcW w:w="1170" w:type="dxa"/>
            <w:tcBorders>
              <w:top w:val="nil"/>
              <w:left w:val="single" w:sz="8" w:space="0" w:color="auto"/>
              <w:bottom w:val="single" w:sz="8" w:space="0" w:color="000000"/>
              <w:right w:val="single" w:sz="8" w:space="0" w:color="auto"/>
            </w:tcBorders>
            <w:shd w:val="clear" w:color="auto" w:fill="auto"/>
            <w:noWrap/>
            <w:vAlign w:val="center"/>
            <w:hideMark/>
          </w:tcPr>
          <w:p w14:paraId="4A82F890" w14:textId="77777777" w:rsidR="00207DA0" w:rsidRPr="00C437CE" w:rsidRDefault="00207DA0" w:rsidP="00A17A02">
            <w:pPr>
              <w:spacing w:after="0"/>
              <w:rPr>
                <w:rFonts w:ascii="Calibri" w:hAnsi="Calibri" w:cs="Calibri"/>
                <w:color w:val="000000"/>
              </w:rPr>
            </w:pPr>
            <w:r w:rsidRPr="00C437CE">
              <w:rPr>
                <w:rFonts w:ascii="Calibri" w:hAnsi="Calibri" w:cs="Calibri"/>
                <w:color w:val="000000"/>
              </w:rPr>
              <w:t> </w:t>
            </w:r>
          </w:p>
        </w:tc>
        <w:tc>
          <w:tcPr>
            <w:tcW w:w="1136" w:type="dxa"/>
            <w:tcBorders>
              <w:top w:val="nil"/>
              <w:left w:val="nil"/>
              <w:bottom w:val="single" w:sz="8" w:space="0" w:color="auto"/>
              <w:right w:val="single" w:sz="8" w:space="0" w:color="auto"/>
            </w:tcBorders>
            <w:shd w:val="clear" w:color="000000" w:fill="E7E6E6"/>
            <w:noWrap/>
            <w:vAlign w:val="center"/>
            <w:hideMark/>
          </w:tcPr>
          <w:p w14:paraId="1D868BC6"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C=O acid</w:t>
            </w:r>
          </w:p>
        </w:tc>
        <w:tc>
          <w:tcPr>
            <w:tcW w:w="1161" w:type="dxa"/>
            <w:tcBorders>
              <w:top w:val="nil"/>
              <w:left w:val="nil"/>
              <w:bottom w:val="single" w:sz="8" w:space="0" w:color="auto"/>
              <w:right w:val="single" w:sz="8" w:space="0" w:color="auto"/>
            </w:tcBorders>
            <w:shd w:val="clear" w:color="000000" w:fill="E7E6E6"/>
            <w:noWrap/>
            <w:vAlign w:val="center"/>
            <w:hideMark/>
          </w:tcPr>
          <w:p w14:paraId="4DACEE24"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1718</w:t>
            </w:r>
          </w:p>
        </w:tc>
        <w:tc>
          <w:tcPr>
            <w:tcW w:w="1161" w:type="dxa"/>
            <w:tcBorders>
              <w:top w:val="nil"/>
              <w:left w:val="nil"/>
              <w:bottom w:val="single" w:sz="8" w:space="0" w:color="auto"/>
              <w:right w:val="single" w:sz="8" w:space="0" w:color="auto"/>
            </w:tcBorders>
            <w:shd w:val="clear" w:color="000000" w:fill="E7E6E6"/>
            <w:noWrap/>
            <w:vAlign w:val="center"/>
            <w:hideMark/>
          </w:tcPr>
          <w:p w14:paraId="7E38B24B"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0.11</w:t>
            </w:r>
          </w:p>
        </w:tc>
        <w:tc>
          <w:tcPr>
            <w:tcW w:w="1161" w:type="dxa"/>
            <w:tcBorders>
              <w:top w:val="nil"/>
              <w:left w:val="nil"/>
              <w:bottom w:val="single" w:sz="8" w:space="0" w:color="auto"/>
              <w:right w:val="single" w:sz="8" w:space="0" w:color="auto"/>
            </w:tcBorders>
            <w:shd w:val="clear" w:color="000000" w:fill="E7E6E6"/>
            <w:noWrap/>
            <w:vAlign w:val="center"/>
            <w:hideMark/>
          </w:tcPr>
          <w:p w14:paraId="601CD191"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45</w:t>
            </w:r>
          </w:p>
        </w:tc>
        <w:tc>
          <w:tcPr>
            <w:tcW w:w="1161" w:type="dxa"/>
            <w:tcBorders>
              <w:top w:val="nil"/>
              <w:left w:val="nil"/>
              <w:bottom w:val="single" w:sz="8" w:space="0" w:color="auto"/>
              <w:right w:val="single" w:sz="8" w:space="0" w:color="auto"/>
            </w:tcBorders>
            <w:shd w:val="clear" w:color="000000" w:fill="E7E6E6"/>
            <w:noWrap/>
            <w:vAlign w:val="center"/>
            <w:hideMark/>
          </w:tcPr>
          <w:p w14:paraId="4CA09E49" w14:textId="77777777" w:rsidR="00207DA0" w:rsidRPr="00C437CE" w:rsidRDefault="00207DA0" w:rsidP="00A17A02">
            <w:pPr>
              <w:spacing w:after="0"/>
              <w:jc w:val="center"/>
              <w:rPr>
                <w:rFonts w:ascii="Times New Roman" w:hAnsi="Times New Roman"/>
                <w:color w:val="000000"/>
                <w:sz w:val="20"/>
              </w:rPr>
            </w:pPr>
            <w:r w:rsidRPr="00C437CE">
              <w:rPr>
                <w:rFonts w:ascii="Times New Roman" w:hAnsi="Times New Roman"/>
                <w:color w:val="000000"/>
                <w:sz w:val="20"/>
              </w:rPr>
              <w:t>66% L+G</w:t>
            </w:r>
          </w:p>
        </w:tc>
      </w:tr>
    </w:tbl>
    <w:p w14:paraId="1E938788" w14:textId="77777777" w:rsidR="00207DA0" w:rsidRPr="0007263E" w:rsidRDefault="00207DA0" w:rsidP="00207DA0">
      <w:pPr>
        <w:tabs>
          <w:tab w:val="left" w:pos="720"/>
        </w:tabs>
        <w:suppressAutoHyphens/>
        <w:spacing w:before="120" w:after="120"/>
        <w:rPr>
          <w:rFonts w:cs="Times"/>
          <w:szCs w:val="24"/>
        </w:rPr>
      </w:pPr>
      <w:r w:rsidRPr="0035787E">
        <w:rPr>
          <w:rFonts w:cs="Times"/>
          <w:b/>
          <w:bCs/>
          <w:color w:val="000000"/>
          <w:sz w:val="20"/>
          <w:vertAlign w:val="superscript"/>
        </w:rPr>
        <w:t>◊</w:t>
      </w:r>
      <w:r>
        <w:rPr>
          <w:rFonts w:cs="Times"/>
          <w:b/>
          <w:bCs/>
          <w:color w:val="000000"/>
          <w:sz w:val="20"/>
        </w:rPr>
        <w:t xml:space="preserve"> </w:t>
      </w:r>
      <w:r>
        <w:rPr>
          <w:rFonts w:cs="Times"/>
          <w:bCs/>
          <w:color w:val="000000"/>
          <w:sz w:val="20"/>
        </w:rPr>
        <w:t>In defining peak shape, “L” refers to Lorentzian and “G” refers to Gaussian.</w:t>
      </w:r>
    </w:p>
    <w:p w14:paraId="1CC3310B" w14:textId="77777777" w:rsidR="00207DA0" w:rsidRPr="0007263E" w:rsidRDefault="00207DA0" w:rsidP="00207DA0">
      <w:pPr>
        <w:tabs>
          <w:tab w:val="left" w:pos="720"/>
        </w:tabs>
        <w:suppressAutoHyphens/>
        <w:spacing w:before="120" w:after="120"/>
        <w:rPr>
          <w:rFonts w:cs="Times"/>
          <w:szCs w:val="24"/>
        </w:rPr>
      </w:pPr>
    </w:p>
    <w:p w14:paraId="073D3529" w14:textId="77777777" w:rsidR="00207DA0" w:rsidRDefault="00207DA0" w:rsidP="00207DA0">
      <w:pPr>
        <w:tabs>
          <w:tab w:val="left" w:pos="720"/>
        </w:tabs>
        <w:suppressAutoHyphens/>
        <w:spacing w:after="0" w:line="480" w:lineRule="auto"/>
        <w:rPr>
          <w:rFonts w:cs="Times"/>
          <w:szCs w:val="24"/>
        </w:rPr>
      </w:pPr>
      <w:bookmarkStart w:id="2" w:name="_Toc456823181"/>
      <w:r w:rsidRPr="00051B08">
        <w:rPr>
          <w:rFonts w:cs="Times"/>
          <w:szCs w:val="24"/>
        </w:rPr>
        <w:t xml:space="preserve">To maintain an absorbance between (0.03 and 1) absorbance units, where linearity in the Beer-Lambert law is preserved, the samples used to prepare the calibration curve were diluted in KBr. Table S2 shows the intensity of the free acid peak after normalizing for pellet thickness. The absorbance for each original sample was then calculated by multiplying the intensity by the </w:t>
      </w:r>
      <w:r w:rsidRPr="00051B08">
        <w:rPr>
          <w:rFonts w:cs="Times"/>
          <w:szCs w:val="24"/>
        </w:rPr>
        <w:lastRenderedPageBreak/>
        <w:t xml:space="preserve">dilution factor when making the KBr pellets. The absorbance values in Table S2 were plotted to give the calibration curve in Fig 3b. </w:t>
      </w:r>
    </w:p>
    <w:p w14:paraId="522D2848" w14:textId="77777777" w:rsidR="00207DA0" w:rsidRPr="00051B08" w:rsidRDefault="00207DA0" w:rsidP="00207DA0">
      <w:pPr>
        <w:tabs>
          <w:tab w:val="left" w:pos="720"/>
        </w:tabs>
        <w:suppressAutoHyphens/>
        <w:spacing w:after="0" w:line="480" w:lineRule="auto"/>
        <w:rPr>
          <w:rFonts w:cs="Times"/>
          <w:szCs w:val="24"/>
        </w:rPr>
      </w:pPr>
    </w:p>
    <w:p w14:paraId="296F2973" w14:textId="77777777" w:rsidR="00207DA0" w:rsidRPr="0007263E" w:rsidRDefault="00207DA0" w:rsidP="00207DA0">
      <w:pPr>
        <w:tabs>
          <w:tab w:val="left" w:pos="720"/>
        </w:tabs>
        <w:suppressAutoHyphens/>
        <w:spacing w:after="0"/>
        <w:rPr>
          <w:rFonts w:cs="Times"/>
          <w:szCs w:val="24"/>
        </w:rPr>
      </w:pPr>
      <w:r w:rsidRPr="0007263E">
        <w:rPr>
          <w:rFonts w:cs="Times"/>
        </w:rPr>
        <w:object w:dxaOrig="8552" w:dyaOrig="6687" w14:anchorId="39C042C4">
          <v:shape id="_x0000_i1028" type="#_x0000_t75" style="width:3in;height:169.7pt" o:ole="">
            <v:imagedata r:id="rId25" o:title=""/>
          </v:shape>
          <o:OLEObject Type="Embed" ProgID="Origin50.Graph" ShapeID="_x0000_i1028" DrawAspect="Content" ObjectID="_1598710352" r:id="rId26"/>
        </w:object>
      </w:r>
      <w:r w:rsidRPr="0007263E">
        <w:rPr>
          <w:rFonts w:cs="Times"/>
        </w:rPr>
        <w:object w:dxaOrig="8470" w:dyaOrig="6636" w14:anchorId="1FCE2B41">
          <v:shape id="_x0000_i1029" type="#_x0000_t75" style="width:3in;height:170.65pt" o:ole="">
            <v:imagedata r:id="rId27" o:title=""/>
          </v:shape>
          <o:OLEObject Type="Embed" ProgID="Origin50.Graph" ShapeID="_x0000_i1029" DrawAspect="Content" ObjectID="_1598710353" r:id="rId28"/>
        </w:object>
      </w:r>
    </w:p>
    <w:p w14:paraId="2895EBB5" w14:textId="77777777" w:rsidR="00207DA0" w:rsidRPr="0007263E" w:rsidRDefault="00207DA0" w:rsidP="00207DA0">
      <w:pPr>
        <w:tabs>
          <w:tab w:val="left" w:pos="720"/>
        </w:tabs>
        <w:suppressAutoHyphens/>
        <w:spacing w:after="0"/>
        <w:rPr>
          <w:rFonts w:eastAsia="Calibri" w:cs="Times"/>
        </w:rPr>
      </w:pPr>
      <w:r w:rsidRPr="0007263E">
        <w:rPr>
          <w:rFonts w:cs="Times"/>
        </w:rPr>
        <w:object w:dxaOrig="8470" w:dyaOrig="6636" w14:anchorId="435E231F">
          <v:shape id="_x0000_i1030" type="#_x0000_t75" style="width:3in;height:170.65pt" o:ole="">
            <v:imagedata r:id="rId29" o:title=""/>
          </v:shape>
          <o:OLEObject Type="Embed" ProgID="Origin50.Graph" ShapeID="_x0000_i1030" DrawAspect="Content" ObjectID="_1598710354" r:id="rId30"/>
        </w:object>
      </w:r>
      <w:r w:rsidRPr="0007263E">
        <w:rPr>
          <w:rFonts w:cs="Times"/>
        </w:rPr>
        <w:object w:dxaOrig="8470" w:dyaOrig="6636" w14:anchorId="0D76332F">
          <v:shape id="_x0000_i1031" type="#_x0000_t75" style="width:3in;height:170.65pt" o:ole="">
            <v:imagedata r:id="rId31" o:title=""/>
          </v:shape>
          <o:OLEObject Type="Embed" ProgID="Origin50.Graph" ShapeID="_x0000_i1031" DrawAspect="Content" ObjectID="_1598710355" r:id="rId32"/>
        </w:object>
      </w:r>
    </w:p>
    <w:p w14:paraId="1A804ACF" w14:textId="77777777" w:rsidR="00207DA0" w:rsidRPr="0007263E" w:rsidRDefault="00207DA0" w:rsidP="00207DA0">
      <w:pPr>
        <w:tabs>
          <w:tab w:val="left" w:pos="720"/>
        </w:tabs>
        <w:suppressAutoHyphens/>
        <w:spacing w:after="0" w:line="480" w:lineRule="auto"/>
        <w:rPr>
          <w:rFonts w:cs="Times"/>
        </w:rPr>
      </w:pPr>
      <w:r w:rsidRPr="0007263E">
        <w:rPr>
          <w:rFonts w:cs="Times"/>
        </w:rPr>
        <w:object w:dxaOrig="8470" w:dyaOrig="6636" w14:anchorId="0A963A2A">
          <v:shape id="_x0000_i1032" type="#_x0000_t75" style="width:3in;height:170.65pt" o:ole="">
            <v:imagedata r:id="rId33" o:title=""/>
          </v:shape>
          <o:OLEObject Type="Embed" ProgID="Origin50.Graph" ShapeID="_x0000_i1032" DrawAspect="Content" ObjectID="_1598710356" r:id="rId34"/>
        </w:object>
      </w:r>
    </w:p>
    <w:p w14:paraId="46C2A8B0" w14:textId="77777777" w:rsidR="00207DA0" w:rsidRPr="0007263E" w:rsidRDefault="00207DA0" w:rsidP="00207DA0">
      <w:pPr>
        <w:tabs>
          <w:tab w:val="left" w:pos="720"/>
        </w:tabs>
        <w:suppressAutoHyphens/>
        <w:spacing w:after="0" w:line="480" w:lineRule="auto"/>
        <w:rPr>
          <w:rFonts w:eastAsia="Calibri" w:cs="Times"/>
        </w:rPr>
      </w:pPr>
      <w:r>
        <w:rPr>
          <w:rFonts w:eastAsia="Calibri" w:cs="Times"/>
          <w:b/>
        </w:rPr>
        <w:lastRenderedPageBreak/>
        <w:t>Figure S4</w:t>
      </w:r>
      <w:r w:rsidRPr="0007263E">
        <w:rPr>
          <w:rFonts w:eastAsia="Calibri" w:cs="Times"/>
          <w:b/>
        </w:rPr>
        <w:t>.</w:t>
      </w:r>
      <w:r w:rsidRPr="0007263E">
        <w:rPr>
          <w:rFonts w:eastAsia="Calibri" w:cs="Times"/>
        </w:rPr>
        <w:t xml:space="preserve"> Representative fits of the amide I region of the FTIR spectra of commercial polyamide membranes with known ion exchange capacities (IEC). The peak at 1718 cm</w:t>
      </w:r>
      <w:r w:rsidRPr="0007263E">
        <w:rPr>
          <w:rFonts w:eastAsia="Calibri" w:cs="Times"/>
          <w:vertAlign w:val="superscript"/>
        </w:rPr>
        <w:t>-1</w:t>
      </w:r>
      <w:r w:rsidRPr="0007263E">
        <w:rPr>
          <w:rFonts w:eastAsia="Calibri" w:cs="Times"/>
        </w:rPr>
        <w:t xml:space="preserve"> provides a figure of merit for generating a calibration curve of absorbance vs [COOH].</w:t>
      </w:r>
    </w:p>
    <w:p w14:paraId="34CE3856" w14:textId="77777777" w:rsidR="00207DA0" w:rsidRPr="0007263E" w:rsidRDefault="00207DA0" w:rsidP="00207DA0">
      <w:pPr>
        <w:tabs>
          <w:tab w:val="left" w:pos="720"/>
        </w:tabs>
        <w:suppressAutoHyphens/>
        <w:spacing w:after="0" w:line="480" w:lineRule="auto"/>
        <w:rPr>
          <w:rFonts w:cs="Times"/>
        </w:rPr>
      </w:pPr>
    </w:p>
    <w:p w14:paraId="66541142" w14:textId="77777777" w:rsidR="00207DA0" w:rsidRDefault="00207DA0" w:rsidP="00207DA0">
      <w:pPr>
        <w:tabs>
          <w:tab w:val="left" w:pos="720"/>
        </w:tabs>
        <w:suppressAutoHyphens/>
        <w:spacing w:after="0" w:line="480" w:lineRule="auto"/>
        <w:rPr>
          <w:rFonts w:cs="Times"/>
          <w:szCs w:val="24"/>
        </w:rPr>
      </w:pPr>
      <w:r w:rsidRPr="0012532B">
        <w:rPr>
          <w:rFonts w:cs="Times"/>
          <w:b/>
          <w:szCs w:val="24"/>
        </w:rPr>
        <w:t>Table S2.</w:t>
      </w:r>
      <w:r w:rsidRPr="0012532B">
        <w:rPr>
          <w:rFonts w:cs="Times"/>
          <w:szCs w:val="24"/>
        </w:rPr>
        <w:t xml:space="preserve"> The measured ion exchange capacity (IEC) and corresponding intensity of the [COOH] peak in FT-IR.  The [COOH] intensity is then multiplied by the dilution factor used when making KBr pellets to yield the final [COOH] absorbance values used in Fig 3b.</w:t>
      </w:r>
      <w:bookmarkEnd w:id="2"/>
    </w:p>
    <w:p w14:paraId="4226FEE6" w14:textId="77777777" w:rsidR="00207DA0" w:rsidRDefault="00207DA0" w:rsidP="00207DA0">
      <w:pPr>
        <w:tabs>
          <w:tab w:val="left" w:pos="720"/>
        </w:tabs>
        <w:suppressAutoHyphens/>
        <w:spacing w:after="0"/>
        <w:rPr>
          <w:rFonts w:cs="Times"/>
          <w:szCs w:val="24"/>
        </w:rPr>
      </w:pPr>
    </w:p>
    <w:tbl>
      <w:tblPr>
        <w:tblStyle w:val="TableGrid"/>
        <w:tblW w:w="0" w:type="auto"/>
        <w:tblCellMar>
          <w:left w:w="115" w:type="dxa"/>
          <w:right w:w="115" w:type="dxa"/>
        </w:tblCellMar>
        <w:tblLook w:val="04A0" w:firstRow="1" w:lastRow="0" w:firstColumn="1" w:lastColumn="0" w:noHBand="0" w:noVBand="1"/>
      </w:tblPr>
      <w:tblGrid>
        <w:gridCol w:w="1558"/>
        <w:gridCol w:w="1558"/>
        <w:gridCol w:w="1558"/>
        <w:gridCol w:w="1558"/>
        <w:gridCol w:w="1559"/>
        <w:gridCol w:w="1559"/>
      </w:tblGrid>
      <w:tr w:rsidR="00207DA0" w14:paraId="5F7E3D62" w14:textId="77777777" w:rsidTr="00A17A02">
        <w:trPr>
          <w:trHeight w:val="331"/>
        </w:trPr>
        <w:tc>
          <w:tcPr>
            <w:tcW w:w="1558" w:type="dxa"/>
          </w:tcPr>
          <w:p w14:paraId="6D0D82F0" w14:textId="77777777" w:rsidR="00207DA0" w:rsidRPr="00151FF6" w:rsidRDefault="00207DA0" w:rsidP="00A17A02">
            <w:pPr>
              <w:tabs>
                <w:tab w:val="left" w:pos="720"/>
              </w:tabs>
              <w:suppressAutoHyphens/>
              <w:jc w:val="center"/>
              <w:rPr>
                <w:rFonts w:eastAsia="Times New Roman" w:cs="Times"/>
                <w:b/>
                <w:szCs w:val="24"/>
              </w:rPr>
            </w:pPr>
          </w:p>
          <w:p w14:paraId="3A6512AB" w14:textId="77777777" w:rsidR="00207DA0" w:rsidRPr="00151FF6" w:rsidRDefault="00207DA0" w:rsidP="00A17A02">
            <w:pPr>
              <w:tabs>
                <w:tab w:val="left" w:pos="720"/>
              </w:tabs>
              <w:suppressAutoHyphens/>
              <w:jc w:val="center"/>
              <w:rPr>
                <w:rFonts w:eastAsia="Times New Roman" w:cs="Times"/>
                <w:b/>
                <w:szCs w:val="24"/>
              </w:rPr>
            </w:pPr>
            <w:r>
              <w:rPr>
                <w:rFonts w:eastAsia="Times New Roman" w:cs="Times"/>
                <w:b/>
                <w:szCs w:val="24"/>
              </w:rPr>
              <w:t>S</w:t>
            </w:r>
            <w:r w:rsidRPr="00151FF6">
              <w:rPr>
                <w:rFonts w:eastAsia="Times New Roman" w:cs="Times"/>
                <w:b/>
                <w:szCs w:val="24"/>
              </w:rPr>
              <w:t>ample</w:t>
            </w:r>
          </w:p>
        </w:tc>
        <w:tc>
          <w:tcPr>
            <w:tcW w:w="1558" w:type="dxa"/>
          </w:tcPr>
          <w:p w14:paraId="528A1019"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IEC</w:t>
            </w:r>
          </w:p>
          <w:p w14:paraId="15987117"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meq g</w:t>
            </w:r>
            <w:r w:rsidRPr="00151FF6">
              <w:rPr>
                <w:rFonts w:eastAsia="Times New Roman" w:cs="Times"/>
                <w:b/>
                <w:szCs w:val="24"/>
                <w:vertAlign w:val="superscript"/>
              </w:rPr>
              <w:t>-1</w:t>
            </w:r>
          </w:p>
        </w:tc>
        <w:tc>
          <w:tcPr>
            <w:tcW w:w="1558" w:type="dxa"/>
          </w:tcPr>
          <w:p w14:paraId="14374950"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[COO</w:t>
            </w:r>
            <w:r w:rsidRPr="00151FF6">
              <w:rPr>
                <w:rFonts w:eastAsia="Times New Roman" w:cs="Times"/>
                <w:b/>
                <w:szCs w:val="24"/>
                <w:vertAlign w:val="superscript"/>
              </w:rPr>
              <w:t>-</w:t>
            </w:r>
            <w:r w:rsidRPr="00151FF6">
              <w:rPr>
                <w:rFonts w:eastAsia="Times New Roman" w:cs="Times"/>
                <w:b/>
                <w:szCs w:val="24"/>
              </w:rPr>
              <w:t>]</w:t>
            </w:r>
          </w:p>
          <w:p w14:paraId="28044041"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mmol g</w:t>
            </w:r>
            <w:r w:rsidRPr="00151FF6">
              <w:rPr>
                <w:rFonts w:eastAsia="Times New Roman" w:cs="Times"/>
                <w:b/>
                <w:szCs w:val="24"/>
                <w:vertAlign w:val="superscript"/>
              </w:rPr>
              <w:t>-1</w:t>
            </w:r>
          </w:p>
        </w:tc>
        <w:tc>
          <w:tcPr>
            <w:tcW w:w="1558" w:type="dxa"/>
          </w:tcPr>
          <w:p w14:paraId="4621CE50"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COO</w:t>
            </w:r>
          </w:p>
          <w:p w14:paraId="19F49E98"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intensity</w:t>
            </w:r>
          </w:p>
        </w:tc>
        <w:tc>
          <w:tcPr>
            <w:tcW w:w="1559" w:type="dxa"/>
          </w:tcPr>
          <w:p w14:paraId="5874E44A"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dilution factor</w:t>
            </w:r>
          </w:p>
        </w:tc>
        <w:tc>
          <w:tcPr>
            <w:tcW w:w="1559" w:type="dxa"/>
          </w:tcPr>
          <w:p w14:paraId="1766D822" w14:textId="77777777" w:rsidR="00207DA0" w:rsidRPr="00151FF6" w:rsidRDefault="00207DA0" w:rsidP="00A17A02">
            <w:pPr>
              <w:tabs>
                <w:tab w:val="left" w:pos="720"/>
              </w:tabs>
              <w:suppressAutoHyphens/>
              <w:jc w:val="center"/>
              <w:rPr>
                <w:rFonts w:eastAsia="Times New Roman" w:cs="Times"/>
                <w:b/>
                <w:szCs w:val="24"/>
              </w:rPr>
            </w:pPr>
            <w:r w:rsidRPr="00151FF6">
              <w:rPr>
                <w:rFonts w:eastAsia="Times New Roman" w:cs="Times"/>
                <w:b/>
                <w:szCs w:val="24"/>
              </w:rPr>
              <w:t>COO absorbance</w:t>
            </w:r>
          </w:p>
        </w:tc>
      </w:tr>
      <w:tr w:rsidR="00207DA0" w14:paraId="4CF61269" w14:textId="77777777" w:rsidTr="00A17A02">
        <w:trPr>
          <w:trHeight w:val="331"/>
        </w:trPr>
        <w:tc>
          <w:tcPr>
            <w:tcW w:w="1558" w:type="dxa"/>
          </w:tcPr>
          <w:p w14:paraId="0905B8D0"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1</w:t>
            </w:r>
          </w:p>
        </w:tc>
        <w:tc>
          <w:tcPr>
            <w:tcW w:w="1558" w:type="dxa"/>
          </w:tcPr>
          <w:p w14:paraId="3B8FBFBB"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0.12</w:t>
            </w:r>
          </w:p>
        </w:tc>
        <w:tc>
          <w:tcPr>
            <w:tcW w:w="1558" w:type="dxa"/>
          </w:tcPr>
          <w:p w14:paraId="14BB3D4E"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0.12</w:t>
            </w:r>
          </w:p>
        </w:tc>
        <w:tc>
          <w:tcPr>
            <w:tcW w:w="1558" w:type="dxa"/>
          </w:tcPr>
          <w:p w14:paraId="6E2BA10A"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0.11</w:t>
            </w:r>
          </w:p>
        </w:tc>
        <w:tc>
          <w:tcPr>
            <w:tcW w:w="1559" w:type="dxa"/>
          </w:tcPr>
          <w:p w14:paraId="1ACDF652"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22.3</w:t>
            </w:r>
          </w:p>
        </w:tc>
        <w:tc>
          <w:tcPr>
            <w:tcW w:w="1559" w:type="dxa"/>
          </w:tcPr>
          <w:p w14:paraId="6A6F5AAA"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2.45</w:t>
            </w:r>
          </w:p>
        </w:tc>
      </w:tr>
      <w:tr w:rsidR="00207DA0" w14:paraId="06D15BD0" w14:textId="77777777" w:rsidTr="00A17A02">
        <w:trPr>
          <w:trHeight w:val="331"/>
        </w:trPr>
        <w:tc>
          <w:tcPr>
            <w:tcW w:w="1558" w:type="dxa"/>
            <w:shd w:val="clear" w:color="auto" w:fill="EEECE1" w:themeFill="background2"/>
          </w:tcPr>
          <w:p w14:paraId="172D1A24"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2</w:t>
            </w:r>
          </w:p>
        </w:tc>
        <w:tc>
          <w:tcPr>
            <w:tcW w:w="1558" w:type="dxa"/>
            <w:shd w:val="clear" w:color="auto" w:fill="EEECE1" w:themeFill="background2"/>
          </w:tcPr>
          <w:p w14:paraId="3850A24F"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0.15</w:t>
            </w:r>
          </w:p>
        </w:tc>
        <w:tc>
          <w:tcPr>
            <w:tcW w:w="1558" w:type="dxa"/>
            <w:shd w:val="clear" w:color="auto" w:fill="EEECE1" w:themeFill="background2"/>
          </w:tcPr>
          <w:p w14:paraId="086F7244"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0.15</w:t>
            </w:r>
          </w:p>
        </w:tc>
        <w:tc>
          <w:tcPr>
            <w:tcW w:w="1558" w:type="dxa"/>
            <w:shd w:val="clear" w:color="auto" w:fill="EEECE1" w:themeFill="background2"/>
          </w:tcPr>
          <w:p w14:paraId="367F4BB5"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0.06</w:t>
            </w:r>
          </w:p>
        </w:tc>
        <w:tc>
          <w:tcPr>
            <w:tcW w:w="1559" w:type="dxa"/>
            <w:shd w:val="clear" w:color="auto" w:fill="EEECE1" w:themeFill="background2"/>
          </w:tcPr>
          <w:p w14:paraId="4C8830A6"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29.8</w:t>
            </w:r>
          </w:p>
        </w:tc>
        <w:tc>
          <w:tcPr>
            <w:tcW w:w="1559" w:type="dxa"/>
            <w:shd w:val="clear" w:color="auto" w:fill="EEECE1" w:themeFill="background2"/>
          </w:tcPr>
          <w:p w14:paraId="1FBF3E9A"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1.79</w:t>
            </w:r>
          </w:p>
        </w:tc>
      </w:tr>
      <w:tr w:rsidR="00207DA0" w14:paraId="4DC18C80" w14:textId="77777777" w:rsidTr="00A17A02">
        <w:trPr>
          <w:trHeight w:val="331"/>
        </w:trPr>
        <w:tc>
          <w:tcPr>
            <w:tcW w:w="1558" w:type="dxa"/>
          </w:tcPr>
          <w:p w14:paraId="28BBE114"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3</w:t>
            </w:r>
          </w:p>
        </w:tc>
        <w:tc>
          <w:tcPr>
            <w:tcW w:w="1558" w:type="dxa"/>
          </w:tcPr>
          <w:p w14:paraId="4AB67DAD"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0.22</w:t>
            </w:r>
          </w:p>
        </w:tc>
        <w:tc>
          <w:tcPr>
            <w:tcW w:w="1558" w:type="dxa"/>
          </w:tcPr>
          <w:p w14:paraId="560045A4"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0.22</w:t>
            </w:r>
          </w:p>
        </w:tc>
        <w:tc>
          <w:tcPr>
            <w:tcW w:w="1558" w:type="dxa"/>
          </w:tcPr>
          <w:p w14:paraId="637C7EB7"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0.04</w:t>
            </w:r>
          </w:p>
        </w:tc>
        <w:tc>
          <w:tcPr>
            <w:tcW w:w="1559" w:type="dxa"/>
          </w:tcPr>
          <w:p w14:paraId="3A162007"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37.5</w:t>
            </w:r>
          </w:p>
        </w:tc>
        <w:tc>
          <w:tcPr>
            <w:tcW w:w="1559" w:type="dxa"/>
          </w:tcPr>
          <w:p w14:paraId="7DD77572"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1.50</w:t>
            </w:r>
          </w:p>
        </w:tc>
      </w:tr>
      <w:tr w:rsidR="00207DA0" w14:paraId="000AF99F" w14:textId="77777777" w:rsidTr="00A17A02">
        <w:trPr>
          <w:trHeight w:val="331"/>
        </w:trPr>
        <w:tc>
          <w:tcPr>
            <w:tcW w:w="1558" w:type="dxa"/>
            <w:shd w:val="clear" w:color="auto" w:fill="EEECE1" w:themeFill="background2"/>
          </w:tcPr>
          <w:p w14:paraId="1537EE88"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4</w:t>
            </w:r>
          </w:p>
        </w:tc>
        <w:tc>
          <w:tcPr>
            <w:tcW w:w="1558" w:type="dxa"/>
            <w:shd w:val="clear" w:color="auto" w:fill="EEECE1" w:themeFill="background2"/>
          </w:tcPr>
          <w:p w14:paraId="1DC69DB1"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0.31</w:t>
            </w:r>
          </w:p>
        </w:tc>
        <w:tc>
          <w:tcPr>
            <w:tcW w:w="1558" w:type="dxa"/>
            <w:shd w:val="clear" w:color="auto" w:fill="EEECE1" w:themeFill="background2"/>
          </w:tcPr>
          <w:p w14:paraId="679C514F"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0.31</w:t>
            </w:r>
          </w:p>
        </w:tc>
        <w:tc>
          <w:tcPr>
            <w:tcW w:w="1558" w:type="dxa"/>
            <w:shd w:val="clear" w:color="auto" w:fill="EEECE1" w:themeFill="background2"/>
          </w:tcPr>
          <w:p w14:paraId="72E844DF"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0.07</w:t>
            </w:r>
          </w:p>
        </w:tc>
        <w:tc>
          <w:tcPr>
            <w:tcW w:w="1559" w:type="dxa"/>
            <w:shd w:val="clear" w:color="auto" w:fill="EEECE1" w:themeFill="background2"/>
          </w:tcPr>
          <w:p w14:paraId="53A724E8"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12.1</w:t>
            </w:r>
          </w:p>
        </w:tc>
        <w:tc>
          <w:tcPr>
            <w:tcW w:w="1559" w:type="dxa"/>
            <w:shd w:val="clear" w:color="auto" w:fill="EEECE1" w:themeFill="background2"/>
          </w:tcPr>
          <w:p w14:paraId="4E3FC8E6"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0.85</w:t>
            </w:r>
          </w:p>
        </w:tc>
      </w:tr>
      <w:tr w:rsidR="00207DA0" w14:paraId="34D4FD15" w14:textId="77777777" w:rsidTr="00A17A02">
        <w:trPr>
          <w:trHeight w:val="331"/>
        </w:trPr>
        <w:tc>
          <w:tcPr>
            <w:tcW w:w="1558" w:type="dxa"/>
          </w:tcPr>
          <w:p w14:paraId="401708FA"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5</w:t>
            </w:r>
          </w:p>
        </w:tc>
        <w:tc>
          <w:tcPr>
            <w:tcW w:w="1558" w:type="dxa"/>
          </w:tcPr>
          <w:p w14:paraId="4EC02BD9"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0.33</w:t>
            </w:r>
          </w:p>
        </w:tc>
        <w:tc>
          <w:tcPr>
            <w:tcW w:w="1558" w:type="dxa"/>
          </w:tcPr>
          <w:p w14:paraId="3D5F00D2"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0.33</w:t>
            </w:r>
          </w:p>
        </w:tc>
        <w:tc>
          <w:tcPr>
            <w:tcW w:w="1558" w:type="dxa"/>
          </w:tcPr>
          <w:p w14:paraId="00AF3BBB"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0.07</w:t>
            </w:r>
          </w:p>
        </w:tc>
        <w:tc>
          <w:tcPr>
            <w:tcW w:w="1559" w:type="dxa"/>
          </w:tcPr>
          <w:p w14:paraId="5D931454"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11.0</w:t>
            </w:r>
          </w:p>
        </w:tc>
        <w:tc>
          <w:tcPr>
            <w:tcW w:w="1559" w:type="dxa"/>
          </w:tcPr>
          <w:p w14:paraId="6E7FB879" w14:textId="77777777" w:rsidR="00207DA0" w:rsidRDefault="00207DA0" w:rsidP="00A17A02">
            <w:pPr>
              <w:tabs>
                <w:tab w:val="left" w:pos="720"/>
              </w:tabs>
              <w:suppressAutoHyphens/>
              <w:jc w:val="center"/>
              <w:rPr>
                <w:rFonts w:eastAsia="Times New Roman" w:cs="Times"/>
                <w:szCs w:val="24"/>
              </w:rPr>
            </w:pPr>
            <w:r>
              <w:rPr>
                <w:rFonts w:eastAsia="Times New Roman" w:cs="Times"/>
                <w:szCs w:val="24"/>
              </w:rPr>
              <w:t>0.77</w:t>
            </w:r>
          </w:p>
        </w:tc>
      </w:tr>
    </w:tbl>
    <w:p w14:paraId="69FDE3AC" w14:textId="77777777" w:rsidR="00207DA0" w:rsidRDefault="00207DA0" w:rsidP="00207DA0">
      <w:pPr>
        <w:tabs>
          <w:tab w:val="left" w:pos="720"/>
        </w:tabs>
        <w:suppressAutoHyphens/>
        <w:spacing w:after="0" w:line="480" w:lineRule="auto"/>
        <w:rPr>
          <w:rFonts w:cs="Times"/>
          <w:b/>
          <w:szCs w:val="24"/>
        </w:rPr>
      </w:pPr>
    </w:p>
    <w:p w14:paraId="4C141D8B" w14:textId="77777777" w:rsidR="00207DA0" w:rsidRPr="0007263E" w:rsidRDefault="00207DA0" w:rsidP="00207DA0">
      <w:pPr>
        <w:tabs>
          <w:tab w:val="left" w:pos="720"/>
        </w:tabs>
        <w:suppressAutoHyphens/>
        <w:spacing w:after="0" w:line="480" w:lineRule="auto"/>
        <w:rPr>
          <w:rFonts w:cs="Times"/>
          <w:b/>
          <w:szCs w:val="24"/>
        </w:rPr>
      </w:pPr>
      <w:r w:rsidRPr="0007263E">
        <w:rPr>
          <w:rFonts w:cs="Times"/>
          <w:b/>
          <w:szCs w:val="24"/>
        </w:rPr>
        <w:t xml:space="preserve">Acid content on </w:t>
      </w:r>
      <w:r w:rsidRPr="005550CF">
        <w:rPr>
          <w:rFonts w:cs="Times"/>
          <w:b/>
          <w:szCs w:val="24"/>
        </w:rPr>
        <w:t>s</w:t>
      </w:r>
      <w:r w:rsidRPr="0007263E">
        <w:rPr>
          <w:rFonts w:cs="Times"/>
          <w:b/>
          <w:szCs w:val="24"/>
        </w:rPr>
        <w:t>ilicon substrates (SO-ATR)</w:t>
      </w:r>
    </w:p>
    <w:p w14:paraId="3ABE3217" w14:textId="77777777" w:rsidR="00207DA0" w:rsidRPr="0007263E" w:rsidRDefault="00207DA0" w:rsidP="00207DA0">
      <w:pPr>
        <w:spacing w:after="0" w:line="480" w:lineRule="auto"/>
        <w:rPr>
          <w:rFonts w:eastAsia="Calibri" w:cs="Times"/>
          <w:szCs w:val="24"/>
        </w:rPr>
      </w:pPr>
      <w:r w:rsidRPr="0007263E">
        <w:rPr>
          <w:rFonts w:eastAsia="Calibri" w:cs="Times"/>
          <w:szCs w:val="24"/>
        </w:rPr>
        <w:t>For SO-ATR the path length is given by</w:t>
      </w:r>
      <w:r>
        <w:rPr>
          <w:rFonts w:eastAsia="Calibri" w:cs="Times"/>
          <w:szCs w:val="24"/>
        </w:rPr>
        <w:t>:</w:t>
      </w:r>
    </w:p>
    <w:p w14:paraId="2D9478F8" w14:textId="77777777" w:rsidR="00207DA0" w:rsidRPr="0007263E" w:rsidRDefault="00207DA0" w:rsidP="00207DA0">
      <w:pPr>
        <w:spacing w:after="0" w:line="480" w:lineRule="auto"/>
        <w:rPr>
          <w:rFonts w:cs="Times"/>
          <w:szCs w:val="24"/>
        </w:rPr>
      </w:pPr>
      <m:oMathPara>
        <m:oMath>
          <m:sSub>
            <m:sSubPr>
              <m:ctrlPr>
                <w:rPr>
                  <w:rFonts w:ascii="Cambria Math" w:eastAsia="Calibri" w:hAnsi="Cambria Math" w:cs="Times"/>
                  <w:i/>
                  <w:szCs w:val="24"/>
                </w:rPr>
              </m:ctrlPr>
            </m:sSubPr>
            <m:e>
              <m:r>
                <w:rPr>
                  <w:rFonts w:ascii="Cambria Math" w:eastAsia="Calibri" w:hAnsi="Cambria Math" w:cs="Times"/>
                  <w:szCs w:val="24"/>
                </w:rPr>
                <m:t>d</m:t>
              </m:r>
            </m:e>
            <m:sub>
              <m:r>
                <w:rPr>
                  <w:rFonts w:ascii="Cambria Math" w:eastAsia="Calibri" w:hAnsi="Cambria Math" w:cs="Times"/>
                  <w:szCs w:val="24"/>
                </w:rPr>
                <m:t>p</m:t>
              </m:r>
            </m:sub>
          </m:sSub>
          <m:r>
            <w:rPr>
              <w:rFonts w:ascii="Cambria Math" w:eastAsia="Calibri" w:hAnsi="Cambria Math" w:cs="Times"/>
              <w:szCs w:val="24"/>
            </w:rPr>
            <m:t>=</m:t>
          </m:r>
          <m:f>
            <m:fPr>
              <m:ctrlPr>
                <w:rPr>
                  <w:rFonts w:ascii="Cambria Math" w:eastAsia="Calibri" w:hAnsi="Cambria Math" w:cs="Times"/>
                  <w:i/>
                  <w:szCs w:val="24"/>
                </w:rPr>
              </m:ctrlPr>
            </m:fPr>
            <m:num>
              <m:r>
                <w:rPr>
                  <w:rFonts w:ascii="Cambria Math" w:eastAsia="Calibri" w:hAnsi="Cambria Math" w:cs="Times"/>
                  <w:szCs w:val="24"/>
                </w:rPr>
                <m:t>λ</m:t>
              </m:r>
            </m:num>
            <m:den>
              <m:r>
                <w:rPr>
                  <w:rFonts w:ascii="Cambria Math" w:eastAsia="Calibri" w:hAnsi="Cambria Math" w:cs="Times"/>
                  <w:szCs w:val="24"/>
                </w:rPr>
                <m:t>2π</m:t>
              </m:r>
              <m:sSub>
                <m:sSubPr>
                  <m:ctrlPr>
                    <w:rPr>
                      <w:rFonts w:ascii="Cambria Math" w:eastAsia="Calibri" w:hAnsi="Cambria Math" w:cs="Times"/>
                      <w:i/>
                      <w:szCs w:val="24"/>
                    </w:rPr>
                  </m:ctrlPr>
                </m:sSubPr>
                <m:e>
                  <m:r>
                    <w:rPr>
                      <w:rFonts w:ascii="Cambria Math" w:eastAsia="Calibri" w:hAnsi="Cambria Math" w:cs="Times"/>
                      <w:szCs w:val="24"/>
                    </w:rPr>
                    <m:t>n</m:t>
                  </m:r>
                </m:e>
                <m:sub>
                  <m:r>
                    <w:rPr>
                      <w:rFonts w:ascii="Cambria Math" w:eastAsia="Calibri" w:hAnsi="Cambria Math" w:cs="Times"/>
                      <w:szCs w:val="24"/>
                    </w:rPr>
                    <m:t>atr</m:t>
                  </m:r>
                </m:sub>
              </m:sSub>
              <m:rad>
                <m:radPr>
                  <m:degHide m:val="1"/>
                  <m:ctrlPr>
                    <w:rPr>
                      <w:rFonts w:ascii="Cambria Math" w:eastAsia="Calibri" w:hAnsi="Cambria Math" w:cs="Times"/>
                      <w:i/>
                      <w:szCs w:val="24"/>
                    </w:rPr>
                  </m:ctrlPr>
                </m:radPr>
                <m:deg/>
                <m:e>
                  <m:sSup>
                    <m:sSupPr>
                      <m:ctrlPr>
                        <w:rPr>
                          <w:rFonts w:ascii="Cambria Math" w:eastAsia="Calibri" w:hAnsi="Cambria Math" w:cs="Times"/>
                          <w:i/>
                          <w:szCs w:val="24"/>
                        </w:rPr>
                      </m:ctrlPr>
                    </m:sSupPr>
                    <m:e>
                      <m:r>
                        <w:rPr>
                          <w:rFonts w:ascii="Cambria Math" w:eastAsia="Calibri" w:hAnsi="Cambria Math" w:cs="Times"/>
                          <w:szCs w:val="24"/>
                        </w:rPr>
                        <m:t>sin</m:t>
                      </m:r>
                    </m:e>
                    <m:sup>
                      <m:r>
                        <w:rPr>
                          <w:rFonts w:ascii="Cambria Math" w:eastAsia="Calibri" w:hAnsi="Cambria Math" w:cs="Times"/>
                          <w:szCs w:val="24"/>
                        </w:rPr>
                        <m:t>2</m:t>
                      </m:r>
                    </m:sup>
                  </m:sSup>
                  <m:r>
                    <w:rPr>
                      <w:rFonts w:ascii="Cambria Math" w:eastAsia="Calibri" w:hAnsi="Cambria Math" w:cs="Times"/>
                      <w:szCs w:val="24"/>
                    </w:rPr>
                    <m:t>θ-</m:t>
                  </m:r>
                  <m:sSup>
                    <m:sSupPr>
                      <m:ctrlPr>
                        <w:rPr>
                          <w:rFonts w:ascii="Cambria Math" w:eastAsia="Calibri" w:hAnsi="Cambria Math" w:cs="Times"/>
                          <w:i/>
                          <w:szCs w:val="24"/>
                        </w:rPr>
                      </m:ctrlPr>
                    </m:sSupPr>
                    <m:e>
                      <m:r>
                        <w:rPr>
                          <w:rFonts w:ascii="Cambria Math" w:eastAsia="Calibri" w:hAnsi="Cambria Math" w:cs="Times"/>
                          <w:szCs w:val="24"/>
                        </w:rPr>
                        <m:t>(</m:t>
                      </m:r>
                      <m:f>
                        <m:fPr>
                          <m:ctrlPr>
                            <w:rPr>
                              <w:rFonts w:ascii="Cambria Math" w:eastAsia="Calibri" w:hAnsi="Cambria Math" w:cs="Times"/>
                              <w:i/>
                              <w:szCs w:val="24"/>
                            </w:rPr>
                          </m:ctrlPr>
                        </m:fPr>
                        <m:num>
                          <m:sSub>
                            <m:sSubPr>
                              <m:ctrlPr>
                                <w:rPr>
                                  <w:rFonts w:ascii="Cambria Math" w:eastAsia="Calibri" w:hAnsi="Cambria Math" w:cs="Times"/>
                                  <w:i/>
                                  <w:szCs w:val="24"/>
                                </w:rPr>
                              </m:ctrlPr>
                            </m:sSubPr>
                            <m:e>
                              <m:r>
                                <w:rPr>
                                  <w:rFonts w:ascii="Cambria Math" w:eastAsia="Calibri" w:hAnsi="Cambria Math" w:cs="Times"/>
                                  <w:szCs w:val="24"/>
                                </w:rPr>
                                <m:t>n</m:t>
                              </m:r>
                            </m:e>
                            <m:sub>
                              <m:r>
                                <w:rPr>
                                  <w:rFonts w:ascii="Cambria Math" w:eastAsia="Calibri" w:hAnsi="Cambria Math" w:cs="Times"/>
                                  <w:szCs w:val="24"/>
                                </w:rPr>
                                <m:t>smp</m:t>
                              </m:r>
                            </m:sub>
                          </m:sSub>
                        </m:num>
                        <m:den>
                          <m:sSub>
                            <m:sSubPr>
                              <m:ctrlPr>
                                <w:rPr>
                                  <w:rFonts w:ascii="Cambria Math" w:eastAsia="Calibri" w:hAnsi="Cambria Math" w:cs="Times"/>
                                  <w:i/>
                                  <w:szCs w:val="24"/>
                                </w:rPr>
                              </m:ctrlPr>
                            </m:sSubPr>
                            <m:e>
                              <m:r>
                                <w:rPr>
                                  <w:rFonts w:ascii="Cambria Math" w:eastAsia="Calibri" w:hAnsi="Cambria Math" w:cs="Times"/>
                                  <w:szCs w:val="24"/>
                                </w:rPr>
                                <m:t>n</m:t>
                              </m:r>
                            </m:e>
                            <m:sub>
                              <m:r>
                                <w:rPr>
                                  <w:rFonts w:ascii="Cambria Math" w:eastAsia="Calibri" w:hAnsi="Cambria Math" w:cs="Times"/>
                                  <w:szCs w:val="24"/>
                                </w:rPr>
                                <m:t>atr</m:t>
                              </m:r>
                            </m:sub>
                          </m:sSub>
                        </m:den>
                      </m:f>
                      <m:r>
                        <w:rPr>
                          <w:rFonts w:ascii="Cambria Math" w:eastAsia="Calibri" w:hAnsi="Cambria Math" w:cs="Times"/>
                          <w:szCs w:val="24"/>
                        </w:rPr>
                        <m:t>)</m:t>
                      </m:r>
                    </m:e>
                    <m:sup>
                      <m:r>
                        <w:rPr>
                          <w:rFonts w:ascii="Cambria Math" w:eastAsia="Calibri" w:hAnsi="Cambria Math" w:cs="Times"/>
                          <w:szCs w:val="24"/>
                        </w:rPr>
                        <m:t>2</m:t>
                      </m:r>
                    </m:sup>
                  </m:sSup>
                </m:e>
              </m:rad>
            </m:den>
          </m:f>
        </m:oMath>
      </m:oMathPara>
    </w:p>
    <w:p w14:paraId="33F1890D" w14:textId="77777777" w:rsidR="00207DA0" w:rsidRDefault="00207DA0" w:rsidP="00207DA0">
      <w:pPr>
        <w:spacing w:after="0" w:line="480" w:lineRule="auto"/>
        <w:rPr>
          <w:rFonts w:cs="Times"/>
          <w:szCs w:val="24"/>
        </w:rPr>
      </w:pPr>
      <w:r w:rsidRPr="0007263E">
        <w:rPr>
          <w:rFonts w:cs="Times"/>
          <w:szCs w:val="24"/>
        </w:rPr>
        <w:t xml:space="preserve">where </w:t>
      </w:r>
      <w:r w:rsidRPr="0007263E">
        <w:rPr>
          <w:rFonts w:cs="Times"/>
          <w:i/>
          <w:szCs w:val="24"/>
        </w:rPr>
        <w:t>λ</w:t>
      </w:r>
      <w:r w:rsidRPr="0007263E">
        <w:rPr>
          <w:rFonts w:cs="Times"/>
          <w:szCs w:val="24"/>
        </w:rPr>
        <w:t xml:space="preserve"> is the wavelength</w:t>
      </w:r>
      <w:r>
        <w:rPr>
          <w:rFonts w:cs="Times"/>
          <w:szCs w:val="24"/>
        </w:rPr>
        <w:t xml:space="preserve"> of interest</w:t>
      </w:r>
      <w:r w:rsidRPr="0007263E">
        <w:rPr>
          <w:rFonts w:cs="Times"/>
          <w:szCs w:val="24"/>
        </w:rPr>
        <w:t xml:space="preserve">, </w:t>
      </w:r>
      <w:r w:rsidRPr="0007263E">
        <w:rPr>
          <w:rFonts w:cs="Times"/>
          <w:i/>
          <w:szCs w:val="24"/>
        </w:rPr>
        <w:t>n</w:t>
      </w:r>
      <w:r w:rsidRPr="0007263E">
        <w:rPr>
          <w:rFonts w:cs="Times"/>
          <w:szCs w:val="24"/>
          <w:vertAlign w:val="subscript"/>
        </w:rPr>
        <w:t xml:space="preserve">atr </w:t>
      </w:r>
      <w:r w:rsidRPr="0007263E">
        <w:rPr>
          <w:rFonts w:cs="Times"/>
          <w:szCs w:val="24"/>
        </w:rPr>
        <w:t xml:space="preserve">is the refractive index of the ATR crystal (4.0), </w:t>
      </w:r>
      <w:r w:rsidRPr="0007263E">
        <w:rPr>
          <w:rFonts w:cs="Times"/>
          <w:i/>
          <w:szCs w:val="24"/>
        </w:rPr>
        <w:t>n</w:t>
      </w:r>
      <w:r w:rsidRPr="0007263E">
        <w:rPr>
          <w:rFonts w:cs="Times"/>
          <w:szCs w:val="24"/>
          <w:vertAlign w:val="subscript"/>
        </w:rPr>
        <w:t>smp</w:t>
      </w:r>
      <w:r w:rsidRPr="0007263E">
        <w:rPr>
          <w:rFonts w:cs="Times"/>
          <w:szCs w:val="24"/>
        </w:rPr>
        <w:t xml:space="preserve"> the refractive index of the sample and </w:t>
      </w:r>
      <w:r w:rsidRPr="0007263E">
        <w:rPr>
          <w:rFonts w:cs="Times"/>
          <w:i/>
          <w:szCs w:val="24"/>
        </w:rPr>
        <w:t>θ</w:t>
      </w:r>
      <w:r w:rsidRPr="0007263E">
        <w:rPr>
          <w:rFonts w:cs="Times"/>
          <w:szCs w:val="24"/>
        </w:rPr>
        <w:t xml:space="preserve"> the incident angle (65°).</w:t>
      </w:r>
    </w:p>
    <w:p w14:paraId="54239216" w14:textId="77777777" w:rsidR="00207DA0" w:rsidRDefault="00207DA0" w:rsidP="00207DA0">
      <w:pPr>
        <w:spacing w:after="0" w:line="480" w:lineRule="auto"/>
        <w:rPr>
          <w:rFonts w:cs="Times"/>
          <w:szCs w:val="24"/>
        </w:rPr>
      </w:pPr>
    </w:p>
    <w:p w14:paraId="73A83214" w14:textId="77777777" w:rsidR="00207DA0" w:rsidRDefault="00207DA0" w:rsidP="00207DA0">
      <w:pPr>
        <w:spacing w:after="0" w:line="480" w:lineRule="auto"/>
        <w:rPr>
          <w:rFonts w:cs="Times"/>
          <w:szCs w:val="24"/>
        </w:rPr>
      </w:pPr>
    </w:p>
    <w:p w14:paraId="16960C2C" w14:textId="77777777" w:rsidR="00207DA0" w:rsidRDefault="00207DA0" w:rsidP="00207DA0">
      <w:pPr>
        <w:spacing w:after="0" w:line="480" w:lineRule="auto"/>
        <w:rPr>
          <w:rFonts w:cs="Times"/>
          <w:szCs w:val="24"/>
        </w:rPr>
      </w:pPr>
    </w:p>
    <w:p w14:paraId="5BDB4BA9" w14:textId="77777777" w:rsidR="00207DA0" w:rsidRDefault="00207DA0" w:rsidP="00207DA0">
      <w:pPr>
        <w:spacing w:after="0" w:line="480" w:lineRule="auto"/>
        <w:rPr>
          <w:rFonts w:cs="Times"/>
          <w:szCs w:val="24"/>
        </w:rPr>
      </w:pPr>
      <w:r w:rsidRPr="0012532B">
        <w:rPr>
          <w:rFonts w:cs="Times"/>
          <w:b/>
          <w:szCs w:val="24"/>
        </w:rPr>
        <w:lastRenderedPageBreak/>
        <w:t>Table S</w:t>
      </w:r>
      <w:r>
        <w:rPr>
          <w:rFonts w:cs="Times"/>
          <w:b/>
          <w:szCs w:val="24"/>
        </w:rPr>
        <w:t>3</w:t>
      </w:r>
      <w:r w:rsidRPr="0012532B">
        <w:rPr>
          <w:rFonts w:cs="Times"/>
          <w:b/>
          <w:szCs w:val="24"/>
        </w:rPr>
        <w:t>.</w:t>
      </w:r>
      <w:r w:rsidRPr="0007263E">
        <w:rPr>
          <w:rFonts w:cs="Times"/>
          <w:szCs w:val="24"/>
        </w:rPr>
        <w:t xml:space="preserve"> </w:t>
      </w:r>
      <w:r>
        <w:rPr>
          <w:rFonts w:cs="Times"/>
          <w:szCs w:val="24"/>
        </w:rPr>
        <w:t>Thickness data and measured acid content for different cycle number mLbL polyamide films grown on Si.</w:t>
      </w:r>
    </w:p>
    <w:tbl>
      <w:tblPr>
        <w:tblW w:w="7727" w:type="dxa"/>
        <w:tblLook w:val="04A0" w:firstRow="1" w:lastRow="0" w:firstColumn="1" w:lastColumn="0" w:noHBand="0" w:noVBand="1"/>
      </w:tblPr>
      <w:tblGrid>
        <w:gridCol w:w="960"/>
        <w:gridCol w:w="1244"/>
        <w:gridCol w:w="1216"/>
        <w:gridCol w:w="1170"/>
        <w:gridCol w:w="1170"/>
        <w:gridCol w:w="1069"/>
        <w:gridCol w:w="1091"/>
      </w:tblGrid>
      <w:tr w:rsidR="00207DA0" w:rsidRPr="0032046C" w14:paraId="33828663" w14:textId="77777777" w:rsidTr="00A17A02">
        <w:trPr>
          <w:trHeight w:val="372"/>
        </w:trPr>
        <w:tc>
          <w:tcPr>
            <w:tcW w:w="960" w:type="dxa"/>
            <w:tcBorders>
              <w:top w:val="nil"/>
              <w:left w:val="nil"/>
              <w:bottom w:val="nil"/>
              <w:right w:val="nil"/>
            </w:tcBorders>
            <w:shd w:val="clear" w:color="auto" w:fill="auto"/>
            <w:noWrap/>
            <w:vAlign w:val="bottom"/>
            <w:hideMark/>
          </w:tcPr>
          <w:p w14:paraId="06F28065" w14:textId="77777777" w:rsidR="00207DA0" w:rsidRPr="0032046C" w:rsidRDefault="00207DA0" w:rsidP="00A17A02">
            <w:pPr>
              <w:spacing w:after="0"/>
              <w:rPr>
                <w:rFonts w:ascii="Times New Roman" w:hAnsi="Times New Roman"/>
                <w:szCs w:val="24"/>
              </w:rPr>
            </w:pPr>
          </w:p>
        </w:tc>
        <w:tc>
          <w:tcPr>
            <w:tcW w:w="1244" w:type="dxa"/>
            <w:tcBorders>
              <w:top w:val="nil"/>
              <w:left w:val="nil"/>
              <w:bottom w:val="nil"/>
              <w:right w:val="nil"/>
            </w:tcBorders>
            <w:shd w:val="clear" w:color="auto" w:fill="auto"/>
            <w:noWrap/>
            <w:vAlign w:val="bottom"/>
            <w:hideMark/>
          </w:tcPr>
          <w:p w14:paraId="203448AF" w14:textId="77777777" w:rsidR="00207DA0" w:rsidRPr="0032046C" w:rsidRDefault="00207DA0" w:rsidP="00A17A02">
            <w:pPr>
              <w:spacing w:after="0"/>
              <w:rPr>
                <w:rFonts w:ascii="Times New Roman" w:hAnsi="Times New Roman"/>
                <w:sz w:val="20"/>
              </w:rPr>
            </w:pPr>
          </w:p>
        </w:tc>
        <w:tc>
          <w:tcPr>
            <w:tcW w:w="355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D51893"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Acid content (mmol</w:t>
            </w:r>
            <w:r>
              <w:rPr>
                <w:rFonts w:ascii="Times New Roman" w:hAnsi="Times New Roman"/>
                <w:b/>
                <w:bCs/>
                <w:color w:val="000000"/>
                <w:szCs w:val="24"/>
              </w:rPr>
              <w:t xml:space="preserve"> </w:t>
            </w:r>
            <w:r w:rsidRPr="0032046C">
              <w:rPr>
                <w:rFonts w:ascii="Times New Roman" w:hAnsi="Times New Roman"/>
                <w:b/>
                <w:bCs/>
                <w:color w:val="000000"/>
                <w:szCs w:val="24"/>
              </w:rPr>
              <w:t>g</w:t>
            </w:r>
            <w:r w:rsidRPr="0032046C">
              <w:rPr>
                <w:rFonts w:ascii="Times New Roman" w:hAnsi="Times New Roman"/>
                <w:b/>
                <w:bCs/>
                <w:color w:val="000000"/>
                <w:szCs w:val="24"/>
                <w:vertAlign w:val="superscript"/>
              </w:rPr>
              <w:t>-1</w:t>
            </w:r>
            <w:r w:rsidRPr="0032046C">
              <w:rPr>
                <w:rFonts w:ascii="Times New Roman" w:hAnsi="Times New Roman"/>
                <w:b/>
                <w:bCs/>
                <w:color w:val="000000"/>
                <w:szCs w:val="24"/>
              </w:rPr>
              <w:t>)</w:t>
            </w:r>
          </w:p>
        </w:tc>
        <w:tc>
          <w:tcPr>
            <w:tcW w:w="876" w:type="dxa"/>
            <w:tcBorders>
              <w:top w:val="single" w:sz="8" w:space="0" w:color="auto"/>
              <w:left w:val="nil"/>
              <w:bottom w:val="nil"/>
              <w:right w:val="nil"/>
            </w:tcBorders>
            <w:shd w:val="clear" w:color="auto" w:fill="auto"/>
            <w:noWrap/>
            <w:vAlign w:val="center"/>
            <w:hideMark/>
          </w:tcPr>
          <w:p w14:paraId="5A1C7F51" w14:textId="77777777" w:rsidR="00207DA0" w:rsidRPr="0032046C" w:rsidRDefault="00207DA0" w:rsidP="00A17A02">
            <w:pPr>
              <w:spacing w:after="0"/>
              <w:rPr>
                <w:rFonts w:ascii="Times New Roman" w:hAnsi="Times New Roman"/>
                <w:color w:val="000000"/>
                <w:szCs w:val="24"/>
              </w:rPr>
            </w:pPr>
            <w:r w:rsidRPr="0032046C">
              <w:rPr>
                <w:rFonts w:ascii="Times New Roman" w:hAnsi="Times New Roman"/>
                <w:color w:val="000000"/>
                <w:szCs w:val="24"/>
              </w:rPr>
              <w:t> </w:t>
            </w:r>
          </w:p>
        </w:tc>
        <w:tc>
          <w:tcPr>
            <w:tcW w:w="1091" w:type="dxa"/>
            <w:tcBorders>
              <w:top w:val="single" w:sz="8" w:space="0" w:color="auto"/>
              <w:left w:val="nil"/>
              <w:bottom w:val="nil"/>
              <w:right w:val="single" w:sz="8" w:space="0" w:color="auto"/>
            </w:tcBorders>
            <w:shd w:val="clear" w:color="auto" w:fill="auto"/>
            <w:noWrap/>
            <w:vAlign w:val="center"/>
            <w:hideMark/>
          </w:tcPr>
          <w:p w14:paraId="124D1DF2" w14:textId="77777777" w:rsidR="00207DA0" w:rsidRPr="0032046C" w:rsidRDefault="00207DA0" w:rsidP="00A17A02">
            <w:pPr>
              <w:spacing w:after="0"/>
              <w:rPr>
                <w:rFonts w:ascii="Times New Roman" w:hAnsi="Times New Roman"/>
                <w:color w:val="000000"/>
                <w:szCs w:val="24"/>
              </w:rPr>
            </w:pPr>
            <w:r w:rsidRPr="0032046C">
              <w:rPr>
                <w:rFonts w:ascii="Times New Roman" w:hAnsi="Times New Roman"/>
                <w:color w:val="000000"/>
                <w:szCs w:val="24"/>
              </w:rPr>
              <w:t> </w:t>
            </w:r>
          </w:p>
        </w:tc>
      </w:tr>
      <w:tr w:rsidR="00207DA0" w:rsidRPr="0032046C" w14:paraId="4B3DB324" w14:textId="77777777" w:rsidTr="00A17A02">
        <w:trPr>
          <w:trHeight w:val="324"/>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6A43A8"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Cycle</w:t>
            </w:r>
          </w:p>
        </w:tc>
        <w:tc>
          <w:tcPr>
            <w:tcW w:w="1244" w:type="dxa"/>
            <w:tcBorders>
              <w:top w:val="single" w:sz="8" w:space="0" w:color="auto"/>
              <w:left w:val="nil"/>
              <w:bottom w:val="single" w:sz="8" w:space="0" w:color="auto"/>
              <w:right w:val="nil"/>
            </w:tcBorders>
            <w:shd w:val="clear" w:color="auto" w:fill="auto"/>
            <w:noWrap/>
            <w:vAlign w:val="center"/>
            <w:hideMark/>
          </w:tcPr>
          <w:p w14:paraId="54B246A4"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Thickness (nm)</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564CEDC6"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Sample 1</w:t>
            </w:r>
          </w:p>
        </w:tc>
        <w:tc>
          <w:tcPr>
            <w:tcW w:w="1170" w:type="dxa"/>
            <w:tcBorders>
              <w:top w:val="nil"/>
              <w:left w:val="nil"/>
              <w:bottom w:val="single" w:sz="8" w:space="0" w:color="auto"/>
              <w:right w:val="single" w:sz="8" w:space="0" w:color="auto"/>
            </w:tcBorders>
            <w:shd w:val="clear" w:color="auto" w:fill="auto"/>
            <w:noWrap/>
            <w:vAlign w:val="center"/>
            <w:hideMark/>
          </w:tcPr>
          <w:p w14:paraId="604AA9DB"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Sample 2</w:t>
            </w:r>
          </w:p>
        </w:tc>
        <w:tc>
          <w:tcPr>
            <w:tcW w:w="1170" w:type="dxa"/>
            <w:tcBorders>
              <w:top w:val="nil"/>
              <w:left w:val="nil"/>
              <w:bottom w:val="single" w:sz="8" w:space="0" w:color="auto"/>
              <w:right w:val="single" w:sz="8" w:space="0" w:color="auto"/>
            </w:tcBorders>
            <w:shd w:val="clear" w:color="auto" w:fill="auto"/>
            <w:noWrap/>
            <w:vAlign w:val="center"/>
            <w:hideMark/>
          </w:tcPr>
          <w:p w14:paraId="2B632A19"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Sample 3</w:t>
            </w:r>
          </w:p>
        </w:tc>
        <w:tc>
          <w:tcPr>
            <w:tcW w:w="876" w:type="dxa"/>
            <w:tcBorders>
              <w:top w:val="single" w:sz="8" w:space="0" w:color="auto"/>
              <w:left w:val="nil"/>
              <w:bottom w:val="single" w:sz="8" w:space="0" w:color="auto"/>
              <w:right w:val="single" w:sz="8" w:space="0" w:color="auto"/>
            </w:tcBorders>
            <w:shd w:val="clear" w:color="auto" w:fill="auto"/>
            <w:noWrap/>
            <w:vAlign w:val="center"/>
            <w:hideMark/>
          </w:tcPr>
          <w:p w14:paraId="1652DE5F"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Average</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04299B76" w14:textId="77777777" w:rsidR="00207DA0" w:rsidRPr="0032046C" w:rsidRDefault="00207DA0" w:rsidP="00A17A02">
            <w:pPr>
              <w:spacing w:after="0"/>
              <w:jc w:val="center"/>
              <w:rPr>
                <w:rFonts w:ascii="Times New Roman" w:hAnsi="Times New Roman"/>
                <w:b/>
                <w:bCs/>
                <w:color w:val="000000"/>
                <w:szCs w:val="24"/>
              </w:rPr>
            </w:pPr>
            <w:r w:rsidRPr="0032046C">
              <w:rPr>
                <w:rFonts w:ascii="Times New Roman" w:hAnsi="Times New Roman"/>
                <w:b/>
                <w:bCs/>
                <w:color w:val="000000"/>
                <w:szCs w:val="24"/>
              </w:rPr>
              <w:t>Std Dev</w:t>
            </w:r>
          </w:p>
        </w:tc>
      </w:tr>
      <w:tr w:rsidR="00207DA0" w:rsidRPr="0032046C" w14:paraId="65C9F7DC"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0E4B8A"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5</w:t>
            </w:r>
          </w:p>
        </w:tc>
        <w:tc>
          <w:tcPr>
            <w:tcW w:w="1244" w:type="dxa"/>
            <w:tcBorders>
              <w:top w:val="nil"/>
              <w:left w:val="nil"/>
              <w:bottom w:val="single" w:sz="8" w:space="0" w:color="auto"/>
              <w:right w:val="nil"/>
            </w:tcBorders>
            <w:shd w:val="clear" w:color="auto" w:fill="auto"/>
            <w:noWrap/>
            <w:vAlign w:val="center"/>
            <w:hideMark/>
          </w:tcPr>
          <w:p w14:paraId="5474B058" w14:textId="77777777" w:rsidR="00207DA0" w:rsidRPr="0032046C" w:rsidRDefault="00207DA0" w:rsidP="00A17A02">
            <w:pPr>
              <w:spacing w:after="0"/>
              <w:jc w:val="center"/>
              <w:rPr>
                <w:rFonts w:ascii="Times New Roman" w:hAnsi="Times New Roman"/>
                <w:color w:val="000000"/>
                <w:szCs w:val="24"/>
              </w:rPr>
            </w:pPr>
            <w:r>
              <w:rPr>
                <w:rFonts w:ascii="Times New Roman" w:hAnsi="Times New Roman"/>
                <w:color w:val="000000"/>
                <w:szCs w:val="24"/>
              </w:rPr>
              <w:t>0.9</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1B9DF730"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0.55</w:t>
            </w:r>
          </w:p>
        </w:tc>
        <w:tc>
          <w:tcPr>
            <w:tcW w:w="1170" w:type="dxa"/>
            <w:tcBorders>
              <w:top w:val="nil"/>
              <w:left w:val="nil"/>
              <w:bottom w:val="single" w:sz="8" w:space="0" w:color="auto"/>
              <w:right w:val="single" w:sz="8" w:space="0" w:color="auto"/>
            </w:tcBorders>
            <w:shd w:val="clear" w:color="auto" w:fill="auto"/>
            <w:noWrap/>
            <w:vAlign w:val="center"/>
            <w:hideMark/>
          </w:tcPr>
          <w:p w14:paraId="1620B066"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0.56</w:t>
            </w:r>
          </w:p>
        </w:tc>
        <w:tc>
          <w:tcPr>
            <w:tcW w:w="1170" w:type="dxa"/>
            <w:tcBorders>
              <w:top w:val="nil"/>
              <w:left w:val="nil"/>
              <w:bottom w:val="single" w:sz="8" w:space="0" w:color="auto"/>
              <w:right w:val="single" w:sz="8" w:space="0" w:color="auto"/>
            </w:tcBorders>
            <w:shd w:val="clear" w:color="auto" w:fill="auto"/>
            <w:noWrap/>
            <w:vAlign w:val="center"/>
            <w:hideMark/>
          </w:tcPr>
          <w:p w14:paraId="7F1C0939"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0.57</w:t>
            </w:r>
          </w:p>
        </w:tc>
        <w:tc>
          <w:tcPr>
            <w:tcW w:w="876" w:type="dxa"/>
            <w:tcBorders>
              <w:top w:val="nil"/>
              <w:left w:val="nil"/>
              <w:bottom w:val="single" w:sz="8" w:space="0" w:color="auto"/>
              <w:right w:val="single" w:sz="8" w:space="0" w:color="auto"/>
            </w:tcBorders>
            <w:shd w:val="clear" w:color="auto" w:fill="auto"/>
            <w:noWrap/>
            <w:vAlign w:val="center"/>
            <w:hideMark/>
          </w:tcPr>
          <w:p w14:paraId="719ADD8B"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0.56</w:t>
            </w:r>
          </w:p>
        </w:tc>
        <w:tc>
          <w:tcPr>
            <w:tcW w:w="1091" w:type="dxa"/>
            <w:tcBorders>
              <w:top w:val="nil"/>
              <w:left w:val="nil"/>
              <w:bottom w:val="single" w:sz="8" w:space="0" w:color="auto"/>
              <w:right w:val="single" w:sz="8" w:space="0" w:color="auto"/>
            </w:tcBorders>
            <w:shd w:val="clear" w:color="auto" w:fill="auto"/>
            <w:noWrap/>
            <w:vAlign w:val="center"/>
            <w:hideMark/>
          </w:tcPr>
          <w:p w14:paraId="5D3217DA"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0.01</w:t>
            </w:r>
          </w:p>
        </w:tc>
      </w:tr>
      <w:tr w:rsidR="00207DA0" w:rsidRPr="0032046C" w14:paraId="048EB5CC"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1036A1D2"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10</w:t>
            </w:r>
          </w:p>
        </w:tc>
        <w:tc>
          <w:tcPr>
            <w:tcW w:w="1244" w:type="dxa"/>
            <w:tcBorders>
              <w:top w:val="nil"/>
              <w:left w:val="nil"/>
              <w:bottom w:val="single" w:sz="8" w:space="0" w:color="auto"/>
              <w:right w:val="nil"/>
            </w:tcBorders>
            <w:shd w:val="clear" w:color="auto" w:fill="EEECE1" w:themeFill="background2"/>
            <w:noWrap/>
            <w:vAlign w:val="center"/>
            <w:hideMark/>
          </w:tcPr>
          <w:p w14:paraId="1AEAA22C"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2.3</w:t>
            </w:r>
          </w:p>
        </w:tc>
        <w:tc>
          <w:tcPr>
            <w:tcW w:w="1216"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365C4442"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0.35</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0CB35C64"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0.35</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57EC1595"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0.34</w:t>
            </w:r>
          </w:p>
        </w:tc>
        <w:tc>
          <w:tcPr>
            <w:tcW w:w="876" w:type="dxa"/>
            <w:tcBorders>
              <w:top w:val="nil"/>
              <w:left w:val="nil"/>
              <w:bottom w:val="single" w:sz="8" w:space="0" w:color="auto"/>
              <w:right w:val="single" w:sz="8" w:space="0" w:color="auto"/>
            </w:tcBorders>
            <w:shd w:val="clear" w:color="auto" w:fill="EEECE1" w:themeFill="background2"/>
            <w:noWrap/>
            <w:vAlign w:val="center"/>
            <w:hideMark/>
          </w:tcPr>
          <w:p w14:paraId="1704EA3F"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0.35</w:t>
            </w:r>
          </w:p>
        </w:tc>
        <w:tc>
          <w:tcPr>
            <w:tcW w:w="1091" w:type="dxa"/>
            <w:tcBorders>
              <w:top w:val="nil"/>
              <w:left w:val="nil"/>
              <w:bottom w:val="single" w:sz="8" w:space="0" w:color="auto"/>
              <w:right w:val="single" w:sz="8" w:space="0" w:color="auto"/>
            </w:tcBorders>
            <w:shd w:val="clear" w:color="auto" w:fill="EEECE1" w:themeFill="background2"/>
            <w:noWrap/>
            <w:vAlign w:val="center"/>
            <w:hideMark/>
          </w:tcPr>
          <w:p w14:paraId="329B22B1"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0.00</w:t>
            </w:r>
          </w:p>
        </w:tc>
      </w:tr>
      <w:tr w:rsidR="00207DA0" w:rsidRPr="0032046C" w14:paraId="7D00D196"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E11040"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15</w:t>
            </w:r>
          </w:p>
        </w:tc>
        <w:tc>
          <w:tcPr>
            <w:tcW w:w="1244" w:type="dxa"/>
            <w:tcBorders>
              <w:top w:val="nil"/>
              <w:left w:val="nil"/>
              <w:bottom w:val="single" w:sz="8" w:space="0" w:color="auto"/>
              <w:right w:val="nil"/>
            </w:tcBorders>
            <w:shd w:val="clear" w:color="auto" w:fill="auto"/>
            <w:noWrap/>
            <w:vAlign w:val="center"/>
            <w:hideMark/>
          </w:tcPr>
          <w:p w14:paraId="6239497B"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2.8</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4AC4D29E"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0.28</w:t>
            </w:r>
          </w:p>
        </w:tc>
        <w:tc>
          <w:tcPr>
            <w:tcW w:w="1170" w:type="dxa"/>
            <w:tcBorders>
              <w:top w:val="nil"/>
              <w:left w:val="nil"/>
              <w:bottom w:val="single" w:sz="8" w:space="0" w:color="auto"/>
              <w:right w:val="single" w:sz="8" w:space="0" w:color="auto"/>
            </w:tcBorders>
            <w:shd w:val="clear" w:color="auto" w:fill="auto"/>
            <w:noWrap/>
            <w:vAlign w:val="center"/>
            <w:hideMark/>
          </w:tcPr>
          <w:p w14:paraId="7BD0D68E"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0.25</w:t>
            </w:r>
          </w:p>
        </w:tc>
        <w:tc>
          <w:tcPr>
            <w:tcW w:w="1170" w:type="dxa"/>
            <w:tcBorders>
              <w:top w:val="nil"/>
              <w:left w:val="nil"/>
              <w:bottom w:val="single" w:sz="8" w:space="0" w:color="auto"/>
              <w:right w:val="single" w:sz="8" w:space="0" w:color="auto"/>
            </w:tcBorders>
            <w:shd w:val="clear" w:color="auto" w:fill="auto"/>
            <w:noWrap/>
            <w:vAlign w:val="center"/>
            <w:hideMark/>
          </w:tcPr>
          <w:p w14:paraId="15C3F9A7"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0.31</w:t>
            </w:r>
          </w:p>
        </w:tc>
        <w:tc>
          <w:tcPr>
            <w:tcW w:w="876" w:type="dxa"/>
            <w:tcBorders>
              <w:top w:val="nil"/>
              <w:left w:val="nil"/>
              <w:bottom w:val="single" w:sz="8" w:space="0" w:color="auto"/>
              <w:right w:val="single" w:sz="8" w:space="0" w:color="auto"/>
            </w:tcBorders>
            <w:shd w:val="clear" w:color="auto" w:fill="auto"/>
            <w:noWrap/>
            <w:vAlign w:val="center"/>
            <w:hideMark/>
          </w:tcPr>
          <w:p w14:paraId="1A4D3D15"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0.28</w:t>
            </w:r>
          </w:p>
        </w:tc>
        <w:tc>
          <w:tcPr>
            <w:tcW w:w="1091" w:type="dxa"/>
            <w:tcBorders>
              <w:top w:val="nil"/>
              <w:left w:val="nil"/>
              <w:bottom w:val="single" w:sz="8" w:space="0" w:color="auto"/>
              <w:right w:val="single" w:sz="8" w:space="0" w:color="auto"/>
            </w:tcBorders>
            <w:shd w:val="clear" w:color="auto" w:fill="auto"/>
            <w:noWrap/>
            <w:vAlign w:val="center"/>
            <w:hideMark/>
          </w:tcPr>
          <w:p w14:paraId="202D1810"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0.03</w:t>
            </w:r>
          </w:p>
        </w:tc>
      </w:tr>
      <w:tr w:rsidR="00207DA0" w:rsidRPr="0032046C" w14:paraId="4FC83BAA"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2375550A"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30</w:t>
            </w:r>
          </w:p>
        </w:tc>
        <w:tc>
          <w:tcPr>
            <w:tcW w:w="1244" w:type="dxa"/>
            <w:tcBorders>
              <w:top w:val="nil"/>
              <w:left w:val="nil"/>
              <w:bottom w:val="single" w:sz="8" w:space="0" w:color="auto"/>
              <w:right w:val="nil"/>
            </w:tcBorders>
            <w:shd w:val="clear" w:color="auto" w:fill="EEECE1" w:themeFill="background2"/>
            <w:noWrap/>
            <w:vAlign w:val="center"/>
            <w:hideMark/>
          </w:tcPr>
          <w:p w14:paraId="674C29B0"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7.6</w:t>
            </w:r>
          </w:p>
        </w:tc>
        <w:tc>
          <w:tcPr>
            <w:tcW w:w="1216"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6FE82298"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0.21</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3784235F"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0.17</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634DBA9E"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0.19</w:t>
            </w:r>
          </w:p>
        </w:tc>
        <w:tc>
          <w:tcPr>
            <w:tcW w:w="876" w:type="dxa"/>
            <w:tcBorders>
              <w:top w:val="nil"/>
              <w:left w:val="nil"/>
              <w:bottom w:val="single" w:sz="8" w:space="0" w:color="auto"/>
              <w:right w:val="single" w:sz="8" w:space="0" w:color="auto"/>
            </w:tcBorders>
            <w:shd w:val="clear" w:color="auto" w:fill="EEECE1" w:themeFill="background2"/>
            <w:noWrap/>
            <w:vAlign w:val="center"/>
            <w:hideMark/>
          </w:tcPr>
          <w:p w14:paraId="37FD27B3"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0.19</w:t>
            </w:r>
          </w:p>
        </w:tc>
        <w:tc>
          <w:tcPr>
            <w:tcW w:w="1091" w:type="dxa"/>
            <w:tcBorders>
              <w:top w:val="nil"/>
              <w:left w:val="nil"/>
              <w:bottom w:val="single" w:sz="8" w:space="0" w:color="auto"/>
              <w:right w:val="single" w:sz="8" w:space="0" w:color="auto"/>
            </w:tcBorders>
            <w:shd w:val="clear" w:color="auto" w:fill="EEECE1" w:themeFill="background2"/>
            <w:noWrap/>
            <w:vAlign w:val="center"/>
            <w:hideMark/>
          </w:tcPr>
          <w:p w14:paraId="05E8D1E0"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0.01</w:t>
            </w:r>
          </w:p>
        </w:tc>
      </w:tr>
      <w:tr w:rsidR="00207DA0" w:rsidRPr="0032046C" w14:paraId="3755A60B"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A5D8ED"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60</w:t>
            </w:r>
          </w:p>
        </w:tc>
        <w:tc>
          <w:tcPr>
            <w:tcW w:w="1244" w:type="dxa"/>
            <w:tcBorders>
              <w:top w:val="nil"/>
              <w:left w:val="nil"/>
              <w:bottom w:val="single" w:sz="8" w:space="0" w:color="auto"/>
              <w:right w:val="nil"/>
            </w:tcBorders>
            <w:shd w:val="clear" w:color="auto" w:fill="auto"/>
            <w:noWrap/>
            <w:vAlign w:val="center"/>
            <w:hideMark/>
          </w:tcPr>
          <w:p w14:paraId="287FD2B7"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15</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4AC38F6C"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0.13</w:t>
            </w:r>
          </w:p>
        </w:tc>
        <w:tc>
          <w:tcPr>
            <w:tcW w:w="1170" w:type="dxa"/>
            <w:tcBorders>
              <w:top w:val="nil"/>
              <w:left w:val="nil"/>
              <w:bottom w:val="single" w:sz="8" w:space="0" w:color="auto"/>
              <w:right w:val="single" w:sz="8" w:space="0" w:color="auto"/>
            </w:tcBorders>
            <w:shd w:val="clear" w:color="auto" w:fill="auto"/>
            <w:noWrap/>
            <w:vAlign w:val="center"/>
            <w:hideMark/>
          </w:tcPr>
          <w:p w14:paraId="4B61ED03"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0.13</w:t>
            </w:r>
          </w:p>
        </w:tc>
        <w:tc>
          <w:tcPr>
            <w:tcW w:w="1170" w:type="dxa"/>
            <w:tcBorders>
              <w:top w:val="nil"/>
              <w:left w:val="nil"/>
              <w:bottom w:val="single" w:sz="8" w:space="0" w:color="auto"/>
              <w:right w:val="single" w:sz="8" w:space="0" w:color="auto"/>
            </w:tcBorders>
            <w:shd w:val="clear" w:color="auto" w:fill="auto"/>
            <w:noWrap/>
            <w:vAlign w:val="center"/>
            <w:hideMark/>
          </w:tcPr>
          <w:p w14:paraId="06CE7093"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0.13</w:t>
            </w:r>
          </w:p>
        </w:tc>
        <w:tc>
          <w:tcPr>
            <w:tcW w:w="876" w:type="dxa"/>
            <w:tcBorders>
              <w:top w:val="nil"/>
              <w:left w:val="nil"/>
              <w:bottom w:val="single" w:sz="8" w:space="0" w:color="auto"/>
              <w:right w:val="single" w:sz="8" w:space="0" w:color="auto"/>
            </w:tcBorders>
            <w:shd w:val="clear" w:color="auto" w:fill="auto"/>
            <w:noWrap/>
            <w:vAlign w:val="center"/>
            <w:hideMark/>
          </w:tcPr>
          <w:p w14:paraId="38C15AC5"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0.13</w:t>
            </w:r>
          </w:p>
        </w:tc>
        <w:tc>
          <w:tcPr>
            <w:tcW w:w="1091" w:type="dxa"/>
            <w:tcBorders>
              <w:top w:val="nil"/>
              <w:left w:val="nil"/>
              <w:bottom w:val="single" w:sz="8" w:space="0" w:color="auto"/>
              <w:right w:val="single" w:sz="8" w:space="0" w:color="auto"/>
            </w:tcBorders>
            <w:shd w:val="clear" w:color="auto" w:fill="auto"/>
            <w:noWrap/>
            <w:vAlign w:val="center"/>
            <w:hideMark/>
          </w:tcPr>
          <w:p w14:paraId="6CC40736" w14:textId="77777777" w:rsidR="00207DA0" w:rsidRPr="0032046C" w:rsidRDefault="00207DA0" w:rsidP="00A17A02">
            <w:pPr>
              <w:spacing w:after="0"/>
              <w:jc w:val="center"/>
              <w:rPr>
                <w:rFonts w:ascii="Times New Roman" w:hAnsi="Times New Roman"/>
                <w:color w:val="000000"/>
                <w:szCs w:val="24"/>
              </w:rPr>
            </w:pPr>
            <w:r w:rsidRPr="0032046C">
              <w:rPr>
                <w:rFonts w:ascii="Times New Roman" w:hAnsi="Times New Roman"/>
                <w:color w:val="000000"/>
                <w:szCs w:val="24"/>
              </w:rPr>
              <w:t>0.00</w:t>
            </w:r>
          </w:p>
        </w:tc>
      </w:tr>
    </w:tbl>
    <w:p w14:paraId="6BCFBE8C" w14:textId="77777777" w:rsidR="00207DA0" w:rsidRPr="0007263E" w:rsidRDefault="00207DA0" w:rsidP="00207DA0">
      <w:pPr>
        <w:tabs>
          <w:tab w:val="left" w:pos="720"/>
        </w:tabs>
        <w:suppressAutoHyphens/>
        <w:spacing w:before="120" w:after="120"/>
        <w:rPr>
          <w:rFonts w:cs="Times"/>
          <w:szCs w:val="24"/>
        </w:rPr>
      </w:pPr>
    </w:p>
    <w:p w14:paraId="1BCDF6CD" w14:textId="77777777" w:rsidR="00207DA0" w:rsidRPr="0007263E" w:rsidRDefault="00207DA0" w:rsidP="00207DA0">
      <w:pPr>
        <w:tabs>
          <w:tab w:val="left" w:pos="720"/>
        </w:tabs>
        <w:suppressAutoHyphens/>
        <w:spacing w:after="0" w:line="480" w:lineRule="auto"/>
        <w:rPr>
          <w:rFonts w:cs="Times"/>
          <w:b/>
          <w:szCs w:val="24"/>
        </w:rPr>
      </w:pPr>
      <w:r w:rsidRPr="0007263E">
        <w:rPr>
          <w:rFonts w:cs="Times"/>
          <w:b/>
          <w:szCs w:val="24"/>
        </w:rPr>
        <w:t xml:space="preserve">Acid Content on gold </w:t>
      </w:r>
      <w:r>
        <w:rPr>
          <w:rFonts w:cs="Times"/>
          <w:b/>
          <w:szCs w:val="24"/>
        </w:rPr>
        <w:t>s</w:t>
      </w:r>
      <w:r w:rsidRPr="0007263E">
        <w:rPr>
          <w:rFonts w:cs="Times"/>
          <w:b/>
          <w:szCs w:val="24"/>
        </w:rPr>
        <w:t>ubstrates (RAIRS)</w:t>
      </w:r>
    </w:p>
    <w:p w14:paraId="4781C65A" w14:textId="77777777" w:rsidR="00207DA0" w:rsidRPr="0007263E" w:rsidRDefault="00207DA0" w:rsidP="00207DA0">
      <w:pPr>
        <w:tabs>
          <w:tab w:val="left" w:pos="720"/>
        </w:tabs>
        <w:suppressAutoHyphens/>
        <w:spacing w:after="0" w:line="480" w:lineRule="auto"/>
        <w:rPr>
          <w:rFonts w:cs="Times"/>
          <w:szCs w:val="24"/>
        </w:rPr>
      </w:pPr>
      <w:r w:rsidRPr="0007263E">
        <w:rPr>
          <w:rFonts w:cs="Times"/>
          <w:szCs w:val="24"/>
        </w:rPr>
        <w:t>For external reflection experiments on gold the path length used is given by:</w:t>
      </w:r>
    </w:p>
    <w:p w14:paraId="58A34728" w14:textId="77777777" w:rsidR="00207DA0" w:rsidRDefault="00207DA0" w:rsidP="00207DA0">
      <w:pPr>
        <w:spacing w:after="0" w:line="480" w:lineRule="auto"/>
        <w:rPr>
          <w:rFonts w:cs="Times"/>
          <w:szCs w:val="24"/>
        </w:rPr>
      </w:pPr>
      <w:r w:rsidRPr="0007263E">
        <w:rPr>
          <w:rFonts w:cs="Times"/>
          <w:szCs w:val="24"/>
        </w:rPr>
        <w:t xml:space="preserve">                                                        </w:t>
      </w:r>
      <m:oMath>
        <m:r>
          <w:rPr>
            <w:rFonts w:ascii="Cambria Math" w:hAnsi="Cambria Math" w:cs="Times"/>
            <w:szCs w:val="24"/>
          </w:rPr>
          <m:t xml:space="preserve">pathlength= </m:t>
        </m:r>
        <m:f>
          <m:fPr>
            <m:ctrlPr>
              <w:rPr>
                <w:rFonts w:ascii="Cambria Math" w:hAnsi="Cambria Math" w:cs="Times"/>
                <w:i/>
                <w:szCs w:val="24"/>
              </w:rPr>
            </m:ctrlPr>
          </m:fPr>
          <m:num>
            <m:r>
              <w:rPr>
                <w:rFonts w:ascii="Cambria Math" w:hAnsi="Cambria Math" w:cs="Times"/>
                <w:szCs w:val="24"/>
              </w:rPr>
              <m:t>2d</m:t>
            </m:r>
          </m:num>
          <m:den>
            <m:r>
              <w:rPr>
                <w:rFonts w:ascii="Cambria Math" w:hAnsi="Cambria Math" w:cs="Times"/>
                <w:szCs w:val="24"/>
              </w:rPr>
              <m:t>cosθ</m:t>
            </m:r>
          </m:den>
        </m:f>
      </m:oMath>
      <w:r w:rsidRPr="0007263E">
        <w:rPr>
          <w:rFonts w:cs="Times"/>
          <w:szCs w:val="24"/>
        </w:rPr>
        <w:t xml:space="preserve"> </w:t>
      </w:r>
    </w:p>
    <w:p w14:paraId="0AEDA8EB" w14:textId="77777777" w:rsidR="00207DA0" w:rsidRDefault="00207DA0" w:rsidP="00207DA0">
      <w:pPr>
        <w:spacing w:after="0" w:line="480" w:lineRule="auto"/>
        <w:rPr>
          <w:rFonts w:cs="Times"/>
          <w:szCs w:val="24"/>
        </w:rPr>
      </w:pPr>
      <w:r>
        <w:rPr>
          <w:rFonts w:cs="Times"/>
          <w:szCs w:val="24"/>
        </w:rPr>
        <w:t>w</w:t>
      </w:r>
      <w:r w:rsidRPr="0007263E">
        <w:rPr>
          <w:rFonts w:cs="Times"/>
          <w:szCs w:val="24"/>
        </w:rPr>
        <w:t xml:space="preserve">here </w:t>
      </w:r>
      <w:r w:rsidRPr="0007263E">
        <w:rPr>
          <w:rFonts w:cs="Times"/>
          <w:i/>
          <w:szCs w:val="24"/>
        </w:rPr>
        <w:t>d</w:t>
      </w:r>
      <w:r w:rsidRPr="0007263E">
        <w:rPr>
          <w:rFonts w:cs="Times"/>
          <w:szCs w:val="24"/>
        </w:rPr>
        <w:t xml:space="preserve"> is the film thickness as determined by spectroscopic ellipsometry and </w:t>
      </w:r>
      <w:r w:rsidRPr="0007263E">
        <w:rPr>
          <w:rFonts w:cs="Times"/>
          <w:i/>
          <w:szCs w:val="24"/>
        </w:rPr>
        <w:t>θ</w:t>
      </w:r>
      <w:r w:rsidRPr="0007263E">
        <w:rPr>
          <w:rFonts w:cs="Times"/>
          <w:szCs w:val="24"/>
        </w:rPr>
        <w:t xml:space="preserve"> is the incident angle of the IR beam (72°). In external reflection there is an enhancement of the signal by the substrate and hence a narrower range of linearity in the relationship between absorbance and thickness.</w:t>
      </w:r>
    </w:p>
    <w:p w14:paraId="5A75FB9D" w14:textId="77777777" w:rsidR="00207DA0" w:rsidRDefault="00207DA0" w:rsidP="00207DA0">
      <w:pPr>
        <w:spacing w:after="0" w:line="480" w:lineRule="auto"/>
        <w:rPr>
          <w:rFonts w:cs="Times"/>
          <w:szCs w:val="24"/>
        </w:rPr>
      </w:pPr>
    </w:p>
    <w:p w14:paraId="7B42915F" w14:textId="77777777" w:rsidR="00207DA0" w:rsidRDefault="00207DA0" w:rsidP="00207DA0">
      <w:pPr>
        <w:spacing w:after="0" w:line="480" w:lineRule="auto"/>
        <w:rPr>
          <w:rFonts w:cs="Times"/>
          <w:szCs w:val="24"/>
        </w:rPr>
      </w:pPr>
      <w:r w:rsidRPr="0012532B">
        <w:rPr>
          <w:rFonts w:cs="Times"/>
          <w:b/>
          <w:szCs w:val="24"/>
        </w:rPr>
        <w:t>Table S4.</w:t>
      </w:r>
      <w:r w:rsidRPr="0007263E">
        <w:rPr>
          <w:rFonts w:cs="Times"/>
          <w:szCs w:val="24"/>
        </w:rPr>
        <w:t xml:space="preserve"> </w:t>
      </w:r>
      <w:r>
        <w:rPr>
          <w:rFonts w:cs="Times"/>
          <w:szCs w:val="24"/>
        </w:rPr>
        <w:t>Thickness data and measured acid content for different cycle number mLbL polyamide films grown on Au.</w:t>
      </w:r>
    </w:p>
    <w:tbl>
      <w:tblPr>
        <w:tblW w:w="7909" w:type="dxa"/>
        <w:tblLook w:val="04A0" w:firstRow="1" w:lastRow="0" w:firstColumn="1" w:lastColumn="0" w:noHBand="0" w:noVBand="1"/>
      </w:tblPr>
      <w:tblGrid>
        <w:gridCol w:w="960"/>
        <w:gridCol w:w="1244"/>
        <w:gridCol w:w="1216"/>
        <w:gridCol w:w="1170"/>
        <w:gridCol w:w="1170"/>
        <w:gridCol w:w="1069"/>
        <w:gridCol w:w="1080"/>
      </w:tblGrid>
      <w:tr w:rsidR="00207DA0" w:rsidRPr="002F5D50" w14:paraId="3479C6F3" w14:textId="77777777" w:rsidTr="00A17A02">
        <w:trPr>
          <w:trHeight w:val="372"/>
        </w:trPr>
        <w:tc>
          <w:tcPr>
            <w:tcW w:w="960" w:type="dxa"/>
            <w:tcBorders>
              <w:top w:val="nil"/>
              <w:left w:val="nil"/>
              <w:bottom w:val="nil"/>
              <w:right w:val="nil"/>
            </w:tcBorders>
            <w:shd w:val="clear" w:color="auto" w:fill="auto"/>
            <w:noWrap/>
            <w:vAlign w:val="bottom"/>
            <w:hideMark/>
          </w:tcPr>
          <w:p w14:paraId="43CFD376" w14:textId="77777777" w:rsidR="00207DA0" w:rsidRPr="002F5D50" w:rsidRDefault="00207DA0" w:rsidP="00A17A02">
            <w:pPr>
              <w:spacing w:after="0"/>
              <w:rPr>
                <w:rFonts w:ascii="Times New Roman" w:hAnsi="Times New Roman"/>
                <w:szCs w:val="24"/>
              </w:rPr>
            </w:pPr>
          </w:p>
        </w:tc>
        <w:tc>
          <w:tcPr>
            <w:tcW w:w="1244" w:type="dxa"/>
            <w:tcBorders>
              <w:top w:val="nil"/>
              <w:left w:val="nil"/>
              <w:bottom w:val="nil"/>
              <w:right w:val="nil"/>
            </w:tcBorders>
            <w:shd w:val="clear" w:color="auto" w:fill="auto"/>
            <w:noWrap/>
            <w:vAlign w:val="bottom"/>
            <w:hideMark/>
          </w:tcPr>
          <w:p w14:paraId="16F029B7" w14:textId="77777777" w:rsidR="00207DA0" w:rsidRPr="002F5D50" w:rsidRDefault="00207DA0" w:rsidP="00A17A02">
            <w:pPr>
              <w:spacing w:after="0"/>
              <w:rPr>
                <w:rFonts w:ascii="Times New Roman" w:hAnsi="Times New Roman"/>
                <w:sz w:val="20"/>
              </w:rPr>
            </w:pPr>
          </w:p>
        </w:tc>
        <w:tc>
          <w:tcPr>
            <w:tcW w:w="355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7D0EC6"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 xml:space="preserve">Acid content </w:t>
            </w:r>
            <w:r>
              <w:rPr>
                <w:rFonts w:ascii="Times New Roman" w:hAnsi="Times New Roman"/>
                <w:b/>
                <w:bCs/>
                <w:color w:val="000000"/>
                <w:szCs w:val="24"/>
              </w:rPr>
              <w:t xml:space="preserve">(mmol </w:t>
            </w:r>
            <w:r w:rsidRPr="002F5D50">
              <w:rPr>
                <w:rFonts w:ascii="Times New Roman" w:hAnsi="Times New Roman"/>
                <w:b/>
                <w:bCs/>
                <w:color w:val="000000"/>
                <w:szCs w:val="24"/>
              </w:rPr>
              <w:t>g</w:t>
            </w:r>
            <w:r w:rsidRPr="002F5D50">
              <w:rPr>
                <w:rFonts w:ascii="Times New Roman" w:hAnsi="Times New Roman"/>
                <w:b/>
                <w:bCs/>
                <w:color w:val="000000"/>
                <w:szCs w:val="24"/>
                <w:vertAlign w:val="superscript"/>
              </w:rPr>
              <w:t>-1</w:t>
            </w:r>
            <w:r w:rsidRPr="002F5D50">
              <w:rPr>
                <w:rFonts w:ascii="Times New Roman" w:hAnsi="Times New Roman"/>
                <w:b/>
                <w:bCs/>
                <w:color w:val="000000"/>
                <w:szCs w:val="24"/>
              </w:rPr>
              <w:t>)</w:t>
            </w:r>
          </w:p>
        </w:tc>
        <w:tc>
          <w:tcPr>
            <w:tcW w:w="1069" w:type="dxa"/>
            <w:tcBorders>
              <w:top w:val="single" w:sz="8" w:space="0" w:color="auto"/>
              <w:left w:val="nil"/>
              <w:bottom w:val="nil"/>
              <w:right w:val="nil"/>
            </w:tcBorders>
            <w:shd w:val="clear" w:color="auto" w:fill="auto"/>
            <w:vAlign w:val="center"/>
            <w:hideMark/>
          </w:tcPr>
          <w:p w14:paraId="56AC8BBC"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 </w:t>
            </w:r>
          </w:p>
        </w:tc>
        <w:tc>
          <w:tcPr>
            <w:tcW w:w="1080" w:type="dxa"/>
            <w:tcBorders>
              <w:top w:val="single" w:sz="8" w:space="0" w:color="auto"/>
              <w:left w:val="nil"/>
              <w:bottom w:val="nil"/>
              <w:right w:val="single" w:sz="8" w:space="0" w:color="auto"/>
            </w:tcBorders>
            <w:shd w:val="clear" w:color="auto" w:fill="auto"/>
            <w:noWrap/>
            <w:vAlign w:val="center"/>
            <w:hideMark/>
          </w:tcPr>
          <w:p w14:paraId="347981EA" w14:textId="77777777" w:rsidR="00207DA0" w:rsidRPr="002F5D50" w:rsidRDefault="00207DA0" w:rsidP="00A17A02">
            <w:pPr>
              <w:spacing w:after="0"/>
              <w:rPr>
                <w:rFonts w:ascii="Calibri" w:hAnsi="Calibri" w:cs="Calibri"/>
                <w:color w:val="000000"/>
              </w:rPr>
            </w:pPr>
            <w:r w:rsidRPr="002F5D50">
              <w:rPr>
                <w:rFonts w:ascii="Calibri" w:hAnsi="Calibri" w:cs="Calibri"/>
                <w:color w:val="000000"/>
              </w:rPr>
              <w:t> </w:t>
            </w:r>
          </w:p>
        </w:tc>
      </w:tr>
      <w:tr w:rsidR="00207DA0" w:rsidRPr="002F5D50" w14:paraId="4C56C653" w14:textId="77777777" w:rsidTr="00A17A02">
        <w:trPr>
          <w:trHeight w:val="324"/>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D2230E"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Cycle</w:t>
            </w:r>
          </w:p>
        </w:tc>
        <w:tc>
          <w:tcPr>
            <w:tcW w:w="1244" w:type="dxa"/>
            <w:tcBorders>
              <w:top w:val="single" w:sz="8" w:space="0" w:color="auto"/>
              <w:left w:val="nil"/>
              <w:bottom w:val="single" w:sz="8" w:space="0" w:color="auto"/>
              <w:right w:val="single" w:sz="8" w:space="0" w:color="auto"/>
            </w:tcBorders>
            <w:shd w:val="clear" w:color="auto" w:fill="auto"/>
            <w:noWrap/>
            <w:vAlign w:val="center"/>
            <w:hideMark/>
          </w:tcPr>
          <w:p w14:paraId="1E97B491"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Thickness (nm)</w:t>
            </w:r>
          </w:p>
        </w:tc>
        <w:tc>
          <w:tcPr>
            <w:tcW w:w="1216" w:type="dxa"/>
            <w:tcBorders>
              <w:top w:val="nil"/>
              <w:left w:val="nil"/>
              <w:bottom w:val="single" w:sz="8" w:space="0" w:color="auto"/>
              <w:right w:val="single" w:sz="8" w:space="0" w:color="auto"/>
            </w:tcBorders>
            <w:shd w:val="clear" w:color="auto" w:fill="auto"/>
            <w:noWrap/>
            <w:vAlign w:val="center"/>
            <w:hideMark/>
          </w:tcPr>
          <w:p w14:paraId="3CF6E868"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Sample 1</w:t>
            </w:r>
          </w:p>
        </w:tc>
        <w:tc>
          <w:tcPr>
            <w:tcW w:w="1170" w:type="dxa"/>
            <w:tcBorders>
              <w:top w:val="nil"/>
              <w:left w:val="nil"/>
              <w:bottom w:val="single" w:sz="8" w:space="0" w:color="auto"/>
              <w:right w:val="single" w:sz="8" w:space="0" w:color="auto"/>
            </w:tcBorders>
            <w:shd w:val="clear" w:color="auto" w:fill="auto"/>
            <w:noWrap/>
            <w:vAlign w:val="center"/>
            <w:hideMark/>
          </w:tcPr>
          <w:p w14:paraId="673EAD6E"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Sample 2</w:t>
            </w:r>
          </w:p>
        </w:tc>
        <w:tc>
          <w:tcPr>
            <w:tcW w:w="1170" w:type="dxa"/>
            <w:tcBorders>
              <w:top w:val="nil"/>
              <w:left w:val="nil"/>
              <w:bottom w:val="single" w:sz="8" w:space="0" w:color="auto"/>
              <w:right w:val="single" w:sz="8" w:space="0" w:color="auto"/>
            </w:tcBorders>
            <w:shd w:val="clear" w:color="auto" w:fill="auto"/>
            <w:noWrap/>
            <w:vAlign w:val="center"/>
            <w:hideMark/>
          </w:tcPr>
          <w:p w14:paraId="6A903205"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Sample 3</w:t>
            </w:r>
          </w:p>
        </w:tc>
        <w:tc>
          <w:tcPr>
            <w:tcW w:w="1069" w:type="dxa"/>
            <w:tcBorders>
              <w:top w:val="single" w:sz="8" w:space="0" w:color="auto"/>
              <w:left w:val="nil"/>
              <w:bottom w:val="single" w:sz="8" w:space="0" w:color="auto"/>
              <w:right w:val="single" w:sz="8" w:space="0" w:color="auto"/>
            </w:tcBorders>
            <w:shd w:val="clear" w:color="auto" w:fill="auto"/>
            <w:noWrap/>
            <w:vAlign w:val="center"/>
            <w:hideMark/>
          </w:tcPr>
          <w:p w14:paraId="38DBDA96"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Average</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55D6E21" w14:textId="77777777" w:rsidR="00207DA0" w:rsidRPr="002F5D50" w:rsidRDefault="00207DA0" w:rsidP="00A17A02">
            <w:pPr>
              <w:spacing w:after="0"/>
              <w:jc w:val="center"/>
              <w:rPr>
                <w:rFonts w:ascii="Times New Roman" w:hAnsi="Times New Roman"/>
                <w:b/>
                <w:bCs/>
                <w:color w:val="000000"/>
                <w:szCs w:val="24"/>
              </w:rPr>
            </w:pPr>
            <w:r w:rsidRPr="002F5D50">
              <w:rPr>
                <w:rFonts w:ascii="Times New Roman" w:hAnsi="Times New Roman"/>
                <w:b/>
                <w:bCs/>
                <w:color w:val="000000"/>
                <w:szCs w:val="24"/>
              </w:rPr>
              <w:t>Std Dev</w:t>
            </w:r>
          </w:p>
        </w:tc>
      </w:tr>
      <w:tr w:rsidR="00207DA0" w:rsidRPr="002F5D50" w14:paraId="452C3A67"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032BEE"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5</w:t>
            </w:r>
          </w:p>
        </w:tc>
        <w:tc>
          <w:tcPr>
            <w:tcW w:w="1244" w:type="dxa"/>
            <w:tcBorders>
              <w:top w:val="nil"/>
              <w:left w:val="nil"/>
              <w:bottom w:val="single" w:sz="8" w:space="0" w:color="auto"/>
              <w:right w:val="single" w:sz="8" w:space="0" w:color="auto"/>
            </w:tcBorders>
            <w:shd w:val="clear" w:color="auto" w:fill="auto"/>
            <w:noWrap/>
            <w:vAlign w:val="center"/>
            <w:hideMark/>
          </w:tcPr>
          <w:p w14:paraId="6CB911C4"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2</w:t>
            </w:r>
            <w:r>
              <w:rPr>
                <w:rFonts w:ascii="Times New Roman" w:hAnsi="Times New Roman"/>
                <w:color w:val="000000"/>
                <w:szCs w:val="24"/>
              </w:rPr>
              <w:t>.1</w:t>
            </w:r>
          </w:p>
        </w:tc>
        <w:tc>
          <w:tcPr>
            <w:tcW w:w="1216" w:type="dxa"/>
            <w:tcBorders>
              <w:top w:val="nil"/>
              <w:left w:val="nil"/>
              <w:bottom w:val="single" w:sz="8" w:space="0" w:color="auto"/>
              <w:right w:val="single" w:sz="8" w:space="0" w:color="auto"/>
            </w:tcBorders>
            <w:shd w:val="clear" w:color="auto" w:fill="auto"/>
            <w:noWrap/>
            <w:vAlign w:val="center"/>
            <w:hideMark/>
          </w:tcPr>
          <w:p w14:paraId="12EB70E9"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0.33</w:t>
            </w:r>
          </w:p>
        </w:tc>
        <w:tc>
          <w:tcPr>
            <w:tcW w:w="1170" w:type="dxa"/>
            <w:tcBorders>
              <w:top w:val="nil"/>
              <w:left w:val="nil"/>
              <w:bottom w:val="single" w:sz="8" w:space="0" w:color="auto"/>
              <w:right w:val="single" w:sz="8" w:space="0" w:color="auto"/>
            </w:tcBorders>
            <w:shd w:val="clear" w:color="auto" w:fill="auto"/>
            <w:noWrap/>
            <w:vAlign w:val="center"/>
            <w:hideMark/>
          </w:tcPr>
          <w:p w14:paraId="6D5752E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0.33</w:t>
            </w:r>
          </w:p>
        </w:tc>
        <w:tc>
          <w:tcPr>
            <w:tcW w:w="1170" w:type="dxa"/>
            <w:tcBorders>
              <w:top w:val="nil"/>
              <w:left w:val="nil"/>
              <w:bottom w:val="single" w:sz="8" w:space="0" w:color="auto"/>
              <w:right w:val="single" w:sz="8" w:space="0" w:color="auto"/>
            </w:tcBorders>
            <w:shd w:val="clear" w:color="auto" w:fill="auto"/>
            <w:noWrap/>
            <w:vAlign w:val="center"/>
            <w:hideMark/>
          </w:tcPr>
          <w:p w14:paraId="4A14C4A8"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0.39</w:t>
            </w:r>
          </w:p>
        </w:tc>
        <w:tc>
          <w:tcPr>
            <w:tcW w:w="1069" w:type="dxa"/>
            <w:tcBorders>
              <w:top w:val="nil"/>
              <w:left w:val="nil"/>
              <w:bottom w:val="single" w:sz="8" w:space="0" w:color="auto"/>
              <w:right w:val="single" w:sz="8" w:space="0" w:color="auto"/>
            </w:tcBorders>
            <w:shd w:val="clear" w:color="auto" w:fill="auto"/>
            <w:noWrap/>
            <w:vAlign w:val="center"/>
            <w:hideMark/>
          </w:tcPr>
          <w:p w14:paraId="19C93F5E"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0.35</w:t>
            </w:r>
          </w:p>
        </w:tc>
        <w:tc>
          <w:tcPr>
            <w:tcW w:w="1080" w:type="dxa"/>
            <w:tcBorders>
              <w:top w:val="nil"/>
              <w:left w:val="nil"/>
              <w:bottom w:val="single" w:sz="8" w:space="0" w:color="auto"/>
              <w:right w:val="single" w:sz="8" w:space="0" w:color="auto"/>
            </w:tcBorders>
            <w:shd w:val="clear" w:color="auto" w:fill="auto"/>
            <w:noWrap/>
            <w:vAlign w:val="center"/>
            <w:hideMark/>
          </w:tcPr>
          <w:p w14:paraId="5890C6EC"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0.03</w:t>
            </w:r>
          </w:p>
        </w:tc>
      </w:tr>
      <w:tr w:rsidR="00207DA0" w:rsidRPr="002F5D50" w14:paraId="007EF9AD"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4CC9661F"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10</w:t>
            </w:r>
          </w:p>
        </w:tc>
        <w:tc>
          <w:tcPr>
            <w:tcW w:w="1244" w:type="dxa"/>
            <w:tcBorders>
              <w:top w:val="nil"/>
              <w:left w:val="nil"/>
              <w:bottom w:val="single" w:sz="8" w:space="0" w:color="auto"/>
              <w:right w:val="single" w:sz="8" w:space="0" w:color="auto"/>
            </w:tcBorders>
            <w:shd w:val="clear" w:color="auto" w:fill="EEECE1" w:themeFill="background2"/>
            <w:noWrap/>
            <w:vAlign w:val="center"/>
            <w:hideMark/>
          </w:tcPr>
          <w:p w14:paraId="655F91E5"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2.5</w:t>
            </w:r>
          </w:p>
        </w:tc>
        <w:tc>
          <w:tcPr>
            <w:tcW w:w="1216" w:type="dxa"/>
            <w:tcBorders>
              <w:top w:val="nil"/>
              <w:left w:val="nil"/>
              <w:bottom w:val="single" w:sz="8" w:space="0" w:color="auto"/>
              <w:right w:val="single" w:sz="8" w:space="0" w:color="auto"/>
            </w:tcBorders>
            <w:shd w:val="clear" w:color="auto" w:fill="EEECE1" w:themeFill="background2"/>
            <w:noWrap/>
            <w:vAlign w:val="center"/>
            <w:hideMark/>
          </w:tcPr>
          <w:p w14:paraId="1E6CE7D8"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0.31</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5307014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0.30</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4EC95A16"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0.31</w:t>
            </w:r>
          </w:p>
        </w:tc>
        <w:tc>
          <w:tcPr>
            <w:tcW w:w="1069" w:type="dxa"/>
            <w:tcBorders>
              <w:top w:val="nil"/>
              <w:left w:val="nil"/>
              <w:bottom w:val="single" w:sz="8" w:space="0" w:color="auto"/>
              <w:right w:val="single" w:sz="8" w:space="0" w:color="auto"/>
            </w:tcBorders>
            <w:shd w:val="clear" w:color="auto" w:fill="EEECE1" w:themeFill="background2"/>
            <w:noWrap/>
            <w:vAlign w:val="center"/>
            <w:hideMark/>
          </w:tcPr>
          <w:p w14:paraId="1D91CE8B"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0.31</w:t>
            </w:r>
          </w:p>
        </w:tc>
        <w:tc>
          <w:tcPr>
            <w:tcW w:w="1080" w:type="dxa"/>
            <w:tcBorders>
              <w:top w:val="nil"/>
              <w:left w:val="nil"/>
              <w:bottom w:val="single" w:sz="8" w:space="0" w:color="auto"/>
              <w:right w:val="single" w:sz="8" w:space="0" w:color="auto"/>
            </w:tcBorders>
            <w:shd w:val="clear" w:color="auto" w:fill="EEECE1" w:themeFill="background2"/>
            <w:noWrap/>
            <w:vAlign w:val="center"/>
            <w:hideMark/>
          </w:tcPr>
          <w:p w14:paraId="7DAD6815"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0.01</w:t>
            </w:r>
          </w:p>
        </w:tc>
      </w:tr>
      <w:tr w:rsidR="00207DA0" w:rsidRPr="002F5D50" w14:paraId="4FF3D69A"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3D01B2"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15</w:t>
            </w:r>
          </w:p>
        </w:tc>
        <w:tc>
          <w:tcPr>
            <w:tcW w:w="1244" w:type="dxa"/>
            <w:tcBorders>
              <w:top w:val="nil"/>
              <w:left w:val="nil"/>
              <w:bottom w:val="single" w:sz="8" w:space="0" w:color="auto"/>
              <w:right w:val="single" w:sz="8" w:space="0" w:color="auto"/>
            </w:tcBorders>
            <w:shd w:val="clear" w:color="auto" w:fill="auto"/>
            <w:noWrap/>
            <w:vAlign w:val="center"/>
            <w:hideMark/>
          </w:tcPr>
          <w:p w14:paraId="1976C4B6"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3.2</w:t>
            </w:r>
          </w:p>
        </w:tc>
        <w:tc>
          <w:tcPr>
            <w:tcW w:w="1216" w:type="dxa"/>
            <w:tcBorders>
              <w:top w:val="nil"/>
              <w:left w:val="nil"/>
              <w:bottom w:val="single" w:sz="8" w:space="0" w:color="auto"/>
              <w:right w:val="single" w:sz="8" w:space="0" w:color="auto"/>
            </w:tcBorders>
            <w:shd w:val="clear" w:color="auto" w:fill="auto"/>
            <w:noWrap/>
            <w:vAlign w:val="center"/>
            <w:hideMark/>
          </w:tcPr>
          <w:p w14:paraId="7C653E30"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0.20</w:t>
            </w:r>
          </w:p>
        </w:tc>
        <w:tc>
          <w:tcPr>
            <w:tcW w:w="1170" w:type="dxa"/>
            <w:tcBorders>
              <w:top w:val="nil"/>
              <w:left w:val="nil"/>
              <w:bottom w:val="single" w:sz="8" w:space="0" w:color="auto"/>
              <w:right w:val="single" w:sz="8" w:space="0" w:color="auto"/>
            </w:tcBorders>
            <w:shd w:val="clear" w:color="auto" w:fill="auto"/>
            <w:noWrap/>
            <w:vAlign w:val="center"/>
            <w:hideMark/>
          </w:tcPr>
          <w:p w14:paraId="530FA53E"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0.16</w:t>
            </w:r>
          </w:p>
        </w:tc>
        <w:tc>
          <w:tcPr>
            <w:tcW w:w="1170" w:type="dxa"/>
            <w:tcBorders>
              <w:top w:val="nil"/>
              <w:left w:val="nil"/>
              <w:bottom w:val="single" w:sz="8" w:space="0" w:color="auto"/>
              <w:right w:val="single" w:sz="8" w:space="0" w:color="auto"/>
            </w:tcBorders>
            <w:shd w:val="clear" w:color="auto" w:fill="auto"/>
            <w:noWrap/>
            <w:vAlign w:val="center"/>
            <w:hideMark/>
          </w:tcPr>
          <w:p w14:paraId="1A43300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0.25</w:t>
            </w:r>
          </w:p>
        </w:tc>
        <w:tc>
          <w:tcPr>
            <w:tcW w:w="1069" w:type="dxa"/>
            <w:tcBorders>
              <w:top w:val="nil"/>
              <w:left w:val="nil"/>
              <w:bottom w:val="single" w:sz="8" w:space="0" w:color="auto"/>
              <w:right w:val="single" w:sz="8" w:space="0" w:color="auto"/>
            </w:tcBorders>
            <w:shd w:val="clear" w:color="auto" w:fill="auto"/>
            <w:noWrap/>
            <w:vAlign w:val="center"/>
            <w:hideMark/>
          </w:tcPr>
          <w:p w14:paraId="1E96B46B"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0.20</w:t>
            </w:r>
          </w:p>
        </w:tc>
        <w:tc>
          <w:tcPr>
            <w:tcW w:w="1080" w:type="dxa"/>
            <w:tcBorders>
              <w:top w:val="nil"/>
              <w:left w:val="nil"/>
              <w:bottom w:val="single" w:sz="8" w:space="0" w:color="auto"/>
              <w:right w:val="single" w:sz="8" w:space="0" w:color="auto"/>
            </w:tcBorders>
            <w:shd w:val="clear" w:color="auto" w:fill="auto"/>
            <w:noWrap/>
            <w:vAlign w:val="center"/>
            <w:hideMark/>
          </w:tcPr>
          <w:p w14:paraId="16943CF9"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0.05</w:t>
            </w:r>
          </w:p>
        </w:tc>
      </w:tr>
      <w:tr w:rsidR="00207DA0" w:rsidRPr="002F5D50" w14:paraId="213515BE"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EEECE1" w:themeFill="background2"/>
            <w:noWrap/>
            <w:vAlign w:val="center"/>
            <w:hideMark/>
          </w:tcPr>
          <w:p w14:paraId="587CA9FC"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30</w:t>
            </w:r>
          </w:p>
        </w:tc>
        <w:tc>
          <w:tcPr>
            <w:tcW w:w="1244" w:type="dxa"/>
            <w:tcBorders>
              <w:top w:val="nil"/>
              <w:left w:val="nil"/>
              <w:bottom w:val="single" w:sz="8" w:space="0" w:color="auto"/>
              <w:right w:val="single" w:sz="8" w:space="0" w:color="auto"/>
            </w:tcBorders>
            <w:shd w:val="clear" w:color="auto" w:fill="EEECE1" w:themeFill="background2"/>
            <w:noWrap/>
            <w:vAlign w:val="center"/>
            <w:hideMark/>
          </w:tcPr>
          <w:p w14:paraId="419212CC"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10.7</w:t>
            </w:r>
          </w:p>
        </w:tc>
        <w:tc>
          <w:tcPr>
            <w:tcW w:w="1216" w:type="dxa"/>
            <w:tcBorders>
              <w:top w:val="nil"/>
              <w:left w:val="nil"/>
              <w:bottom w:val="single" w:sz="8" w:space="0" w:color="auto"/>
              <w:right w:val="single" w:sz="8" w:space="0" w:color="auto"/>
            </w:tcBorders>
            <w:shd w:val="clear" w:color="auto" w:fill="EEECE1" w:themeFill="background2"/>
            <w:noWrap/>
            <w:vAlign w:val="center"/>
            <w:hideMark/>
          </w:tcPr>
          <w:p w14:paraId="1BE7E551"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0.12</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2A5519A9"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0.13</w:t>
            </w:r>
          </w:p>
        </w:tc>
        <w:tc>
          <w:tcPr>
            <w:tcW w:w="1170" w:type="dxa"/>
            <w:tcBorders>
              <w:top w:val="nil"/>
              <w:left w:val="nil"/>
              <w:bottom w:val="single" w:sz="8" w:space="0" w:color="auto"/>
              <w:right w:val="single" w:sz="8" w:space="0" w:color="auto"/>
            </w:tcBorders>
            <w:shd w:val="clear" w:color="auto" w:fill="EEECE1" w:themeFill="background2"/>
            <w:noWrap/>
            <w:vAlign w:val="center"/>
            <w:hideMark/>
          </w:tcPr>
          <w:p w14:paraId="1DC63BF1"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0.15</w:t>
            </w:r>
          </w:p>
        </w:tc>
        <w:tc>
          <w:tcPr>
            <w:tcW w:w="1069" w:type="dxa"/>
            <w:tcBorders>
              <w:top w:val="nil"/>
              <w:left w:val="nil"/>
              <w:bottom w:val="single" w:sz="8" w:space="0" w:color="auto"/>
              <w:right w:val="single" w:sz="8" w:space="0" w:color="auto"/>
            </w:tcBorders>
            <w:shd w:val="clear" w:color="auto" w:fill="EEECE1" w:themeFill="background2"/>
            <w:noWrap/>
            <w:vAlign w:val="center"/>
            <w:hideMark/>
          </w:tcPr>
          <w:p w14:paraId="58F65455"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0.13</w:t>
            </w:r>
          </w:p>
        </w:tc>
        <w:tc>
          <w:tcPr>
            <w:tcW w:w="1080" w:type="dxa"/>
            <w:tcBorders>
              <w:top w:val="nil"/>
              <w:left w:val="nil"/>
              <w:bottom w:val="single" w:sz="8" w:space="0" w:color="auto"/>
              <w:right w:val="single" w:sz="8" w:space="0" w:color="auto"/>
            </w:tcBorders>
            <w:shd w:val="clear" w:color="auto" w:fill="EEECE1" w:themeFill="background2"/>
            <w:noWrap/>
            <w:vAlign w:val="center"/>
            <w:hideMark/>
          </w:tcPr>
          <w:p w14:paraId="7D0E1B2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0.01</w:t>
            </w:r>
          </w:p>
        </w:tc>
      </w:tr>
      <w:tr w:rsidR="00207DA0" w:rsidRPr="002F5D50" w14:paraId="362BF3E0" w14:textId="77777777" w:rsidTr="00A17A02">
        <w:trPr>
          <w:trHeight w:val="32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8FDAB1"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60</w:t>
            </w:r>
          </w:p>
        </w:tc>
        <w:tc>
          <w:tcPr>
            <w:tcW w:w="1244" w:type="dxa"/>
            <w:tcBorders>
              <w:top w:val="nil"/>
              <w:left w:val="nil"/>
              <w:bottom w:val="single" w:sz="8" w:space="0" w:color="auto"/>
              <w:right w:val="single" w:sz="8" w:space="0" w:color="auto"/>
            </w:tcBorders>
            <w:shd w:val="clear" w:color="auto" w:fill="auto"/>
            <w:noWrap/>
            <w:vAlign w:val="center"/>
            <w:hideMark/>
          </w:tcPr>
          <w:p w14:paraId="05C5626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13.7</w:t>
            </w:r>
          </w:p>
        </w:tc>
        <w:tc>
          <w:tcPr>
            <w:tcW w:w="1216" w:type="dxa"/>
            <w:tcBorders>
              <w:top w:val="nil"/>
              <w:left w:val="nil"/>
              <w:bottom w:val="single" w:sz="8" w:space="0" w:color="auto"/>
              <w:right w:val="single" w:sz="8" w:space="0" w:color="auto"/>
            </w:tcBorders>
            <w:shd w:val="clear" w:color="auto" w:fill="auto"/>
            <w:noWrap/>
            <w:vAlign w:val="center"/>
            <w:hideMark/>
          </w:tcPr>
          <w:p w14:paraId="005D3322"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0.12</w:t>
            </w:r>
          </w:p>
        </w:tc>
        <w:tc>
          <w:tcPr>
            <w:tcW w:w="1170" w:type="dxa"/>
            <w:tcBorders>
              <w:top w:val="nil"/>
              <w:left w:val="nil"/>
              <w:bottom w:val="single" w:sz="8" w:space="0" w:color="auto"/>
              <w:right w:val="single" w:sz="8" w:space="0" w:color="auto"/>
            </w:tcBorders>
            <w:shd w:val="clear" w:color="auto" w:fill="auto"/>
            <w:noWrap/>
            <w:vAlign w:val="center"/>
            <w:hideMark/>
          </w:tcPr>
          <w:p w14:paraId="127F62CA"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0.12</w:t>
            </w:r>
          </w:p>
        </w:tc>
        <w:tc>
          <w:tcPr>
            <w:tcW w:w="1170" w:type="dxa"/>
            <w:tcBorders>
              <w:top w:val="nil"/>
              <w:left w:val="nil"/>
              <w:bottom w:val="single" w:sz="8" w:space="0" w:color="auto"/>
              <w:right w:val="single" w:sz="8" w:space="0" w:color="auto"/>
            </w:tcBorders>
            <w:shd w:val="clear" w:color="auto" w:fill="auto"/>
            <w:noWrap/>
            <w:vAlign w:val="center"/>
            <w:hideMark/>
          </w:tcPr>
          <w:p w14:paraId="3BFDA525"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0.12</w:t>
            </w:r>
          </w:p>
        </w:tc>
        <w:tc>
          <w:tcPr>
            <w:tcW w:w="1069" w:type="dxa"/>
            <w:tcBorders>
              <w:top w:val="nil"/>
              <w:left w:val="nil"/>
              <w:bottom w:val="single" w:sz="8" w:space="0" w:color="auto"/>
              <w:right w:val="single" w:sz="8" w:space="0" w:color="auto"/>
            </w:tcBorders>
            <w:shd w:val="clear" w:color="auto" w:fill="auto"/>
            <w:noWrap/>
            <w:vAlign w:val="center"/>
            <w:hideMark/>
          </w:tcPr>
          <w:p w14:paraId="0CB54269"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0.12</w:t>
            </w:r>
          </w:p>
        </w:tc>
        <w:tc>
          <w:tcPr>
            <w:tcW w:w="1080" w:type="dxa"/>
            <w:tcBorders>
              <w:top w:val="nil"/>
              <w:left w:val="nil"/>
              <w:bottom w:val="single" w:sz="8" w:space="0" w:color="auto"/>
              <w:right w:val="single" w:sz="8" w:space="0" w:color="auto"/>
            </w:tcBorders>
            <w:shd w:val="clear" w:color="auto" w:fill="auto"/>
            <w:noWrap/>
            <w:vAlign w:val="center"/>
            <w:hideMark/>
          </w:tcPr>
          <w:p w14:paraId="20C16427" w14:textId="77777777" w:rsidR="00207DA0" w:rsidRPr="002F5D50" w:rsidRDefault="00207DA0" w:rsidP="00A17A02">
            <w:pPr>
              <w:spacing w:after="0"/>
              <w:jc w:val="center"/>
              <w:rPr>
                <w:rFonts w:ascii="Times New Roman" w:hAnsi="Times New Roman"/>
                <w:color w:val="000000"/>
                <w:szCs w:val="24"/>
              </w:rPr>
            </w:pPr>
            <w:r w:rsidRPr="002F5D50">
              <w:rPr>
                <w:rFonts w:ascii="Times New Roman" w:hAnsi="Times New Roman"/>
                <w:color w:val="000000"/>
                <w:szCs w:val="24"/>
              </w:rPr>
              <w:t>0.00</w:t>
            </w:r>
          </w:p>
        </w:tc>
      </w:tr>
    </w:tbl>
    <w:p w14:paraId="526E5A72" w14:textId="7CCCA730" w:rsidR="003D0DED" w:rsidRDefault="003D0DED" w:rsidP="00207DA0">
      <w:pPr>
        <w:pStyle w:val="TFReferencesSection"/>
        <w:spacing w:after="0"/>
        <w:ind w:firstLine="0"/>
      </w:pPr>
      <w:bookmarkStart w:id="3" w:name="_GoBack"/>
      <w:bookmarkEnd w:id="3"/>
    </w:p>
    <w:sectPr w:rsidR="003D0DED" w:rsidSect="006C41B3">
      <w:footerReference w:type="even" r:id="rId35"/>
      <w:footerReference w:type="default" r:id="rId36"/>
      <w:type w:val="continuous"/>
      <w:pgSz w:w="12240" w:h="15840" w:code="1"/>
      <w:pgMar w:top="1440" w:right="1440" w:bottom="1440" w:left="1440" w:header="0" w:footer="0" w:gutter="0"/>
      <w:lnNumType w:countBy="1" w:distance="144"/>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EB7EB" w14:textId="77777777" w:rsidR="005F30D6" w:rsidRDefault="005F30D6">
      <w:r>
        <w:separator/>
      </w:r>
    </w:p>
  </w:endnote>
  <w:endnote w:type="continuationSeparator" w:id="0">
    <w:p w14:paraId="6297B2AA" w14:textId="77777777" w:rsidR="005F30D6" w:rsidRDefault="005F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173F" w14:textId="77777777" w:rsidR="0077121A" w:rsidRDefault="007712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C89BFD" w14:textId="77777777" w:rsidR="0077121A" w:rsidRDefault="007712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3820" w14:textId="5637F894" w:rsidR="0077121A" w:rsidRDefault="007712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0469">
      <w:rPr>
        <w:rStyle w:val="PageNumber"/>
        <w:noProof/>
      </w:rPr>
      <w:t>19</w:t>
    </w:r>
    <w:r>
      <w:rPr>
        <w:rStyle w:val="PageNumber"/>
      </w:rPr>
      <w:fldChar w:fldCharType="end"/>
    </w:r>
  </w:p>
  <w:p w14:paraId="251F0DE0" w14:textId="77777777" w:rsidR="0077121A" w:rsidRDefault="007712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77D64" w14:textId="77777777" w:rsidR="005F30D6" w:rsidRDefault="005F30D6">
      <w:r>
        <w:separator/>
      </w:r>
    </w:p>
  </w:footnote>
  <w:footnote w:type="continuationSeparator" w:id="0">
    <w:p w14:paraId="4AD0B54B" w14:textId="77777777" w:rsidR="005F30D6" w:rsidRDefault="005F30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8D"/>
    <w:rsid w:val="000002F2"/>
    <w:rsid w:val="00013530"/>
    <w:rsid w:val="00021FF6"/>
    <w:rsid w:val="00032222"/>
    <w:rsid w:val="00050469"/>
    <w:rsid w:val="000545EB"/>
    <w:rsid w:val="0005660F"/>
    <w:rsid w:val="000702AD"/>
    <w:rsid w:val="00073FE2"/>
    <w:rsid w:val="000B2EEB"/>
    <w:rsid w:val="000B5610"/>
    <w:rsid w:val="000C05CC"/>
    <w:rsid w:val="000C28A5"/>
    <w:rsid w:val="000D7288"/>
    <w:rsid w:val="00102BBA"/>
    <w:rsid w:val="001166D3"/>
    <w:rsid w:val="0012271C"/>
    <w:rsid w:val="00122C0D"/>
    <w:rsid w:val="00126C96"/>
    <w:rsid w:val="00186FA2"/>
    <w:rsid w:val="001918DA"/>
    <w:rsid w:val="00195ACA"/>
    <w:rsid w:val="001A7A90"/>
    <w:rsid w:val="001B41FD"/>
    <w:rsid w:val="001B4384"/>
    <w:rsid w:val="001C18E8"/>
    <w:rsid w:val="001C4AFA"/>
    <w:rsid w:val="001D68AB"/>
    <w:rsid w:val="001F44CF"/>
    <w:rsid w:val="00206AD7"/>
    <w:rsid w:val="00207DA0"/>
    <w:rsid w:val="00210305"/>
    <w:rsid w:val="00212B1D"/>
    <w:rsid w:val="00236E08"/>
    <w:rsid w:val="00242FD3"/>
    <w:rsid w:val="00247746"/>
    <w:rsid w:val="00252CF4"/>
    <w:rsid w:val="002571A8"/>
    <w:rsid w:val="00270787"/>
    <w:rsid w:val="00271A02"/>
    <w:rsid w:val="00271F50"/>
    <w:rsid w:val="00295710"/>
    <w:rsid w:val="00297377"/>
    <w:rsid w:val="002A35C1"/>
    <w:rsid w:val="002A36D3"/>
    <w:rsid w:val="002A7493"/>
    <w:rsid w:val="002C2345"/>
    <w:rsid w:val="002C3431"/>
    <w:rsid w:val="002D67C6"/>
    <w:rsid w:val="002E4F56"/>
    <w:rsid w:val="0031373B"/>
    <w:rsid w:val="00321505"/>
    <w:rsid w:val="00324128"/>
    <w:rsid w:val="003331E5"/>
    <w:rsid w:val="00357F0E"/>
    <w:rsid w:val="00361E35"/>
    <w:rsid w:val="003664E9"/>
    <w:rsid w:val="003679A1"/>
    <w:rsid w:val="003679FD"/>
    <w:rsid w:val="00371673"/>
    <w:rsid w:val="00382595"/>
    <w:rsid w:val="00386265"/>
    <w:rsid w:val="0039697D"/>
    <w:rsid w:val="003A0307"/>
    <w:rsid w:val="003A42F0"/>
    <w:rsid w:val="003B08F3"/>
    <w:rsid w:val="003B4AF3"/>
    <w:rsid w:val="003D0DED"/>
    <w:rsid w:val="003E1F76"/>
    <w:rsid w:val="003F681E"/>
    <w:rsid w:val="0040013C"/>
    <w:rsid w:val="0040427B"/>
    <w:rsid w:val="00415AA7"/>
    <w:rsid w:val="00435342"/>
    <w:rsid w:val="004363A9"/>
    <w:rsid w:val="00436415"/>
    <w:rsid w:val="00456818"/>
    <w:rsid w:val="00461E2C"/>
    <w:rsid w:val="00475FD2"/>
    <w:rsid w:val="00493BEB"/>
    <w:rsid w:val="004951DD"/>
    <w:rsid w:val="004A4D9C"/>
    <w:rsid w:val="004A4FC4"/>
    <w:rsid w:val="004B17F3"/>
    <w:rsid w:val="004E283C"/>
    <w:rsid w:val="004E7056"/>
    <w:rsid w:val="004E7185"/>
    <w:rsid w:val="004F023D"/>
    <w:rsid w:val="00514EFD"/>
    <w:rsid w:val="00526C6E"/>
    <w:rsid w:val="00541020"/>
    <w:rsid w:val="005553EF"/>
    <w:rsid w:val="00556EE9"/>
    <w:rsid w:val="00562C72"/>
    <w:rsid w:val="00567E81"/>
    <w:rsid w:val="00591A57"/>
    <w:rsid w:val="005B0965"/>
    <w:rsid w:val="005C4512"/>
    <w:rsid w:val="005D0C10"/>
    <w:rsid w:val="005F30D6"/>
    <w:rsid w:val="005F36FF"/>
    <w:rsid w:val="0061014A"/>
    <w:rsid w:val="00613BE3"/>
    <w:rsid w:val="00614ADC"/>
    <w:rsid w:val="00621880"/>
    <w:rsid w:val="00622409"/>
    <w:rsid w:val="006455A5"/>
    <w:rsid w:val="0067580C"/>
    <w:rsid w:val="00683131"/>
    <w:rsid w:val="0068515D"/>
    <w:rsid w:val="00690656"/>
    <w:rsid w:val="00693695"/>
    <w:rsid w:val="006A3E34"/>
    <w:rsid w:val="006B2581"/>
    <w:rsid w:val="006C1A65"/>
    <w:rsid w:val="006C41B3"/>
    <w:rsid w:val="006C6837"/>
    <w:rsid w:val="006C7A9F"/>
    <w:rsid w:val="006E7739"/>
    <w:rsid w:val="007000D9"/>
    <w:rsid w:val="0071271A"/>
    <w:rsid w:val="00713B50"/>
    <w:rsid w:val="00743724"/>
    <w:rsid w:val="00747701"/>
    <w:rsid w:val="0076083A"/>
    <w:rsid w:val="007629D3"/>
    <w:rsid w:val="00763246"/>
    <w:rsid w:val="0077121A"/>
    <w:rsid w:val="0078627F"/>
    <w:rsid w:val="00791D54"/>
    <w:rsid w:val="00794616"/>
    <w:rsid w:val="007A11AD"/>
    <w:rsid w:val="007B0A2A"/>
    <w:rsid w:val="007B21E4"/>
    <w:rsid w:val="007B412C"/>
    <w:rsid w:val="007D47D5"/>
    <w:rsid w:val="007F1CF8"/>
    <w:rsid w:val="008047DE"/>
    <w:rsid w:val="00817FDE"/>
    <w:rsid w:val="00835C48"/>
    <w:rsid w:val="00837D6E"/>
    <w:rsid w:val="00842A84"/>
    <w:rsid w:val="00846033"/>
    <w:rsid w:val="008518E6"/>
    <w:rsid w:val="008633FA"/>
    <w:rsid w:val="008655C0"/>
    <w:rsid w:val="00875190"/>
    <w:rsid w:val="00890206"/>
    <w:rsid w:val="008A3760"/>
    <w:rsid w:val="008D30F9"/>
    <w:rsid w:val="008D33AB"/>
    <w:rsid w:val="008D53B2"/>
    <w:rsid w:val="008F64DF"/>
    <w:rsid w:val="00912169"/>
    <w:rsid w:val="00913D4C"/>
    <w:rsid w:val="0092037A"/>
    <w:rsid w:val="00920D82"/>
    <w:rsid w:val="009246AD"/>
    <w:rsid w:val="00954784"/>
    <w:rsid w:val="00956429"/>
    <w:rsid w:val="00960055"/>
    <w:rsid w:val="009608EC"/>
    <w:rsid w:val="00964CF5"/>
    <w:rsid w:val="009813DE"/>
    <w:rsid w:val="00984B68"/>
    <w:rsid w:val="009A1BD2"/>
    <w:rsid w:val="009F2E7E"/>
    <w:rsid w:val="00A019FE"/>
    <w:rsid w:val="00A02D62"/>
    <w:rsid w:val="00A11CCB"/>
    <w:rsid w:val="00A20EB5"/>
    <w:rsid w:val="00A66715"/>
    <w:rsid w:val="00A764EF"/>
    <w:rsid w:val="00A76D7A"/>
    <w:rsid w:val="00A832A7"/>
    <w:rsid w:val="00AB34C5"/>
    <w:rsid w:val="00AB660A"/>
    <w:rsid w:val="00AC732A"/>
    <w:rsid w:val="00AF4F6D"/>
    <w:rsid w:val="00AF7F6A"/>
    <w:rsid w:val="00B05A88"/>
    <w:rsid w:val="00B05B01"/>
    <w:rsid w:val="00B06D18"/>
    <w:rsid w:val="00B44641"/>
    <w:rsid w:val="00B624CD"/>
    <w:rsid w:val="00B760D5"/>
    <w:rsid w:val="00B7618D"/>
    <w:rsid w:val="00B96219"/>
    <w:rsid w:val="00BA649E"/>
    <w:rsid w:val="00BC34B3"/>
    <w:rsid w:val="00BD2C44"/>
    <w:rsid w:val="00BD30D0"/>
    <w:rsid w:val="00BE4470"/>
    <w:rsid w:val="00BF5C73"/>
    <w:rsid w:val="00C0018C"/>
    <w:rsid w:val="00C061DF"/>
    <w:rsid w:val="00C06E9B"/>
    <w:rsid w:val="00C10EE0"/>
    <w:rsid w:val="00C12556"/>
    <w:rsid w:val="00C13EC6"/>
    <w:rsid w:val="00C208C5"/>
    <w:rsid w:val="00C43E37"/>
    <w:rsid w:val="00C6170A"/>
    <w:rsid w:val="00C61B99"/>
    <w:rsid w:val="00C65CF3"/>
    <w:rsid w:val="00C719DC"/>
    <w:rsid w:val="00C74A68"/>
    <w:rsid w:val="00CA761A"/>
    <w:rsid w:val="00CB611E"/>
    <w:rsid w:val="00CE72AC"/>
    <w:rsid w:val="00D04014"/>
    <w:rsid w:val="00D22A85"/>
    <w:rsid w:val="00D236D5"/>
    <w:rsid w:val="00D318E5"/>
    <w:rsid w:val="00D32E24"/>
    <w:rsid w:val="00D626BB"/>
    <w:rsid w:val="00D63490"/>
    <w:rsid w:val="00D715D8"/>
    <w:rsid w:val="00D8038E"/>
    <w:rsid w:val="00D8105F"/>
    <w:rsid w:val="00DA34F8"/>
    <w:rsid w:val="00DB289E"/>
    <w:rsid w:val="00DC0A38"/>
    <w:rsid w:val="00DC11BB"/>
    <w:rsid w:val="00DC2AD6"/>
    <w:rsid w:val="00DD6DBB"/>
    <w:rsid w:val="00DE255A"/>
    <w:rsid w:val="00DF31D5"/>
    <w:rsid w:val="00E074F2"/>
    <w:rsid w:val="00E425B9"/>
    <w:rsid w:val="00E8752D"/>
    <w:rsid w:val="00E87DCB"/>
    <w:rsid w:val="00E91482"/>
    <w:rsid w:val="00E9163E"/>
    <w:rsid w:val="00E919EF"/>
    <w:rsid w:val="00E91EE9"/>
    <w:rsid w:val="00E96302"/>
    <w:rsid w:val="00EA478D"/>
    <w:rsid w:val="00EB1F22"/>
    <w:rsid w:val="00EB4397"/>
    <w:rsid w:val="00EC48FD"/>
    <w:rsid w:val="00EC4BA5"/>
    <w:rsid w:val="00EE716E"/>
    <w:rsid w:val="00F134F5"/>
    <w:rsid w:val="00F20F98"/>
    <w:rsid w:val="00F27F48"/>
    <w:rsid w:val="00F36CD2"/>
    <w:rsid w:val="00F44B74"/>
    <w:rsid w:val="00F47B85"/>
    <w:rsid w:val="00F51409"/>
    <w:rsid w:val="00F52534"/>
    <w:rsid w:val="00F52814"/>
    <w:rsid w:val="00F54BDD"/>
    <w:rsid w:val="00F55934"/>
    <w:rsid w:val="00F5645C"/>
    <w:rsid w:val="00F67C65"/>
    <w:rsid w:val="00F76C36"/>
    <w:rsid w:val="00FB4D13"/>
    <w:rsid w:val="00FC52FB"/>
    <w:rsid w:val="00FD3A27"/>
    <w:rsid w:val="00FE6219"/>
    <w:rsid w:val="00FF2D4B"/>
    <w:rsid w:val="00FF6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2CFC11"/>
  <w15:docId w15:val="{376EE7C0-F67D-43BB-9265-56E5C637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5C4512"/>
    <w:pPr>
      <w:spacing w:before="120" w:after="60" w:line="480" w:lineRule="auto"/>
      <w:jc w:val="left"/>
    </w:pPr>
    <w:rPr>
      <w:b/>
    </w:rPr>
  </w:style>
  <w:style w:type="character" w:customStyle="1" w:styleId="FAAuthorInfoSubtitleChar">
    <w:name w:val="FA_Author_Info_Subtitle Char"/>
    <w:link w:val="FAAuthorInfoSubtitle"/>
    <w:rsid w:val="005C4512"/>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622409"/>
    <w:rPr>
      <w:color w:val="808080"/>
    </w:rPr>
  </w:style>
  <w:style w:type="character" w:customStyle="1" w:styleId="UnresolvedMention1">
    <w:name w:val="Unresolved Mention1"/>
    <w:basedOn w:val="DefaultParagraphFont"/>
    <w:uiPriority w:val="99"/>
    <w:semiHidden/>
    <w:unhideWhenUsed/>
    <w:rsid w:val="00126C96"/>
    <w:rPr>
      <w:color w:val="808080"/>
      <w:shd w:val="clear" w:color="auto" w:fill="E6E6E6"/>
    </w:rPr>
  </w:style>
  <w:style w:type="paragraph" w:styleId="Quote">
    <w:name w:val="Quote"/>
    <w:basedOn w:val="Normal"/>
    <w:next w:val="Normal"/>
    <w:link w:val="QuoteChar"/>
    <w:uiPriority w:val="73"/>
    <w:qFormat/>
    <w:rsid w:val="000545EB"/>
    <w:pPr>
      <w:spacing w:before="200" w:after="160" w:line="276" w:lineRule="auto"/>
      <w:ind w:left="864" w:right="864"/>
      <w:jc w:val="center"/>
    </w:pPr>
    <w:rPr>
      <w:rFonts w:ascii="Calibri" w:eastAsia="Calibri" w:hAnsi="Calibri"/>
      <w:i/>
      <w:iCs/>
      <w:color w:val="404040"/>
      <w:sz w:val="22"/>
      <w:szCs w:val="22"/>
    </w:rPr>
  </w:style>
  <w:style w:type="character" w:customStyle="1" w:styleId="QuoteChar">
    <w:name w:val="Quote Char"/>
    <w:basedOn w:val="DefaultParagraphFont"/>
    <w:link w:val="Quote"/>
    <w:uiPriority w:val="73"/>
    <w:rsid w:val="000545EB"/>
    <w:rPr>
      <w:rFonts w:ascii="Calibri" w:eastAsia="Calibri" w:hAnsi="Calibri"/>
      <w:i/>
      <w:iCs/>
      <w:color w:val="404040"/>
      <w:sz w:val="22"/>
      <w:szCs w:val="22"/>
    </w:rPr>
  </w:style>
  <w:style w:type="paragraph" w:styleId="Bibliography">
    <w:name w:val="Bibliography"/>
    <w:basedOn w:val="Normal"/>
    <w:next w:val="Normal"/>
    <w:uiPriority w:val="37"/>
    <w:unhideWhenUsed/>
    <w:rsid w:val="000545EB"/>
    <w:pPr>
      <w:tabs>
        <w:tab w:val="left" w:pos="504"/>
      </w:tabs>
      <w:spacing w:after="0"/>
      <w:ind w:left="504" w:hanging="504"/>
    </w:pPr>
  </w:style>
  <w:style w:type="paragraph" w:customStyle="1" w:styleId="ColorfulList-Accent11">
    <w:name w:val="Colorful List - Accent 11"/>
    <w:basedOn w:val="Normal"/>
    <w:uiPriority w:val="34"/>
    <w:qFormat/>
    <w:rsid w:val="00BF5C73"/>
    <w:pPr>
      <w:spacing w:line="276" w:lineRule="auto"/>
      <w:ind w:left="720"/>
      <w:contextualSpacing/>
      <w:jc w:val="left"/>
    </w:pPr>
    <w:rPr>
      <w:rFonts w:ascii="Calibri" w:eastAsia="SimSun" w:hAnsi="Calibri" w:cs="Cordia New"/>
      <w:sz w:val="22"/>
      <w:szCs w:val="28"/>
      <w:lang w:eastAsia="zh-CN" w:bidi="th-TH"/>
    </w:rPr>
  </w:style>
  <w:style w:type="character" w:styleId="CommentReference">
    <w:name w:val="annotation reference"/>
    <w:basedOn w:val="DefaultParagraphFont"/>
    <w:semiHidden/>
    <w:unhideWhenUsed/>
    <w:rsid w:val="00EB4397"/>
    <w:rPr>
      <w:sz w:val="16"/>
      <w:szCs w:val="16"/>
    </w:rPr>
  </w:style>
  <w:style w:type="paragraph" w:styleId="CommentText">
    <w:name w:val="annotation text"/>
    <w:basedOn w:val="Normal"/>
    <w:link w:val="CommentTextChar"/>
    <w:uiPriority w:val="99"/>
    <w:unhideWhenUsed/>
    <w:rsid w:val="00EB4397"/>
    <w:rPr>
      <w:sz w:val="20"/>
    </w:rPr>
  </w:style>
  <w:style w:type="character" w:customStyle="1" w:styleId="CommentTextChar">
    <w:name w:val="Comment Text Char"/>
    <w:basedOn w:val="DefaultParagraphFont"/>
    <w:link w:val="CommentText"/>
    <w:uiPriority w:val="99"/>
    <w:rsid w:val="00EB4397"/>
    <w:rPr>
      <w:rFonts w:ascii="Times" w:hAnsi="Times"/>
    </w:rPr>
  </w:style>
  <w:style w:type="paragraph" w:styleId="CommentSubject">
    <w:name w:val="annotation subject"/>
    <w:basedOn w:val="CommentText"/>
    <w:next w:val="CommentText"/>
    <w:link w:val="CommentSubjectChar"/>
    <w:semiHidden/>
    <w:unhideWhenUsed/>
    <w:rsid w:val="00EB4397"/>
    <w:rPr>
      <w:b/>
      <w:bCs/>
    </w:rPr>
  </w:style>
  <w:style w:type="character" w:customStyle="1" w:styleId="CommentSubjectChar">
    <w:name w:val="Comment Subject Char"/>
    <w:basedOn w:val="CommentTextChar"/>
    <w:link w:val="CommentSubject"/>
    <w:semiHidden/>
    <w:rsid w:val="00EB4397"/>
    <w:rPr>
      <w:rFonts w:ascii="Times" w:hAnsi="Times"/>
      <w:b/>
      <w:bCs/>
    </w:rPr>
  </w:style>
  <w:style w:type="paragraph" w:styleId="EndnoteText">
    <w:name w:val="endnote text"/>
    <w:basedOn w:val="Normal"/>
    <w:link w:val="EndnoteTextChar"/>
    <w:semiHidden/>
    <w:unhideWhenUsed/>
    <w:rsid w:val="008F64DF"/>
    <w:pPr>
      <w:spacing w:after="0"/>
    </w:pPr>
    <w:rPr>
      <w:sz w:val="20"/>
    </w:rPr>
  </w:style>
  <w:style w:type="character" w:customStyle="1" w:styleId="EndnoteTextChar">
    <w:name w:val="Endnote Text Char"/>
    <w:basedOn w:val="DefaultParagraphFont"/>
    <w:link w:val="EndnoteText"/>
    <w:semiHidden/>
    <w:rsid w:val="008F64DF"/>
    <w:rPr>
      <w:rFonts w:ascii="Times" w:hAnsi="Times"/>
    </w:rPr>
  </w:style>
  <w:style w:type="character" w:styleId="EndnoteReference">
    <w:name w:val="endnote reference"/>
    <w:basedOn w:val="DefaultParagraphFont"/>
    <w:semiHidden/>
    <w:unhideWhenUsed/>
    <w:rsid w:val="008F64DF"/>
    <w:rPr>
      <w:vertAlign w:val="superscript"/>
    </w:rPr>
  </w:style>
  <w:style w:type="character" w:styleId="LineNumber">
    <w:name w:val="line number"/>
    <w:basedOn w:val="DefaultParagraphFont"/>
    <w:semiHidden/>
    <w:unhideWhenUsed/>
    <w:rsid w:val="006C41B3"/>
  </w:style>
  <w:style w:type="table" w:styleId="TableGrid">
    <w:name w:val="Table Grid"/>
    <w:basedOn w:val="TableNormal"/>
    <w:uiPriority w:val="39"/>
    <w:rsid w:val="00207D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hyperlink" Target="mailto:chris.stafford@nist.gov"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hickner@matse.psu.edu"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hris.stafford@nist.gov" TargetMode="External"/><Relationship Id="rId20" Type="http://schemas.openxmlformats.org/officeDocument/2006/relationships/oleObject" Target="embeddings/oleObject2.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ickner@matse.psu.edu" TargetMode="External"/><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75D5A-2036-48F4-932C-18FA4B79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6922</Words>
  <Characters>124448</Characters>
  <Application>Microsoft Office Word</Application>
  <DocSecurity>0</DocSecurity>
  <Lines>1037</Lines>
  <Paragraphs>262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131108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Stafford, Christopher (Fed)</dc:creator>
  <cp:keywords/>
  <cp:lastModifiedBy>Stafford, Christopher (Fed)</cp:lastModifiedBy>
  <cp:revision>3</cp:revision>
  <cp:lastPrinted>2018-08-01T17:45:00Z</cp:lastPrinted>
  <dcterms:created xsi:type="dcterms:W3CDTF">2018-08-12T22:40:00Z</dcterms:created>
  <dcterms:modified xsi:type="dcterms:W3CDTF">2018-09-17T21:23:00Z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id="eBdRs1Ax"/&gt;&lt;style id="http://www.zotero.org/styles/macromolecules"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http://www.zotero.org/styles/american-chemical-society</vt:lpwstr>
  </property>
  <property fmtid="{D5CDD505-2E9C-101B-9397-08002B2CF9AE}" pid="7" name="Mendeley Recent Style Name 1_1">
    <vt:lpwstr>American Chemical Society</vt:lpwstr>
  </property>
  <property fmtid="{D5CDD505-2E9C-101B-9397-08002B2CF9AE}" pid="8" name="Mendeley Recent Style Id 2_1">
    <vt:lpwstr>http://www.zotero.org/styles/american-chemical-society-with-titles</vt:lpwstr>
  </property>
  <property fmtid="{D5CDD505-2E9C-101B-9397-08002B2CF9AE}" pid="9" name="Mendeley Recent Style Name 2_1">
    <vt:lpwstr>American Chemical Society (with titles)</vt:lpwstr>
  </property>
  <property fmtid="{D5CDD505-2E9C-101B-9397-08002B2CF9AE}" pid="10" name="Mendeley Recent Style Id 3_1">
    <vt:lpwstr>http://www.zotero.org/styles/american-chemical-society-with-titles-page-first</vt:lpwstr>
  </property>
  <property fmtid="{D5CDD505-2E9C-101B-9397-08002B2CF9AE}" pid="11" name="Mendeley Recent Style Name 3_1">
    <vt:lpwstr>American Chemical Society (with titles, page-first)</vt:lpwstr>
  </property>
  <property fmtid="{D5CDD505-2E9C-101B-9397-08002B2CF9AE}" pid="12" name="Mendeley Recent Style Id 4_1">
    <vt:lpwstr>http://www.zotero.org/styles/american-political-science-association</vt:lpwstr>
  </property>
  <property fmtid="{D5CDD505-2E9C-101B-9397-08002B2CF9AE}" pid="13" name="Mendeley Recent Style Name 4_1">
    <vt:lpwstr>American Political Science Association</vt:lpwstr>
  </property>
  <property fmtid="{D5CDD505-2E9C-101B-9397-08002B2CF9AE}" pid="14" name="Mendeley Recent Style Id 5_1">
    <vt:lpwstr>http://www.zotero.org/styles/apa</vt:lpwstr>
  </property>
  <property fmtid="{D5CDD505-2E9C-101B-9397-08002B2CF9AE}" pid="15" name="Mendeley Recent Style Name 5_1">
    <vt:lpwstr>American Psychological Association 6th edition</vt:lpwstr>
  </property>
  <property fmtid="{D5CDD505-2E9C-101B-9397-08002B2CF9AE}" pid="16" name="Mendeley Recent Style Id 6_1">
    <vt:lpwstr>http://www.zotero.org/styles/american-sociological-association</vt:lpwstr>
  </property>
  <property fmtid="{D5CDD505-2E9C-101B-9397-08002B2CF9AE}" pid="17" name="Mendeley Recent Style Name 6_1">
    <vt:lpwstr>American Sociological Association</vt:lpwstr>
  </property>
  <property fmtid="{D5CDD505-2E9C-101B-9397-08002B2CF9AE}" pid="18" name="Mendeley Recent Style Id 7_1">
    <vt:lpwstr>http://www.zotero.org/styles/chicago-author-date</vt:lpwstr>
  </property>
  <property fmtid="{D5CDD505-2E9C-101B-9397-08002B2CF9AE}" pid="19" name="Mendeley Recent Style Name 7_1">
    <vt:lpwstr>Chicago Manual of Style 16th edition (author-date)</vt:lpwstr>
  </property>
  <property fmtid="{D5CDD505-2E9C-101B-9397-08002B2CF9AE}" pid="20" name="Mendeley Recent Style Id 8_1">
    <vt:lpwstr>http://www.zotero.org/styles/harvard1</vt:lpwstr>
  </property>
  <property fmtid="{D5CDD505-2E9C-101B-9397-08002B2CF9AE}" pid="21" name="Mendeley Recent Style Name 8_1">
    <vt:lpwstr>Harvard Reference format 1 (author-date)</vt:lpwstr>
  </property>
  <property fmtid="{D5CDD505-2E9C-101B-9397-08002B2CF9AE}" pid="22" name="Mendeley Recent Style Id 9_1">
    <vt:lpwstr>http://www.zotero.org/styles/ieee</vt:lpwstr>
  </property>
  <property fmtid="{D5CDD505-2E9C-101B-9397-08002B2CF9AE}" pid="23" name="Mendeley Recent Style Name 9_1">
    <vt:lpwstr>IEEE</vt:lpwstr>
  </property>
  <property fmtid="{D5CDD505-2E9C-101B-9397-08002B2CF9AE}" pid="24" name="Mendeley Document_1">
    <vt:lpwstr>True</vt:lpwstr>
  </property>
  <property fmtid="{D5CDD505-2E9C-101B-9397-08002B2CF9AE}" pid="25" name="Mendeley Unique User Id_1">
    <vt:lpwstr>9e9bde57-c8f8-3c8f-a6f8-e4f5e3cd2cb0</vt:lpwstr>
  </property>
  <property fmtid="{D5CDD505-2E9C-101B-9397-08002B2CF9AE}" pid="26" name="Mendeley Citation Style_1">
    <vt:lpwstr>http://www.zotero.org/styles/american-chemical-society-with-titles</vt:lpwstr>
  </property>
</Properties>
</file>