
<file path=[Content_Types].xml><?xml version="1.0" encoding="utf-8"?>
<Types xmlns="http://schemas.openxmlformats.org/package/2006/content-types">
  <Default Extension="wmf" ContentType="image/x-wmf"/>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0F61" w:rsidRPr="00F559E3" w:rsidRDefault="00BF0F61" w:rsidP="00BF0F61">
      <w:pPr>
        <w:pStyle w:val="Default"/>
        <w:jc w:val="center"/>
        <w:rPr>
          <w:b/>
          <w:bCs/>
          <w:sz w:val="28"/>
          <w:szCs w:val="28"/>
        </w:rPr>
      </w:pPr>
      <w:r>
        <w:rPr>
          <w:b/>
          <w:bCs/>
          <w:sz w:val="28"/>
          <w:szCs w:val="28"/>
        </w:rPr>
        <w:t>Effect of Heat Pump Commissioning Faults on Energy Use in a Slab-on-Grade Residential House</w:t>
      </w:r>
    </w:p>
    <w:p w:rsidR="00BF0F61" w:rsidRPr="00F559E3" w:rsidRDefault="00BF0F61" w:rsidP="00BF0F61">
      <w:pPr>
        <w:pStyle w:val="Default"/>
        <w:jc w:val="right"/>
        <w:rPr>
          <w:sz w:val="28"/>
          <w:szCs w:val="28"/>
        </w:rPr>
      </w:pPr>
    </w:p>
    <w:p w:rsidR="00BF0F61" w:rsidRPr="007A4AFF" w:rsidRDefault="00BF0F61" w:rsidP="00BF0F61">
      <w:pPr>
        <w:pStyle w:val="Arial10r"/>
        <w:rPr>
          <w:lang w:val="en-US"/>
        </w:rPr>
      </w:pPr>
      <w:r w:rsidRPr="007A4AFF">
        <w:rPr>
          <w:lang w:val="en-US"/>
        </w:rPr>
        <w:t xml:space="preserve">Piotr A. </w:t>
      </w:r>
      <w:proofErr w:type="gramStart"/>
      <w:r w:rsidRPr="007A4AFF">
        <w:rPr>
          <w:lang w:val="en-US"/>
        </w:rPr>
        <w:t>Domanski</w:t>
      </w:r>
      <w:r w:rsidRPr="007A4AFF">
        <w:rPr>
          <w:vertAlign w:val="superscript"/>
          <w:lang w:val="en-US"/>
        </w:rPr>
        <w:t>(</w:t>
      </w:r>
      <w:proofErr w:type="gramEnd"/>
      <w:r w:rsidRPr="007A4AFF">
        <w:rPr>
          <w:vertAlign w:val="superscript"/>
          <w:lang w:val="en-US"/>
        </w:rPr>
        <w:t>a)</w:t>
      </w:r>
      <w:r>
        <w:rPr>
          <w:vertAlign w:val="superscript"/>
          <w:lang w:val="en-US"/>
        </w:rPr>
        <w:t>,</w:t>
      </w:r>
      <w:r>
        <w:rPr>
          <w:rStyle w:val="FootnoteReference"/>
          <w:lang w:val="en-US"/>
        </w:rPr>
        <w:footnoteReference w:id="1"/>
      </w:r>
      <w:r w:rsidRPr="007A4AFF">
        <w:rPr>
          <w:lang w:val="en-US"/>
        </w:rPr>
        <w:t>, Hugh Henderson</w:t>
      </w:r>
      <w:r w:rsidRPr="007A4AFF">
        <w:rPr>
          <w:vertAlign w:val="superscript"/>
          <w:lang w:val="en-US"/>
        </w:rPr>
        <w:t>(b)</w:t>
      </w:r>
      <w:r>
        <w:rPr>
          <w:lang w:val="en-US"/>
        </w:rPr>
        <w:t xml:space="preserve">, </w:t>
      </w:r>
      <w:r w:rsidRPr="007A4AFF">
        <w:rPr>
          <w:lang w:val="en-US"/>
        </w:rPr>
        <w:t>W. Vance Payne</w:t>
      </w:r>
      <w:r w:rsidRPr="007A4AFF">
        <w:rPr>
          <w:vertAlign w:val="superscript"/>
          <w:lang w:val="en-US"/>
        </w:rPr>
        <w:t>(a)</w:t>
      </w:r>
    </w:p>
    <w:p w:rsidR="00BF0F61" w:rsidRPr="00F559E3" w:rsidRDefault="00BF0F61" w:rsidP="00BF0F61">
      <w:pPr>
        <w:pStyle w:val="Authorcontactinformation"/>
      </w:pPr>
      <w:r w:rsidRPr="007044D1">
        <w:rPr>
          <w:bCs/>
          <w:vertAlign w:val="superscript"/>
        </w:rPr>
        <w:t>(a)</w:t>
      </w:r>
      <w:r>
        <w:rPr>
          <w:b/>
          <w:bCs/>
        </w:rPr>
        <w:t xml:space="preserve"> </w:t>
      </w:r>
      <w:r w:rsidRPr="00DE1C73">
        <w:t>National Institute of Standards and Technology</w:t>
      </w:r>
      <w:r>
        <w:t>, Gaithersburg, MD 20899-8631, USA</w:t>
      </w:r>
    </w:p>
    <w:p w:rsidR="00BF0F61" w:rsidRPr="00F559E3" w:rsidRDefault="00BF0F61" w:rsidP="00BF0F61">
      <w:pPr>
        <w:pStyle w:val="Authorcontactinformation"/>
      </w:pPr>
      <w:r w:rsidRPr="00F559E3">
        <w:rPr>
          <w:vertAlign w:val="superscript"/>
        </w:rPr>
        <w:t>(b)</w:t>
      </w:r>
      <w:r w:rsidRPr="00F559E3">
        <w:t xml:space="preserve"> CDH Energy Corporation, Cazenovia, NY </w:t>
      </w:r>
      <w:r w:rsidRPr="00F559E3">
        <w:rPr>
          <w:iCs/>
        </w:rPr>
        <w:t>13035-0641</w:t>
      </w:r>
      <w:r>
        <w:rPr>
          <w:iCs/>
        </w:rPr>
        <w:t>, USA</w:t>
      </w:r>
    </w:p>
    <w:p w:rsidR="00BF0F61" w:rsidRDefault="00BF0F61" w:rsidP="00BF0F61">
      <w:pPr>
        <w:tabs>
          <w:tab w:val="left" w:pos="4962"/>
        </w:tabs>
        <w:rPr>
          <w:b/>
          <w:sz w:val="24"/>
          <w:szCs w:val="24"/>
        </w:rPr>
      </w:pPr>
    </w:p>
    <w:p w:rsidR="00BF0F61" w:rsidRPr="007A4AFF" w:rsidRDefault="00BF0F61" w:rsidP="00BF0F61">
      <w:pPr>
        <w:tabs>
          <w:tab w:val="left" w:pos="4962"/>
        </w:tabs>
        <w:rPr>
          <w:b/>
          <w:szCs w:val="22"/>
          <w:highlight w:val="yellow"/>
        </w:rPr>
      </w:pPr>
      <w:r w:rsidRPr="007A4AFF">
        <w:rPr>
          <w:b/>
          <w:szCs w:val="22"/>
        </w:rPr>
        <w:t>ABSTRACT</w:t>
      </w:r>
    </w:p>
    <w:p w:rsidR="00BF0F61" w:rsidRDefault="00BF0F61" w:rsidP="00BF0F61">
      <w:pPr>
        <w:pStyle w:val="ATPparagraph"/>
      </w:pPr>
      <w:r w:rsidRPr="00F26CAB">
        <w:t>This study seeks to develop an unde</w:t>
      </w:r>
      <w:r w:rsidR="009F04EC">
        <w:t>rstanding of the effect of commissioning</w:t>
      </w:r>
      <w:r w:rsidRPr="00F26CAB">
        <w:t xml:space="preserve"> common faults on the </w:t>
      </w:r>
      <w:r w:rsidRPr="00F26CAB">
        <w:rPr>
          <w:color w:val="000000"/>
        </w:rPr>
        <w:t>energy consumption of a</w:t>
      </w:r>
      <w:r w:rsidR="00CC1DEB">
        <w:rPr>
          <w:color w:val="000000"/>
        </w:rPr>
        <w:t>n air-to-air</w:t>
      </w:r>
      <w:r w:rsidRPr="00F26CAB">
        <w:rPr>
          <w:color w:val="000000"/>
        </w:rPr>
        <w:t xml:space="preserve"> heat pump installed </w:t>
      </w:r>
      <w:r w:rsidRPr="00F26CAB">
        <w:t xml:space="preserve">in a single-family, slab-on-grade residential house.  </w:t>
      </w:r>
      <w:r w:rsidRPr="00F26CAB">
        <w:rPr>
          <w:color w:val="000000"/>
        </w:rPr>
        <w:t xml:space="preserve">Through annual simulations of the house/heat pump system, </w:t>
      </w:r>
      <w:r w:rsidRPr="005616F5">
        <w:rPr>
          <w:color w:val="000000"/>
        </w:rPr>
        <w:t>t</w:t>
      </w:r>
      <w:r w:rsidRPr="009F7E92">
        <w:rPr>
          <w:color w:val="000000"/>
        </w:rPr>
        <w:t xml:space="preserve">he study found </w:t>
      </w:r>
      <w:r w:rsidRPr="009F7E92">
        <w:t xml:space="preserve">that </w:t>
      </w:r>
      <w:r w:rsidRPr="00A302DE">
        <w:t xml:space="preserve">duct leakage, refrigerant undercharge, </w:t>
      </w:r>
      <w:r w:rsidRPr="00E36BCC">
        <w:t xml:space="preserve">oversized heat pump with nominal ductwork, low indoor airflow due to undersized ductwork, </w:t>
      </w:r>
      <w:r w:rsidRPr="006B6D1C">
        <w:t>and refrigerant overcharge</w:t>
      </w:r>
      <w:r w:rsidRPr="00C00F9D">
        <w:t xml:space="preserve"> have the most potential for causing </w:t>
      </w:r>
      <w:r w:rsidRPr="003D16A9">
        <w:t xml:space="preserve">significant performance degradation and increased annual energy </w:t>
      </w:r>
      <w:r w:rsidRPr="00FF55AD">
        <w:t>consumption</w:t>
      </w:r>
      <w:r w:rsidRPr="00C5129C">
        <w:t xml:space="preserve">. </w:t>
      </w:r>
      <w:r w:rsidRPr="00F26CAB">
        <w:t>Depending o</w:t>
      </w:r>
      <w:r>
        <w:t>n</w:t>
      </w:r>
      <w:r w:rsidRPr="00F26CAB">
        <w:t xml:space="preserve"> the faults involved, the effect</w:t>
      </w:r>
      <w:r>
        <w:t>s</w:t>
      </w:r>
      <w:r w:rsidRPr="00F26CAB">
        <w:t xml:space="preserve"> of simultaneous faults w</w:t>
      </w:r>
      <w:r>
        <w:t>ere</w:t>
      </w:r>
      <w:r w:rsidRPr="00F26CAB">
        <w:t xml:space="preserve"> found to be additive, little changed relative to the single fault condition, or well-beyond additive.  A</w:t>
      </w:r>
      <w:r>
        <w:t> </w:t>
      </w:r>
      <w:r w:rsidRPr="00C5129C">
        <w:t>s</w:t>
      </w:r>
      <w:r w:rsidRPr="00F26CAB">
        <w:t xml:space="preserve">ignificant increase in annual energy use can be caused by lowering the thermostat </w:t>
      </w:r>
      <w:r w:rsidR="009F04EC">
        <w:t xml:space="preserve">setting </w:t>
      </w:r>
      <w:r w:rsidRPr="00F26CAB">
        <w:t>in the cooling mode to improve indoor comfort in cases of excessive indoor humidity levels due to installation faults.</w:t>
      </w:r>
    </w:p>
    <w:p w:rsidR="00BF0F61" w:rsidRDefault="00BF0F61" w:rsidP="00BF0F61">
      <w:pPr>
        <w:rPr>
          <w:szCs w:val="22"/>
        </w:rPr>
      </w:pPr>
    </w:p>
    <w:p w:rsidR="00BF0F61" w:rsidRDefault="00BF0F61" w:rsidP="00BF0F61">
      <w:pPr>
        <w:rPr>
          <w:szCs w:val="22"/>
        </w:rPr>
      </w:pPr>
      <w:r>
        <w:rPr>
          <w:szCs w:val="22"/>
        </w:rPr>
        <w:t>Keywords: air conditioner, commissioning, energy efficiency, heat pump, space conditioning</w:t>
      </w:r>
    </w:p>
    <w:p w:rsidR="00BF0F61" w:rsidRPr="003D16A9" w:rsidRDefault="00BF0F61" w:rsidP="00BF0F61">
      <w:pPr>
        <w:rPr>
          <w:szCs w:val="22"/>
        </w:rPr>
      </w:pPr>
    </w:p>
    <w:p w:rsidR="00BF0F61" w:rsidRPr="007A4AFF" w:rsidRDefault="00BF0F61" w:rsidP="00BF0F61">
      <w:pPr>
        <w:pStyle w:val="ListParagraph"/>
        <w:numPr>
          <w:ilvl w:val="0"/>
          <w:numId w:val="34"/>
        </w:numPr>
        <w:rPr>
          <w:b/>
        </w:rPr>
      </w:pPr>
      <w:r w:rsidRPr="00F26CAB">
        <w:rPr>
          <w:b/>
        </w:rPr>
        <w:t>Introduction</w:t>
      </w:r>
    </w:p>
    <w:p w:rsidR="00BF0F61" w:rsidRDefault="00BF0F61" w:rsidP="00BF0F61">
      <w:pPr>
        <w:ind w:firstLine="288"/>
        <w:rPr>
          <w:szCs w:val="22"/>
        </w:rPr>
      </w:pPr>
      <w:r w:rsidRPr="00F26CAB">
        <w:rPr>
          <w:szCs w:val="22"/>
        </w:rPr>
        <w:t>Space cooling is respon</w:t>
      </w:r>
      <w:r w:rsidR="009F04EC">
        <w:rPr>
          <w:szCs w:val="22"/>
        </w:rPr>
        <w:t>sible for the largest share (</w:t>
      </w:r>
      <w:r w:rsidRPr="00F26CAB">
        <w:rPr>
          <w:szCs w:val="22"/>
        </w:rPr>
        <w:t>2</w:t>
      </w:r>
      <w:r>
        <w:rPr>
          <w:szCs w:val="22"/>
        </w:rPr>
        <w:t>1</w:t>
      </w:r>
      <w:r w:rsidRPr="00F26CAB">
        <w:rPr>
          <w:szCs w:val="22"/>
        </w:rPr>
        <w:t>.3 %) of the electrical energy consumption in the U.S. residential sector</w:t>
      </w:r>
      <w:r>
        <w:rPr>
          <w:szCs w:val="22"/>
        </w:rPr>
        <w:t xml:space="preserve"> [1]</w:t>
      </w:r>
      <w:r w:rsidRPr="00F26CAB">
        <w:rPr>
          <w:szCs w:val="22"/>
        </w:rPr>
        <w:t xml:space="preserve">. Space heating, for which a significant portion is provided by heat pumps, accounts for an additional 8.7 % electricity use. Consequently, there are increasing requirements that space-conditioning equipment be highly efficient to improve building energy efficiency as well as address environmental concerns. To this end, state and municipal governments and utility partners have implemented various initiatives that promote sales of high-efficiency air conditioners and heat pumps.  However, there is a growing recognition that merely increasing equipment’s laboratory-measured efficiency without ensuring that the equipment is installed and operated correctly in the field is ineffective. </w:t>
      </w:r>
    </w:p>
    <w:p w:rsidR="00BF0F61" w:rsidRDefault="00BF0F61" w:rsidP="00BF0F61">
      <w:pPr>
        <w:pStyle w:val="ATPparagraph"/>
        <w:rPr>
          <w:rFonts w:ascii="TimesNewRomanPS-ItalicMT" w:hAnsi="TimesNewRomanPS-ItalicMT"/>
          <w:iCs/>
        </w:rPr>
      </w:pPr>
      <w:r>
        <w:t xml:space="preserve">This paper discusses </w:t>
      </w:r>
      <w:r w:rsidRPr="00571021">
        <w:t>the</w:t>
      </w:r>
      <w:r>
        <w:t xml:space="preserve"> effect</w:t>
      </w:r>
      <w:r w:rsidRPr="00571021">
        <w:t xml:space="preserve"> of different commissioning </w:t>
      </w:r>
      <w:r>
        <w:t>faults</w:t>
      </w:r>
      <w:r w:rsidRPr="00571021">
        <w:t xml:space="preserve"> on heat pump performance </w:t>
      </w:r>
      <w:r>
        <w:t>for</w:t>
      </w:r>
      <w:r w:rsidRPr="00571021">
        <w:t xml:space="preserve"> a single-family</w:t>
      </w:r>
      <w:r>
        <w:t>,</w:t>
      </w:r>
      <w:r w:rsidRPr="00571021">
        <w:t xml:space="preserve"> residential</w:t>
      </w:r>
      <w:r>
        <w:t>, slab-on-grade</w:t>
      </w:r>
      <w:r w:rsidRPr="00571021">
        <w:t xml:space="preserve"> house</w:t>
      </w:r>
      <w:r>
        <w:rPr>
          <w:color w:val="000000"/>
        </w:rPr>
        <w:t xml:space="preserve">. </w:t>
      </w:r>
      <w:r>
        <w:t>The results presented here were derived from a comprehensive and detailed study by Domanski et al. [</w:t>
      </w:r>
      <w:r w:rsidR="00CC1DEB">
        <w:t>2</w:t>
      </w:r>
      <w:r>
        <w:t xml:space="preserve">]. </w:t>
      </w:r>
    </w:p>
    <w:p w:rsidR="00BF0F61" w:rsidRDefault="00BF0F61" w:rsidP="00BF0F61">
      <w:pPr>
        <w:jc w:val="left"/>
      </w:pPr>
      <w:r>
        <w:rPr>
          <w:rFonts w:ascii="TimesNewRomanPS-ItalicMT" w:hAnsi="TimesNewRomanPS-ItalicMT"/>
          <w:iCs/>
          <w:szCs w:val="22"/>
        </w:rPr>
        <w:t xml:space="preserve"> </w:t>
      </w:r>
    </w:p>
    <w:p w:rsidR="00BF0F61" w:rsidRDefault="00213BA0" w:rsidP="00BF0F61">
      <w:pPr>
        <w:pStyle w:val="Default"/>
        <w:numPr>
          <w:ilvl w:val="0"/>
          <w:numId w:val="34"/>
        </w:numPr>
        <w:jc w:val="both"/>
        <w:rPr>
          <w:b/>
          <w:sz w:val="22"/>
          <w:szCs w:val="22"/>
        </w:rPr>
      </w:pPr>
      <w:r>
        <w:rPr>
          <w:b/>
          <w:sz w:val="22"/>
          <w:szCs w:val="22"/>
        </w:rPr>
        <w:t>I</w:t>
      </w:r>
      <w:r w:rsidR="00BF0F61" w:rsidRPr="00A91CB0">
        <w:rPr>
          <w:b/>
          <w:sz w:val="22"/>
          <w:szCs w:val="22"/>
        </w:rPr>
        <w:t xml:space="preserve">nstallation and </w:t>
      </w:r>
      <w:r w:rsidR="00BF0F61">
        <w:rPr>
          <w:b/>
          <w:sz w:val="22"/>
          <w:szCs w:val="22"/>
        </w:rPr>
        <w:t>m</w:t>
      </w:r>
      <w:r w:rsidR="00BF0F61" w:rsidRPr="00A91CB0">
        <w:rPr>
          <w:b/>
          <w:sz w:val="22"/>
          <w:szCs w:val="22"/>
        </w:rPr>
        <w:t xml:space="preserve">aintenance </w:t>
      </w:r>
      <w:r w:rsidR="00BF0F61">
        <w:rPr>
          <w:b/>
          <w:sz w:val="22"/>
          <w:szCs w:val="22"/>
        </w:rPr>
        <w:t>i</w:t>
      </w:r>
      <w:r w:rsidR="00BF0F61" w:rsidRPr="00A91CB0">
        <w:rPr>
          <w:b/>
          <w:sz w:val="22"/>
          <w:szCs w:val="22"/>
        </w:rPr>
        <w:t>ssues</w:t>
      </w:r>
    </w:p>
    <w:p w:rsidR="00BF0F61" w:rsidRDefault="00BF0F61" w:rsidP="00BF0F61">
      <w:pPr>
        <w:pStyle w:val="ATPparagraph"/>
      </w:pPr>
      <w:r w:rsidRPr="00A91CB0">
        <w:t xml:space="preserve">Numerous field studies have documented degraded performance and increased energy </w:t>
      </w:r>
      <w:r>
        <w:t>usage for typical</w:t>
      </w:r>
      <w:r w:rsidRPr="00A91CB0">
        <w:t xml:space="preserve"> air conditioners and heat p</w:t>
      </w:r>
      <w:r>
        <w:t>umps installed in the United States</w:t>
      </w:r>
      <w:r w:rsidRPr="00A91CB0">
        <w:t xml:space="preserve">. </w:t>
      </w:r>
      <w:r>
        <w:t xml:space="preserve">For example, </w:t>
      </w:r>
      <w:r w:rsidRPr="00A91CB0">
        <w:t xml:space="preserve">Proctor </w:t>
      </w:r>
      <w:r>
        <w:t>[</w:t>
      </w:r>
      <w:r w:rsidR="00CC1DEB">
        <w:t>3</w:t>
      </w:r>
      <w:r>
        <w:t>]</w:t>
      </w:r>
      <w:r w:rsidRPr="00A91CB0">
        <w:t xml:space="preserve"> performed measurements on a sample of 28 air conditioners </w:t>
      </w:r>
      <w:r>
        <w:t xml:space="preserve">newly </w:t>
      </w:r>
      <w:r w:rsidRPr="00A91CB0">
        <w:t xml:space="preserve">installed in 22 residential homes in </w:t>
      </w:r>
      <w:r>
        <w:t xml:space="preserve">a </w:t>
      </w:r>
      <w:r w:rsidRPr="00A91CB0">
        <w:t>hot</w:t>
      </w:r>
      <w:r w:rsidR="009F04EC">
        <w:t>-</w:t>
      </w:r>
      <w:r w:rsidRPr="00A91CB0">
        <w:t>and</w:t>
      </w:r>
      <w:r w:rsidR="009F04EC">
        <w:t>-</w:t>
      </w:r>
      <w:r w:rsidRPr="00A91CB0">
        <w:t>dry climate.  Indoor heat exchanger airflow averaged 14 % below specifications, and</w:t>
      </w:r>
      <w:r>
        <w:t xml:space="preserve"> only 18 % of the systems had a </w:t>
      </w:r>
      <w:r w:rsidRPr="00A91CB0">
        <w:t xml:space="preserve">correct amount of refrigerant. The supply duct leakage averaged 9 % of the air handler airflow, and the return leakage amounted to 5 </w:t>
      </w:r>
      <w:r>
        <w:t>%.</w:t>
      </w:r>
      <w:r w:rsidR="000C4E02">
        <w:t xml:space="preserve">  </w:t>
      </w:r>
      <w:r w:rsidRPr="006B6D1C">
        <w:t xml:space="preserve">Rossi </w:t>
      </w:r>
      <w:r>
        <w:t>[</w:t>
      </w:r>
      <w:r w:rsidR="00CC1DEB">
        <w:t>4</w:t>
      </w:r>
      <w:r>
        <w:t>]</w:t>
      </w:r>
      <w:r w:rsidRPr="006B6D1C">
        <w:t xml:space="preserve"> presented measured performance data </w:t>
      </w:r>
      <w:r w:rsidRPr="00C00F9D">
        <w:t>on</w:t>
      </w:r>
      <w:r w:rsidRPr="003D16A9">
        <w:t xml:space="preserve"> unitary air conditioners</w:t>
      </w:r>
      <w:r w:rsidRPr="00FF55AD">
        <w:t xml:space="preserve"> based on observations from </w:t>
      </w:r>
      <w:r w:rsidRPr="00C5129C">
        <w:t>routine</w:t>
      </w:r>
      <w:r w:rsidRPr="00EF3D56">
        <w:t xml:space="preserve"> maintenance and service visits. Out of 1468 systems considered in this study, 67 % needed service. Of those 15 % required major repairs (e.g., compressor or expansion device replacement), and 85 % required a tune-up type service (e.g., coil cleaning or re</w:t>
      </w:r>
      <w:r w:rsidRPr="00074239">
        <w:t>frigerant charge adjustment).  Approximately 50 % of all units operated with efficiencies of 80 % or less, and 20 % of all units had efficiencies of 70 % or less of their design efficiency.</w:t>
      </w:r>
      <w:r>
        <w:t xml:space="preserve"> </w:t>
      </w:r>
      <w:r w:rsidR="009F04EC">
        <w:t>Among others, Parker et al. [</w:t>
      </w:r>
      <w:r w:rsidR="00CC1DEB">
        <w:t>5</w:t>
      </w:r>
      <w:r w:rsidR="009F04EC">
        <w:t>] and Mowris et al. [</w:t>
      </w:r>
      <w:r w:rsidR="00CC1DEB">
        <w:t>6</w:t>
      </w:r>
      <w:r w:rsidR="009F04EC">
        <w:t>] also provided data on performance degradation of air conditioners and heat pumps due to different faults.</w:t>
      </w:r>
    </w:p>
    <w:p w:rsidR="00BF0F61" w:rsidRPr="00A73FEE" w:rsidRDefault="00213BA0" w:rsidP="00BF0F61">
      <w:pPr>
        <w:pStyle w:val="ListParagraph"/>
        <w:numPr>
          <w:ilvl w:val="0"/>
          <w:numId w:val="34"/>
        </w:numPr>
        <w:jc w:val="left"/>
        <w:rPr>
          <w:b/>
        </w:rPr>
      </w:pPr>
      <w:r>
        <w:rPr>
          <w:b/>
        </w:rPr>
        <w:t>Technical approach of the study</w:t>
      </w:r>
    </w:p>
    <w:p w:rsidR="00BF0F61" w:rsidRDefault="00BF0F61" w:rsidP="00BF0F61">
      <w:pPr>
        <w:pStyle w:val="ListParagraph"/>
        <w:numPr>
          <w:ilvl w:val="1"/>
          <w:numId w:val="34"/>
        </w:numPr>
      </w:pPr>
      <w:r>
        <w:lastRenderedPageBreak/>
        <w:t>Scope</w:t>
      </w:r>
    </w:p>
    <w:p w:rsidR="00213BA0" w:rsidRDefault="00BF0F61" w:rsidP="00213BA0">
      <w:pPr>
        <w:pStyle w:val="ATPparagraph"/>
      </w:pPr>
      <w:r>
        <w:t>To evaluate the effect of different commissioning faults on energy consumption, we performed annual simulations of energy use by a</w:t>
      </w:r>
      <w:r w:rsidR="00CC1DEB">
        <w:t>n air-to-air</w:t>
      </w:r>
      <w:r>
        <w:t xml:space="preserve"> heat pump installed in a slab-on-grade house. We used the annual energy use in a fault-free installation as a reference for normalizing energy use in faulty installations and for indicating the impact of specific faults on energy consumption. </w:t>
      </w:r>
      <w:r w:rsidRPr="00A302DE">
        <w:rPr>
          <w:szCs w:val="22"/>
        </w:rPr>
        <w:t xml:space="preserve">The parameters considered in the simulations included </w:t>
      </w:r>
      <w:r>
        <w:rPr>
          <w:szCs w:val="22"/>
        </w:rPr>
        <w:t>d</w:t>
      </w:r>
      <w:r w:rsidRPr="00184F29">
        <w:rPr>
          <w:szCs w:val="22"/>
        </w:rPr>
        <w:t>uct leakage (unconditioned space)</w:t>
      </w:r>
      <w:r w:rsidR="00CC1DEB">
        <w:rPr>
          <w:szCs w:val="22"/>
        </w:rPr>
        <w:t>,</w:t>
      </w:r>
      <w:r w:rsidR="000C4E02">
        <w:rPr>
          <w:szCs w:val="22"/>
        </w:rPr>
        <w:t xml:space="preserve"> </w:t>
      </w:r>
      <w:r>
        <w:rPr>
          <w:szCs w:val="22"/>
        </w:rPr>
        <w:t xml:space="preserve">heat pump </w:t>
      </w:r>
      <w:r w:rsidRPr="00184F29">
        <w:rPr>
          <w:szCs w:val="22"/>
        </w:rPr>
        <w:t xml:space="preserve">sizing, indoor coil airflow, refrigerant charge, </w:t>
      </w:r>
      <w:r w:rsidRPr="00184F29">
        <w:rPr>
          <w:bCs/>
          <w:szCs w:val="22"/>
        </w:rPr>
        <w:t xml:space="preserve">presence of non-condensable gases, </w:t>
      </w:r>
      <w:r w:rsidRPr="00184F29">
        <w:rPr>
          <w:szCs w:val="22"/>
        </w:rPr>
        <w:t xml:space="preserve">electrical voltage, </w:t>
      </w:r>
      <w:r>
        <w:rPr>
          <w:szCs w:val="22"/>
        </w:rPr>
        <w:t xml:space="preserve">cooling-mode </w:t>
      </w:r>
      <w:r w:rsidRPr="00184F29">
        <w:rPr>
          <w:szCs w:val="22"/>
        </w:rPr>
        <w:t xml:space="preserve">TXV </w:t>
      </w:r>
      <w:proofErr w:type="spellStart"/>
      <w:r w:rsidRPr="00184F29">
        <w:rPr>
          <w:szCs w:val="22"/>
        </w:rPr>
        <w:t>undersizing</w:t>
      </w:r>
      <w:proofErr w:type="spellEnd"/>
      <w:r w:rsidR="00CC1DEB">
        <w:rPr>
          <w:szCs w:val="22"/>
        </w:rPr>
        <w:t>, and</w:t>
      </w:r>
      <w:r w:rsidR="000C4E02">
        <w:rPr>
          <w:szCs w:val="22"/>
        </w:rPr>
        <w:t xml:space="preserve"> five </w:t>
      </w:r>
      <w:r w:rsidR="000C4E02">
        <w:t>US climate zones 2 through 6 from a hot-and-</w:t>
      </w:r>
      <w:r w:rsidR="000C4E02" w:rsidRPr="00A76A58">
        <w:t xml:space="preserve">humid climate to a </w:t>
      </w:r>
      <w:r w:rsidR="000C4E02">
        <w:t xml:space="preserve">cold climate, represented by five cities (Table 1). </w:t>
      </w:r>
      <w:r w:rsidR="00213BA0">
        <w:t xml:space="preserve"> W</w:t>
      </w:r>
      <w:r w:rsidR="00213BA0" w:rsidRPr="00DB39EA">
        <w:t>e us</w:t>
      </w:r>
      <w:r w:rsidR="00213BA0" w:rsidRPr="00841C67">
        <w:t xml:space="preserve">ed a building model developed in TRNSYS to simulate the integrated performance </w:t>
      </w:r>
      <w:r w:rsidR="00213BA0" w:rsidRPr="004C60F3">
        <w:t xml:space="preserve">of </w:t>
      </w:r>
      <w:r w:rsidR="00213BA0" w:rsidRPr="004E3390">
        <w:t xml:space="preserve">heat pumps in residential applications </w:t>
      </w:r>
      <w:r w:rsidR="00CC1DEB">
        <w:t>[7</w:t>
      </w:r>
      <w:r w:rsidR="00213BA0">
        <w:t>]</w:t>
      </w:r>
      <w:r w:rsidR="00213BA0" w:rsidRPr="004E3390">
        <w:t xml:space="preserve">.  </w:t>
      </w:r>
      <w:r w:rsidR="00213BA0" w:rsidRPr="00F6018D">
        <w:t xml:space="preserve">The model is driven by typical meteorological year weather data sets TMY3 </w:t>
      </w:r>
      <w:r w:rsidR="00213BA0">
        <w:t>[</w:t>
      </w:r>
      <w:r w:rsidR="00CC1DEB">
        <w:t>8</w:t>
      </w:r>
      <w:r w:rsidR="00213BA0">
        <w:t>]</w:t>
      </w:r>
      <w:r w:rsidR="00213BA0" w:rsidRPr="00F6018D">
        <w:t xml:space="preserve"> on a small time-step (e.g., 1.2 minutes).  A detailed thermostat model turns the mechanical systems "on" and "off" at the end of each time step depending on the calculated space conditions.</w:t>
      </w:r>
      <w:r w:rsidR="00213BA0" w:rsidRPr="00457B30">
        <w:t xml:space="preserve">   </w:t>
      </w:r>
    </w:p>
    <w:p w:rsidR="00BF0F61" w:rsidRPr="00184F29" w:rsidRDefault="00BF0F61" w:rsidP="007F470F">
      <w:pPr>
        <w:pStyle w:val="ATPparagraph"/>
        <w:rPr>
          <w:szCs w:val="22"/>
        </w:rPr>
      </w:pPr>
    </w:p>
    <w:p w:rsidR="00BF0F61" w:rsidRPr="00171979" w:rsidRDefault="00BF0F61" w:rsidP="00BF0F61">
      <w:pPr>
        <w:pStyle w:val="Caption"/>
        <w:rPr>
          <w:b w:val="0"/>
        </w:rPr>
      </w:pPr>
      <w:proofErr w:type="gramStart"/>
      <w:r>
        <w:rPr>
          <w:b w:val="0"/>
        </w:rPr>
        <w:t>Table 1.</w:t>
      </w:r>
      <w:proofErr w:type="gramEnd"/>
      <w:r>
        <w:rPr>
          <w:b w:val="0"/>
        </w:rPr>
        <w:t xml:space="preserve"> IECC US c</w:t>
      </w:r>
      <w:r w:rsidRPr="00171979">
        <w:rPr>
          <w:b w:val="0"/>
        </w:rPr>
        <w:t>li</w:t>
      </w:r>
      <w:r>
        <w:rPr>
          <w:b w:val="0"/>
        </w:rPr>
        <w:t xml:space="preserve">mates and locations </w:t>
      </w:r>
      <w:r w:rsidRPr="00171979">
        <w:rPr>
          <w:b w:val="0"/>
        </w:rPr>
        <w:t>considered</w:t>
      </w:r>
      <w:r w:rsidR="00066D80">
        <w:rPr>
          <w:b w:val="0"/>
        </w:rPr>
        <w:t xml:space="preserve"> with thermostat set points and electricity cost</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2080"/>
        <w:gridCol w:w="1891"/>
        <w:gridCol w:w="940"/>
        <w:gridCol w:w="990"/>
        <w:gridCol w:w="900"/>
        <w:gridCol w:w="990"/>
      </w:tblGrid>
      <w:tr w:rsidR="00066D80" w:rsidRPr="00171979" w:rsidTr="007F470F">
        <w:tc>
          <w:tcPr>
            <w:tcW w:w="669" w:type="dxa"/>
            <w:vMerge w:val="restart"/>
            <w:vAlign w:val="center"/>
          </w:tcPr>
          <w:p w:rsidR="00066D80" w:rsidRPr="00171979" w:rsidRDefault="00066D80">
            <w:pPr>
              <w:jc w:val="center"/>
            </w:pPr>
            <w:r w:rsidRPr="00171979">
              <w:t>Zone</w:t>
            </w:r>
          </w:p>
        </w:tc>
        <w:tc>
          <w:tcPr>
            <w:tcW w:w="2080" w:type="dxa"/>
            <w:vMerge w:val="restart"/>
            <w:vAlign w:val="center"/>
          </w:tcPr>
          <w:p w:rsidR="00066D80" w:rsidRPr="00171979" w:rsidRDefault="00066D80" w:rsidP="007F470F">
            <w:pPr>
              <w:jc w:val="center"/>
            </w:pPr>
            <w:r w:rsidRPr="00171979">
              <w:t>Climate</w:t>
            </w:r>
          </w:p>
        </w:tc>
        <w:tc>
          <w:tcPr>
            <w:tcW w:w="1891" w:type="dxa"/>
            <w:vMerge w:val="restart"/>
            <w:vAlign w:val="center"/>
          </w:tcPr>
          <w:p w:rsidR="00066D80" w:rsidRPr="00171979" w:rsidRDefault="00066D80" w:rsidP="007F470F">
            <w:pPr>
              <w:jc w:val="center"/>
            </w:pPr>
            <w:r w:rsidRPr="00171979">
              <w:t>Location</w:t>
            </w:r>
          </w:p>
        </w:tc>
        <w:tc>
          <w:tcPr>
            <w:tcW w:w="1930" w:type="dxa"/>
            <w:gridSpan w:val="2"/>
          </w:tcPr>
          <w:p w:rsidR="00066D80" w:rsidRPr="00171979" w:rsidRDefault="00066D80" w:rsidP="007F470F">
            <w:pPr>
              <w:jc w:val="center"/>
            </w:pPr>
            <w:r>
              <w:t>Thermostat set point (</w:t>
            </w:r>
            <w:r w:rsidRPr="00FD7159">
              <w:rPr>
                <w:sz w:val="20"/>
              </w:rPr>
              <w:t>°C</w:t>
            </w:r>
            <w:r>
              <w:rPr>
                <w:sz w:val="20"/>
              </w:rPr>
              <w:t>)</w:t>
            </w:r>
          </w:p>
        </w:tc>
        <w:tc>
          <w:tcPr>
            <w:tcW w:w="1890" w:type="dxa"/>
            <w:gridSpan w:val="2"/>
            <w:vAlign w:val="center"/>
          </w:tcPr>
          <w:p w:rsidR="00066D80" w:rsidRDefault="00066D80" w:rsidP="007F470F">
            <w:pPr>
              <w:jc w:val="center"/>
            </w:pPr>
            <w:r>
              <w:t>Electricity cost</w:t>
            </w:r>
          </w:p>
        </w:tc>
      </w:tr>
      <w:tr w:rsidR="00066D80" w:rsidRPr="00171979" w:rsidTr="007F470F">
        <w:tc>
          <w:tcPr>
            <w:tcW w:w="669" w:type="dxa"/>
            <w:vMerge/>
          </w:tcPr>
          <w:p w:rsidR="00066D80" w:rsidRPr="00171979" w:rsidRDefault="00066D80" w:rsidP="00680F0F">
            <w:pPr>
              <w:jc w:val="center"/>
            </w:pPr>
          </w:p>
        </w:tc>
        <w:tc>
          <w:tcPr>
            <w:tcW w:w="2080" w:type="dxa"/>
            <w:vMerge/>
          </w:tcPr>
          <w:p w:rsidR="00066D80" w:rsidRPr="00171979" w:rsidRDefault="00066D80" w:rsidP="00680F0F"/>
        </w:tc>
        <w:tc>
          <w:tcPr>
            <w:tcW w:w="1891" w:type="dxa"/>
            <w:vMerge/>
          </w:tcPr>
          <w:p w:rsidR="00066D80" w:rsidRPr="00171979" w:rsidRDefault="00066D80" w:rsidP="00680F0F"/>
        </w:tc>
        <w:tc>
          <w:tcPr>
            <w:tcW w:w="940" w:type="dxa"/>
          </w:tcPr>
          <w:p w:rsidR="00066D80" w:rsidRPr="00171979" w:rsidRDefault="00066D80" w:rsidP="00680F0F">
            <w:r>
              <w:t>Cooling</w:t>
            </w:r>
          </w:p>
        </w:tc>
        <w:tc>
          <w:tcPr>
            <w:tcW w:w="990" w:type="dxa"/>
          </w:tcPr>
          <w:p w:rsidR="00066D80" w:rsidRPr="00171979" w:rsidRDefault="00066D80" w:rsidP="00680F0F">
            <w:r>
              <w:t>Heating</w:t>
            </w:r>
          </w:p>
        </w:tc>
        <w:tc>
          <w:tcPr>
            <w:tcW w:w="900" w:type="dxa"/>
            <w:vAlign w:val="center"/>
          </w:tcPr>
          <w:p w:rsidR="00066D80" w:rsidRDefault="00066D80" w:rsidP="00680F0F">
            <w:r w:rsidRPr="00FD7159">
              <w:rPr>
                <w:bCs/>
                <w:sz w:val="20"/>
              </w:rPr>
              <w:t>$/MJ</w:t>
            </w:r>
          </w:p>
        </w:tc>
        <w:tc>
          <w:tcPr>
            <w:tcW w:w="990" w:type="dxa"/>
            <w:vAlign w:val="center"/>
          </w:tcPr>
          <w:p w:rsidR="00066D80" w:rsidRDefault="00066D80" w:rsidP="00680F0F">
            <w:r w:rsidRPr="00FD7159">
              <w:rPr>
                <w:bCs/>
                <w:sz w:val="20"/>
              </w:rPr>
              <w:t>$/kWh</w:t>
            </w:r>
          </w:p>
        </w:tc>
      </w:tr>
      <w:tr w:rsidR="00EE3388" w:rsidRPr="00171979" w:rsidTr="007F470F">
        <w:tc>
          <w:tcPr>
            <w:tcW w:w="669" w:type="dxa"/>
          </w:tcPr>
          <w:p w:rsidR="00EE3388" w:rsidRPr="00171979" w:rsidRDefault="00EE3388" w:rsidP="00680F0F">
            <w:pPr>
              <w:jc w:val="center"/>
            </w:pPr>
            <w:r w:rsidRPr="00171979">
              <w:t>2</w:t>
            </w:r>
          </w:p>
        </w:tc>
        <w:tc>
          <w:tcPr>
            <w:tcW w:w="2080" w:type="dxa"/>
          </w:tcPr>
          <w:p w:rsidR="00EE3388" w:rsidRPr="00171979" w:rsidRDefault="00EE3388" w:rsidP="00680F0F">
            <w:r w:rsidRPr="00171979">
              <w:t xml:space="preserve">Hot and humid </w:t>
            </w:r>
          </w:p>
        </w:tc>
        <w:tc>
          <w:tcPr>
            <w:tcW w:w="1891" w:type="dxa"/>
          </w:tcPr>
          <w:p w:rsidR="00EE3388" w:rsidRPr="00171979" w:rsidRDefault="00EE3388" w:rsidP="00680F0F">
            <w:r w:rsidRPr="00171979">
              <w:t xml:space="preserve">Houston, TX </w:t>
            </w:r>
          </w:p>
        </w:tc>
        <w:tc>
          <w:tcPr>
            <w:tcW w:w="940" w:type="dxa"/>
            <w:vMerge w:val="restart"/>
            <w:vAlign w:val="center"/>
          </w:tcPr>
          <w:p w:rsidR="00EE3388" w:rsidRPr="00171979" w:rsidRDefault="00EE3388" w:rsidP="007F470F">
            <w:pPr>
              <w:jc w:val="center"/>
            </w:pPr>
            <w:r w:rsidRPr="00FD7159">
              <w:rPr>
                <w:sz w:val="20"/>
              </w:rPr>
              <w:t>25.6</w:t>
            </w:r>
          </w:p>
        </w:tc>
        <w:tc>
          <w:tcPr>
            <w:tcW w:w="990" w:type="dxa"/>
            <w:vMerge w:val="restart"/>
            <w:vAlign w:val="center"/>
          </w:tcPr>
          <w:p w:rsidR="00EE3388" w:rsidRPr="00171979" w:rsidRDefault="00EE3388" w:rsidP="007F470F">
            <w:pPr>
              <w:jc w:val="center"/>
            </w:pPr>
            <w:r w:rsidRPr="00FD7159">
              <w:rPr>
                <w:sz w:val="20"/>
              </w:rPr>
              <w:t>22.2</w:t>
            </w:r>
          </w:p>
        </w:tc>
        <w:tc>
          <w:tcPr>
            <w:tcW w:w="900" w:type="dxa"/>
            <w:vAlign w:val="bottom"/>
          </w:tcPr>
          <w:p w:rsidR="00EE3388" w:rsidRPr="00171979" w:rsidRDefault="00EE3388" w:rsidP="00680F0F">
            <w:r w:rsidRPr="00FD7159">
              <w:rPr>
                <w:sz w:val="20"/>
              </w:rPr>
              <w:t xml:space="preserve">0.306  </w:t>
            </w:r>
          </w:p>
        </w:tc>
        <w:tc>
          <w:tcPr>
            <w:tcW w:w="990" w:type="dxa"/>
          </w:tcPr>
          <w:p w:rsidR="00EE3388" w:rsidRPr="00171979" w:rsidRDefault="00EE3388" w:rsidP="00680F0F">
            <w:r w:rsidRPr="00FD7159">
              <w:rPr>
                <w:sz w:val="20"/>
              </w:rPr>
              <w:t>0.085</w:t>
            </w:r>
          </w:p>
        </w:tc>
      </w:tr>
      <w:tr w:rsidR="00EE3388" w:rsidRPr="00171979" w:rsidTr="007F470F">
        <w:tc>
          <w:tcPr>
            <w:tcW w:w="669" w:type="dxa"/>
          </w:tcPr>
          <w:p w:rsidR="00EE3388" w:rsidRPr="00171979" w:rsidRDefault="00EE3388" w:rsidP="00680F0F">
            <w:pPr>
              <w:jc w:val="center"/>
            </w:pPr>
            <w:r w:rsidRPr="00171979">
              <w:t>3</w:t>
            </w:r>
          </w:p>
        </w:tc>
        <w:tc>
          <w:tcPr>
            <w:tcW w:w="2080" w:type="dxa"/>
          </w:tcPr>
          <w:p w:rsidR="00EE3388" w:rsidRPr="00171979" w:rsidRDefault="00EE3388" w:rsidP="00680F0F">
            <w:r w:rsidRPr="00171979">
              <w:t>Hot and dry climate</w:t>
            </w:r>
          </w:p>
        </w:tc>
        <w:tc>
          <w:tcPr>
            <w:tcW w:w="1891" w:type="dxa"/>
          </w:tcPr>
          <w:p w:rsidR="00EE3388" w:rsidRPr="00171979" w:rsidRDefault="00EE3388" w:rsidP="00680F0F">
            <w:r w:rsidRPr="00171979">
              <w:t xml:space="preserve">Las Vegas, NV </w:t>
            </w:r>
          </w:p>
        </w:tc>
        <w:tc>
          <w:tcPr>
            <w:tcW w:w="940" w:type="dxa"/>
            <w:vMerge/>
            <w:vAlign w:val="center"/>
          </w:tcPr>
          <w:p w:rsidR="00EE3388" w:rsidRPr="00171979" w:rsidRDefault="00EE3388" w:rsidP="007F470F">
            <w:pPr>
              <w:jc w:val="center"/>
            </w:pPr>
          </w:p>
        </w:tc>
        <w:tc>
          <w:tcPr>
            <w:tcW w:w="990" w:type="dxa"/>
            <w:vMerge/>
            <w:vAlign w:val="center"/>
          </w:tcPr>
          <w:p w:rsidR="00EE3388" w:rsidRPr="00171979" w:rsidRDefault="00EE3388" w:rsidP="007F470F">
            <w:pPr>
              <w:jc w:val="center"/>
            </w:pPr>
          </w:p>
        </w:tc>
        <w:tc>
          <w:tcPr>
            <w:tcW w:w="900" w:type="dxa"/>
            <w:vAlign w:val="bottom"/>
          </w:tcPr>
          <w:p w:rsidR="00EE3388" w:rsidRPr="00171979" w:rsidRDefault="00EE3388" w:rsidP="00680F0F">
            <w:r w:rsidRPr="00FD7159">
              <w:rPr>
                <w:sz w:val="20"/>
              </w:rPr>
              <w:t xml:space="preserve">0.454 </w:t>
            </w:r>
          </w:p>
        </w:tc>
        <w:tc>
          <w:tcPr>
            <w:tcW w:w="990" w:type="dxa"/>
          </w:tcPr>
          <w:p w:rsidR="00EE3388" w:rsidRPr="00171979" w:rsidRDefault="00EE3388" w:rsidP="00680F0F">
            <w:r w:rsidRPr="00FD7159">
              <w:rPr>
                <w:sz w:val="20"/>
              </w:rPr>
              <w:t>0.126</w:t>
            </w:r>
          </w:p>
        </w:tc>
      </w:tr>
      <w:tr w:rsidR="00EE3388" w:rsidRPr="00171979" w:rsidTr="007F470F">
        <w:tc>
          <w:tcPr>
            <w:tcW w:w="669" w:type="dxa"/>
          </w:tcPr>
          <w:p w:rsidR="00EE3388" w:rsidRPr="00171979" w:rsidRDefault="00EE3388" w:rsidP="00680F0F">
            <w:pPr>
              <w:jc w:val="center"/>
            </w:pPr>
            <w:r w:rsidRPr="00171979">
              <w:t>4</w:t>
            </w:r>
          </w:p>
        </w:tc>
        <w:tc>
          <w:tcPr>
            <w:tcW w:w="2080" w:type="dxa"/>
          </w:tcPr>
          <w:p w:rsidR="00EE3388" w:rsidRPr="00171979" w:rsidRDefault="00EE3388" w:rsidP="00680F0F">
            <w:r w:rsidRPr="00171979">
              <w:t>Mixed climate</w:t>
            </w:r>
          </w:p>
        </w:tc>
        <w:tc>
          <w:tcPr>
            <w:tcW w:w="1891" w:type="dxa"/>
          </w:tcPr>
          <w:p w:rsidR="00EE3388" w:rsidRPr="00171979" w:rsidRDefault="00EE3388" w:rsidP="00680F0F">
            <w:r w:rsidRPr="00171979">
              <w:t xml:space="preserve">Washington, DC </w:t>
            </w:r>
          </w:p>
        </w:tc>
        <w:tc>
          <w:tcPr>
            <w:tcW w:w="940" w:type="dxa"/>
            <w:vMerge w:val="restart"/>
            <w:vAlign w:val="center"/>
          </w:tcPr>
          <w:p w:rsidR="00EE3388" w:rsidRPr="00171979" w:rsidRDefault="00EE3388" w:rsidP="007F470F">
            <w:pPr>
              <w:jc w:val="center"/>
            </w:pPr>
            <w:r w:rsidRPr="00FD7159">
              <w:rPr>
                <w:sz w:val="20"/>
              </w:rPr>
              <w:t>24.4</w:t>
            </w:r>
          </w:p>
        </w:tc>
        <w:tc>
          <w:tcPr>
            <w:tcW w:w="990" w:type="dxa"/>
            <w:vMerge w:val="restart"/>
            <w:vAlign w:val="center"/>
          </w:tcPr>
          <w:p w:rsidR="00EE3388" w:rsidRPr="00171979" w:rsidRDefault="00EE3388" w:rsidP="007F470F">
            <w:pPr>
              <w:jc w:val="center"/>
            </w:pPr>
            <w:r w:rsidRPr="00FD7159">
              <w:rPr>
                <w:sz w:val="20"/>
              </w:rPr>
              <w:t>21.1</w:t>
            </w:r>
          </w:p>
        </w:tc>
        <w:tc>
          <w:tcPr>
            <w:tcW w:w="900" w:type="dxa"/>
            <w:vAlign w:val="bottom"/>
          </w:tcPr>
          <w:p w:rsidR="00EE3388" w:rsidRPr="00171979" w:rsidRDefault="00EE3388" w:rsidP="00680F0F">
            <w:r w:rsidRPr="00FD7159">
              <w:rPr>
                <w:sz w:val="20"/>
              </w:rPr>
              <w:t xml:space="preserve">0.508  </w:t>
            </w:r>
          </w:p>
        </w:tc>
        <w:tc>
          <w:tcPr>
            <w:tcW w:w="990" w:type="dxa"/>
          </w:tcPr>
          <w:p w:rsidR="00EE3388" w:rsidRPr="00171979" w:rsidRDefault="00EE3388" w:rsidP="00680F0F">
            <w:r w:rsidRPr="00FD7159">
              <w:rPr>
                <w:sz w:val="20"/>
              </w:rPr>
              <w:t>0.141</w:t>
            </w:r>
          </w:p>
        </w:tc>
      </w:tr>
      <w:tr w:rsidR="00EE3388" w:rsidRPr="00171979" w:rsidTr="007F470F">
        <w:tc>
          <w:tcPr>
            <w:tcW w:w="669" w:type="dxa"/>
          </w:tcPr>
          <w:p w:rsidR="00EE3388" w:rsidRPr="00171979" w:rsidRDefault="00EE3388" w:rsidP="00680F0F">
            <w:pPr>
              <w:jc w:val="center"/>
            </w:pPr>
            <w:r w:rsidRPr="00171979">
              <w:t>5</w:t>
            </w:r>
          </w:p>
        </w:tc>
        <w:tc>
          <w:tcPr>
            <w:tcW w:w="2080" w:type="dxa"/>
          </w:tcPr>
          <w:p w:rsidR="00EE3388" w:rsidRPr="00171979" w:rsidRDefault="00EE3388" w:rsidP="00680F0F">
            <w:r w:rsidRPr="00171979">
              <w:t xml:space="preserve">Heating dominated </w:t>
            </w:r>
          </w:p>
        </w:tc>
        <w:tc>
          <w:tcPr>
            <w:tcW w:w="1891" w:type="dxa"/>
          </w:tcPr>
          <w:p w:rsidR="00EE3388" w:rsidRPr="00171979" w:rsidRDefault="00EE3388" w:rsidP="00680F0F">
            <w:r w:rsidRPr="00171979">
              <w:t>Chicago, IL</w:t>
            </w:r>
          </w:p>
        </w:tc>
        <w:tc>
          <w:tcPr>
            <w:tcW w:w="940" w:type="dxa"/>
            <w:vMerge/>
          </w:tcPr>
          <w:p w:rsidR="00EE3388" w:rsidRDefault="00EE3388" w:rsidP="00680F0F"/>
        </w:tc>
        <w:tc>
          <w:tcPr>
            <w:tcW w:w="990" w:type="dxa"/>
            <w:vMerge/>
          </w:tcPr>
          <w:p w:rsidR="00EE3388" w:rsidRDefault="00EE3388" w:rsidP="00680F0F"/>
        </w:tc>
        <w:tc>
          <w:tcPr>
            <w:tcW w:w="900" w:type="dxa"/>
            <w:vAlign w:val="bottom"/>
          </w:tcPr>
          <w:p w:rsidR="00EE3388" w:rsidRDefault="00EE3388" w:rsidP="00680F0F">
            <w:r w:rsidRPr="00FD7159">
              <w:rPr>
                <w:sz w:val="20"/>
              </w:rPr>
              <w:t xml:space="preserve">0.461  </w:t>
            </w:r>
          </w:p>
        </w:tc>
        <w:tc>
          <w:tcPr>
            <w:tcW w:w="990" w:type="dxa"/>
          </w:tcPr>
          <w:p w:rsidR="00EE3388" w:rsidRDefault="00EE3388" w:rsidP="00680F0F">
            <w:r w:rsidRPr="00FD7159">
              <w:rPr>
                <w:sz w:val="20"/>
              </w:rPr>
              <w:t>0.128</w:t>
            </w:r>
          </w:p>
        </w:tc>
      </w:tr>
      <w:tr w:rsidR="00EE3388" w:rsidRPr="00171979" w:rsidTr="007F470F">
        <w:tc>
          <w:tcPr>
            <w:tcW w:w="669" w:type="dxa"/>
          </w:tcPr>
          <w:p w:rsidR="00EE3388" w:rsidRDefault="00EE3388" w:rsidP="00680F0F">
            <w:pPr>
              <w:jc w:val="center"/>
            </w:pPr>
            <w:r>
              <w:t>6</w:t>
            </w:r>
          </w:p>
        </w:tc>
        <w:tc>
          <w:tcPr>
            <w:tcW w:w="2080" w:type="dxa"/>
          </w:tcPr>
          <w:p w:rsidR="00EE3388" w:rsidRDefault="00EE3388" w:rsidP="00680F0F">
            <w:r>
              <w:t>Cold</w:t>
            </w:r>
          </w:p>
        </w:tc>
        <w:tc>
          <w:tcPr>
            <w:tcW w:w="1891" w:type="dxa"/>
          </w:tcPr>
          <w:p w:rsidR="00EE3388" w:rsidRDefault="00EE3388" w:rsidP="00680F0F">
            <w:r>
              <w:t>Minneapolis, MN</w:t>
            </w:r>
          </w:p>
        </w:tc>
        <w:tc>
          <w:tcPr>
            <w:tcW w:w="940" w:type="dxa"/>
            <w:vMerge/>
          </w:tcPr>
          <w:p w:rsidR="00EE3388" w:rsidRDefault="00EE3388" w:rsidP="00680F0F"/>
        </w:tc>
        <w:tc>
          <w:tcPr>
            <w:tcW w:w="990" w:type="dxa"/>
            <w:vMerge/>
          </w:tcPr>
          <w:p w:rsidR="00EE3388" w:rsidRDefault="00EE3388" w:rsidP="00680F0F"/>
        </w:tc>
        <w:tc>
          <w:tcPr>
            <w:tcW w:w="900" w:type="dxa"/>
            <w:vAlign w:val="bottom"/>
          </w:tcPr>
          <w:p w:rsidR="00EE3388" w:rsidRDefault="00EE3388" w:rsidP="00680F0F">
            <w:r w:rsidRPr="00FD7159">
              <w:rPr>
                <w:sz w:val="20"/>
              </w:rPr>
              <w:t>0.389</w:t>
            </w:r>
          </w:p>
        </w:tc>
        <w:tc>
          <w:tcPr>
            <w:tcW w:w="990" w:type="dxa"/>
          </w:tcPr>
          <w:p w:rsidR="00EE3388" w:rsidRDefault="00EE3388" w:rsidP="00680F0F">
            <w:r w:rsidRPr="00FD7159">
              <w:rPr>
                <w:sz w:val="20"/>
              </w:rPr>
              <w:t>0.108</w:t>
            </w:r>
          </w:p>
        </w:tc>
      </w:tr>
    </w:tbl>
    <w:p w:rsidR="00BF0F61" w:rsidRPr="00066D80" w:rsidRDefault="00066D80" w:rsidP="00BF0F61">
      <w:r w:rsidRPr="007F470F">
        <w:rPr>
          <w:sz w:val="20"/>
        </w:rPr>
        <w:t xml:space="preserve">Note:  Electric costs from Form 826 data for local utility in 2010 for residential sector </w:t>
      </w:r>
      <w:r w:rsidR="009D67A2">
        <w:rPr>
          <w:sz w:val="20"/>
        </w:rPr>
        <w:t>[9</w:t>
      </w:r>
      <w:r w:rsidRPr="007F470F">
        <w:rPr>
          <w:sz w:val="20"/>
        </w:rPr>
        <w:t>]</w:t>
      </w:r>
    </w:p>
    <w:p w:rsidR="00BF0F61" w:rsidRDefault="00BF0F61" w:rsidP="00BF0F61"/>
    <w:p w:rsidR="00BF0F61" w:rsidRDefault="00BF0F61" w:rsidP="00BF0F61">
      <w:pPr>
        <w:pStyle w:val="ListParagraph"/>
        <w:numPr>
          <w:ilvl w:val="1"/>
          <w:numId w:val="36"/>
        </w:numPr>
        <w:rPr>
          <w:i/>
        </w:rPr>
      </w:pPr>
      <w:r w:rsidRPr="00A73FEE">
        <w:rPr>
          <w:i/>
        </w:rPr>
        <w:t>Building specifications</w:t>
      </w:r>
    </w:p>
    <w:p w:rsidR="00BF0F61" w:rsidRDefault="00BF0F61" w:rsidP="00BF0F61">
      <w:r>
        <w:rPr>
          <w:b/>
        </w:rPr>
        <w:t xml:space="preserve">    </w:t>
      </w:r>
      <w:r w:rsidRPr="003F2B77">
        <w:t>The simulated residential building corresponded to a code-compliant house with</w:t>
      </w:r>
      <w:r>
        <w:t xml:space="preserve"> a</w:t>
      </w:r>
      <w:r w:rsidRPr="003F2B77">
        <w:t xml:space="preserve"> Home Energy Rating System (HERS) score of approximately 100 </w:t>
      </w:r>
      <w:r>
        <w:t>[</w:t>
      </w:r>
      <w:r w:rsidR="009D67A2">
        <w:t>10</w:t>
      </w:r>
      <w:r>
        <w:t>]</w:t>
      </w:r>
      <w:r w:rsidRPr="003F2B77">
        <w:t xml:space="preserve"> with appropriate levels of insulation and other features corresponding to each climate.   It was a 185.8 m</w:t>
      </w:r>
      <w:r w:rsidRPr="003F2B77">
        <w:rPr>
          <w:vertAlign w:val="superscript"/>
        </w:rPr>
        <w:t xml:space="preserve">2 </w:t>
      </w:r>
      <w:r w:rsidRPr="003F2B77">
        <w:t xml:space="preserve">three-bedroom structure with a separate attic zone, which was not conditioned (Figure </w:t>
      </w:r>
      <w:r>
        <w:t>1</w:t>
      </w:r>
      <w:r w:rsidRPr="003F2B77">
        <w:t>).  It had perimeter slab insulation in climate zones</w:t>
      </w:r>
      <w:r>
        <w:t xml:space="preserve"> 4 and 5.  A ‘fictitious layer’ was added into the resistance between the zone and ground temperature. This fictitious R-value was used to provide the amount of heat loss through the surfaces determined by the F</w:t>
      </w:r>
      <w:r>
        <w:noBreakHyphen/>
        <w:t>factor method (</w:t>
      </w:r>
      <w:proofErr w:type="spellStart"/>
      <w:r w:rsidRPr="00A73FEE">
        <w:rPr>
          <w:i/>
        </w:rPr>
        <w:t>R</w:t>
      </w:r>
      <w:r>
        <w:rPr>
          <w:vertAlign w:val="subscript"/>
        </w:rPr>
        <w:t>effective</w:t>
      </w:r>
      <w:proofErr w:type="spellEnd"/>
      <w:r>
        <w:t xml:space="preserve">), as recommended by </w:t>
      </w:r>
      <w:proofErr w:type="spellStart"/>
      <w:r>
        <w:t>Winkelmann</w:t>
      </w:r>
      <w:proofErr w:type="spellEnd"/>
      <w:r>
        <w:t xml:space="preserve"> [1</w:t>
      </w:r>
      <w:r w:rsidR="009D67A2">
        <w:t>1</w:t>
      </w:r>
      <w:r>
        <w:t xml:space="preserve">]. </w:t>
      </w:r>
    </w:p>
    <w:p w:rsidR="00BF0F61" w:rsidRDefault="00BF0F61" w:rsidP="00BF0F61">
      <w:pPr>
        <w:pStyle w:val="ATPparagraph"/>
      </w:pPr>
      <w:r w:rsidRPr="00F073E1">
        <w:t>The above-ground portions of the houses ha</w:t>
      </w:r>
      <w:r>
        <w:t>d</w:t>
      </w:r>
      <w:r w:rsidRPr="00F073E1">
        <w:t xml:space="preserve"> exterior walls with layers of drywall, insulation (</w:t>
      </w:r>
      <w:proofErr w:type="gramStart"/>
      <w:r>
        <w:t>R(</w:t>
      </w:r>
      <w:proofErr w:type="gramEnd"/>
      <w:r>
        <w:t xml:space="preserve">SI)-2.3 </w:t>
      </w:r>
      <w:r w:rsidRPr="00501121">
        <w:t>or</w:t>
      </w:r>
      <w:r>
        <w:t xml:space="preserve"> R(SI)-3.3</w:t>
      </w:r>
      <w:r w:rsidRPr="00F073E1">
        <w:t>, depending on the climate zone), and stucco as the outs</w:t>
      </w:r>
      <w:r>
        <w:t xml:space="preserve">ide surface. </w:t>
      </w:r>
      <w:r w:rsidRPr="00F073E1">
        <w:t>Windows t</w:t>
      </w:r>
      <w:r>
        <w:t>ook</w:t>
      </w:r>
      <w:r w:rsidRPr="00F073E1">
        <w:t xml:space="preserve"> up approximately 22 % of all of the exterior walls</w:t>
      </w:r>
      <w:r>
        <w:t>; 10.</w:t>
      </w:r>
      <w:r w:rsidRPr="004240AA">
        <w:t>2 m</w:t>
      </w:r>
      <w:r w:rsidRPr="004240AA">
        <w:rPr>
          <w:vertAlign w:val="superscript"/>
        </w:rPr>
        <w:t>2</w:t>
      </w:r>
      <w:r>
        <w:t xml:space="preserve"> </w:t>
      </w:r>
      <w:r w:rsidRPr="004240AA">
        <w:t xml:space="preserve">on </w:t>
      </w:r>
      <w:r w:rsidRPr="00F073E1">
        <w:t xml:space="preserve">the north and south facing walls, and </w:t>
      </w:r>
      <w:r>
        <w:t xml:space="preserve">6.5 </w:t>
      </w:r>
      <w:r w:rsidRPr="004240AA">
        <w:t>m</w:t>
      </w:r>
      <w:r w:rsidRPr="004240AA">
        <w:rPr>
          <w:vertAlign w:val="superscript"/>
        </w:rPr>
        <w:t>2</w:t>
      </w:r>
      <w:r>
        <w:t xml:space="preserve"> on east and west facing walls. </w:t>
      </w:r>
      <w:r w:rsidRPr="00F073E1">
        <w:t xml:space="preserve">The ceiling (i.e. boundary between main zone and attic) </w:t>
      </w:r>
      <w:r>
        <w:t>was</w:t>
      </w:r>
      <w:r w:rsidRPr="00F073E1">
        <w:t xml:space="preserve"> made up of a layer of drywall, framing and insulation (</w:t>
      </w:r>
      <w:proofErr w:type="gramStart"/>
      <w:r>
        <w:t>R(</w:t>
      </w:r>
      <w:proofErr w:type="gramEnd"/>
      <w:r>
        <w:t xml:space="preserve">SI)-5.3 </w:t>
      </w:r>
      <w:r w:rsidRPr="00F073E1">
        <w:t xml:space="preserve">or </w:t>
      </w:r>
      <w:r>
        <w:t>R(SI)-6.7</w:t>
      </w:r>
      <w:r w:rsidRPr="00F073E1">
        <w:t xml:space="preserve">, depending on </w:t>
      </w:r>
      <w:r>
        <w:t xml:space="preserve">the </w:t>
      </w:r>
      <w:r w:rsidRPr="00F073E1">
        <w:t>climate zone</w:t>
      </w:r>
      <w:r>
        <w:t>)</w:t>
      </w:r>
      <w:r w:rsidRPr="00F073E1">
        <w:t>.</w:t>
      </w:r>
      <w:r w:rsidRPr="00054DA4">
        <w:t xml:space="preserve"> </w:t>
      </w:r>
      <w:r>
        <w:t xml:space="preserve"> </w:t>
      </w:r>
      <w:r w:rsidRPr="00F073E1">
        <w:t>The attic ha</w:t>
      </w:r>
      <w:r>
        <w:t>d</w:t>
      </w:r>
      <w:r w:rsidRPr="00F073E1">
        <w:t xml:space="preserve"> gable walls on the east and west sides and roof surface</w:t>
      </w:r>
      <w:r>
        <w:t xml:space="preserve"> on the north and south sides. </w:t>
      </w:r>
      <w:r w:rsidRPr="00F073E1">
        <w:t xml:space="preserve">The roof </w:t>
      </w:r>
      <w:r>
        <w:t>was</w:t>
      </w:r>
      <w:r w:rsidRPr="00F073E1">
        <w:t xml:space="preserve"> </w:t>
      </w:r>
      <w:r>
        <w:t xml:space="preserve">sheathed in </w:t>
      </w:r>
      <w:r w:rsidRPr="00F073E1">
        <w:t xml:space="preserve">plywood and </w:t>
      </w:r>
      <w:r>
        <w:t xml:space="preserve">then covered with </w:t>
      </w:r>
      <w:r w:rsidRPr="00F073E1">
        <w:t>asphalt shingles</w:t>
      </w:r>
      <w:r>
        <w:t xml:space="preserve">. </w:t>
      </w:r>
      <w:r w:rsidRPr="00F073E1">
        <w:t xml:space="preserve">The east and west surfaces (gables) are made up of plywood on the inside surface with stucco on the outside surface.  </w:t>
      </w:r>
    </w:p>
    <w:p w:rsidR="00BF0F61" w:rsidRDefault="00BF0F61" w:rsidP="00BF0F61">
      <w:pPr>
        <w:pStyle w:val="ATPparagraph"/>
      </w:pPr>
      <w:r w:rsidRPr="00F073E1">
        <w:t>The AIM-2 infiltration model</w:t>
      </w:r>
      <w:r>
        <w:t xml:space="preserve"> [</w:t>
      </w:r>
      <w:r w:rsidR="00CC1DEB">
        <w:t>1</w:t>
      </w:r>
      <w:r w:rsidR="009D67A2">
        <w:t>2</w:t>
      </w:r>
      <w:r>
        <w:t>, 1</w:t>
      </w:r>
      <w:r w:rsidR="009D67A2">
        <w:t>3</w:t>
      </w:r>
      <w:r>
        <w:t>]</w:t>
      </w:r>
      <w:r w:rsidRPr="00F073E1">
        <w:t xml:space="preserve"> relates infiltration to wind and indoor-outdoor temperature </w:t>
      </w:r>
      <w:r>
        <w:t xml:space="preserve">difference for each time step. </w:t>
      </w:r>
      <w:r w:rsidRPr="00E91F1B">
        <w:t>An equivalent leakage area (ELA) of 0.0633 m</w:t>
      </w:r>
      <w:r w:rsidRPr="00E91F1B">
        <w:rPr>
          <w:vertAlign w:val="superscript"/>
        </w:rPr>
        <w:t>2</w:t>
      </w:r>
      <w:r w:rsidRPr="00E91F1B">
        <w:t xml:space="preserve"> was</w:t>
      </w:r>
      <w:r>
        <w:t xml:space="preserve"> chosen to provide the desired seven</w:t>
      </w:r>
      <w:r w:rsidRPr="00E91F1B">
        <w:t xml:space="preserve"> air changes per hour (ACH) at 50 pascal pressure differential (ACH50 for the main zone in each building model</w:t>
      </w:r>
      <w:r>
        <w:t>)</w:t>
      </w:r>
      <w:r w:rsidRPr="00E91F1B">
        <w:t xml:space="preserve">.  The attic </w:t>
      </w:r>
      <w:r w:rsidRPr="00F073E1">
        <w:t xml:space="preserve">used the same AIM-2 equations to determine leakage as a function of wind and temperature difference.  The attic ELA was set to be </w:t>
      </w:r>
      <w:r>
        <w:t>0.366 m</w:t>
      </w:r>
      <w:r>
        <w:rPr>
          <w:vertAlign w:val="superscript"/>
        </w:rPr>
        <w:t>2</w:t>
      </w:r>
      <w:r>
        <w:t xml:space="preserve"> </w:t>
      </w:r>
      <w:r w:rsidRPr="00F073E1">
        <w:t xml:space="preserve">for each of the climate zones, or about 5 times the leakage rate for the HERS 100 house </w:t>
      </w:r>
      <w:r>
        <w:t>[1</w:t>
      </w:r>
      <w:r w:rsidR="009D67A2">
        <w:t>4</w:t>
      </w:r>
      <w:r>
        <w:t>]</w:t>
      </w:r>
      <w:r w:rsidRPr="00F073E1">
        <w:t xml:space="preserve">. </w:t>
      </w:r>
    </w:p>
    <w:p w:rsidR="00BF0F61" w:rsidRDefault="00BF0F61" w:rsidP="00BF0F61"/>
    <w:p w:rsidR="00BF0F61" w:rsidRDefault="00BF0F61" w:rsidP="00BF0F61">
      <w:pPr>
        <w:keepNext/>
      </w:pPr>
      <w:r>
        <w:rPr>
          <w:noProof/>
        </w:rPr>
        <w:lastRenderedPageBreak/>
        <mc:AlternateContent>
          <mc:Choice Requires="wpc">
            <w:drawing>
              <wp:anchor distT="0" distB="0" distL="114300" distR="114300" simplePos="0" relativeHeight="251667456" behindDoc="0" locked="0" layoutInCell="1" allowOverlap="1" wp14:anchorId="047F15E8" wp14:editId="1A781D2E">
                <wp:simplePos x="0" y="0"/>
                <wp:positionH relativeFrom="character">
                  <wp:posOffset>173355</wp:posOffset>
                </wp:positionH>
                <wp:positionV relativeFrom="line">
                  <wp:posOffset>-297180</wp:posOffset>
                </wp:positionV>
                <wp:extent cx="5943600" cy="4377055"/>
                <wp:effectExtent l="1905" t="0" r="7620" b="0"/>
                <wp:wrapNone/>
                <wp:docPr id="62" name="Canvas 5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23" name="AutoShape 52"/>
                        <wps:cNvCnPr/>
                        <wps:spPr bwMode="auto">
                          <a:xfrm flipH="1">
                            <a:off x="2064300" y="706109"/>
                            <a:ext cx="365800" cy="3800"/>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448" name="AutoShape 53"/>
                        <wps:cNvCnPr/>
                        <wps:spPr bwMode="auto">
                          <a:xfrm flipH="1">
                            <a:off x="3233400" y="666708"/>
                            <a:ext cx="525800" cy="4400"/>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449" name="AutoShape 54"/>
                        <wps:cNvCnPr/>
                        <wps:spPr bwMode="auto">
                          <a:xfrm flipH="1" flipV="1">
                            <a:off x="2074500" y="691509"/>
                            <a:ext cx="7600" cy="342904"/>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450" name="AutoShape 55"/>
                        <wps:cNvCnPr/>
                        <wps:spPr bwMode="auto">
                          <a:xfrm flipH="1" flipV="1">
                            <a:off x="3744500" y="649608"/>
                            <a:ext cx="7700" cy="37710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451" name="AutoShape 56"/>
                        <wps:cNvCnPr/>
                        <wps:spPr bwMode="auto">
                          <a:xfrm flipV="1">
                            <a:off x="3752200" y="1064813"/>
                            <a:ext cx="0" cy="3772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2" name="AutoShape 57"/>
                        <wps:cNvCnPr/>
                        <wps:spPr bwMode="auto">
                          <a:xfrm rot="10800000" flipV="1">
                            <a:off x="2080200" y="1068013"/>
                            <a:ext cx="600" cy="378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3" name="AutoShape 58"/>
                        <wps:cNvCnPr/>
                        <wps:spPr bwMode="auto">
                          <a:xfrm>
                            <a:off x="3787700" y="767010"/>
                            <a:ext cx="306700" cy="81301"/>
                          </a:xfrm>
                          <a:prstGeom prst="curvedConnector3">
                            <a:avLst>
                              <a:gd name="adj1" fmla="val 50000"/>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s:wsp>
                        <wps:cNvPr id="454" name="AutoShape 59"/>
                        <wps:cNvCnPr/>
                        <wps:spPr bwMode="auto">
                          <a:xfrm flipH="1">
                            <a:off x="316800" y="2901936"/>
                            <a:ext cx="682600" cy="6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5" name="Text Box 60"/>
                        <wps:cNvSpPr txBox="1">
                          <a:spLocks noChangeArrowheads="1"/>
                        </wps:cNvSpPr>
                        <wps:spPr bwMode="auto">
                          <a:xfrm>
                            <a:off x="1974800" y="2388230"/>
                            <a:ext cx="1478400" cy="253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07CF" w:rsidRPr="00501121" w:rsidRDefault="009207CF" w:rsidP="00BF0F61">
                              <w:r w:rsidRPr="00501121">
                                <w:t xml:space="preserve">24.5 mm </w:t>
                              </w:r>
                              <w:r>
                                <w:t>c</w:t>
                              </w:r>
                              <w:r w:rsidRPr="00501121">
                                <w:t>arpet</w:t>
                              </w:r>
                            </w:p>
                          </w:txbxContent>
                        </wps:txbx>
                        <wps:bodyPr rot="0" vert="horz" wrap="square" lIns="91440" tIns="45720" rIns="91440" bIns="45720" anchor="t" anchorCtr="0" upright="1">
                          <a:noAutofit/>
                        </wps:bodyPr>
                      </wps:wsp>
                      <wps:wsp>
                        <wps:cNvPr id="456" name="AutoShape 61"/>
                        <wps:cNvCnPr/>
                        <wps:spPr bwMode="auto">
                          <a:xfrm>
                            <a:off x="2332300" y="2611133"/>
                            <a:ext cx="18400" cy="24640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7" name="AutoShape 62"/>
                        <wps:cNvCnPr/>
                        <wps:spPr bwMode="auto">
                          <a:xfrm flipH="1">
                            <a:off x="4748500" y="2907637"/>
                            <a:ext cx="772100" cy="7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wpg:cNvPr id="458" name="Group 63"/>
                        <wpg:cNvGrpSpPr>
                          <a:grpSpLocks/>
                        </wpg:cNvGrpSpPr>
                        <wpg:grpSpPr bwMode="auto">
                          <a:xfrm>
                            <a:off x="112300" y="513706"/>
                            <a:ext cx="5836600" cy="3863349"/>
                            <a:chOff x="1440" y="2117"/>
                            <a:chExt cx="9072" cy="5840"/>
                          </a:xfrm>
                        </wpg:grpSpPr>
                        <wpg:grpSp>
                          <wpg:cNvPr id="459" name="Group 64"/>
                          <wpg:cNvGrpSpPr>
                            <a:grpSpLocks/>
                          </wpg:cNvGrpSpPr>
                          <wpg:grpSpPr bwMode="auto">
                            <a:xfrm>
                              <a:off x="1440" y="5852"/>
                              <a:ext cx="9072" cy="2105"/>
                              <a:chOff x="1440" y="5852"/>
                              <a:chExt cx="9072" cy="2105"/>
                            </a:xfrm>
                          </wpg:grpSpPr>
                          <wps:wsp>
                            <wps:cNvPr id="460" name="Text Box 65"/>
                            <wps:cNvSpPr txBox="1">
                              <a:spLocks noChangeArrowheads="1"/>
                            </wps:cNvSpPr>
                            <wps:spPr bwMode="auto">
                              <a:xfrm>
                                <a:off x="5314" y="7471"/>
                                <a:ext cx="1218" cy="4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07CF" w:rsidRPr="004E4EE9" w:rsidRDefault="009207CF" w:rsidP="00BF0F61">
                                  <w:pPr>
                                    <w:rPr>
                                      <w:vertAlign w:val="subscript"/>
                                    </w:rPr>
                                  </w:pPr>
                                  <w:proofErr w:type="spellStart"/>
                                  <w:r w:rsidRPr="00501121">
                                    <w:rPr>
                                      <w:i/>
                                    </w:rPr>
                                    <w:t>T</w:t>
                                  </w:r>
                                  <w:r w:rsidRPr="00501121">
                                    <w:rPr>
                                      <w:sz w:val="24"/>
                                      <w:szCs w:val="24"/>
                                      <w:vertAlign w:val="subscript"/>
                                    </w:rPr>
                                    <w:t>ground</w:t>
                                  </w:r>
                                  <w:proofErr w:type="spellEnd"/>
                                </w:p>
                              </w:txbxContent>
                            </wps:txbx>
                            <wps:bodyPr rot="0" vert="horz" wrap="square" lIns="91440" tIns="45720" rIns="91440" bIns="45720" anchor="t" anchorCtr="0" upright="1">
                              <a:noAutofit/>
                            </wps:bodyPr>
                          </wps:wsp>
                          <wps:wsp>
                            <wps:cNvPr id="461" name="Text Box 66"/>
                            <wps:cNvSpPr txBox="1">
                              <a:spLocks noChangeArrowheads="1"/>
                            </wps:cNvSpPr>
                            <wps:spPr bwMode="auto">
                              <a:xfrm>
                                <a:off x="9059" y="6005"/>
                                <a:ext cx="1453" cy="7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07CF" w:rsidRPr="00501121" w:rsidRDefault="009207CF" w:rsidP="00BF0F61">
                                  <w:pPr>
                                    <w:jc w:val="left"/>
                                  </w:pPr>
                                  <w:r w:rsidRPr="00501121">
                                    <w:t>0.3 m</w:t>
                                  </w:r>
                                  <w:r>
                                    <w:t xml:space="preserve"> </w:t>
                                  </w:r>
                                  <w:r w:rsidRPr="00501121">
                                    <w:t>soil</w:t>
                                  </w:r>
                                </w:p>
                              </w:txbxContent>
                            </wps:txbx>
                            <wps:bodyPr rot="0" vert="horz" wrap="square" lIns="91440" tIns="45720" rIns="91440" bIns="45720" anchor="t" anchorCtr="0" upright="1">
                              <a:noAutofit/>
                            </wps:bodyPr>
                          </wps:wsp>
                          <wps:wsp>
                            <wps:cNvPr id="462" name="AutoShape 67"/>
                            <wps:cNvCnPr/>
                            <wps:spPr bwMode="auto">
                              <a:xfrm flipH="1" flipV="1">
                                <a:off x="8497" y="6230"/>
                                <a:ext cx="562" cy="12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3" name="Text Box 68"/>
                            <wps:cNvSpPr txBox="1">
                              <a:spLocks noChangeArrowheads="1"/>
                            </wps:cNvSpPr>
                            <wps:spPr bwMode="auto">
                              <a:xfrm>
                                <a:off x="1440" y="6523"/>
                                <a:ext cx="2451" cy="4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07CF" w:rsidRPr="002052B7" w:rsidRDefault="009207CF" w:rsidP="00BF0F61">
                                  <w:pPr>
                                    <w:pStyle w:val="NewTimes11"/>
                                    <w:jc w:val="left"/>
                                  </w:pPr>
                                  <w:r>
                                    <w:t>101 mm c</w:t>
                                  </w:r>
                                  <w:r w:rsidRPr="002052B7">
                                    <w:t>oncrete</w:t>
                                  </w:r>
                                </w:p>
                              </w:txbxContent>
                            </wps:txbx>
                            <wps:bodyPr rot="0" vert="horz" wrap="square" lIns="91440" tIns="45720" rIns="91440" bIns="45720" anchor="t" anchorCtr="0" upright="1">
                              <a:noAutofit/>
                            </wps:bodyPr>
                          </wps:wsp>
                          <wps:wsp>
                            <wps:cNvPr id="464" name="AutoShape 69"/>
                            <wps:cNvCnPr/>
                            <wps:spPr bwMode="auto">
                              <a:xfrm flipV="1">
                                <a:off x="2666" y="5852"/>
                                <a:ext cx="369" cy="67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465" name="Group 70"/>
                            <wpg:cNvGrpSpPr>
                              <a:grpSpLocks/>
                            </wpg:cNvGrpSpPr>
                            <wpg:grpSpPr bwMode="auto">
                              <a:xfrm>
                                <a:off x="5579" y="6497"/>
                                <a:ext cx="328" cy="859"/>
                                <a:chOff x="5579" y="10383"/>
                                <a:chExt cx="311" cy="925"/>
                              </a:xfrm>
                            </wpg:grpSpPr>
                            <wps:wsp>
                              <wps:cNvPr id="466" name="AutoShape 71"/>
                              <wps:cNvCnPr/>
                              <wps:spPr bwMode="auto">
                                <a:xfrm>
                                  <a:off x="5749" y="10383"/>
                                  <a:ext cx="11" cy="15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467" name="Group 72"/>
                              <wpg:cNvGrpSpPr>
                                <a:grpSpLocks/>
                              </wpg:cNvGrpSpPr>
                              <wpg:grpSpPr bwMode="auto">
                                <a:xfrm>
                                  <a:off x="5579" y="10540"/>
                                  <a:ext cx="311" cy="768"/>
                                  <a:chOff x="7958" y="11153"/>
                                  <a:chExt cx="311" cy="768"/>
                                </a:xfrm>
                              </wpg:grpSpPr>
                              <wps:wsp>
                                <wps:cNvPr id="469" name="AutoShape 73"/>
                                <wps:cNvCnPr/>
                                <wps:spPr bwMode="auto">
                                  <a:xfrm flipH="1">
                                    <a:off x="7958" y="11153"/>
                                    <a:ext cx="181" cy="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0" name="AutoShape 74"/>
                                <wps:cNvCnPr/>
                                <wps:spPr bwMode="auto">
                                  <a:xfrm>
                                    <a:off x="7958" y="11214"/>
                                    <a:ext cx="299" cy="1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1" name="AutoShape 75"/>
                                <wps:cNvCnPr/>
                                <wps:spPr bwMode="auto">
                                  <a:xfrm>
                                    <a:off x="7974" y="11420"/>
                                    <a:ext cx="293" cy="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2" name="AutoShape 76"/>
                                <wps:cNvCnPr/>
                                <wps:spPr bwMode="auto">
                                  <a:xfrm flipH="1">
                                    <a:off x="7979" y="11322"/>
                                    <a:ext cx="277" cy="1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3" name="AutoShape 77"/>
                                <wps:cNvCnPr/>
                                <wps:spPr bwMode="auto">
                                  <a:xfrm>
                                    <a:off x="7976" y="11598"/>
                                    <a:ext cx="293" cy="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4" name="AutoShape 78"/>
                                <wps:cNvCnPr/>
                                <wps:spPr bwMode="auto">
                                  <a:xfrm flipH="1">
                                    <a:off x="7981" y="11500"/>
                                    <a:ext cx="277" cy="1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5" name="AutoShape 79"/>
                                <wps:cNvCnPr/>
                                <wps:spPr bwMode="auto">
                                  <a:xfrm flipH="1">
                                    <a:off x="8085" y="11681"/>
                                    <a:ext cx="181" cy="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6" name="AutoShape 80"/>
                                <wps:cNvCnPr/>
                                <wps:spPr bwMode="auto">
                                  <a:xfrm>
                                    <a:off x="8089" y="11739"/>
                                    <a:ext cx="0" cy="18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477" name="Oval 81"/>
                            <wps:cNvSpPr>
                              <a:spLocks noChangeArrowheads="1"/>
                            </wps:cNvSpPr>
                            <wps:spPr bwMode="auto">
                              <a:xfrm>
                                <a:off x="5663" y="7338"/>
                                <a:ext cx="108" cy="7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478" name="Text Box 82"/>
                            <wps:cNvSpPr txBox="1">
                              <a:spLocks noChangeArrowheads="1"/>
                            </wps:cNvSpPr>
                            <wps:spPr bwMode="auto">
                              <a:xfrm>
                                <a:off x="5948" y="6706"/>
                                <a:ext cx="1528" cy="4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07CF" w:rsidRPr="00501121" w:rsidRDefault="009207CF" w:rsidP="00BF0F61">
                                  <w:pPr>
                                    <w:rPr>
                                      <w:sz w:val="24"/>
                                      <w:szCs w:val="24"/>
                                      <w:vertAlign w:val="subscript"/>
                                    </w:rPr>
                                  </w:pPr>
                                  <w:proofErr w:type="spellStart"/>
                                  <w:r w:rsidRPr="00501121">
                                    <w:rPr>
                                      <w:i/>
                                    </w:rPr>
                                    <w:t>R</w:t>
                                  </w:r>
                                  <w:r w:rsidRPr="00501121">
                                    <w:rPr>
                                      <w:sz w:val="24"/>
                                      <w:szCs w:val="24"/>
                                      <w:vertAlign w:val="subscript"/>
                                    </w:rPr>
                                    <w:t>fic</w:t>
                                  </w:r>
                                  <w:proofErr w:type="spellEnd"/>
                                  <w:r w:rsidRPr="00501121">
                                    <w:rPr>
                                      <w:sz w:val="24"/>
                                      <w:szCs w:val="24"/>
                                      <w:vertAlign w:val="subscript"/>
                                    </w:rPr>
                                    <w:t>-floor</w:t>
                                  </w:r>
                                </w:p>
                              </w:txbxContent>
                            </wps:txbx>
                            <wps:bodyPr rot="0" vert="horz" wrap="square" lIns="91440" tIns="45720" rIns="91440" bIns="45720" anchor="t" anchorCtr="0" upright="1">
                              <a:noAutofit/>
                            </wps:bodyPr>
                          </wps:wsp>
                        </wpg:grpSp>
                        <wpg:grpSp>
                          <wpg:cNvPr id="479" name="Group 83"/>
                          <wpg:cNvGrpSpPr>
                            <a:grpSpLocks/>
                          </wpg:cNvGrpSpPr>
                          <wpg:grpSpPr bwMode="auto">
                            <a:xfrm>
                              <a:off x="2659" y="2117"/>
                              <a:ext cx="6259" cy="4380"/>
                              <a:chOff x="2659" y="2117"/>
                              <a:chExt cx="6259" cy="4380"/>
                            </a:xfrm>
                          </wpg:grpSpPr>
                          <wps:wsp>
                            <wps:cNvPr id="43" name="Rectangle 84"/>
                            <wps:cNvSpPr>
                              <a:spLocks noChangeArrowheads="1"/>
                            </wps:cNvSpPr>
                            <wps:spPr bwMode="auto">
                              <a:xfrm>
                                <a:off x="3034" y="5731"/>
                                <a:ext cx="5458" cy="241"/>
                              </a:xfrm>
                              <a:prstGeom prst="rect">
                                <a:avLst/>
                              </a:prstGeom>
                              <a:solidFill>
                                <a:srgbClr val="BFBFBF"/>
                              </a:solidFill>
                              <a:ln w="9525">
                                <a:solidFill>
                                  <a:srgbClr val="000000"/>
                                </a:solidFill>
                                <a:miter lim="800000"/>
                                <a:headEnd/>
                                <a:tailEnd/>
                              </a:ln>
                            </wps:spPr>
                            <wps:bodyPr rot="0" vert="horz" wrap="square" lIns="91440" tIns="45720" rIns="91440" bIns="45720" anchor="t" anchorCtr="0" upright="1">
                              <a:noAutofit/>
                            </wps:bodyPr>
                          </wps:wsp>
                          <wps:wsp>
                            <wps:cNvPr id="44" name="Rectangle 85"/>
                            <wps:cNvSpPr>
                              <a:spLocks noChangeArrowheads="1"/>
                            </wps:cNvSpPr>
                            <wps:spPr bwMode="auto">
                              <a:xfrm>
                                <a:off x="2783" y="2760"/>
                                <a:ext cx="252" cy="2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5" name="Rectangle 86"/>
                            <wps:cNvSpPr>
                              <a:spLocks noChangeArrowheads="1"/>
                            </wps:cNvSpPr>
                            <wps:spPr bwMode="auto">
                              <a:xfrm>
                                <a:off x="8497" y="2765"/>
                                <a:ext cx="266" cy="297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6" name="Rectangle 87"/>
                            <wps:cNvSpPr>
                              <a:spLocks noChangeArrowheads="1"/>
                            </wps:cNvSpPr>
                            <wps:spPr bwMode="auto">
                              <a:xfrm rot="5400000">
                                <a:off x="5499" y="3499"/>
                                <a:ext cx="535" cy="5461"/>
                              </a:xfrm>
                              <a:prstGeom prst="rect">
                                <a:avLst/>
                              </a:prstGeom>
                              <a:solidFill>
                                <a:srgbClr val="CE9D6C"/>
                              </a:solidFill>
                              <a:ln w="9525">
                                <a:solidFill>
                                  <a:srgbClr val="000000"/>
                                </a:solidFill>
                                <a:miter lim="800000"/>
                                <a:headEnd/>
                                <a:tailEnd/>
                              </a:ln>
                            </wps:spPr>
                            <wps:txbx>
                              <w:txbxContent>
                                <w:p w:rsidR="009207CF" w:rsidRPr="0011199D" w:rsidRDefault="009207CF" w:rsidP="00BF0F61"/>
                              </w:txbxContent>
                            </wps:txbx>
                            <wps:bodyPr rot="0" vert="horz" wrap="square" lIns="91440" tIns="45720" rIns="91440" bIns="45720" anchor="t" anchorCtr="0" upright="1">
                              <a:noAutofit/>
                            </wps:bodyPr>
                          </wps:wsp>
                          <wps:wsp>
                            <wps:cNvPr id="47" name="Rectangle 88"/>
                            <wps:cNvSpPr>
                              <a:spLocks noChangeArrowheads="1"/>
                            </wps:cNvSpPr>
                            <wps:spPr bwMode="auto">
                              <a:xfrm>
                                <a:off x="3028" y="2759"/>
                                <a:ext cx="5456" cy="14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8" name="Rectangle 89"/>
                            <wps:cNvSpPr>
                              <a:spLocks noChangeArrowheads="1"/>
                            </wps:cNvSpPr>
                            <wps:spPr bwMode="auto">
                              <a:xfrm rot="1380000">
                                <a:off x="5649" y="2127"/>
                                <a:ext cx="3269" cy="15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2" name="Rectangle 90"/>
                            <wps:cNvSpPr>
                              <a:spLocks noChangeArrowheads="1"/>
                            </wps:cNvSpPr>
                            <wps:spPr bwMode="auto">
                              <a:xfrm rot="-1380000">
                                <a:off x="2659" y="2117"/>
                                <a:ext cx="3217" cy="14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3" name="Rectangle 91"/>
                            <wps:cNvSpPr>
                              <a:spLocks noChangeArrowheads="1"/>
                            </wps:cNvSpPr>
                            <wps:spPr bwMode="auto">
                              <a:xfrm>
                                <a:off x="3030" y="5645"/>
                                <a:ext cx="5458" cy="78"/>
                              </a:xfrm>
                              <a:prstGeom prst="rect">
                                <a:avLst/>
                              </a:prstGeom>
                              <a:solidFill>
                                <a:srgbClr val="C00000"/>
                              </a:solidFill>
                              <a:ln w="9525">
                                <a:solidFill>
                                  <a:srgbClr val="000000"/>
                                </a:solidFill>
                                <a:miter lim="800000"/>
                                <a:headEnd/>
                                <a:tailEnd/>
                              </a:ln>
                            </wps:spPr>
                            <wps:bodyPr rot="0" vert="horz" wrap="square" lIns="91440" tIns="45720" rIns="91440" bIns="45720" anchor="t" anchorCtr="0" upright="1">
                              <a:noAutofit/>
                            </wps:bodyPr>
                          </wps:wsp>
                        </wpg:grpSp>
                      </wpg:wgp>
                      <wps:wsp>
                        <wps:cNvPr id="54" name="Text Box 92"/>
                        <wps:cNvSpPr txBox="1">
                          <a:spLocks noChangeArrowheads="1"/>
                        </wps:cNvSpPr>
                        <wps:spPr bwMode="auto">
                          <a:xfrm>
                            <a:off x="999400" y="113101"/>
                            <a:ext cx="864500" cy="376605"/>
                          </a:xfrm>
                          <a:prstGeom prst="rect">
                            <a:avLst/>
                          </a:prstGeom>
                          <a:solidFill>
                            <a:srgbClr val="F2DBD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207CF" w:rsidRPr="00501121" w:rsidRDefault="009207CF" w:rsidP="00BF0F61">
                              <w:pPr>
                                <w:jc w:val="left"/>
                                <w:rPr>
                                  <w:sz w:val="20"/>
                                </w:rPr>
                              </w:pPr>
                              <w:r w:rsidRPr="00501121">
                                <w:rPr>
                                  <w:sz w:val="20"/>
                                </w:rPr>
                                <w:t xml:space="preserve">Supply </w:t>
                              </w:r>
                              <w:r w:rsidRPr="0083347C">
                                <w:rPr>
                                  <w:sz w:val="20"/>
                                </w:rPr>
                                <w:t>l</w:t>
                              </w:r>
                              <w:r w:rsidRPr="00501121">
                                <w:rPr>
                                  <w:sz w:val="20"/>
                                </w:rPr>
                                <w:t>eak to attic</w:t>
                              </w:r>
                            </w:p>
                          </w:txbxContent>
                        </wps:txbx>
                        <wps:bodyPr rot="0" vert="horz" wrap="square" lIns="91440" tIns="45720" rIns="91440" bIns="45720" anchor="t" anchorCtr="0" upright="1">
                          <a:noAutofit/>
                        </wps:bodyPr>
                      </wps:wsp>
                      <wps:wsp>
                        <wps:cNvPr id="55" name="Text Box 93"/>
                        <wps:cNvSpPr txBox="1">
                          <a:spLocks noChangeArrowheads="1"/>
                        </wps:cNvSpPr>
                        <wps:spPr bwMode="auto">
                          <a:xfrm>
                            <a:off x="3995400" y="92701"/>
                            <a:ext cx="864300" cy="397005"/>
                          </a:xfrm>
                          <a:prstGeom prst="rect">
                            <a:avLst/>
                          </a:prstGeom>
                          <a:solidFill>
                            <a:srgbClr val="F2DBD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207CF" w:rsidRPr="00501121" w:rsidRDefault="009207CF" w:rsidP="00BF0F61">
                              <w:pPr>
                                <w:pStyle w:val="NewTimes11"/>
                                <w:jc w:val="left"/>
                                <w:rPr>
                                  <w:sz w:val="20"/>
                                  <w:szCs w:val="20"/>
                                </w:rPr>
                              </w:pPr>
                              <w:r w:rsidRPr="00501121">
                                <w:rPr>
                                  <w:sz w:val="20"/>
                                  <w:szCs w:val="20"/>
                                </w:rPr>
                                <w:t>Return</w:t>
                              </w:r>
                              <w:r>
                                <w:rPr>
                                  <w:sz w:val="20"/>
                                  <w:szCs w:val="20"/>
                                </w:rPr>
                                <w:t xml:space="preserve"> </w:t>
                              </w:r>
                              <w:r w:rsidRPr="0083347C">
                                <w:rPr>
                                  <w:sz w:val="20"/>
                                  <w:szCs w:val="20"/>
                                </w:rPr>
                                <w:t>l</w:t>
                              </w:r>
                              <w:r w:rsidRPr="00501121">
                                <w:rPr>
                                  <w:sz w:val="20"/>
                                  <w:szCs w:val="20"/>
                                </w:rPr>
                                <w:t>eak from attic</w:t>
                              </w:r>
                            </w:p>
                          </w:txbxContent>
                        </wps:txbx>
                        <wps:bodyPr rot="0" vert="horz" wrap="square" lIns="91440" tIns="45720" rIns="91440" bIns="45720" anchor="t" anchorCtr="0" upright="1">
                          <a:noAutofit/>
                        </wps:bodyPr>
                      </wps:wsp>
                      <wps:wsp>
                        <wps:cNvPr id="57" name="AutoShape 94"/>
                        <wps:cNvCnPr/>
                        <wps:spPr bwMode="auto">
                          <a:xfrm flipV="1">
                            <a:off x="2410400" y="692709"/>
                            <a:ext cx="600" cy="594407"/>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58" name="AutoShape 95"/>
                        <wps:cNvCnPr/>
                        <wps:spPr bwMode="auto">
                          <a:xfrm flipV="1">
                            <a:off x="3252400" y="679409"/>
                            <a:ext cx="700" cy="612808"/>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59" name="AutoShape 96"/>
                        <wps:cNvCnPr/>
                        <wps:spPr bwMode="auto">
                          <a:xfrm flipH="1">
                            <a:off x="2395200" y="1273816"/>
                            <a:ext cx="859800" cy="600"/>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60" name="Rectangle 97"/>
                        <wps:cNvSpPr>
                          <a:spLocks noChangeArrowheads="1"/>
                        </wps:cNvSpPr>
                        <wps:spPr bwMode="auto">
                          <a:xfrm>
                            <a:off x="2540000" y="1148014"/>
                            <a:ext cx="586100" cy="266703"/>
                          </a:xfrm>
                          <a:prstGeom prst="rect">
                            <a:avLst/>
                          </a:prstGeom>
                          <a:solidFill>
                            <a:srgbClr val="FFFFFF"/>
                          </a:solidFill>
                          <a:ln w="9525">
                            <a:solidFill>
                              <a:srgbClr val="000000"/>
                            </a:solidFill>
                            <a:miter lim="800000"/>
                            <a:headEnd/>
                            <a:tailEnd/>
                          </a:ln>
                        </wps:spPr>
                        <wps:txbx>
                          <w:txbxContent>
                            <w:p w:rsidR="009207CF" w:rsidRPr="009F7A83" w:rsidRDefault="009207CF" w:rsidP="00BF0F61">
                              <w:pPr>
                                <w:jc w:val="center"/>
                              </w:pPr>
                              <w:r w:rsidRPr="009F7A83">
                                <w:t>AHU</w:t>
                              </w:r>
                            </w:p>
                            <w:p w:rsidR="009207CF" w:rsidRDefault="009207CF" w:rsidP="00BF0F61"/>
                          </w:txbxContent>
                        </wps:txbx>
                        <wps:bodyPr rot="0" vert="horz" wrap="square" lIns="91440" tIns="45720" rIns="91440" bIns="45720" anchor="t" anchorCtr="0" upright="1">
                          <a:noAutofit/>
                        </wps:bodyPr>
                      </wps:wsp>
                      <wps:wsp>
                        <wps:cNvPr id="61" name="Arc 98"/>
                        <wps:cNvSpPr>
                          <a:spLocks/>
                        </wps:cNvSpPr>
                        <wps:spPr bwMode="auto">
                          <a:xfrm rot="17392348">
                            <a:off x="2420498" y="366408"/>
                            <a:ext cx="250103" cy="562600"/>
                          </a:xfrm>
                          <a:custGeom>
                            <a:avLst/>
                            <a:gdLst>
                              <a:gd name="T0" fmla="*/ 0 w 21600"/>
                              <a:gd name="T1" fmla="*/ 0 h 21600"/>
                              <a:gd name="T2" fmla="*/ 2896911 w 21600"/>
                              <a:gd name="T3" fmla="*/ 2428062 h 21600"/>
                              <a:gd name="T4" fmla="*/ 0 w 21600"/>
                              <a:gd name="T5" fmla="*/ 14653907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4234" y="0"/>
                                  <a:pt x="8375" y="1244"/>
                                  <a:pt x="11908" y="3578"/>
                                </a:cubicBezTo>
                              </a:path>
                              <a:path w="21600" h="21600" stroke="0" extrusionOk="0">
                                <a:moveTo>
                                  <a:pt x="-1" y="0"/>
                                </a:moveTo>
                                <a:cubicBezTo>
                                  <a:pt x="4234" y="0"/>
                                  <a:pt x="8375" y="1244"/>
                                  <a:pt x="11908" y="3578"/>
                                </a:cubicBezTo>
                                <a:lnTo>
                                  <a:pt x="0" y="21600"/>
                                </a:lnTo>
                                <a:lnTo>
                                  <a:pt x="-1" y="0"/>
                                </a:lnTo>
                                <a:close/>
                              </a:path>
                            </a:pathLst>
                          </a:custGeom>
                          <a:noFill/>
                          <a:ln w="9525">
                            <a:solidFill>
                              <a:srgbClr val="000000"/>
                            </a:solidFill>
                            <a:round/>
                            <a:headEnd/>
                            <a:tailEnd type="stealth"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id="Canvas 51" o:spid="_x0000_s1026" editas="canvas" style="position:absolute;margin-left:13.65pt;margin-top:-23.4pt;width:468pt;height:344.65pt;z-index:251667456;mso-position-horizontal-relative:char;mso-position-vertical-relative:line" coordsize="59436,43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9436;height:43770;visibility:visible;mso-wrap-style:square">
                  <v:fill o:detectmouseclick="t"/>
                  <v:path o:connecttype="none"/>
                </v:shape>
                <v:shapetype id="_x0000_t32" coordsize="21600,21600" o:spt="32" o:oned="t" path="m,l21600,21600e" filled="f">
                  <v:path arrowok="t" fillok="f" o:connecttype="none"/>
                  <o:lock v:ext="edit" shapetype="t"/>
                </v:shapetype>
                <v:shape id="AutoShape 52" o:spid="_x0000_s1028" type="#_x0000_t32" style="position:absolute;left:20643;top:7061;width:3658;height:3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XPKf8UAAADbAAAADwAAAGRycy9kb3ducmV2LnhtbESPQWsCMRSE74L/ITzBmyZaaGVrFFEK&#10;ooLoCqW3x+a5u3Xzsmyibv31TaHgcZiZb5jpvLWVuFHjS8caRkMFgjhzpuRcwyn9GExA+IBssHJM&#10;Gn7Iw3zW7UwxMe7OB7odQy4ihH2CGooQ6kRKnxVk0Q9dTRy9s2sshiibXJoG7xFuKzlW6lVaLDku&#10;FFjTsqDscrzaSFGbRarSr+t6/7nZP3bn1ds2+9a632sX7yACteEZ/m+vjYbxC/x9iT9Az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XPKf8UAAADbAAAADwAAAAAAAAAA&#10;AAAAAAChAgAAZHJzL2Rvd25yZXYueG1sUEsFBgAAAAAEAAQA+QAAAJMDAAAAAA==&#10;" strokeweight="3pt"/>
                <v:shape id="AutoShape 53" o:spid="_x0000_s1029" type="#_x0000_t32" style="position:absolute;left:32334;top:6667;width:5258;height:4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pGm8cAAADcAAAADwAAAGRycy9kb3ducmV2LnhtbESPwWrCQBCG70LfYZmCN91tkbakriIt&#10;BVFBNIXS25Adk7TZ2ZBdNfXpOwfB4/DP/81803nvG3WiLtaBLTyMDSjiIriaSwuf+cfoBVRMyA6b&#10;wGThjyLMZ3eDKWYunHlHp30qlUA4ZmihSqnNtI5FRR7jOLTEkh1C5zHJ2JXadXgWuG/0ozFP2mPN&#10;cqHClt4qKn73Ry8Us1rkJv8+Lrdfq+1lc3h/Xhc/1g7v+8UrqER9ui1f20tnYTKRb0VGREDP/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m2kabxwAAANwAAAAPAAAAAAAA&#10;AAAAAAAAAKECAABkcnMvZG93bnJldi54bWxQSwUGAAAAAAQABAD5AAAAlQMAAAAA&#10;" strokeweight="3pt"/>
                <v:shape id="AutoShape 54" o:spid="_x0000_s1030" type="#_x0000_t32" style="position:absolute;left:20745;top:6915;width:76;height:3429;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6rv8UAAADcAAAADwAAAGRycy9kb3ducmV2LnhtbESPQWvCQBSE7wX/w/IKXkQ3FWk1uooU&#10;BXuz0Yu3R/aZDc2+jdlVY369Wyj0OMzMN8xi1dpK3KjxpWMFb6MEBHHudMmFguNhO5yC8AFZY+WY&#10;FDzIw2rZe1lgqt2dv+mWhUJECPsUFZgQ6lRKnxuy6EeuJo7e2TUWQ5RNIXWD9wi3lRwnybu0WHJc&#10;MFjTp6H8J7taBafDha6n3ceXqbrBZr/OOh7sO6X6r+16DiJQG/7Df+2dVjCZzOD3TDwCcvkE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a6rv8UAAADcAAAADwAAAAAAAAAA&#10;AAAAAAChAgAAZHJzL2Rvd25yZXYueG1sUEsFBgAAAAAEAAQA+QAAAJMDAAAAAA==&#10;" strokeweight="3pt"/>
                <v:shape id="AutoShape 55" o:spid="_x0000_s1031" type="#_x0000_t32" style="position:absolute;left:37445;top:6496;width:77;height:3771;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U2U/8MAAADcAAAADwAAAGRycy9kb3ducmV2LnhtbERPz2vCMBS+C/sfwht4kZluqBtdo8iY&#10;oDetu3h7NG9NWfPSNbHW/vXmIHj8+H5nq97WoqPWV44VvE4TEMSF0xWXCn6Om5cPED4ga6wdk4Ir&#10;eVgtn0YZptpd+EBdHkoRQ9inqMCE0KRS+sKQRT91DXHkfl1rMUTYllK3eInhtpZvSbKQFiuODQYb&#10;+jJU/OVnq+B0/Kfzafu+M/Uw+d6v84En+0Gp8XO//gQRqA8P8d291Qpm8zg/nolHQC5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FNlP/DAAAA3AAAAA8AAAAAAAAAAAAA&#10;AAAAoQIAAGRycy9kb3ducmV2LnhtbFBLBQYAAAAABAAEAPkAAACRAwAAAAA=&#10;" strokeweight="3pt"/>
                <v:shape id="AutoShape 56" o:spid="_x0000_s1032" type="#_x0000_t32" style="position:absolute;left:37522;top:10648;width:0;height:377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z9M1cIAAADcAAAADwAAAGRycy9kb3ducmV2LnhtbESPQWsCMRSE70L/Q3gFb5q1qJTVKFYQ&#10;xEtRC+3xsXnuBjcvyyZu1n9vCoLHYWa+YZbr3taio9Ybxwom4wwEceG04VLBz3k3+gThA7LG2jEp&#10;uJOH9eptsMRcu8hH6k6hFAnCPkcFVQhNLqUvKrLox64hTt7FtRZDkm0pdYsxwW0tP7JsLi0aTgsV&#10;NrStqLieblaBid+ma/bb+HX4/fM6krnPnFFq+N5vFiAC9eEVfrb3WsF0NoH/M+kIyN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z9M1cIAAADcAAAADwAAAAAAAAAAAAAA&#10;AAChAgAAZHJzL2Rvd25yZXYueG1sUEsFBgAAAAAEAAQA+QAAAJADAAAAAA==&#10;">
                  <v:stroke endarrow="block"/>
                </v:shape>
                <v:shape id="AutoShape 57" o:spid="_x0000_s1033" type="#_x0000_t32" style="position:absolute;left:20802;top:10680;width:6;height:3785;rotation:18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J+gMIAAADcAAAADwAAAGRycy9kb3ducmV2LnhtbESPQYvCMBSE74L/ITzBm6ZaV5auUUQQ&#10;vFq9eHs2b5u6zUtpYq3++s2CsMdhZr5hVpve1qKj1leOFcymCQjiwumKSwXn037yCcIHZI21Y1Lw&#10;JA+b9XCwwky7Bx+py0MpIoR9hgpMCE0mpS8MWfRT1xBH79u1FkOUbSl1i48It7WcJ8lSWqw4Lhhs&#10;aGeo+MnvVkGXVunLnBf29rzml+ayp5DeSKnxqN9+gQjUh//wu33QChYfc/g7E4+A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GJ+gMIAAADcAAAADwAAAAAAAAAAAAAA&#10;AAChAgAAZHJzL2Rvd25yZXYueG1sUEsFBgAAAAAEAAQA+QAAAJADAAAAAA==&#10;">
                  <v:stroke endarrow="block"/>
                </v:shape>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AutoShape 58" o:spid="_x0000_s1034" type="#_x0000_t38" style="position:absolute;left:37877;top:7670;width:3067;height:813;visibility:visible;mso-wrap-style:square" o:connectortype="curved"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xn+cUAAADcAAAADwAAAGRycy9kb3ducmV2LnhtbESPT2sCMRTE74V+h/AK3mq2aotujaKi&#10;6EGo/3p/bF53VzcvSxLd9dubQqHHYWZ+w4ynranEjZwvLSt46yYgiDOrS84VnI6r1yEIH5A1VpZJ&#10;wZ08TCfPT2NMtW14T7dDyEWEsE9RQRFCnUrps4IM+q6tiaP3Y53BEKXLpXbYRLipZC9JPqTBkuNC&#10;gTUtCsouh6tR8L3c7rQ9u/Vine1p13zN/Wg2V6rz0s4+QQRqw3/4r73RCgbvffg9E4+AnD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Lxn+cUAAADcAAAADwAAAAAAAAAA&#10;AAAAAAChAgAAZHJzL2Rvd25yZXYueG1sUEsFBgAAAAAEAAQA+QAAAJMDAAAAAA==&#10;" adj="10800">
                  <v:stroke startarrow="classic"/>
                </v:shape>
                <v:shape id="AutoShape 59" o:spid="_x0000_s1035" type="#_x0000_t32" style="position:absolute;left:3168;top:29019;width:6826;height: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2+IMsUAAADcAAAADwAAAGRycy9kb3ducmV2LnhtbESPQWsCMRSE7wX/Q3hCL6Vmt6jIahQp&#10;FIoHoboHj4/kdXdx87Im6br+eyMUPA4z8w2z2gy2FT350DhWkE8yEMTamYYrBeXx630BIkRkg61j&#10;UnCjAJv16GWFhXFX/qH+ECuRIBwKVFDH2BVSBl2TxTBxHXHyfp23GJP0lTQerwluW/mRZXNpseG0&#10;UGNHnzXp8+HPKmh25b7s3y7R68UuP/k8HE+tVup1PGyXICIN8Rn+b38bBdPZFB5n0hGQ6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2+IMsUAAADcAAAADwAAAAAAAAAA&#10;AAAAAAChAgAAZHJzL2Rvd25yZXYueG1sUEsFBgAAAAAEAAQA+QAAAJMDAAAAAA==&#10;"/>
                <v:shapetype id="_x0000_t202" coordsize="21600,21600" o:spt="202" path="m,l,21600r21600,l21600,xe">
                  <v:stroke joinstyle="miter"/>
                  <v:path gradientshapeok="t" o:connecttype="rect"/>
                </v:shapetype>
                <v:shape id="Text Box 60" o:spid="_x0000_s1036" type="#_x0000_t202" style="position:absolute;left:19748;top:23882;width:14784;height:2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ow4cMA&#10;AADcAAAADwAAAGRycy9kb3ducmV2LnhtbESPT4vCMBTE7wt+h/AEb2viYhetRhEXwZPL+g+8PZpn&#10;W2xeShNt/fabhQWPw8z8hpkvO1uJBzW+dKxhNFQgiDNnSs41HA+b9wkIH5ANVo5Jw5M8LBe9tzmm&#10;xrX8Q499yEWEsE9RQxFCnUrps4Is+qGriaN3dY3FEGWTS9NgG+G2kh9KfUqLJceFAmtaF5Td9ner&#10;4bS7Xs5j9Z1/2aRuXack26nUetDvVjMQgbrwCv+3t0bDOEng70w8AnLx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vow4cMAAADcAAAADwAAAAAAAAAAAAAAAACYAgAAZHJzL2Rv&#10;d25yZXYueG1sUEsFBgAAAAAEAAQA9QAAAIgDAAAAAA==&#10;" filled="f" stroked="f">
                  <v:textbox>
                    <w:txbxContent>
                      <w:p w:rsidR="009207CF" w:rsidRPr="00501121" w:rsidRDefault="009207CF" w:rsidP="00BF0F61">
                        <w:r w:rsidRPr="00501121">
                          <w:t xml:space="preserve">24.5 mm </w:t>
                        </w:r>
                        <w:r>
                          <w:t>c</w:t>
                        </w:r>
                        <w:r w:rsidRPr="00501121">
                          <w:t>arpet</w:t>
                        </w:r>
                      </w:p>
                    </w:txbxContent>
                  </v:textbox>
                </v:shape>
                <v:shape id="AutoShape 61" o:spid="_x0000_s1037" type="#_x0000_t32" style="position:absolute;left:23323;top:26111;width:184;height:246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ef4sYAAADcAAAADwAAAGRycy9kb3ducmV2LnhtbESPQWvCQBSE7wX/w/KE3urG0orGbEQK&#10;LcXSQ1WC3h7ZZxLMvg27q8b+elco9DjMzDdMtuhNK87kfGNZwXiUgCAurW64UrDdvD9NQfiArLG1&#10;TAqu5GGRDx4yTLW98A+d16ESEcI+RQV1CF0qpS9rMuhHtiOO3sE6gyFKV0nt8BLhppXPSTKRBhuO&#10;CzV29FZTeVyfjILd1+xUXItvWhXj2WqPzvjfzYdSj8N+OQcRqA//4b/2p1bw8jqB+5l4BGR+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nHn+LGAAAA3AAAAA8AAAAAAAAA&#10;AAAAAAAAoQIAAGRycy9kb3ducmV2LnhtbFBLBQYAAAAABAAEAPkAAACUAwAAAAA=&#10;">
                  <v:stroke endarrow="block"/>
                </v:shape>
                <v:shape id="AutoShape 62" o:spid="_x0000_s1038" type="#_x0000_t32" style="position:absolute;left:47485;top:29076;width:7721;height: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70WRcYAAADcAAAADwAAAGRycy9kb3ducmV2LnhtbESPT2sCMRTE7wW/Q3hCL0WzW+ofVqOI&#10;UCgeCuoePD6S5+7i5mVN0nX77ZtCocdhZn7DrLeDbUVPPjSOFeTTDASxdqbhSkF5fp8sQYSIbLB1&#10;TAq+KcB2M3paY2Hcg4/Un2IlEoRDgQrqGLtCyqBrshimriNO3tV5izFJX0nj8ZHgtpWvWTaXFhtO&#10;CzV2tK9J305fVkFzKD/L/uUevV4e8ovPw/nSaqWex8NuBSLSEP/Df+0Po+BttoDfM+kIyM0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u9FkXGAAAA3AAAAA8AAAAAAAAA&#10;AAAAAAAAoQIAAGRycy9kb3ducmV2LnhtbFBLBQYAAAAABAAEAPkAAACUAwAAAAA=&#10;"/>
                <v:group id="Group 63" o:spid="_x0000_s1039" style="position:absolute;left:1123;top:5137;width:58366;height:38633" coordorigin="1440,2117" coordsize="9072,58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28aw8MAAADcAAAADwAAAGRycy9kb3ducmV2LnhtbERPTWvCQBC9F/wPywi9&#10;1U20FoluQpBaepBCVRBvQ3ZMQrKzIbtN4r/vHgo9Pt73LptMKwbqXW1ZQbyIQBAXVtdcKricDy8b&#10;EM4ja2wtk4IHOcjS2dMOE21H/qbh5EsRQtglqKDyvkukdEVFBt3CdsSBu9veoA+wL6XucQzhppXL&#10;KHqTBmsODRV2tK+oaE4/RsHHiGO+it+HY3PfP27n9df1GJNSz/Mp34LwNPl/8Z/7Uyt4XYe1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LbxrDwwAAANwAAAAP&#10;AAAAAAAAAAAAAAAAAKoCAABkcnMvZG93bnJldi54bWxQSwUGAAAAAAQABAD6AAAAmgMAAAAA&#10;">
                  <v:group id="Group 64" o:spid="_x0000_s1040" style="position:absolute;left:1440;top:5852;width:9072;height:2105" coordorigin="1440,5852" coordsize="9072,21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CO/WMYAAADcAAAADwAAAGRycy9kb3ducmV2LnhtbESPQWvCQBSE7wX/w/IE&#10;b3UTNWKjq4jY0kMoVAult0f2mQSzb0N2TeK/dwuFHoeZ+YbZ7AZTi45aV1lWEE8jEMS51RUXCr7O&#10;r88rEM4ja6wtk4I7OdhtR08bTLXt+ZO6ky9EgLBLUUHpfZNK6fKSDLqpbYiDd7GtQR9kW0jdYh/g&#10;ppazKFpKgxWHhRIbOpSUX083o+Ctx34/j49ddr0c7j/n5OM7i0mpyXjYr0F4Gvx/+K/9rhUskhf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kI79YxgAAANwA&#10;AAAPAAAAAAAAAAAAAAAAAKoCAABkcnMvZG93bnJldi54bWxQSwUGAAAAAAQABAD6AAAAnQMAAAAA&#10;">
                    <v:shape id="Text Box 65" o:spid="_x0000_s1041" type="#_x0000_t202" style="position:absolute;left:5314;top:7471;width:1218;height: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FZxL8A&#10;AADcAAAADwAAAGRycy9kb3ducmV2LnhtbERPTYvCMBC9C/6HMII3TRSVtRpFFMHTLroqeBuasS02&#10;k9JE2/335rDg8fG+l+vWluJFtS8caxgNFQji1JmCMw3n3/3gC4QPyAZLx6ThjzysV93OEhPjGj7S&#10;6xQyEUPYJ6ghD6FKpPRpThb90FXEkbu72mKIsM6kqbGJ4baUY6Vm0mLBsSHHirY5pY/T02q4fN9v&#10;14n6yXZ2WjWuVZLtXGrd77WbBYhAbfiI/90Ho2Eyi/PjmXgE5OoN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c4VnEvwAAANwAAAAPAAAAAAAAAAAAAAAAAJgCAABkcnMvZG93bnJl&#10;di54bWxQSwUGAAAAAAQABAD1AAAAhAMAAAAA&#10;" filled="f" stroked="f">
                      <v:textbox>
                        <w:txbxContent>
                          <w:p w:rsidR="009207CF" w:rsidRPr="004E4EE9" w:rsidRDefault="009207CF" w:rsidP="00BF0F61">
                            <w:pPr>
                              <w:rPr>
                                <w:vertAlign w:val="subscript"/>
                              </w:rPr>
                            </w:pPr>
                            <w:proofErr w:type="spellStart"/>
                            <w:r w:rsidRPr="00501121">
                              <w:rPr>
                                <w:i/>
                              </w:rPr>
                              <w:t>T</w:t>
                            </w:r>
                            <w:r w:rsidRPr="00501121">
                              <w:rPr>
                                <w:sz w:val="24"/>
                                <w:szCs w:val="24"/>
                                <w:vertAlign w:val="subscript"/>
                              </w:rPr>
                              <w:t>ground</w:t>
                            </w:r>
                            <w:proofErr w:type="spellEnd"/>
                          </w:p>
                        </w:txbxContent>
                      </v:textbox>
                    </v:shape>
                    <v:shape id="Text Box 66" o:spid="_x0000_s1042" type="#_x0000_t202" style="position:absolute;left:9059;top:6005;width:1453;height:7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38X8QA&#10;AADcAAAADwAAAGRycy9kb3ducmV2LnhtbESPQWvCQBSE70L/w/IKvemuJQ1t6ipiKfSkGFvB2yP7&#10;TEKzb0N2m8R/3xUEj8PMfMMsVqNtRE+drx1rmM8UCOLCmZpLDd+Hz+krCB+QDTaOScOFPKyWD5MF&#10;ZsYNvKc+D6WIEPYZaqhCaDMpfVGRRT9zLXH0zq6zGKLsSmk6HCLcNvJZqVRarDkuVNjSpqLiN/+z&#10;Gn6259MxUbvyw760gxuVZPsmtX56HNfvIAKN4R6+tb+MhiSdw/VMPAJ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Ot/F/EAAAA3AAAAA8AAAAAAAAAAAAAAAAAmAIAAGRycy9k&#10;b3ducmV2LnhtbFBLBQYAAAAABAAEAPUAAACJAwAAAAA=&#10;" filled="f" stroked="f">
                      <v:textbox>
                        <w:txbxContent>
                          <w:p w:rsidR="009207CF" w:rsidRPr="00501121" w:rsidRDefault="009207CF" w:rsidP="00BF0F61">
                            <w:pPr>
                              <w:jc w:val="left"/>
                            </w:pPr>
                            <w:r w:rsidRPr="00501121">
                              <w:t>0.3 m</w:t>
                            </w:r>
                            <w:r>
                              <w:t xml:space="preserve"> </w:t>
                            </w:r>
                            <w:r w:rsidRPr="00501121">
                              <w:t>soil</w:t>
                            </w:r>
                          </w:p>
                        </w:txbxContent>
                      </v:textbox>
                    </v:shape>
                    <v:shape id="AutoShape 67" o:spid="_x0000_s1043" type="#_x0000_t32" style="position:absolute;left:8497;top:6230;width:562;height:126;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AoCr8QAAADcAAAADwAAAGRycy9kb3ducmV2LnhtbESPzWrDMBCE74W8g9hAb40cY0zjRgmh&#10;pVBCLvk59LhYG9nEWhlrm7hvXwUCPQ4z8w2zXI++U1caYhvYwHyWgSKug23ZGTgdP19eQUVBttgF&#10;JgO/FGG9mjwtsbLhxnu6HsSpBOFYoYFGpK+0jnVDHuMs9MTJO4fBoyQ5OG0HvCW473SeZaX22HJa&#10;aLCn94bqy+HHG/g++d0iLz68K9xR9kLbNi9KY56n4+YNlNAo/+FH+8saKMoc7mfSEdCr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CgKvxAAAANwAAAAPAAAAAAAAAAAA&#10;AAAAAKECAABkcnMvZG93bnJldi54bWxQSwUGAAAAAAQABAD5AAAAkgMAAAAA&#10;">
                      <v:stroke endarrow="block"/>
                    </v:shape>
                    <v:shape id="Text Box 68" o:spid="_x0000_s1044" type="#_x0000_t202" style="position:absolute;left:1440;top:6523;width:2451;height:4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PHs8QA&#10;AADcAAAADwAAAGRycy9kb3ducmV2LnhtbESPQWvCQBSE74L/YXlCb7qrtWJjNiItBU+VprXg7ZF9&#10;JsHs25Ddmvjvu0Khx2FmvmHS7WAbcaXO1441zGcKBHHhTM2lhq/Pt+kahA/IBhvHpOFGHrbZeJRi&#10;YlzPH3TNQykihH2CGqoQ2kRKX1Rk0c9cSxy9s+sshii7UpoO+wi3jVwotZIWa44LFbb0UlFxyX+s&#10;huP7+fS9VIfy1T61vRuUZPsstX6YDLsNiEBD+A//tfdGw3L1CPcz8QjI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wzx7PEAAAA3AAAAA8AAAAAAAAAAAAAAAAAmAIAAGRycy9k&#10;b3ducmV2LnhtbFBLBQYAAAAABAAEAPUAAACJAwAAAAA=&#10;" filled="f" stroked="f">
                      <v:textbox>
                        <w:txbxContent>
                          <w:p w:rsidR="009207CF" w:rsidRPr="002052B7" w:rsidRDefault="009207CF" w:rsidP="00BF0F61">
                            <w:pPr>
                              <w:pStyle w:val="NewTimes11"/>
                              <w:jc w:val="left"/>
                            </w:pPr>
                            <w:r>
                              <w:t>101 mm c</w:t>
                            </w:r>
                            <w:r w:rsidRPr="002052B7">
                              <w:t>oncrete</w:t>
                            </w:r>
                          </w:p>
                        </w:txbxContent>
                      </v:textbox>
                    </v:shape>
                    <v:shape id="AutoShape 69" o:spid="_x0000_s1045" type="#_x0000_t32" style="position:absolute;left:2666;top:5852;width:369;height:67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Ql8MMAAADcAAAADwAAAGRycy9kb3ducmV2LnhtbESPQWvCQBSE74X+h+UVvNVNi5USXYMN&#10;COKlqIX2+Mg+k8Xs25DdZuO/dwXB4zAz3zDLYrStGKj3xrGCt2kGgrhy2nCt4Oe4ef0E4QOyxtYx&#10;KbiQh2L1/LTEXLvIexoOoRYJwj5HBU0IXS6lrxqy6KeuI07eyfUWQ5J9LXWPMcFtK9+zbC4tGk4L&#10;DXZUNlSdD/9WgYnfZui2Zfza/f55HclcPpxRavIyrhcgAo3hEb63t1rBbD6D25l0BOTq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kkJfDDAAAA3AAAAA8AAAAAAAAAAAAA&#10;AAAAoQIAAGRycy9kb3ducmV2LnhtbFBLBQYAAAAABAAEAPkAAACRAwAAAAA=&#10;">
                      <v:stroke endarrow="block"/>
                    </v:shape>
                    <v:group id="Group 70" o:spid="_x0000_s1046" style="position:absolute;left:5579;top:6497;width:328;height:859" coordorigin="5579,10383" coordsize="311,9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An/gxgAAANwA&#10;AAAPAAAAAAAAAAAAAAAAAKoCAABkcnMvZG93bnJldi54bWxQSwUGAAAAAAQABAD6AAAAnQMAAAAA&#10;">
                      <v:shape id="AutoShape 71" o:spid="_x0000_s1047" type="#_x0000_t32" style="position:absolute;left:5749;top:10383;width:11;height:15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nz5CMYAAADcAAAADwAAAGRycy9kb3ducmV2LnhtbESPT2sCMRTE74V+h/AKvRTNWuwiq1G2&#10;BaEWPPjv/ty8bkI3L9tN1PXbNwXB4zAzv2Fmi9414kxdsJ4VjIYZCOLKa8u1gv1uOZiACBFZY+OZ&#10;FFwpwGL++DDDQvsLb+i8jbVIEA4FKjAxtoWUoTLkMAx9S5y8b985jEl2tdQdXhLcNfI1y3Lp0HJa&#10;MNjSh6HqZ3tyCtar0Xt5NHb1tfm167dl2Zzql4NSz099OQURqY/38K39qRWM8xz+z6QjIO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p8+QjGAAAA3AAAAA8AAAAAAAAA&#10;AAAAAAAAoQIAAGRycy9kb3ducmV2LnhtbFBLBQYAAAAABAAEAPkAAACUAwAAAAA=&#10;"/>
                      <v:group id="Group 72" o:spid="_x0000_s1048" style="position:absolute;left:5579;top:10540;width:311;height:768" coordorigin="7958,11153" coordsize="311,7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JxEDMYAAADcAAAADwAAAGRycy9kb3ducmV2LnhtbESPQWvCQBSE74L/YXlC&#10;b3UTa22JWUVEpQcpVAvF2yP7TEKyb0N2TeK/7xYKHoeZ+YZJ14OpRUetKy0riKcRCOLM6pJzBd/n&#10;/fM7COeRNdaWScGdHKxX41GKibY9f1F38rkIEHYJKii8bxIpXVaQQTe1DXHwrrY16INsc6lb7APc&#10;1HIWRQtpsOSwUGBD24Ky6nQzCg499puXeNcdq+v2fjm/fv4cY1LqaTJsliA8Df4R/m9/aAXzxRv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0nEQMxgAAANwA&#10;AAAPAAAAAAAAAAAAAAAAAKoCAABkcnMvZG93bnJldi54bWxQSwUGAAAAAAQABAD6AAAAnQMAAAAA&#10;">
                        <v:shape id="AutoShape 73" o:spid="_x0000_s1049" type="#_x0000_t32" style="position:absolute;left:7958;top:11153;width:181;height:6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LtEcUAAADcAAAADwAAAGRycy9kb3ducmV2LnhtbESPQWsCMRSE74X+h/AKvRTNbimiW6OI&#10;IIiHgroHj4/kubt087Imcd3++0YQPA4z8w0zXw62FT350DhWkI8zEMTamYYrBeVxM5qCCBHZYOuY&#10;FPxRgOXi9WWOhXE33lN/iJVIEA4FKqhj7Aopg67JYhi7jjh5Z+ctxiR9JY3HW4LbVn5m2URabDgt&#10;1NjRuib9e7haBc2u/Cn7j0v0errLTz4Px1OrlXp/G1bfICIN8Rl+tLdGwddkBvcz6QjIx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wLtEcUAAADcAAAADwAAAAAAAAAA&#10;AAAAAAChAgAAZHJzL2Rvd25yZXYueG1sUEsFBgAAAAAEAAQA+QAAAJMDAAAAAA==&#10;"/>
                        <v:shape id="AutoShape 74" o:spid="_x0000_s1050" type="#_x0000_t32" style="position:absolute;left:7958;top:11214;width:299;height:1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BSOsMAAADcAAAADwAAAGRycy9kb3ducmV2LnhtbERPy2oCMRTdF/oP4RbcFM0otpbRKKMg&#10;aMGFj+6vk9tJ6ORmnEQd/75ZFLo8nPds0bla3KgN1rOC4SADQVx6bblScDqu+x8gQkTWWHsmBQ8K&#10;sJg/P80w1/7Oe7odYiVSCIccFZgYm1zKUBpyGAa+IU7ct28dxgTbSuoW7ync1XKUZe/SoeXUYLCh&#10;laHy53B1Cnbb4bI4G7v93F/s7m1d1Nfq9Uup3ktXTEFE6uK/+M+90QrGkzQ/nUlHQM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8AUjrDAAAA3AAAAA8AAAAAAAAAAAAA&#10;AAAAoQIAAGRycy9kb3ducmV2LnhtbFBLBQYAAAAABAAEAPkAAACRAwAAAAA=&#10;"/>
                        <v:shape id="AutoShape 75" o:spid="_x0000_s1051" type="#_x0000_t32" style="position:absolute;left:7974;top:11420;width:293;height: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z3ocYAAADcAAAADwAAAGRycy9kb3ducmV2LnhtbESPT2sCMRTE74V+h/AKvRTNrrRVtkbZ&#10;CkItePDf/XXzugndvGw3Ubff3ghCj8PM/IaZznvXiBN1wXpWkA8zEMSV15ZrBfvdcjABESKyxsYz&#10;KfijAPPZ/d0UC+3PvKHTNtYiQTgUqMDE2BZShsqQwzD0LXHyvn3nMCbZ1VJ3eE5w18hRlr1Kh5bT&#10;gsGWFoaqn+3RKViv8vfyy9jV5+bXrl+WZXOsnw5KPT705RuISH38D9/aH1rB8ziH65l0BOTs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BM96HGAAAA3AAAAA8AAAAAAAAA&#10;AAAAAAAAoQIAAGRycy9kb3ducmV2LnhtbFBLBQYAAAAABAAEAPkAAACUAwAAAAA=&#10;"/>
                        <v:shape id="AutoShape 76" o:spid="_x0000_s1052" type="#_x0000_t32" style="position:absolute;left:7979;top:11322;width:277;height:10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pvcUAAADcAAAADwAAAGRycy9kb3ducmV2LnhtbESPQWsCMRSE74X+h/AKXopmV6TK1ihS&#10;EMRDQd2Dx0fy3F26eVmTdF3/fSMIPQ4z8w2zXA+2FT350DhWkE8yEMTamYYrBeVpO16ACBHZYOuY&#10;FNwpwHr1+rLEwrgbH6g/xkokCIcCFdQxdoWUQddkMUxcR5y8i/MWY5K+ksbjLcFtK6dZ9iEtNpwW&#10;auzoqyb9c/y1Cpp9+V3279fo9WKfn30eTudWKzV6GzafICIN8T/8bO+Mgtl8Co8z6QjI1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H/pvcUAAADcAAAADwAAAAAAAAAA&#10;AAAAAAChAgAAZHJzL2Rvd25yZXYueG1sUEsFBgAAAAAEAAQA+QAAAJMDAAAAAA==&#10;"/>
                        <v:shape id="AutoShape 77" o:spid="_x0000_s1053" type="#_x0000_t32" style="position:absolute;left:7976;top:11598;width:293;height: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LMTccAAADcAAAADwAAAGRycy9kb3ducmV2LnhtbESPW2sCMRSE3wv9D+EUfCma9dJatkbZ&#10;CkIt+OCl76eb003o5mS7ibr990YQ+jjMzDfMbNG5WpyoDdazguEgA0Fcem25UnDYr/ovIEJE1lh7&#10;JgV/FGAxv7+bYa79mbd02sVKJAiHHBWYGJtcylAachgGviFO3rdvHcYk20rqFs8J7mo5yrJn6dBy&#10;WjDY0NJQ+bM7OgWb9fCt+DJ2/bH9tZunVVEfq8dPpXoPXfEKIlIX/8O39rtWMJmO4XomHQE5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f0sxNxwAAANwAAAAPAAAAAAAA&#10;AAAAAAAAAKECAABkcnMvZG93bnJldi54bWxQSwUGAAAAAAQABAD5AAAAlQMAAAAA&#10;"/>
                        <v:shape id="AutoShape 78" o:spid="_x0000_s1054" type="#_x0000_t32" style="position:absolute;left:7981;top:11500;width:277;height:10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rUUsUAAADcAAAADwAAAGRycy9kb3ducmV2LnhtbESPQWsCMRSE7wX/Q3hCL6Vmt4jKahQp&#10;FIoHoboHj4/kdXdx87Im6br+eyMUPA4z8w2z2gy2FT350DhWkE8yEMTamYYrBeXx630BIkRkg61j&#10;UnCjAJv16GWFhXFX/qH+ECuRIBwKVFDH2BVSBl2TxTBxHXHyfp23GJP0lTQerwluW/mRZTNpseG0&#10;UGNHnzXp8+HPKmh25b7s3y7R68UuP/k8HE+tVup1PGyXICIN8Rn+b38bBdP5FB5n0hGQ6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NrUUsUAAADcAAAADwAAAAAAAAAA&#10;AAAAAAChAgAAZHJzL2Rvd25yZXYueG1sUEsFBgAAAAAEAAQA+QAAAJMDAAAAAA==&#10;"/>
                        <v:shape id="AutoShape 79" o:spid="_x0000_s1055" type="#_x0000_t32" style="position:absolute;left:8085;top:11681;width:181;height:6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ZxycYAAADcAAAADwAAAGRycy9kb3ducmV2LnhtbESPT2sCMRTE7wW/Q3hCL0WzW+ofVqOI&#10;UCgeCuoePD6S5+7i5mVN0nX77ZtCocdhZn7DrLeDbUVPPjSOFeTTDASxdqbhSkF5fp8sQYSIbLB1&#10;TAq+KcB2M3paY2Hcg4/Un2IlEoRDgQrqGLtCyqBrshimriNO3tV5izFJX0nj8ZHgtpWvWTaXFhtO&#10;CzV2tK9J305fVkFzKD/L/uUevV4e8ovPw/nSaqWex8NuBSLSEP/Df+0Po+BtMYPfM+kIyM0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WccnGAAAA3AAAAA8AAAAAAAAA&#10;AAAAAAAAoQIAAGRycy9kb3ducmV2LnhtbFBLBQYAAAAABAAEAPkAAACUAwAAAAA=&#10;"/>
                        <v:shape id="AutoShape 80" o:spid="_x0000_s1056" type="#_x0000_t32" style="position:absolute;left:8089;top:11739;width:0;height:18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6Vv1cYAAADcAAAADwAAAGRycy9kb3ducmV2LnhtbESPQWsCMRSE74L/ITyhF6lZS7VlNcpa&#10;EKrgQdven5vXTejmZd1E3f77piB4HGbmG2a+7FwtLtQG61nBeJSBIC69tlwp+PxYP76CCBFZY+2Z&#10;FPxSgOWi35tjrv2V93Q5xEokCIccFZgYm1zKUBpyGEa+IU7et28dxiTbSuoWrwnuavmUZVPp0HJa&#10;MNjQm6Hy53B2Cnab8ao4GrvZ7k92N1kX9bkafin1MOiKGYhIXbyHb+13reD5ZQr/Z9IRkI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lb9XGAAAA3AAAAA8AAAAAAAAA&#10;AAAAAAAAoQIAAGRycy9kb3ducmV2LnhtbFBLBQYAAAAABAAEAPkAAACUAwAAAAA=&#10;"/>
                      </v:group>
                    </v:group>
                    <v:oval id="Oval 81" o:spid="_x0000_s1057" style="position:absolute;left:5663;top:7338;width:108;height: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i7Z8QA&#10;AADcAAAADwAAAGRycy9kb3ducmV2LnhtbESPQWvCQBSE70L/w/IKXqRuFI2SukoJWLwaPfT4mn1N&#10;QrNvw+7WJP++Kwgeh5n5htkdBtOKGznfWFawmCcgiEurG64UXC/Hty0IH5A1tpZJwUgeDvuXyQ4z&#10;bXs+060IlYgQ9hkqqEPoMil9WZNBP7cdcfR+rDMYonSV1A77CDetXCZJKg02HBdq7Civqfwt/owC&#10;N+vGfDzlx8U3fxbrfqu/0qtWavo6fLyDCDSEZ/jRPmkFq80G7mfiEZD7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VYu2fEAAAA3AAAAA8AAAAAAAAAAAAAAAAAmAIAAGRycy9k&#10;b3ducmV2LnhtbFBLBQYAAAAABAAEAPUAAACJAwAAAAA=&#10;" fillcolor="black"/>
                    <v:shape id="Text Box 82" o:spid="_x0000_s1058" type="#_x0000_t202" style="position:absolute;left:5948;top:6706;width:1528;height:4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07DH78A&#10;AADcAAAADwAAAGRycy9kb3ducmV2LnhtbERPy4rCMBTdC/MP4Q7MThMHnx2jDIrgSvEJs7s017bY&#10;3JQmY+vfm4Xg8nDes0VrS3Gn2heONfR7CgRx6kzBmYbTcd2dgPAB2WDpmDQ8yMNi/tGZYWJcw3u6&#10;H0ImYgj7BDXkIVSJlD7NyaLvuYo4cldXWwwR1pk0NTYx3JbyW6mRtFhwbMixomVO6e3wbzWct9e/&#10;y0DtspUdVo1rlWQ7lVp/fba/PyACteEtfrk3RsNgHNfGM/EIyPk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nTsMfvwAAANwAAAAPAAAAAAAAAAAAAAAAAJgCAABkcnMvZG93bnJl&#10;di54bWxQSwUGAAAAAAQABAD1AAAAhAMAAAAA&#10;" filled="f" stroked="f">
                      <v:textbox>
                        <w:txbxContent>
                          <w:p w:rsidR="009207CF" w:rsidRPr="00501121" w:rsidRDefault="009207CF" w:rsidP="00BF0F61">
                            <w:pPr>
                              <w:rPr>
                                <w:sz w:val="24"/>
                                <w:szCs w:val="24"/>
                                <w:vertAlign w:val="subscript"/>
                              </w:rPr>
                            </w:pPr>
                            <w:proofErr w:type="spellStart"/>
                            <w:r w:rsidRPr="00501121">
                              <w:rPr>
                                <w:i/>
                              </w:rPr>
                              <w:t>R</w:t>
                            </w:r>
                            <w:r w:rsidRPr="00501121">
                              <w:rPr>
                                <w:sz w:val="24"/>
                                <w:szCs w:val="24"/>
                                <w:vertAlign w:val="subscript"/>
                              </w:rPr>
                              <w:t>fic</w:t>
                            </w:r>
                            <w:proofErr w:type="spellEnd"/>
                            <w:r w:rsidRPr="00501121">
                              <w:rPr>
                                <w:sz w:val="24"/>
                                <w:szCs w:val="24"/>
                                <w:vertAlign w:val="subscript"/>
                              </w:rPr>
                              <w:t>-floor</w:t>
                            </w:r>
                          </w:p>
                        </w:txbxContent>
                      </v:textbox>
                    </v:shape>
                  </v:group>
                  <v:group id="Group 83" o:spid="_x0000_s1059" style="position:absolute;left:2659;top:2117;width:6259;height:4380" coordorigin="2659,2117" coordsize="6259,43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75bjOMcAAADc&#10;AAAADwAAAAAAAAAAAAAAAACqAgAAZHJzL2Rvd25yZXYueG1sUEsFBgAAAAAEAAQA+gAAAJ4DAAAA&#10;AA==&#10;">
                    <v:rect id="Rectangle 84" o:spid="_x0000_s1060" style="position:absolute;left:3034;top:5731;width:5458;height:2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Hj4sQA&#10;AADbAAAADwAAAGRycy9kb3ducmV2LnhtbESPQWvCQBSE7wX/w/IEb3UTLSLRVYooeujFtOr1Jfua&#10;DWbfhuyq8d93C4Ueh5n5hlmue9uIO3W+dqwgHScgiEuna64UfH3uXucgfEDW2DgmBU/ysF4NXpaY&#10;affgI93zUIkIYZ+hAhNCm0npS0MW/di1xNH7dp3FEGVXSd3hI8JtIydJMpMWa44LBlvaGCqv+c0q&#10;mO1DujtuL9U2Nadz8TEv8qsslBoN+/cFiEB9+A//tQ9awdsUfr/EHyB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x4+LEAAAA2wAAAA8AAAAAAAAAAAAAAAAAmAIAAGRycy9k&#10;b3ducmV2LnhtbFBLBQYAAAAABAAEAPUAAACJAwAAAAA=&#10;" fillcolor="#bfbfbf"/>
                    <v:rect id="Rectangle 85" o:spid="_x0000_s1061" style="position:absolute;left:2783;top:2760;width:252;height:29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dkgMIA&#10;AADbAAAADwAAAGRycy9kb3ducmV2LnhtbESPQYvCMBSE74L/ITzBm6a6smg1irgo61HrxduzebbV&#10;5qU0Ubv+eiMseBxm5htmtmhMKe5Uu8KygkE/AkGcWl1wpuCQrHtjEM4jaywtk4I/crCYt1szjLV9&#10;8I7ue5+JAGEXo4Lc+yqW0qU5GXR9WxEH72xrgz7IOpO6xkeAm1IOo+hbGiw4LORY0Sqn9Lq/GQWn&#10;YnjA5y7ZRGay/vLbJrncjj9KdTvNcgrCU+M/4f/2r1YwGsH7S/gB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J2SAwgAAANsAAAAPAAAAAAAAAAAAAAAAAJgCAABkcnMvZG93&#10;bnJldi54bWxQSwUGAAAAAAQABAD1AAAAhwMAAAAA&#10;"/>
                    <v:rect id="Rectangle 86" o:spid="_x0000_s1062" style="position:absolute;left:8497;top:2765;width:266;height:29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vBG8UA&#10;AADbAAAADwAAAGRycy9kb3ducmV2LnhtbESPQWvCQBSE7wX/w/KE3upGraWNbkSUlHrUeOntmX0m&#10;0ezbkN2YtL++Wyj0OMzMN8xqPZha3Kl1lWUF00kEgji3uuJCwSlLn15BOI+ssbZMCr7IwToZPaww&#10;1rbnA92PvhABwi5GBaX3TSyly0sy6Ca2IQ7exbYGfZBtIXWLfYCbWs6i6EUarDgslNjQtqT8duyM&#10;gnM1O+H3IXuPzFs69/shu3afO6Uex8NmCcLT4P/Df+0PreB5Ab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a8EbxQAAANsAAAAPAAAAAAAAAAAAAAAAAJgCAABkcnMv&#10;ZG93bnJldi54bWxQSwUGAAAAAAQABAD1AAAAigMAAAAA&#10;"/>
                    <v:rect id="Rectangle 87" o:spid="_x0000_s1063" style="position:absolute;left:5499;top:3499;width:535;height:5461;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1czWMMA&#10;AADbAAAADwAAAGRycy9kb3ducmV2LnhtbESPQWsCMRSE7wX/Q3hCbzVrXUS2RimWgj14qC3Y4+vm&#10;7Sa4eVmSVNd/bwqCx2FmvmGW68F14kQhWs8KppMCBHHtteVWwffX+9MCREzIGjvPpOBCEdar0cMS&#10;K+3P/EmnfWpFhnCsUIFJqa+kjLUhh3Hie+LsNT44TFmGVuqA5wx3nXwuirl0aDkvGOxpY6g+7v+c&#10;gt+3xpRFOrgPWx5t+NmxbnYzpR7Hw+sLiERDuodv7a1WUM7h/0v+AXJ1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1czWMMAAADbAAAADwAAAAAAAAAAAAAAAACYAgAAZHJzL2Rv&#10;d25yZXYueG1sUEsFBgAAAAAEAAQA9QAAAIgDAAAAAA==&#10;" fillcolor="#ce9d6c">
                      <v:textbox>
                        <w:txbxContent>
                          <w:p w:rsidR="009207CF" w:rsidRPr="0011199D" w:rsidRDefault="009207CF" w:rsidP="00BF0F61"/>
                        </w:txbxContent>
                      </v:textbox>
                    </v:rect>
                    <v:rect id="Rectangle 88" o:spid="_x0000_s1064" style="position:absolute;left:3028;top:2759;width:5456;height:1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X698UA&#10;AADbAAAADwAAAGRycy9kb3ducmV2LnhtbESPQWvCQBSE7wX/w/KE3upGLbaNbkSUlHrUeOntmX0m&#10;0ezbkN2YtL++Wyj0OMzMN8xqPZha3Kl1lWUF00kEgji3uuJCwSlLn15BOI+ssbZMCr7IwToZPaww&#10;1rbnA92PvhABwi5GBaX3TSyly0sy6Ca2IQ7exbYGfZBtIXWLfYCbWs6iaCENVhwWSmxoW1J+O3ZG&#10;wbmanfD7kL1H5i2d+/2QXbvPnVKP42GzBOFp8P/hv/aHVvD8Ar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9fr3xQAAANsAAAAPAAAAAAAAAAAAAAAAAJgCAABkcnMv&#10;ZG93bnJldi54bWxQSwUGAAAAAAQABAD1AAAAigMAAAAA&#10;"/>
                    <v:rect id="Rectangle 89" o:spid="_x0000_s1065" style="position:absolute;left:5649;top:2127;width:3269;height:154;rotation: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z0K78A&#10;AADbAAAADwAAAGRycy9kb3ducmV2LnhtbERPzYrCMBC+L/gOYQRva6qIdbtGEUGUBUHrPsDQzLbF&#10;ZlKSaNu33xwEjx/f/3rbm0Y8yfnasoLZNAFBXFhdc6ng93b4XIHwAVljY5kUDORhuxl9rDHTtuMr&#10;PfNQihjCPkMFVQhtJqUvKjLop7YljtyfdQZDhK6U2mEXw00j50mylAZrjg0VtrSvqLjnD6PgfBwu&#10;Xepn4Z4efqy7pmcc8i+lJuN+9w0iUB/e4pf7pBUs4tj4Jf4Aufk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WXPQrvwAAANsAAAAPAAAAAAAAAAAAAAAAAJgCAABkcnMvZG93bnJl&#10;di54bWxQSwUGAAAAAAQABAD1AAAAhAMAAAAA&#10;"/>
                    <v:rect id="Rectangle 90" o:spid="_x0000_s1066" style="position:absolute;left:2659;top:2117;width:3217;height:143;rotation:-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gNw8MA&#10;AADbAAAADwAAAGRycy9kb3ducmV2LnhtbESPQYvCMBSE74L/ITzBi2iqoEg1LSoIC3pYrQe9PZpn&#10;W2xeSpPV7r/fCAseh5n5hlmnnanFk1pXWVYwnUQgiHOrKy4UXLL9eAnCeWSNtWVS8EsO0qTfW2Os&#10;7YtP9Dz7QgQIuxgVlN43sZQuL8mgm9iGOHh32xr0QbaF1C2+AtzUchZFC2mw4rBQYkO7kvLH+cco&#10;yKTZ39z2mBl92iwvh29bH0dXpYaDbrMC4anzn/B/+0srmM/g/SX8AJ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vgNw8MAAADbAAAADwAAAAAAAAAAAAAAAACYAgAAZHJzL2Rv&#10;d25yZXYueG1sUEsFBgAAAAAEAAQA9QAAAIgDAAAAAA==&#10;"/>
                    <v:rect id="Rectangle 91" o:spid="_x0000_s1067" style="position:absolute;left:3030;top:5645;width:5458;height: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38s8IA&#10;AADbAAAADwAAAGRycy9kb3ducmV2LnhtbESP0WoCMRRE3wX/IVyhb5pVa7usRpGCRREftP2A6+a6&#10;WdzcLEmq2783hYKPw8ycYRarzjbiRj7UjhWMRxkI4tLpmisF31+bYQ4iRGSNjWNS8EsBVst+b4GF&#10;dnc+0u0UK5EgHApUYGJsCylDachiGLmWOHkX5y3GJH0ltcd7gttGTrLsTVqsOS0YbOnDUHk9/dhE&#10;yQ/n1suwfS9n+afd7Z2pLq9KvQy69RxEpC4+w//trVYwm8Lfl/QD5P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PfyzwgAAANsAAAAPAAAAAAAAAAAAAAAAAJgCAABkcnMvZG93&#10;bnJldi54bWxQSwUGAAAAAAQABAD1AAAAhwMAAAAA&#10;" fillcolor="#c00000"/>
                  </v:group>
                </v:group>
                <v:shape id="Text Box 92" o:spid="_x0000_s1068" type="#_x0000_t202" style="position:absolute;left:9994;top:1131;width:8645;height:3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k7tcIA&#10;AADbAAAADwAAAGRycy9kb3ducmV2LnhtbESPQYvCMBSE7wv+h/AEb2uq6CrVKCoogofF6kFvj+bZ&#10;FpuX0sRa/70RFvY4zMw3zHzZmlI0VLvCsoJBPwJBnFpdcKbgfNp+T0E4j6yxtEwKXuRgueh8zTHW&#10;9slHahKfiQBhF6OC3PsqltKlORl0fVsRB+9ma4M+yDqTusZngJtSDqPoRxosOCzkWNEmp/SePIwC&#10;5AsnQ3Yjv94dzr/ryZSbq1Oq121XMxCeWv8f/mvvtYLxCD5fwg+Qi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STu1wgAAANsAAAAPAAAAAAAAAAAAAAAAAJgCAABkcnMvZG93&#10;bnJldi54bWxQSwUGAAAAAAQABAD1AAAAhwMAAAAA&#10;" fillcolor="#f2dbdb" stroked="f">
                  <v:textbox>
                    <w:txbxContent>
                      <w:p w:rsidR="009207CF" w:rsidRPr="00501121" w:rsidRDefault="009207CF" w:rsidP="00BF0F61">
                        <w:pPr>
                          <w:jc w:val="left"/>
                          <w:rPr>
                            <w:sz w:val="20"/>
                          </w:rPr>
                        </w:pPr>
                        <w:r w:rsidRPr="00501121">
                          <w:rPr>
                            <w:sz w:val="20"/>
                          </w:rPr>
                          <w:t xml:space="preserve">Supply </w:t>
                        </w:r>
                        <w:r w:rsidRPr="0083347C">
                          <w:rPr>
                            <w:sz w:val="20"/>
                          </w:rPr>
                          <w:t>l</w:t>
                        </w:r>
                        <w:r w:rsidRPr="00501121">
                          <w:rPr>
                            <w:sz w:val="20"/>
                          </w:rPr>
                          <w:t>eak to attic</w:t>
                        </w:r>
                      </w:p>
                    </w:txbxContent>
                  </v:textbox>
                </v:shape>
                <v:shape id="Text Box 93" o:spid="_x0000_s1069" type="#_x0000_t202" style="position:absolute;left:39954;top:927;width:8643;height:39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WeLsIA&#10;AADbAAAADwAAAGRycy9kb3ducmV2LnhtbESPT4vCMBTE74LfITzBm6aK/6hGUcFF2MNi9aC3R/Ns&#10;i81LaWLtfnuzsOBxmJnfMKtNa0rRUO0KywpGwwgEcWp1wZmCy/kwWIBwHlljaZkU/JKDzbrbWWGs&#10;7YtP1CQ+EwHCLkYFufdVLKVLczLohrYiDt7d1gZ9kHUmdY2vADelHEfRTBosOCzkWNE+p/SRPI0C&#10;5CsnY3YTv/v6vvzs5gtubk6pfq/dLkF4av0n/N8+agXTKfx9CT9Ar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BZ4uwgAAANsAAAAPAAAAAAAAAAAAAAAAAJgCAABkcnMvZG93&#10;bnJldi54bWxQSwUGAAAAAAQABAD1AAAAhwMAAAAA&#10;" fillcolor="#f2dbdb" stroked="f">
                  <v:textbox>
                    <w:txbxContent>
                      <w:p w:rsidR="009207CF" w:rsidRPr="00501121" w:rsidRDefault="009207CF" w:rsidP="00BF0F61">
                        <w:pPr>
                          <w:pStyle w:val="NewTimes11"/>
                          <w:jc w:val="left"/>
                          <w:rPr>
                            <w:sz w:val="20"/>
                            <w:szCs w:val="20"/>
                          </w:rPr>
                        </w:pPr>
                        <w:r w:rsidRPr="00501121">
                          <w:rPr>
                            <w:sz w:val="20"/>
                            <w:szCs w:val="20"/>
                          </w:rPr>
                          <w:t>Return</w:t>
                        </w:r>
                        <w:r>
                          <w:rPr>
                            <w:sz w:val="20"/>
                            <w:szCs w:val="20"/>
                          </w:rPr>
                          <w:t xml:space="preserve"> </w:t>
                        </w:r>
                        <w:r w:rsidRPr="0083347C">
                          <w:rPr>
                            <w:sz w:val="20"/>
                            <w:szCs w:val="20"/>
                          </w:rPr>
                          <w:t>l</w:t>
                        </w:r>
                        <w:r w:rsidRPr="00501121">
                          <w:rPr>
                            <w:sz w:val="20"/>
                            <w:szCs w:val="20"/>
                          </w:rPr>
                          <w:t>eak from attic</w:t>
                        </w:r>
                      </w:p>
                    </w:txbxContent>
                  </v:textbox>
                </v:shape>
                <v:shape id="AutoShape 94" o:spid="_x0000_s1070" type="#_x0000_t32" style="position:absolute;left:24104;top:6927;width:6;height:594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k6/AcUAAADbAAAADwAAAGRycy9kb3ducmV2LnhtbESPQWsCMRSE74L/ITzBmyYKVtkaRRRB&#10;rCB1hdLbY/Pc3bp5WTZRt/31jVDocZiZb5j5srWVuFPjS8caRkMFgjhzpuRcwzndDmYgfEA2WDkm&#10;Dd/kYbnoduaYGPfgd7qfQi4ihH2CGooQ6kRKnxVk0Q9dTRy9i2sshiibXJoGHxFuKzlW6kVaLDku&#10;FFjTuqDserrZSFH7VarSz9vu+LE//hwum+lb9qV1v9euXkEEasN/+K+9MxomU3h+iT9A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k6/AcUAAADbAAAADwAAAAAAAAAA&#10;AAAAAAChAgAAZHJzL2Rvd25yZXYueG1sUEsFBgAAAAAEAAQA+QAAAJMDAAAAAA==&#10;" strokeweight="3pt"/>
                <v:shape id="AutoShape 95" o:spid="_x0000_s1071" type="#_x0000_t32" style="position:absolute;left:32524;top:6794;width:7;height:612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9Erc8YAAADbAAAADwAAAGRycy9kb3ducmV2LnhtbESPwWrCQBCG74W+wzKCN9210Faiq0hL&#10;QbQgmkLxNmTHJG12NmRXTfv0nYPQ4/DP/81882XvG3WhLtaBLUzGBhRxEVzNpYWP/G00BRUTssMm&#10;MFn4oQjLxf3dHDMXrrynyyGVSiAcM7RQpdRmWseiIo9xHFpiyU6h85hk7ErtOrwK3Df6wZgn7bFm&#10;uVBhSy8VFd+HsxeK2axykx/P693nZvf7fnp93hZf1g4H/WoGKlGf/pdv7bWz8CjPiot4gF78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fRK3PGAAAA2wAAAA8AAAAAAAAA&#10;AAAAAAAAoQIAAGRycy9kb3ducmV2LnhtbFBLBQYAAAAABAAEAPkAAACUAwAAAAA=&#10;" strokeweight="3pt"/>
                <v:shape id="AutoShape 96" o:spid="_x0000_s1072" type="#_x0000_t32" style="position:absolute;left:23952;top:12738;width:8598;height: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2O6MYAAADbAAAADwAAAGRycy9kb3ducmV2LnhtbESPQWvCQBSE74X+h+UVvOluC9o2uoq0&#10;CGILYiKIt0f2maTNvg3ZVVN/vSsIPQ4z8w0zmXW2FidqfeVYw/NAgSDOnam40LDNFv03ED4gG6wd&#10;k4Y/8jCbPj5MMDHuzBs6paEQEcI+QQ1lCE0ipc9LsugHriGO3sG1FkOUbSFNi+cIt7V8UWokLVYc&#10;F0ps6KOk/Dc92khRq3mmsv1xud6t1pfvw+frV/6jde+pm49BBOrCf/jeXhoNw3e4fYk/QE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idjujGAAAA2wAAAA8AAAAAAAAA&#10;AAAAAAAAoQIAAGRycy9kb3ducmV2LnhtbFBLBQYAAAAABAAEAPkAAACUAwAAAAA=&#10;" strokeweight="3pt"/>
                <v:rect id="Rectangle 97" o:spid="_x0000_s1073" style="position:absolute;left:25400;top:11480;width:5861;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k+48EA&#10;AADbAAAADwAAAGRycy9kb3ducmV2LnhtbERPu27CMBTdK/UfrFupW3FKJVQCTlQVgeiYx8J2iS9J&#10;aHwd2QZCv74eKnU8Ou91PplBXMn53rKC11kCgrixuudWQV1tX95B+ICscbBMCu7kIc8eH9aYanvj&#10;gq5laEUMYZ+igi6EMZXSNx0Z9DM7EkfuZJ3BEKFrpXZ4i+FmkPMkWUiDPceGDkf67Kj5Li9GwbGf&#10;1/hTVLvELLdv4WuqzpfDRqnnp+ljBSLQFP7Ff+69VrCI6+OX+ANk9g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KpPuPBAAAA2wAAAA8AAAAAAAAAAAAAAAAAmAIAAGRycy9kb3du&#10;cmV2LnhtbFBLBQYAAAAABAAEAPUAAACGAwAAAAA=&#10;">
                  <v:textbox>
                    <w:txbxContent>
                      <w:p w:rsidR="009207CF" w:rsidRPr="009F7A83" w:rsidRDefault="009207CF" w:rsidP="00BF0F61">
                        <w:pPr>
                          <w:jc w:val="center"/>
                        </w:pPr>
                        <w:r w:rsidRPr="009F7A83">
                          <w:t>AHU</w:t>
                        </w:r>
                      </w:p>
                      <w:p w:rsidR="009207CF" w:rsidRDefault="009207CF" w:rsidP="00BF0F61"/>
                    </w:txbxContent>
                  </v:textbox>
                </v:rect>
                <v:shape id="Arc 98" o:spid="_x0000_s1074" style="position:absolute;left:24204;top:3664;width:2501;height:5626;rotation:-4595878fd;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1om8QA&#10;AADbAAAADwAAAGRycy9kb3ducmV2LnhtbESPQWvCQBSE7wX/w/KE3pqNSkOJriKWgr01pub8zL5m&#10;Q7NvQ3araX99VxA8DjPzDbPajLYTZxp861jBLElBENdOt9wo+Czfnl5A+ICssXNMCn7Jw2Y9eVhh&#10;rt2FCzofQiMihH2OCkwIfS6lrw1Z9InriaP35QaLIcqhkXrAS4TbTs7TNJMWW44LBnvaGaq/Dz9W&#10;wfxUFX/vz4v+WLyWqTnRvlp8OKUep+N2CSLQGO7hW3uvFWQzuH6JP0C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WNaJvEAAAA2wAAAA8AAAAAAAAAAAAAAAAAmAIAAGRycy9k&#10;b3ducmV2LnhtbFBLBQYAAAAABAAEAPUAAACJAwAAAAA=&#10;" path="m-1,nfc4234,,8375,1244,11908,3578em-1,nsc4234,,8375,1244,11908,3578l,21600,-1,xe" filled="f">
                  <v:stroke endarrow="classic"/>
                  <v:path arrowok="t" o:extrusionok="f" o:connecttype="custom" o:connectlocs="0,0;33542876,63242022;0,381680004" o:connectangles="0,0,0"/>
                </v:shape>
                <w10:wrap anchory="line"/>
              </v:group>
            </w:pict>
          </mc:Fallback>
        </mc:AlternateContent>
      </w:r>
    </w:p>
    <w:p w:rsidR="00BF0F61" w:rsidRDefault="00BF0F61" w:rsidP="00BF0F61">
      <w:pPr>
        <w:keepNext/>
      </w:pPr>
    </w:p>
    <w:p w:rsidR="00BF0F61" w:rsidRDefault="00BF0F61" w:rsidP="00BF0F61">
      <w:pPr>
        <w:keepNext/>
      </w:pPr>
    </w:p>
    <w:p w:rsidR="00BF0F61" w:rsidRDefault="00BF0F61" w:rsidP="00BF0F61">
      <w:pPr>
        <w:keepNext/>
      </w:pPr>
    </w:p>
    <w:p w:rsidR="00BF0F61" w:rsidRDefault="00BF0F61" w:rsidP="00BF0F61">
      <w:pPr>
        <w:keepNext/>
      </w:pPr>
    </w:p>
    <w:p w:rsidR="00BF0F61" w:rsidRDefault="00BF0F61" w:rsidP="00BF0F61">
      <w:pPr>
        <w:keepNext/>
      </w:pPr>
    </w:p>
    <w:p w:rsidR="00BF0F61" w:rsidRDefault="00BF0F61" w:rsidP="00BF0F61">
      <w:pPr>
        <w:keepNext/>
      </w:pPr>
    </w:p>
    <w:p w:rsidR="00BF0F61" w:rsidRDefault="00BF0F61" w:rsidP="00BF0F61">
      <w:pPr>
        <w:keepNext/>
      </w:pPr>
    </w:p>
    <w:p w:rsidR="00BF0F61" w:rsidRDefault="00BF0F61" w:rsidP="00BF0F61">
      <w:pPr>
        <w:keepNext/>
      </w:pPr>
    </w:p>
    <w:p w:rsidR="00BF0F61" w:rsidRDefault="00BF0F61" w:rsidP="00BF0F61">
      <w:pPr>
        <w:keepNext/>
      </w:pPr>
    </w:p>
    <w:p w:rsidR="00BF0F61" w:rsidRDefault="00BF0F61" w:rsidP="00BF0F61">
      <w:pPr>
        <w:keepNext/>
      </w:pPr>
    </w:p>
    <w:p w:rsidR="00BF0F61" w:rsidRDefault="00BF0F61" w:rsidP="00BF0F61">
      <w:pPr>
        <w:keepNext/>
      </w:pPr>
    </w:p>
    <w:p w:rsidR="00BF0F61" w:rsidRDefault="00BF0F61" w:rsidP="00BF0F61">
      <w:pPr>
        <w:keepNext/>
      </w:pPr>
    </w:p>
    <w:p w:rsidR="00BF0F61" w:rsidRDefault="00BF0F61" w:rsidP="00BF0F61">
      <w:pPr>
        <w:keepNext/>
      </w:pPr>
    </w:p>
    <w:p w:rsidR="00BF0F61" w:rsidRDefault="00BF0F61" w:rsidP="00BF0F61">
      <w:pPr>
        <w:keepNext/>
      </w:pPr>
    </w:p>
    <w:p w:rsidR="00BF0F61" w:rsidRDefault="00BF0F61" w:rsidP="00BF0F61">
      <w:pPr>
        <w:keepNext/>
      </w:pPr>
    </w:p>
    <w:p w:rsidR="00BF0F61" w:rsidRDefault="00BF0F61" w:rsidP="00BF0F61">
      <w:pPr>
        <w:keepNext/>
      </w:pPr>
    </w:p>
    <w:p w:rsidR="00BF0F61" w:rsidRDefault="00BF0F61" w:rsidP="00BF0F61">
      <w:pPr>
        <w:keepNext/>
      </w:pPr>
    </w:p>
    <w:p w:rsidR="00BF0F61" w:rsidRDefault="00BF0F61" w:rsidP="00BF0F61">
      <w:pPr>
        <w:keepNext/>
      </w:pPr>
    </w:p>
    <w:p w:rsidR="00BF0F61" w:rsidRDefault="00BF0F61" w:rsidP="00BF0F61">
      <w:pPr>
        <w:keepNext/>
      </w:pPr>
    </w:p>
    <w:p w:rsidR="00BF0F61" w:rsidRDefault="00BF0F61" w:rsidP="00BF0F61">
      <w:pPr>
        <w:keepNext/>
      </w:pPr>
    </w:p>
    <w:p w:rsidR="00BF0F61" w:rsidRDefault="00BF0F61" w:rsidP="00BF0F61">
      <w:pPr>
        <w:keepNext/>
      </w:pPr>
    </w:p>
    <w:p w:rsidR="00BF0F61" w:rsidRDefault="00BF0F61" w:rsidP="00BF0F61">
      <w:pPr>
        <w:keepNext/>
      </w:pPr>
    </w:p>
    <w:p w:rsidR="00BF0F61" w:rsidRDefault="00BF0F61" w:rsidP="00BF0F61">
      <w:pPr>
        <w:keepNext/>
      </w:pPr>
    </w:p>
    <w:p w:rsidR="00BF0F61" w:rsidRDefault="00BF0F61" w:rsidP="00BF0F61">
      <w:pPr>
        <w:keepNext/>
      </w:pPr>
    </w:p>
    <w:p w:rsidR="00BF0F61" w:rsidRDefault="00BF0F61" w:rsidP="00BF0F61">
      <w:pPr>
        <w:keepNext/>
      </w:pPr>
    </w:p>
    <w:p w:rsidR="00BF0F61" w:rsidRDefault="00BF0F61" w:rsidP="00BF0F61">
      <w:pPr>
        <w:keepNext/>
      </w:pPr>
      <w:proofErr w:type="gramStart"/>
      <w:r w:rsidRPr="009F7A83">
        <w:t xml:space="preserve">Figure </w:t>
      </w:r>
      <w:r>
        <w:t>1.</w:t>
      </w:r>
      <w:proofErr w:type="gramEnd"/>
      <w:r w:rsidRPr="009F7A83">
        <w:t xml:space="preserve"> Schematic of </w:t>
      </w:r>
      <w:r>
        <w:t xml:space="preserve">a </w:t>
      </w:r>
      <w:r w:rsidRPr="009F7A83">
        <w:t>slab-on-grade house</w:t>
      </w:r>
      <w:r>
        <w:t xml:space="preserve"> (ducts located in the unconditioned attic)</w:t>
      </w:r>
    </w:p>
    <w:p w:rsidR="00BF0F61" w:rsidRDefault="00BF0F61" w:rsidP="00BF0F61">
      <w:pPr>
        <w:keepNext/>
      </w:pPr>
    </w:p>
    <w:p w:rsidR="00BF0F61" w:rsidRDefault="00BF0F61" w:rsidP="007F470F">
      <w:pPr>
        <w:keepNext/>
        <w:ind w:firstLine="288"/>
      </w:pPr>
      <w:r w:rsidRPr="00DB592A">
        <w:rPr>
          <w:highlight w:val="yellow"/>
        </w:rPr>
        <w:t xml:space="preserve">The ducts were modeled to be in the attic space and all the air leakage and thermal losses/gains go into that zone. Duct leakage was assumed to be 10 % of flow; 6 % on the supply side and 4 % on the return side.  Duct insulation was assumed to be </w:t>
      </w:r>
      <w:proofErr w:type="gramStart"/>
      <w:r w:rsidRPr="00DB592A">
        <w:rPr>
          <w:highlight w:val="yellow"/>
        </w:rPr>
        <w:t>R(</w:t>
      </w:r>
      <w:proofErr w:type="gramEnd"/>
      <w:r w:rsidRPr="00DB592A">
        <w:rPr>
          <w:highlight w:val="yellow"/>
        </w:rPr>
        <w:t>SI)-1.1 with a supply duct area of 50.5 m</w:t>
      </w:r>
      <w:r w:rsidRPr="00DB592A">
        <w:rPr>
          <w:highlight w:val="yellow"/>
          <w:vertAlign w:val="superscript"/>
        </w:rPr>
        <w:t>2</w:t>
      </w:r>
      <w:r w:rsidRPr="00DB592A">
        <w:rPr>
          <w:highlight w:val="yellow"/>
        </w:rPr>
        <w:t xml:space="preserve"> and a return duct area of 9.3 m</w:t>
      </w:r>
      <w:r w:rsidRPr="00DB592A">
        <w:rPr>
          <w:highlight w:val="yellow"/>
          <w:vertAlign w:val="superscript"/>
        </w:rPr>
        <w:t>2</w:t>
      </w:r>
      <w:r w:rsidRPr="00DB592A">
        <w:rPr>
          <w:highlight w:val="yellow"/>
        </w:rPr>
        <w:t xml:space="preserve"> for a 10.6 kW.  The nominal duct areas were increased and decreased proportionally based on the size (or nominal tonnage) of the heat pump unit.</w:t>
      </w:r>
    </w:p>
    <w:p w:rsidR="00BF0F61" w:rsidRDefault="00BF0F61" w:rsidP="007F470F">
      <w:pPr>
        <w:keepNext/>
        <w:ind w:firstLine="288"/>
      </w:pPr>
      <w:r w:rsidRPr="0009793A">
        <w:t xml:space="preserve">The window model in Type 56 uses the window parameters generated by LBNLs WINDOW5 software, which is considerably more detailed than the NFRC rating values generally used in residential practice and building codes.  The LBNL WINDOW5 inputs for this project were determined following the methodology developed by Arasteh et al. </w:t>
      </w:r>
      <w:r>
        <w:t>[1</w:t>
      </w:r>
      <w:r w:rsidR="009D67A2">
        <w:t>5</w:t>
      </w:r>
      <w:r>
        <w:t>].</w:t>
      </w:r>
      <w:r w:rsidRPr="0009793A">
        <w:t xml:space="preserve">  </w:t>
      </w:r>
    </w:p>
    <w:p w:rsidR="00BF0F61" w:rsidRDefault="00BF0F61" w:rsidP="007F470F">
      <w:pPr>
        <w:ind w:firstLine="288"/>
      </w:pPr>
      <w:r>
        <w:t>T</w:t>
      </w:r>
      <w:r w:rsidRPr="00696509">
        <w:t xml:space="preserve">he scheduling or profile of internal heat and moisture generation was taken from the Building America Benchmark Definition </w:t>
      </w:r>
      <w:r>
        <w:t>[1</w:t>
      </w:r>
      <w:r w:rsidR="009D67A2">
        <w:t>6</w:t>
      </w:r>
      <w:r>
        <w:t>]</w:t>
      </w:r>
      <w:r w:rsidRPr="00696509">
        <w:t xml:space="preserve">.  Sensible gains from all sources were assumed to be </w:t>
      </w:r>
      <w:r>
        <w:t>76.7 MJ/day</w:t>
      </w:r>
      <w:r w:rsidRPr="00696509">
        <w:t>.</w:t>
      </w:r>
      <w:r w:rsidRPr="00696509" w:rsidDel="000979F9">
        <w:t xml:space="preserve"> </w:t>
      </w:r>
      <w:r>
        <w:t xml:space="preserve"> </w:t>
      </w:r>
      <w:r w:rsidRPr="00E91F1B">
        <w:t>Internal moisture generation from all sources was specified as 5.4 kg/day</w:t>
      </w:r>
      <w:r>
        <w:t>,</w:t>
      </w:r>
      <w:r w:rsidRPr="00E91F1B">
        <w:t xml:space="preserve"> or less than half of the ASHRAE Standard 160 moisture generation rate of 14.2 kg/day</w:t>
      </w:r>
      <w:r>
        <w:t xml:space="preserve"> </w:t>
      </w:r>
      <w:r w:rsidRPr="00E91F1B">
        <w:t>for a three-bedroom house</w:t>
      </w:r>
      <w:r>
        <w:t xml:space="preserve"> [1</w:t>
      </w:r>
      <w:r w:rsidR="009D67A2">
        <w:t>7</w:t>
      </w:r>
      <w:r>
        <w:t>]</w:t>
      </w:r>
      <w:r w:rsidRPr="00E91F1B">
        <w:t xml:space="preserve">.  The ASHRAE 160 value is meant to be a </w:t>
      </w:r>
      <w:r>
        <w:t>‘</w:t>
      </w:r>
      <w:r w:rsidRPr="00E91F1B">
        <w:t>worst case</w:t>
      </w:r>
      <w:r>
        <w:t>’</w:t>
      </w:r>
      <w:r w:rsidRPr="00E91F1B">
        <w:t xml:space="preserve"> design </w:t>
      </w:r>
      <w:r w:rsidRPr="00696509">
        <w:t>condition and therefore</w:t>
      </w:r>
      <w:r>
        <w:t xml:space="preserve"> does not</w:t>
      </w:r>
      <w:r w:rsidRPr="00696509">
        <w:t xml:space="preserve"> correspond to average conditions.</w:t>
      </w:r>
    </w:p>
    <w:p w:rsidR="00BF0F61" w:rsidRDefault="00BF0F61" w:rsidP="007F470F">
      <w:pPr>
        <w:ind w:firstLine="288"/>
        <w:jc w:val="left"/>
      </w:pPr>
      <w:r w:rsidRPr="00A73FEE">
        <w:t>T</w:t>
      </w:r>
      <w:r w:rsidRPr="007F2302">
        <w:t xml:space="preserve">he only mechanical ventilation option considered in this study is an exhaust fan.  The fan operated continuously to provide sufficient ventilation to the house.  The fans provided an average </w:t>
      </w:r>
      <w:r>
        <w:t xml:space="preserve">flow </w:t>
      </w:r>
      <w:r w:rsidRPr="007F2302">
        <w:t>rate</w:t>
      </w:r>
      <w:r>
        <w:t xml:space="preserve"> </w:t>
      </w:r>
      <w:r w:rsidRPr="007F2302">
        <w:t xml:space="preserve">of </w:t>
      </w:r>
      <w:r>
        <w:t>98.5 m</w:t>
      </w:r>
      <w:r>
        <w:rPr>
          <w:vertAlign w:val="superscript"/>
        </w:rPr>
        <w:t>3</w:t>
      </w:r>
      <w:r w:rsidRPr="004C26B5">
        <w:t>∙</w:t>
      </w:r>
      <w:r>
        <w:t>h</w:t>
      </w:r>
      <w:r>
        <w:rPr>
          <w:vertAlign w:val="superscript"/>
        </w:rPr>
        <w:softHyphen/>
      </w:r>
      <w:r>
        <w:rPr>
          <w:vertAlign w:val="superscript"/>
        </w:rPr>
        <w:softHyphen/>
        <w:t>1</w:t>
      </w:r>
      <w:r w:rsidRPr="0009793A">
        <w:rPr>
          <w:vertAlign w:val="superscript"/>
        </w:rPr>
        <w:t xml:space="preserve"> </w:t>
      </w:r>
      <w:r w:rsidRPr="007F2302">
        <w:t>required by ASHRAE Standard 62.2</w:t>
      </w:r>
      <w:r>
        <w:t xml:space="preserve"> [</w:t>
      </w:r>
      <w:r w:rsidR="009D67A2">
        <w:t>18</w:t>
      </w:r>
      <w:r>
        <w:t>]</w:t>
      </w:r>
      <w:r w:rsidRPr="007F2302">
        <w:t xml:space="preserve"> for the 185.8 m</w:t>
      </w:r>
      <w:r w:rsidRPr="007F2302">
        <w:rPr>
          <w:vertAlign w:val="superscript"/>
        </w:rPr>
        <w:t>2</w:t>
      </w:r>
      <w:r w:rsidRPr="007F2302">
        <w:t xml:space="preserve"> three-bedroom house.  The exhaust fan power was assumed to be </w:t>
      </w:r>
      <w:proofErr w:type="gramStart"/>
      <w:r w:rsidRPr="007F2302">
        <w:t>0.85 </w:t>
      </w:r>
      <w:r>
        <w:t>kJ∙m</w:t>
      </w:r>
      <w:r>
        <w:rPr>
          <w:vertAlign w:val="superscript"/>
        </w:rPr>
        <w:t>-3</w:t>
      </w:r>
      <w:proofErr w:type="gramEnd"/>
      <w:r w:rsidRPr="007F2302">
        <w:t>.</w:t>
      </w:r>
      <w:r w:rsidRPr="00014FAD">
        <w:t xml:space="preserve"> </w:t>
      </w:r>
      <w:r w:rsidR="00746118">
        <w:t xml:space="preserve"> </w:t>
      </w:r>
      <w:r w:rsidRPr="007F2302">
        <w:t xml:space="preserve">The duct leakage was always a net out, so that additional net flow was an exhaust. </w:t>
      </w:r>
      <w:r w:rsidRPr="00014FAD">
        <w:t xml:space="preserve"> All d</w:t>
      </w:r>
      <w:r w:rsidRPr="007F2302">
        <w:t xml:space="preserve">etailed </w:t>
      </w:r>
      <w:r w:rsidRPr="00014FAD">
        <w:t xml:space="preserve">house </w:t>
      </w:r>
      <w:r w:rsidRPr="007F2302">
        <w:t>design specifications are given by Domanski et al</w:t>
      </w:r>
      <w:r>
        <w:t>. [</w:t>
      </w:r>
      <w:r w:rsidR="00CC1DEB">
        <w:t>2</w:t>
      </w:r>
      <w:r>
        <w:t>]</w:t>
      </w:r>
      <w:r w:rsidRPr="007F2302">
        <w:t>.</w:t>
      </w:r>
    </w:p>
    <w:p w:rsidR="00BF0F61" w:rsidRPr="0009793A" w:rsidRDefault="00BF0F61" w:rsidP="00BF0F61"/>
    <w:p w:rsidR="00BF0F61" w:rsidRPr="00977EFA" w:rsidRDefault="00BF0F61" w:rsidP="00BF0F61">
      <w:pPr>
        <w:pStyle w:val="Heading3"/>
        <w:numPr>
          <w:ilvl w:val="1"/>
          <w:numId w:val="36"/>
        </w:numPr>
        <w:spacing w:before="0"/>
        <w:rPr>
          <w:rFonts w:ascii="Times New Roman" w:hAnsi="Times New Roman" w:cs="Times New Roman"/>
          <w:b w:val="0"/>
          <w:i/>
          <w:color w:val="auto"/>
        </w:rPr>
      </w:pPr>
      <w:r w:rsidRPr="00977EFA">
        <w:rPr>
          <w:i/>
        </w:rPr>
        <w:lastRenderedPageBreak/>
        <w:t xml:space="preserve"> </w:t>
      </w:r>
      <w:r w:rsidRPr="00977EFA">
        <w:rPr>
          <w:rFonts w:ascii="Times New Roman" w:hAnsi="Times New Roman" w:cs="Times New Roman"/>
          <w:b w:val="0"/>
          <w:i/>
          <w:color w:val="auto"/>
        </w:rPr>
        <w:t>Heat pump specifications and modeling</w:t>
      </w:r>
    </w:p>
    <w:p w:rsidR="006B4A75" w:rsidRDefault="00BC52ED" w:rsidP="00BF0F61">
      <w:pPr>
        <w:pStyle w:val="ATPparagraph"/>
      </w:pPr>
      <w:r>
        <w:t xml:space="preserve">Fault effects were measured and correlated for a </w:t>
      </w:r>
      <w:r w:rsidR="00BF0F61" w:rsidRPr="00696509">
        <w:t>conventional heat pump unit with a 13 SEER and 7.7 HSPF rating.</w:t>
      </w:r>
      <w:r w:rsidR="00BF0F61">
        <w:t xml:space="preserve"> The cyclic degradation coefficient, C</w:t>
      </w:r>
      <w:r w:rsidR="00BF0F61" w:rsidRPr="00680497">
        <w:rPr>
          <w:vertAlign w:val="subscript"/>
        </w:rPr>
        <w:t>D</w:t>
      </w:r>
      <w:r w:rsidR="00BF0F61">
        <w:t>, of the heat pump was approximately 0.15 in both cooling and heating mode</w:t>
      </w:r>
      <w:r w:rsidR="00BF0F61" w:rsidRPr="005B51B2">
        <w:t xml:space="preserve">.  </w:t>
      </w:r>
      <w:r w:rsidR="006B4A75" w:rsidRPr="00CD22D8">
        <w:t xml:space="preserve">For </w:t>
      </w:r>
      <w:r w:rsidR="006B4A75" w:rsidRPr="00825A4B">
        <w:t>determining the</w:t>
      </w:r>
      <w:r w:rsidR="006B4A75" w:rsidRPr="00CD22D8">
        <w:t xml:space="preserve"> performance of a faulty heat pump, we applied dimensionless multipliers to the fault-free heat pump performance parameters (capacity, COP, etc.) </w:t>
      </w:r>
      <w:proofErr w:type="gramStart"/>
      <w:r w:rsidR="006B4A75" w:rsidRPr="00CD22D8">
        <w:t>[2</w:t>
      </w:r>
      <w:r w:rsidR="006B4A75">
        <w:t>1</w:t>
      </w:r>
      <w:r w:rsidR="006B4A75" w:rsidRPr="00CD22D8">
        <w:t>, 2</w:t>
      </w:r>
      <w:r w:rsidR="006B4A75">
        <w:t>2</w:t>
      </w:r>
      <w:r w:rsidR="006B4A75" w:rsidRPr="00CD22D8">
        <w:t>].</w:t>
      </w:r>
      <w:proofErr w:type="gramEnd"/>
      <w:r w:rsidR="006B4A75" w:rsidRPr="00CD22D8">
        <w:t xml:space="preserve"> The reader may refer to Domanski at al. [</w:t>
      </w:r>
      <w:r w:rsidR="006B4A75">
        <w:t>2</w:t>
      </w:r>
      <w:r w:rsidR="006B4A75" w:rsidRPr="00CD22D8">
        <w:t>] for definitions of the studied faults and for more detail on modeling of a fault-free and faulty heat pump.</w:t>
      </w:r>
    </w:p>
    <w:p w:rsidR="002A3BDB" w:rsidRDefault="00BF0F61" w:rsidP="002A3BDB">
      <w:pPr>
        <w:pStyle w:val="ATPparagraph"/>
      </w:pPr>
      <w:r w:rsidRPr="005B51B2">
        <w:t xml:space="preserve">The required size of the unit was determined for each climate using ACCA Manual J </w:t>
      </w:r>
      <w:r>
        <w:t>[</w:t>
      </w:r>
      <w:r w:rsidR="00CC1DEB">
        <w:t>1</w:t>
      </w:r>
      <w:r w:rsidR="009D67A2">
        <w:t>9</w:t>
      </w:r>
      <w:r>
        <w:t>]</w:t>
      </w:r>
      <w:r w:rsidR="00936501">
        <w:t xml:space="preserve">. </w:t>
      </w:r>
      <w:r w:rsidRPr="005B51B2">
        <w:t>H</w:t>
      </w:r>
      <w:r w:rsidRPr="00696509">
        <w:t>ouses in Houston</w:t>
      </w:r>
      <w:r>
        <w:t xml:space="preserve"> and Las Vegas</w:t>
      </w:r>
      <w:r w:rsidRPr="00696509">
        <w:t xml:space="preserve"> had a heat pump with cooling capacity</w:t>
      </w:r>
      <w:r>
        <w:t xml:space="preserve"> of 10.6 kW and</w:t>
      </w:r>
      <w:r w:rsidRPr="00696509">
        <w:t xml:space="preserve"> </w:t>
      </w:r>
      <w:r>
        <w:t>12.3 kW, respectively</w:t>
      </w:r>
      <w:r w:rsidRPr="007D417B">
        <w:t xml:space="preserve">.  </w:t>
      </w:r>
      <w:r>
        <w:t xml:space="preserve">The Washington D.C., </w:t>
      </w:r>
      <w:r w:rsidRPr="007D417B">
        <w:t>Chicago</w:t>
      </w:r>
      <w:r>
        <w:t>, and Minneapolis</w:t>
      </w:r>
      <w:r w:rsidRPr="007D417B">
        <w:t xml:space="preserve"> houses had </w:t>
      </w:r>
      <w:r>
        <w:t xml:space="preserve">8.8 kW </w:t>
      </w:r>
      <w:r w:rsidRPr="007D417B">
        <w:t>units.</w:t>
      </w:r>
      <w:r>
        <w:t xml:space="preserve"> </w:t>
      </w:r>
      <w:r w:rsidRPr="00CD22D8">
        <w:t xml:space="preserve">We modeled the performance of </w:t>
      </w:r>
      <w:r w:rsidR="00BC52ED">
        <w:t>the simulated</w:t>
      </w:r>
      <w:r w:rsidRPr="00CD22D8">
        <w:t xml:space="preserve"> fault-free heat pump</w:t>
      </w:r>
      <w:r w:rsidR="00BC52ED">
        <w:t>s</w:t>
      </w:r>
      <w:r w:rsidRPr="00CD22D8">
        <w:t xml:space="preserve"> using a detailed heat pump model derived from catalog data from a series of single-speed heat pump products</w:t>
      </w:r>
      <w:r w:rsidR="00BC52ED">
        <w:t xml:space="preserve"> with permanent split capacit</w:t>
      </w:r>
      <w:r w:rsidR="006A5A96">
        <w:t>or</w:t>
      </w:r>
      <w:r w:rsidR="00BC52ED">
        <w:t xml:space="preserve"> blower motors</w:t>
      </w:r>
      <w:r w:rsidRPr="00CD22D8">
        <w:t xml:space="preserve"> </w:t>
      </w:r>
      <w:r w:rsidR="00BC52ED">
        <w:t>and</w:t>
      </w:r>
      <w:r w:rsidRPr="00CD22D8">
        <w:t xml:space="preserve"> SEER</w:t>
      </w:r>
      <w:r w:rsidR="00BC52ED">
        <w:t xml:space="preserve"> ratings</w:t>
      </w:r>
      <w:r w:rsidRPr="00CD22D8">
        <w:t xml:space="preserve"> ranging from 10 to 14.5 [</w:t>
      </w:r>
      <w:r w:rsidR="009D67A2">
        <w:t>20</w:t>
      </w:r>
      <w:r w:rsidRPr="00CD22D8">
        <w:t xml:space="preserve">]. </w:t>
      </w:r>
      <w:r w:rsidR="002A3BDB">
        <w:t>Table 2 lists</w:t>
      </w:r>
      <w:r w:rsidR="002A3BDB" w:rsidRPr="00F07E5F">
        <w:t xml:space="preserve"> the studied faults and their level values used in simulations.</w:t>
      </w:r>
      <w:r w:rsidR="002A3BDB">
        <w:t xml:space="preserve"> </w:t>
      </w:r>
    </w:p>
    <w:p w:rsidR="002A3BDB" w:rsidRDefault="002A3BDB" w:rsidP="007F470F">
      <w:pPr>
        <w:pStyle w:val="ATPparagraph"/>
      </w:pPr>
    </w:p>
    <w:p w:rsidR="002A3BDB" w:rsidRPr="00FC1E49" w:rsidRDefault="002A3BDB" w:rsidP="002A3BDB">
      <w:pPr>
        <w:pStyle w:val="Default"/>
        <w:spacing w:after="120" w:line="276" w:lineRule="atLeast"/>
        <w:rPr>
          <w:sz w:val="22"/>
          <w:szCs w:val="22"/>
        </w:rPr>
      </w:pPr>
      <w:proofErr w:type="gramStart"/>
      <w:r>
        <w:rPr>
          <w:sz w:val="22"/>
          <w:szCs w:val="22"/>
        </w:rPr>
        <w:t>Table 2</w:t>
      </w:r>
      <w:r w:rsidRPr="00FC1E49">
        <w:rPr>
          <w:sz w:val="22"/>
          <w:szCs w:val="22"/>
        </w:rPr>
        <w:t>.</w:t>
      </w:r>
      <w:proofErr w:type="gramEnd"/>
      <w:r>
        <w:rPr>
          <w:sz w:val="22"/>
          <w:szCs w:val="22"/>
        </w:rPr>
        <w:t xml:space="preserve">  </w:t>
      </w:r>
      <w:r w:rsidRPr="00FC1E49">
        <w:rPr>
          <w:sz w:val="22"/>
          <w:szCs w:val="22"/>
        </w:rPr>
        <w:t>Studied</w:t>
      </w:r>
      <w:r>
        <w:rPr>
          <w:sz w:val="22"/>
          <w:szCs w:val="22"/>
        </w:rPr>
        <w:t xml:space="preserve"> </w:t>
      </w:r>
      <w:r w:rsidRPr="00FC1E49">
        <w:rPr>
          <w:sz w:val="22"/>
          <w:szCs w:val="22"/>
        </w:rPr>
        <w:t>faults</w:t>
      </w:r>
      <w:r>
        <w:rPr>
          <w:sz w:val="22"/>
          <w:szCs w:val="22"/>
        </w:rPr>
        <w:t xml:space="preserve"> in the cooling and heating mode</w:t>
      </w:r>
    </w:p>
    <w:tbl>
      <w:tblPr>
        <w:tblW w:w="72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2160"/>
        <w:gridCol w:w="2250"/>
      </w:tblGrid>
      <w:tr w:rsidR="002A3BDB" w:rsidRPr="00FC1E49" w:rsidTr="009207CF">
        <w:trPr>
          <w:trHeight w:hRule="exact" w:val="259"/>
        </w:trPr>
        <w:tc>
          <w:tcPr>
            <w:tcW w:w="2790" w:type="dxa"/>
            <w:vMerge w:val="restart"/>
            <w:vAlign w:val="center"/>
          </w:tcPr>
          <w:p w:rsidR="002A3BDB" w:rsidRPr="00FD7159" w:rsidRDefault="002A3BDB" w:rsidP="009207CF">
            <w:pPr>
              <w:jc w:val="left"/>
              <w:rPr>
                <w:sz w:val="20"/>
              </w:rPr>
            </w:pPr>
            <w:r w:rsidRPr="00FD7159">
              <w:rPr>
                <w:sz w:val="20"/>
              </w:rPr>
              <w:t>Fault Type</w:t>
            </w:r>
          </w:p>
        </w:tc>
        <w:tc>
          <w:tcPr>
            <w:tcW w:w="4410" w:type="dxa"/>
            <w:gridSpan w:val="2"/>
          </w:tcPr>
          <w:p w:rsidR="002A3BDB" w:rsidRPr="00FD7159" w:rsidRDefault="002A3BDB" w:rsidP="009207CF">
            <w:pPr>
              <w:jc w:val="center"/>
              <w:rPr>
                <w:sz w:val="20"/>
              </w:rPr>
            </w:pPr>
            <w:r w:rsidRPr="00FD7159">
              <w:rPr>
                <w:sz w:val="20"/>
              </w:rPr>
              <w:t>Fault Levels (%)</w:t>
            </w:r>
          </w:p>
        </w:tc>
      </w:tr>
      <w:tr w:rsidR="002A3BDB" w:rsidRPr="00FC1E49" w:rsidTr="009207CF">
        <w:trPr>
          <w:trHeight w:hRule="exact" w:val="259"/>
        </w:trPr>
        <w:tc>
          <w:tcPr>
            <w:tcW w:w="2790" w:type="dxa"/>
            <w:vMerge/>
          </w:tcPr>
          <w:p w:rsidR="002A3BDB" w:rsidRPr="00FD7159" w:rsidRDefault="002A3BDB" w:rsidP="009207CF">
            <w:pPr>
              <w:rPr>
                <w:sz w:val="20"/>
              </w:rPr>
            </w:pPr>
          </w:p>
        </w:tc>
        <w:tc>
          <w:tcPr>
            <w:tcW w:w="2160" w:type="dxa"/>
          </w:tcPr>
          <w:p w:rsidR="002A3BDB" w:rsidRPr="00FD7159" w:rsidRDefault="002A3BDB" w:rsidP="009207CF">
            <w:pPr>
              <w:jc w:val="center"/>
              <w:rPr>
                <w:sz w:val="20"/>
              </w:rPr>
            </w:pPr>
            <w:r w:rsidRPr="00FD7159">
              <w:rPr>
                <w:sz w:val="20"/>
              </w:rPr>
              <w:t>Cooling mode</w:t>
            </w:r>
          </w:p>
        </w:tc>
        <w:tc>
          <w:tcPr>
            <w:tcW w:w="2250" w:type="dxa"/>
          </w:tcPr>
          <w:p w:rsidR="002A3BDB" w:rsidRPr="00FD7159" w:rsidRDefault="002A3BDB" w:rsidP="009207CF">
            <w:pPr>
              <w:jc w:val="center"/>
              <w:rPr>
                <w:b/>
                <w:sz w:val="20"/>
              </w:rPr>
            </w:pPr>
            <w:r w:rsidRPr="00FD7159">
              <w:rPr>
                <w:sz w:val="20"/>
              </w:rPr>
              <w:t>Heating mode</w:t>
            </w:r>
          </w:p>
        </w:tc>
      </w:tr>
      <w:tr w:rsidR="002A3BDB" w:rsidRPr="00FC1E49" w:rsidTr="009207CF">
        <w:trPr>
          <w:trHeight w:hRule="exact" w:val="259"/>
        </w:trPr>
        <w:tc>
          <w:tcPr>
            <w:tcW w:w="2790" w:type="dxa"/>
          </w:tcPr>
          <w:p w:rsidR="002A3BDB" w:rsidRPr="00FD7159" w:rsidRDefault="002A3BDB" w:rsidP="009207CF">
            <w:pPr>
              <w:rPr>
                <w:sz w:val="20"/>
              </w:rPr>
            </w:pPr>
            <w:r w:rsidRPr="00FD7159">
              <w:rPr>
                <w:sz w:val="20"/>
              </w:rPr>
              <w:t>Heat Pump Sizing (SIZ)</w:t>
            </w:r>
          </w:p>
        </w:tc>
        <w:tc>
          <w:tcPr>
            <w:tcW w:w="2160" w:type="dxa"/>
          </w:tcPr>
          <w:p w:rsidR="002A3BDB" w:rsidRPr="00FD7159" w:rsidRDefault="002A3BDB" w:rsidP="009207CF">
            <w:pPr>
              <w:jc w:val="center"/>
              <w:rPr>
                <w:sz w:val="20"/>
              </w:rPr>
            </w:pPr>
            <w:r w:rsidRPr="00FD7159">
              <w:rPr>
                <w:sz w:val="20"/>
              </w:rPr>
              <w:t>-20, 25, 50, 75, 100</w:t>
            </w:r>
          </w:p>
        </w:tc>
        <w:tc>
          <w:tcPr>
            <w:tcW w:w="2250" w:type="dxa"/>
          </w:tcPr>
          <w:p w:rsidR="002A3BDB" w:rsidRPr="00FD7159" w:rsidRDefault="002A3BDB" w:rsidP="009207CF">
            <w:pPr>
              <w:jc w:val="center"/>
              <w:rPr>
                <w:sz w:val="20"/>
              </w:rPr>
            </w:pPr>
            <w:r w:rsidRPr="00FD7159">
              <w:rPr>
                <w:sz w:val="20"/>
              </w:rPr>
              <w:t>-20, 25, 50, 75, 100</w:t>
            </w:r>
          </w:p>
        </w:tc>
      </w:tr>
      <w:tr w:rsidR="002A3BDB" w:rsidRPr="00FC1E49" w:rsidTr="009207CF">
        <w:trPr>
          <w:trHeight w:hRule="exact" w:val="259"/>
        </w:trPr>
        <w:tc>
          <w:tcPr>
            <w:tcW w:w="2790" w:type="dxa"/>
          </w:tcPr>
          <w:p w:rsidR="002A3BDB" w:rsidRPr="00FD7159" w:rsidRDefault="002A3BDB" w:rsidP="009207CF">
            <w:pPr>
              <w:rPr>
                <w:sz w:val="20"/>
              </w:rPr>
            </w:pPr>
            <w:r w:rsidRPr="00FD7159">
              <w:rPr>
                <w:sz w:val="20"/>
              </w:rPr>
              <w:t>Duct Leakage  (DUCT)</w:t>
            </w:r>
          </w:p>
        </w:tc>
        <w:tc>
          <w:tcPr>
            <w:tcW w:w="2160" w:type="dxa"/>
          </w:tcPr>
          <w:p w:rsidR="002A3BDB" w:rsidRPr="00FD7159" w:rsidRDefault="002A3BDB" w:rsidP="009207CF">
            <w:pPr>
              <w:jc w:val="center"/>
              <w:rPr>
                <w:sz w:val="20"/>
              </w:rPr>
            </w:pPr>
            <w:r w:rsidRPr="00FD7159">
              <w:rPr>
                <w:sz w:val="20"/>
              </w:rPr>
              <w:t>0, 10, 20, 30, 40, 50</w:t>
            </w:r>
          </w:p>
        </w:tc>
        <w:tc>
          <w:tcPr>
            <w:tcW w:w="2250" w:type="dxa"/>
          </w:tcPr>
          <w:p w:rsidR="002A3BDB" w:rsidRPr="00FD7159" w:rsidRDefault="002A3BDB" w:rsidP="009207CF">
            <w:pPr>
              <w:jc w:val="center"/>
              <w:rPr>
                <w:sz w:val="20"/>
              </w:rPr>
            </w:pPr>
            <w:r w:rsidRPr="00FD7159">
              <w:rPr>
                <w:sz w:val="20"/>
              </w:rPr>
              <w:t>0, 10, 20, 30, 40, 50</w:t>
            </w:r>
          </w:p>
        </w:tc>
      </w:tr>
      <w:tr w:rsidR="002A3BDB" w:rsidRPr="00FC1E49" w:rsidTr="009207CF">
        <w:trPr>
          <w:trHeight w:hRule="exact" w:val="259"/>
        </w:trPr>
        <w:tc>
          <w:tcPr>
            <w:tcW w:w="2790" w:type="dxa"/>
            <w:vAlign w:val="center"/>
          </w:tcPr>
          <w:p w:rsidR="002A3BDB" w:rsidRPr="00FD7159" w:rsidRDefault="002A3BDB" w:rsidP="009207CF">
            <w:pPr>
              <w:jc w:val="left"/>
              <w:rPr>
                <w:sz w:val="20"/>
              </w:rPr>
            </w:pPr>
            <w:r w:rsidRPr="00FD7159">
              <w:rPr>
                <w:sz w:val="20"/>
              </w:rPr>
              <w:t>Indoor Coil Airflow (AF)</w:t>
            </w:r>
          </w:p>
        </w:tc>
        <w:tc>
          <w:tcPr>
            <w:tcW w:w="2160" w:type="dxa"/>
            <w:vAlign w:val="center"/>
          </w:tcPr>
          <w:p w:rsidR="002A3BDB" w:rsidRPr="00FD7159" w:rsidRDefault="002A3BDB" w:rsidP="009207CF">
            <w:pPr>
              <w:jc w:val="center"/>
              <w:rPr>
                <w:sz w:val="20"/>
              </w:rPr>
            </w:pPr>
            <w:r w:rsidRPr="00FD7159">
              <w:rPr>
                <w:sz w:val="20"/>
              </w:rPr>
              <w:t>-36, -15, 7, 28</w:t>
            </w:r>
          </w:p>
        </w:tc>
        <w:tc>
          <w:tcPr>
            <w:tcW w:w="2250" w:type="dxa"/>
            <w:vAlign w:val="center"/>
          </w:tcPr>
          <w:p w:rsidR="002A3BDB" w:rsidRPr="00FD7159" w:rsidRDefault="002A3BDB" w:rsidP="009207CF">
            <w:pPr>
              <w:jc w:val="center"/>
              <w:rPr>
                <w:sz w:val="20"/>
              </w:rPr>
            </w:pPr>
            <w:r w:rsidRPr="00FD7159">
              <w:rPr>
                <w:sz w:val="20"/>
              </w:rPr>
              <w:t>-36, -15, 7, 28</w:t>
            </w:r>
          </w:p>
        </w:tc>
      </w:tr>
      <w:tr w:rsidR="002A3BDB" w:rsidRPr="00FC1E49" w:rsidTr="009207CF">
        <w:trPr>
          <w:trHeight w:hRule="exact" w:val="259"/>
        </w:trPr>
        <w:tc>
          <w:tcPr>
            <w:tcW w:w="2790" w:type="dxa"/>
          </w:tcPr>
          <w:p w:rsidR="002A3BDB" w:rsidRPr="00FD7159" w:rsidRDefault="002A3BDB" w:rsidP="009207CF">
            <w:pPr>
              <w:rPr>
                <w:sz w:val="20"/>
              </w:rPr>
            </w:pPr>
            <w:r w:rsidRPr="00FD7159">
              <w:rPr>
                <w:sz w:val="20"/>
              </w:rPr>
              <w:t>Refrigerant Undercharge (UC)</w:t>
            </w:r>
          </w:p>
        </w:tc>
        <w:tc>
          <w:tcPr>
            <w:tcW w:w="2160" w:type="dxa"/>
          </w:tcPr>
          <w:p w:rsidR="002A3BDB" w:rsidRPr="00FD7159" w:rsidRDefault="002A3BDB" w:rsidP="009207CF">
            <w:pPr>
              <w:jc w:val="center"/>
              <w:rPr>
                <w:sz w:val="20"/>
              </w:rPr>
            </w:pPr>
            <w:r w:rsidRPr="00FD7159">
              <w:rPr>
                <w:sz w:val="20"/>
              </w:rPr>
              <w:t>-10, -20, -30</w:t>
            </w:r>
          </w:p>
        </w:tc>
        <w:tc>
          <w:tcPr>
            <w:tcW w:w="2250" w:type="dxa"/>
          </w:tcPr>
          <w:p w:rsidR="002A3BDB" w:rsidRPr="00FD7159" w:rsidRDefault="002A3BDB" w:rsidP="009207CF">
            <w:pPr>
              <w:jc w:val="center"/>
              <w:rPr>
                <w:sz w:val="20"/>
              </w:rPr>
            </w:pPr>
            <w:r w:rsidRPr="00FD7159">
              <w:rPr>
                <w:sz w:val="20"/>
              </w:rPr>
              <w:t>-10, -20, -30</w:t>
            </w:r>
          </w:p>
        </w:tc>
      </w:tr>
      <w:tr w:rsidR="002A3BDB" w:rsidRPr="00FC1E49" w:rsidTr="009207CF">
        <w:trPr>
          <w:trHeight w:hRule="exact" w:val="259"/>
        </w:trPr>
        <w:tc>
          <w:tcPr>
            <w:tcW w:w="2790" w:type="dxa"/>
          </w:tcPr>
          <w:p w:rsidR="002A3BDB" w:rsidRPr="00FD7159" w:rsidRDefault="002A3BDB" w:rsidP="009207CF">
            <w:pPr>
              <w:rPr>
                <w:sz w:val="20"/>
              </w:rPr>
            </w:pPr>
            <w:r w:rsidRPr="00FD7159">
              <w:rPr>
                <w:sz w:val="20"/>
              </w:rPr>
              <w:t>Refrigerant Overcharge (OC)</w:t>
            </w:r>
          </w:p>
        </w:tc>
        <w:tc>
          <w:tcPr>
            <w:tcW w:w="2160" w:type="dxa"/>
          </w:tcPr>
          <w:p w:rsidR="002A3BDB" w:rsidRPr="00FD7159" w:rsidRDefault="002A3BDB" w:rsidP="009207CF">
            <w:pPr>
              <w:jc w:val="center"/>
              <w:rPr>
                <w:sz w:val="20"/>
              </w:rPr>
            </w:pPr>
            <w:r w:rsidRPr="00FD7159">
              <w:rPr>
                <w:sz w:val="20"/>
              </w:rPr>
              <w:t>10, 20, 30</w:t>
            </w:r>
          </w:p>
        </w:tc>
        <w:tc>
          <w:tcPr>
            <w:tcW w:w="2250" w:type="dxa"/>
          </w:tcPr>
          <w:p w:rsidR="002A3BDB" w:rsidRPr="00FD7159" w:rsidRDefault="002A3BDB" w:rsidP="009207CF">
            <w:pPr>
              <w:jc w:val="center"/>
              <w:rPr>
                <w:sz w:val="20"/>
              </w:rPr>
            </w:pPr>
            <w:r w:rsidRPr="00FD7159">
              <w:rPr>
                <w:sz w:val="20"/>
              </w:rPr>
              <w:t>10, 20, 30</w:t>
            </w:r>
          </w:p>
        </w:tc>
      </w:tr>
      <w:tr w:rsidR="002A3BDB" w:rsidRPr="00FC1E49" w:rsidTr="009207CF">
        <w:trPr>
          <w:trHeight w:hRule="exact" w:val="259"/>
        </w:trPr>
        <w:tc>
          <w:tcPr>
            <w:tcW w:w="2790" w:type="dxa"/>
          </w:tcPr>
          <w:p w:rsidR="002A3BDB" w:rsidRPr="00FD7159" w:rsidRDefault="002A3BDB" w:rsidP="009207CF">
            <w:pPr>
              <w:rPr>
                <w:sz w:val="20"/>
              </w:rPr>
            </w:pPr>
            <w:r w:rsidRPr="00FD7159">
              <w:rPr>
                <w:sz w:val="20"/>
              </w:rPr>
              <w:t>Non-Condensable Gases (NC)</w:t>
            </w:r>
          </w:p>
        </w:tc>
        <w:tc>
          <w:tcPr>
            <w:tcW w:w="2160" w:type="dxa"/>
          </w:tcPr>
          <w:p w:rsidR="002A3BDB" w:rsidRPr="00FD7159" w:rsidRDefault="002A3BDB" w:rsidP="009207CF">
            <w:pPr>
              <w:jc w:val="center"/>
              <w:rPr>
                <w:sz w:val="20"/>
              </w:rPr>
            </w:pPr>
            <w:r w:rsidRPr="00FD7159">
              <w:rPr>
                <w:sz w:val="20"/>
              </w:rPr>
              <w:t>10, 20</w:t>
            </w:r>
          </w:p>
        </w:tc>
        <w:tc>
          <w:tcPr>
            <w:tcW w:w="2250" w:type="dxa"/>
          </w:tcPr>
          <w:p w:rsidR="002A3BDB" w:rsidRPr="00FD7159" w:rsidRDefault="002A3BDB" w:rsidP="009207CF">
            <w:pPr>
              <w:jc w:val="center"/>
              <w:rPr>
                <w:sz w:val="20"/>
              </w:rPr>
            </w:pPr>
            <w:r w:rsidRPr="00FD7159">
              <w:rPr>
                <w:sz w:val="20"/>
              </w:rPr>
              <w:t>10, 20</w:t>
            </w:r>
          </w:p>
        </w:tc>
      </w:tr>
      <w:tr w:rsidR="002A3BDB" w:rsidRPr="00FC1E49" w:rsidTr="009207CF">
        <w:trPr>
          <w:trHeight w:hRule="exact" w:val="259"/>
        </w:trPr>
        <w:tc>
          <w:tcPr>
            <w:tcW w:w="2790" w:type="dxa"/>
          </w:tcPr>
          <w:p w:rsidR="002A3BDB" w:rsidRPr="00FD7159" w:rsidRDefault="002A3BDB" w:rsidP="009207CF">
            <w:pPr>
              <w:rPr>
                <w:sz w:val="20"/>
              </w:rPr>
            </w:pPr>
            <w:r w:rsidRPr="00FD7159">
              <w:rPr>
                <w:sz w:val="20"/>
              </w:rPr>
              <w:t>Electric Voltage (VOL)</w:t>
            </w:r>
          </w:p>
        </w:tc>
        <w:tc>
          <w:tcPr>
            <w:tcW w:w="2160" w:type="dxa"/>
          </w:tcPr>
          <w:p w:rsidR="002A3BDB" w:rsidRPr="00FD7159" w:rsidRDefault="002A3BDB" w:rsidP="009207CF">
            <w:pPr>
              <w:jc w:val="center"/>
              <w:rPr>
                <w:sz w:val="20"/>
              </w:rPr>
            </w:pPr>
            <w:r w:rsidRPr="00FD7159">
              <w:rPr>
                <w:sz w:val="20"/>
              </w:rPr>
              <w:t>-8, 8, 25</w:t>
            </w:r>
          </w:p>
        </w:tc>
        <w:tc>
          <w:tcPr>
            <w:tcW w:w="2250" w:type="dxa"/>
          </w:tcPr>
          <w:p w:rsidR="002A3BDB" w:rsidRPr="00FD7159" w:rsidRDefault="002A3BDB" w:rsidP="009207CF">
            <w:pPr>
              <w:jc w:val="center"/>
              <w:rPr>
                <w:sz w:val="20"/>
              </w:rPr>
            </w:pPr>
            <w:r w:rsidRPr="00FD7159">
              <w:rPr>
                <w:sz w:val="20"/>
              </w:rPr>
              <w:t>-8, 8, 25</w:t>
            </w:r>
          </w:p>
        </w:tc>
      </w:tr>
      <w:tr w:rsidR="002A3BDB" w:rsidRPr="00FC1E49" w:rsidTr="009207CF">
        <w:trPr>
          <w:trHeight w:hRule="exact" w:val="259"/>
        </w:trPr>
        <w:tc>
          <w:tcPr>
            <w:tcW w:w="2790" w:type="dxa"/>
          </w:tcPr>
          <w:p w:rsidR="002A3BDB" w:rsidRPr="00FD7159" w:rsidRDefault="002A3BDB" w:rsidP="009207CF">
            <w:pPr>
              <w:rPr>
                <w:sz w:val="20"/>
              </w:rPr>
            </w:pPr>
            <w:r w:rsidRPr="00FD7159">
              <w:rPr>
                <w:sz w:val="20"/>
              </w:rPr>
              <w:t xml:space="preserve">TXV </w:t>
            </w:r>
            <w:proofErr w:type="spellStart"/>
            <w:r w:rsidRPr="00FD7159">
              <w:rPr>
                <w:sz w:val="20"/>
              </w:rPr>
              <w:t>Undersizing</w:t>
            </w:r>
            <w:proofErr w:type="spellEnd"/>
            <w:r w:rsidRPr="00FD7159">
              <w:rPr>
                <w:sz w:val="20"/>
              </w:rPr>
              <w:t xml:space="preserve"> (TXV)</w:t>
            </w:r>
          </w:p>
        </w:tc>
        <w:tc>
          <w:tcPr>
            <w:tcW w:w="2160" w:type="dxa"/>
          </w:tcPr>
          <w:p w:rsidR="002A3BDB" w:rsidRPr="00FD7159" w:rsidRDefault="002A3BDB" w:rsidP="009207CF">
            <w:pPr>
              <w:jc w:val="center"/>
              <w:rPr>
                <w:sz w:val="20"/>
              </w:rPr>
            </w:pPr>
            <w:r w:rsidRPr="00FD7159">
              <w:rPr>
                <w:sz w:val="20"/>
              </w:rPr>
              <w:t>-60, -40, -20</w:t>
            </w:r>
          </w:p>
        </w:tc>
        <w:tc>
          <w:tcPr>
            <w:tcW w:w="2250" w:type="dxa"/>
          </w:tcPr>
          <w:p w:rsidR="002A3BDB" w:rsidRPr="00FD7159" w:rsidRDefault="002A3BDB" w:rsidP="009207CF">
            <w:pPr>
              <w:jc w:val="center"/>
              <w:rPr>
                <w:sz w:val="20"/>
              </w:rPr>
            </w:pPr>
            <w:r w:rsidRPr="00FD7159">
              <w:rPr>
                <w:sz w:val="20"/>
              </w:rPr>
              <w:t>-</w:t>
            </w:r>
          </w:p>
        </w:tc>
      </w:tr>
    </w:tbl>
    <w:p w:rsidR="002A3BDB" w:rsidRDefault="002A3BDB" w:rsidP="002A3BDB">
      <w:pPr>
        <w:pStyle w:val="NewTimes11"/>
        <w:rPr>
          <w:b/>
        </w:rPr>
      </w:pPr>
    </w:p>
    <w:p w:rsidR="00BF0F61" w:rsidRPr="004E3390" w:rsidRDefault="00BF0F61" w:rsidP="00BF0F61">
      <w:pPr>
        <w:pStyle w:val="Heading1"/>
      </w:pPr>
      <w:r w:rsidRPr="007B07DD">
        <w:t>Simulations of building/heat pump systems with installation</w:t>
      </w:r>
      <w:r w:rsidRPr="00100E1D">
        <w:t xml:space="preserve"> </w:t>
      </w:r>
      <w:r w:rsidRPr="00EF3D56">
        <w:t>faults</w:t>
      </w:r>
    </w:p>
    <w:p w:rsidR="00BF0F61" w:rsidRDefault="00936501" w:rsidP="00BF0F61">
      <w:pPr>
        <w:pStyle w:val="NewTimes11"/>
        <w:jc w:val="left"/>
      </w:pPr>
      <w:r>
        <w:rPr>
          <w:i/>
        </w:rPr>
        <w:t xml:space="preserve">4.1 </w:t>
      </w:r>
      <w:r w:rsidR="00BF0F61" w:rsidRPr="00FD7159">
        <w:rPr>
          <w:i/>
        </w:rPr>
        <w:t>Simulation with single faults</w:t>
      </w:r>
    </w:p>
    <w:p w:rsidR="00BF0F61" w:rsidRPr="00FD7159" w:rsidRDefault="00BF0F61" w:rsidP="00BF0F61">
      <w:pPr>
        <w:pStyle w:val="NewTimes11"/>
        <w:numPr>
          <w:ilvl w:val="2"/>
          <w:numId w:val="40"/>
        </w:numPr>
        <w:tabs>
          <w:tab w:val="left" w:pos="270"/>
        </w:tabs>
        <w:ind w:left="630" w:hanging="630"/>
        <w:rPr>
          <w:i/>
        </w:rPr>
      </w:pPr>
      <w:bookmarkStart w:id="0" w:name="_Toc341689285"/>
      <w:r w:rsidRPr="00FD7159">
        <w:rPr>
          <w:i/>
        </w:rPr>
        <w:t>Effect of heat pump sizing</w:t>
      </w:r>
      <w:bookmarkEnd w:id="0"/>
    </w:p>
    <w:p w:rsidR="00BF0F61" w:rsidRDefault="00BF0F61" w:rsidP="00BF0F61">
      <w:pPr>
        <w:pStyle w:val="ATPparagraph"/>
      </w:pPr>
      <w:r w:rsidRPr="000D316A">
        <w:t xml:space="preserve">Changing the size of the heat pump for a given house – either undersizing or oversizing – impacts the </w:t>
      </w:r>
      <w:r>
        <w:t xml:space="preserve">heat pump performance </w:t>
      </w:r>
      <w:r w:rsidRPr="000D316A">
        <w:t>in several ways:</w:t>
      </w:r>
    </w:p>
    <w:p w:rsidR="00BF0F61" w:rsidRDefault="00BF0F61" w:rsidP="00BF0F61">
      <w:pPr>
        <w:pStyle w:val="NewTimes11"/>
        <w:numPr>
          <w:ilvl w:val="0"/>
          <w:numId w:val="18"/>
        </w:numPr>
        <w:rPr>
          <w:rFonts w:cs="Times New Roman"/>
        </w:rPr>
      </w:pPr>
      <w:r w:rsidRPr="000D316A">
        <w:rPr>
          <w:rFonts w:cs="Times New Roman"/>
        </w:rPr>
        <w:t>Cycling losses increase as the unit gets larger; the unit runs for shorter periods and the degraded performance at startup has more impact (C</w:t>
      </w:r>
      <w:r>
        <w:rPr>
          <w:rFonts w:cs="Times New Roman"/>
          <w:vertAlign w:val="subscript"/>
        </w:rPr>
        <w:t>D</w:t>
      </w:r>
      <w:r w:rsidRPr="000D316A">
        <w:rPr>
          <w:rFonts w:cs="Times New Roman"/>
        </w:rPr>
        <w:t> ~ 0.1</w:t>
      </w:r>
      <w:r>
        <w:rPr>
          <w:rFonts w:cs="Times New Roman"/>
        </w:rPr>
        <w:t>5</w:t>
      </w:r>
      <w:r w:rsidRPr="000D316A">
        <w:rPr>
          <w:rFonts w:cs="Times New Roman"/>
        </w:rPr>
        <w:t xml:space="preserve">).  </w:t>
      </w:r>
    </w:p>
    <w:p w:rsidR="00BF0F61" w:rsidRPr="000D316A" w:rsidRDefault="00BF0F61" w:rsidP="00BF0F61">
      <w:pPr>
        <w:pStyle w:val="NewTimes11"/>
        <w:numPr>
          <w:ilvl w:val="0"/>
          <w:numId w:val="18"/>
        </w:numPr>
        <w:rPr>
          <w:rFonts w:cs="Times New Roman"/>
        </w:rPr>
      </w:pPr>
      <w:r>
        <w:rPr>
          <w:rFonts w:cs="Times New Roman"/>
        </w:rPr>
        <w:t>In the cooling mode, t</w:t>
      </w:r>
      <w:r w:rsidRPr="000D316A">
        <w:rPr>
          <w:rFonts w:cs="Times New Roman"/>
        </w:rPr>
        <w:t xml:space="preserve">he shorter run periods impact </w:t>
      </w:r>
      <w:r>
        <w:rPr>
          <w:rFonts w:cs="Times New Roman"/>
        </w:rPr>
        <w:t xml:space="preserve">the moisture removal </w:t>
      </w:r>
      <w:r w:rsidRPr="000D316A">
        <w:rPr>
          <w:rFonts w:cs="Times New Roman"/>
        </w:rPr>
        <w:t>capability (i.e., ability to control indoor humidity lev</w:t>
      </w:r>
      <w:r>
        <w:rPr>
          <w:rFonts w:cs="Times New Roman"/>
        </w:rPr>
        <w:t>els) because operational steady-</w:t>
      </w:r>
      <w:r w:rsidRPr="000D316A">
        <w:rPr>
          <w:rFonts w:cs="Times New Roman"/>
        </w:rPr>
        <w:t>state conditions are an even smaller portion of the runtime fraction.</w:t>
      </w:r>
    </w:p>
    <w:p w:rsidR="00BF0F61" w:rsidRDefault="00BF0F61" w:rsidP="00BF0F61">
      <w:pPr>
        <w:pStyle w:val="ListParagraph"/>
        <w:numPr>
          <w:ilvl w:val="0"/>
          <w:numId w:val="18"/>
        </w:numPr>
      </w:pPr>
      <w:r>
        <w:t>In the cooling mode, continuous fan operation with compressor cycling greatly increases moisture evaporation from the cooling coil. However, this impact is minimal with auto fan control (indoor fan time ‘on’ and ‘off’ the same as that of the compressor), since only a small amount of evaporation occurs with the assumed 4 % airflow during the off-cycle with the indoor fan off.   If the air conditioner controls include an off-cycle fan delay – that keeps the fan on for 30-90 seconds after the compressor stops – then the impact of off-cycle evaporation is in between these two extremes [2</w:t>
      </w:r>
      <w:r w:rsidR="009D67A2">
        <w:t>3</w:t>
      </w:r>
      <w:r>
        <w:t>].  The results in this study assumed auto fan operation with no fan delay.</w:t>
      </w:r>
    </w:p>
    <w:p w:rsidR="00BF0F61" w:rsidRDefault="00BF0F61" w:rsidP="00BF0F61">
      <w:pPr>
        <w:pStyle w:val="NewTimes11"/>
        <w:numPr>
          <w:ilvl w:val="0"/>
          <w:numId w:val="18"/>
        </w:numPr>
        <w:rPr>
          <w:rFonts w:cs="Times New Roman"/>
        </w:rPr>
      </w:pPr>
      <w:r>
        <w:rPr>
          <w:rFonts w:cs="Times New Roman"/>
        </w:rPr>
        <w:t>In the heating mode, the backup heater</w:t>
      </w:r>
      <w:r w:rsidRPr="000D316A">
        <w:rPr>
          <w:rFonts w:cs="Times New Roman"/>
        </w:rPr>
        <w:t xml:space="preserve"> runtime is lower for the oversized unit since the larger heat pump meets more of the winter heating needs.</w:t>
      </w:r>
    </w:p>
    <w:p w:rsidR="00BF0F61" w:rsidRDefault="00BF0F61" w:rsidP="00BF0F61">
      <w:pPr>
        <w:pStyle w:val="ATPparagraph"/>
      </w:pPr>
      <w:r>
        <w:t xml:space="preserve">Heat pump sizing also affects the level of duct losses, and different oversizing scenarios are possible depending on the relative size of the heat pump and ductwork. The scenario considered in this paper represents the case where </w:t>
      </w:r>
      <w:r w:rsidRPr="006C1DB5">
        <w:t>the duct</w:t>
      </w:r>
      <w:r>
        <w:t>work</w:t>
      </w:r>
      <w:r w:rsidRPr="006C1DB5">
        <w:t xml:space="preserve"> has been sized for a heat pump of nominal capacity and remains unchanged for different size heat pumps. When the heat pump is oversized, the fan speed is increased but the airflow does not reach the target flow rate because the unit is not capable of </w:t>
      </w:r>
      <w:r>
        <w:t>overcoming</w:t>
      </w:r>
      <w:r w:rsidRPr="006C1DB5">
        <w:t xml:space="preserve"> the increased </w:t>
      </w:r>
      <w:r w:rsidRPr="006C1DB5">
        <w:lastRenderedPageBreak/>
        <w:t>external static pressure. Since the indoor fan works against increased static pressure, the fan powe</w:t>
      </w:r>
      <w:r>
        <w:t>r changes per the fan curve, i.e</w:t>
      </w:r>
      <w:r w:rsidRPr="006C1DB5">
        <w:t>., fa</w:t>
      </w:r>
      <w:r>
        <w:t>n power increases with</w:t>
      </w:r>
      <w:r w:rsidRPr="006C1DB5">
        <w:t xml:space="preserve"> an increasing unit size. The increased pressure in the duct increases the duct leakage. </w:t>
      </w:r>
      <w:r>
        <w:t xml:space="preserve"> The increased fan power (while working against increased static pressure) and increased fan heat added to the load are the main factors contributing to the significant increase in energy used in cooling-dominated climates (Houston, Las Vegas, Washington, DC).  These factors are mitigated in heating-dominated climates (Chicago and Minneapolis) since the oversized heat pump reduces the use of the electric resistance backup heat. </w:t>
      </w:r>
    </w:p>
    <w:p w:rsidR="00BF0F61" w:rsidRDefault="00BF0F61" w:rsidP="00BF0F61">
      <w:pPr>
        <w:pStyle w:val="ATPparagraph"/>
      </w:pPr>
      <w:bookmarkStart w:id="1" w:name="_Toc341689319"/>
      <w:r>
        <w:t xml:space="preserve">Table </w:t>
      </w:r>
      <w:r w:rsidR="00CC1DEB">
        <w:t>3</w:t>
      </w:r>
      <w:r>
        <w:t xml:space="preserve"> shows in detail the effect of sizing on the total performance for Houston and Minneapolis to contrast the detailed results obtained for a cooling-dominated climate with those for a heating dominated climate. The </w:t>
      </w:r>
      <w:r w:rsidRPr="007B5AE0">
        <w:t xml:space="preserve">threshold 55 % relative humidity value used in the third column was selected as the level above which humidity might start to be a concern.  </w:t>
      </w:r>
      <w:r w:rsidRPr="008419FD">
        <w:t>The ‘Space Temp Max’ column contains the highest indoor temperature reached during the cooling season. The</w:t>
      </w:r>
      <w:r>
        <w:t xml:space="preserve"> column ‘AC Energy’ contains the energy used by the compressor and outdoor fan to provide cooling; the column ‘</w:t>
      </w:r>
      <w:proofErr w:type="spellStart"/>
      <w:r>
        <w:t>Htg</w:t>
      </w:r>
      <w:proofErr w:type="spellEnd"/>
      <w:r>
        <w:t xml:space="preserve"> Energy’ contains the energy used by the compressor, outdoor fan, and backup heat to provide heating; and the column ‘AHU Fan Energy’ contains the energy used by the indoor fan during the whole year. The column ‘TOTAL ENERGY’ contains the total energy used by the heat pump throughout the entire year, which consists of the energy use listed in the three previous columns, and the energy used by the home exhaust fan.</w:t>
      </w:r>
    </w:p>
    <w:p w:rsidR="00BF0F61" w:rsidRDefault="00BF0F61" w:rsidP="00BF0F61"/>
    <w:bookmarkEnd w:id="1"/>
    <w:p w:rsidR="00BF0F61" w:rsidRPr="00C3412D" w:rsidRDefault="00BF0F61" w:rsidP="00BF0F61">
      <w:pPr>
        <w:pStyle w:val="NewTimes11"/>
      </w:pPr>
      <w:proofErr w:type="gramStart"/>
      <w:r>
        <w:t xml:space="preserve">Table </w:t>
      </w:r>
      <w:r w:rsidR="00CC1DEB">
        <w:t>3</w:t>
      </w:r>
      <w:r w:rsidRPr="00C3412D">
        <w:t>.</w:t>
      </w:r>
      <w:proofErr w:type="gramEnd"/>
      <w:r w:rsidRPr="00C3412D">
        <w:t xml:space="preserve"> Effect of heat pump sizing on annual energy use for</w:t>
      </w:r>
      <w:r>
        <w:t xml:space="preserve"> a</w:t>
      </w:r>
      <w:r w:rsidRPr="00C3412D">
        <w:t xml:space="preserve"> house with </w:t>
      </w:r>
      <w:r>
        <w:t xml:space="preserve">a </w:t>
      </w:r>
      <w:r w:rsidRPr="00C3412D">
        <w:t>fixed duct size</w:t>
      </w:r>
    </w:p>
    <w:p w:rsidR="00BF0F61" w:rsidRDefault="00BF0F61" w:rsidP="00BF0F61">
      <w:pPr>
        <w:pStyle w:val="NewTimes11"/>
      </w:pPr>
    </w:p>
    <w:p w:rsidR="00BF0F61" w:rsidRDefault="00F572A0" w:rsidP="00BF0F61">
      <w:pPr>
        <w:pStyle w:val="NewTimes11"/>
      </w:pPr>
      <w:r>
        <w:rPr>
          <w:noProof/>
        </w:rPr>
        <w:drawing>
          <wp:inline distT="0" distB="0" distL="0" distR="0" wp14:anchorId="2345C398" wp14:editId="6DFD47A4">
            <wp:extent cx="5943600" cy="987425"/>
            <wp:effectExtent l="0" t="0" r="0" b="3175"/>
            <wp:docPr id="12"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9"/>
                    <a:srcRect/>
                    <a:stretch>
                      <a:fillRect/>
                    </a:stretch>
                  </pic:blipFill>
                  <pic:spPr bwMode="auto">
                    <a:xfrm>
                      <a:off x="0" y="0"/>
                      <a:ext cx="5943600" cy="987425"/>
                    </a:xfrm>
                    <a:prstGeom prst="rect">
                      <a:avLst/>
                    </a:prstGeom>
                    <a:noFill/>
                    <a:ln w="9525">
                      <a:noFill/>
                      <a:miter lim="800000"/>
                      <a:headEnd/>
                      <a:tailEnd/>
                    </a:ln>
                  </pic:spPr>
                </pic:pic>
              </a:graphicData>
            </a:graphic>
          </wp:inline>
        </w:drawing>
      </w:r>
    </w:p>
    <w:p w:rsidR="00BF0F61" w:rsidRDefault="00F572A0" w:rsidP="00BF0F61">
      <w:r>
        <w:rPr>
          <w:noProof/>
        </w:rPr>
        <w:drawing>
          <wp:inline distT="0" distB="0" distL="0" distR="0" wp14:anchorId="795087B2" wp14:editId="461C12D1">
            <wp:extent cx="5943600" cy="987425"/>
            <wp:effectExtent l="0" t="0" r="0" b="3175"/>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0"/>
                    <a:srcRect/>
                    <a:stretch>
                      <a:fillRect/>
                    </a:stretch>
                  </pic:blipFill>
                  <pic:spPr bwMode="auto">
                    <a:xfrm>
                      <a:off x="0" y="0"/>
                      <a:ext cx="5943600" cy="987425"/>
                    </a:xfrm>
                    <a:prstGeom prst="rect">
                      <a:avLst/>
                    </a:prstGeom>
                    <a:noFill/>
                    <a:ln w="9525">
                      <a:noFill/>
                      <a:miter lim="800000"/>
                      <a:headEnd/>
                      <a:tailEnd/>
                    </a:ln>
                  </pic:spPr>
                </pic:pic>
              </a:graphicData>
            </a:graphic>
          </wp:inline>
        </w:drawing>
      </w:r>
    </w:p>
    <w:p w:rsidR="00BF0F61" w:rsidRDefault="00BF0F61" w:rsidP="00BF0F61"/>
    <w:p w:rsidR="00BF0F61" w:rsidRDefault="00BF0F61" w:rsidP="00BF0F61">
      <w:pPr>
        <w:jc w:val="left"/>
      </w:pPr>
      <w:r>
        <w:t xml:space="preserve">At first glance, the reader may be surprised by a decrease in the energy use in houses located in cooling-dominated climates when the heat pump is undersized. The lower energy use is a result of the heat pump unable to handle all the cooling load (the indoor temperature increases on hot days). For the heating dominated climates, the energy use is increased because of the significantly increased use of the resistance heat. Figure 2 shows relative energy input for houses in all locations.  </w:t>
      </w:r>
    </w:p>
    <w:p w:rsidR="00BF0F61" w:rsidRDefault="00BF0F61" w:rsidP="00BF0F61">
      <w:pPr>
        <w:jc w:val="left"/>
      </w:pPr>
    </w:p>
    <w:p w:rsidR="00BF0F61" w:rsidRDefault="00BF0F61" w:rsidP="00BF0F61">
      <w:pPr>
        <w:jc w:val="left"/>
      </w:pPr>
      <w:r w:rsidRPr="00C3412D">
        <w:rPr>
          <w:noProof/>
        </w:rPr>
        <w:lastRenderedPageBreak/>
        <w:drawing>
          <wp:inline distT="0" distB="0" distL="0" distR="0">
            <wp:extent cx="4078224" cy="2487168"/>
            <wp:effectExtent l="0" t="0" r="0" b="8890"/>
            <wp:docPr id="235" name="Picture 2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78224" cy="2487168"/>
                    </a:xfrm>
                    <a:prstGeom prst="rect">
                      <a:avLst/>
                    </a:prstGeom>
                    <a:noFill/>
                    <a:ln>
                      <a:noFill/>
                    </a:ln>
                  </pic:spPr>
                </pic:pic>
              </a:graphicData>
            </a:graphic>
          </wp:inline>
        </w:drawing>
      </w:r>
    </w:p>
    <w:p w:rsidR="00BF0F61" w:rsidRDefault="00BF0F61" w:rsidP="00BF0F61">
      <w:pPr>
        <w:jc w:val="left"/>
        <w:rPr>
          <w:rStyle w:val="NewTimes11Char"/>
        </w:rPr>
      </w:pPr>
      <w:proofErr w:type="gramStart"/>
      <w:r>
        <w:t>Figure 2.</w:t>
      </w:r>
      <w:proofErr w:type="gramEnd"/>
      <w:r>
        <w:t xml:space="preserve"> Annual energy use for houses for different heat pump sizings</w:t>
      </w:r>
    </w:p>
    <w:p w:rsidR="00BF0F61" w:rsidRDefault="00BF0F61" w:rsidP="00BF0F61">
      <w:pPr>
        <w:jc w:val="left"/>
        <w:rPr>
          <w:b/>
        </w:rPr>
      </w:pPr>
    </w:p>
    <w:p w:rsidR="00BF0F61" w:rsidRPr="00312202" w:rsidRDefault="00BF0F61" w:rsidP="00BF0F61">
      <w:pPr>
        <w:pStyle w:val="ATPparagraph"/>
      </w:pPr>
      <w:r w:rsidRPr="00312202">
        <w:t>Another somewhat surprising result is the impact that oversizing has on space humidity levels.  The number of hours exceeding 55 % RH decreases when the unit is oversized</w:t>
      </w:r>
      <w:r w:rsidR="004016F1">
        <w:t>, especially</w:t>
      </w:r>
      <w:r w:rsidRPr="00312202">
        <w:t xml:space="preserve"> in Houston.  This reduction is primarily due to effect of duct leakage:  the larger unit size reduces the fan runtime thereby reducing the amount of moisture brought into the house via return air leaks.  A secondary factor in lowering humidity levels is the increases sensible gains (or heat) provided by the increases fan power for the oversized unit.  </w:t>
      </w:r>
    </w:p>
    <w:p w:rsidR="00BF0F61" w:rsidRPr="00312202" w:rsidRDefault="00BF0F61" w:rsidP="00BF0F61">
      <w:pPr>
        <w:jc w:val="left"/>
      </w:pPr>
    </w:p>
    <w:p w:rsidR="00BF0F61" w:rsidRPr="00312202" w:rsidRDefault="00BF0F61" w:rsidP="00BF0F61">
      <w:pPr>
        <w:pStyle w:val="NewTimes11"/>
        <w:numPr>
          <w:ilvl w:val="2"/>
          <w:numId w:val="40"/>
        </w:numPr>
        <w:ind w:left="630" w:hanging="630"/>
        <w:rPr>
          <w:i/>
        </w:rPr>
      </w:pPr>
      <w:r w:rsidRPr="006B6D1C">
        <w:rPr>
          <w:i/>
        </w:rPr>
        <w:t>Effect of duct leakage</w:t>
      </w:r>
    </w:p>
    <w:p w:rsidR="00BF0F61" w:rsidRDefault="00BF0F61" w:rsidP="00BF0F61">
      <w:pPr>
        <w:pStyle w:val="ATPparagraph"/>
      </w:pPr>
      <w:r w:rsidRPr="000D316A">
        <w:t>The baseline houses include ducts in the attic with a leakage rate of 10 % (leakage distributed 60 % on the supply side and 40</w:t>
      </w:r>
      <w:r>
        <w:t xml:space="preserve"> </w:t>
      </w:r>
      <w:r w:rsidRPr="000D316A">
        <w:t>% on the return side) as well as thermal losses t</w:t>
      </w:r>
      <w:r>
        <w:t xml:space="preserve">hrough the duct wall.  Table </w:t>
      </w:r>
      <w:r w:rsidR="00CC1DEB">
        <w:t>4</w:t>
      </w:r>
      <w:r w:rsidRPr="000D316A">
        <w:t xml:space="preserve"> compares this base case to other levels of duct leakage</w:t>
      </w:r>
      <w:r>
        <w:t xml:space="preserve"> with the thermostat set at the default set point temperature (Table </w:t>
      </w:r>
      <w:r w:rsidR="00D65AB5">
        <w:t>1</w:t>
      </w:r>
      <w:r>
        <w:t>)</w:t>
      </w:r>
      <w:r w:rsidRPr="000D316A">
        <w:t xml:space="preserve">.  </w:t>
      </w:r>
      <w:r>
        <w:t>The entry ‘0 % &amp; No thermal’ in the left most column denotes an ideali</w:t>
      </w:r>
      <w:r w:rsidR="004016F1">
        <w:t>zed</w:t>
      </w:r>
      <w:r>
        <w:t xml:space="preserve"> installation with zero air leakage and no thermal loss (i.e., </w:t>
      </w:r>
      <w:proofErr w:type="gramStart"/>
      <w:r>
        <w:t>an insulation</w:t>
      </w:r>
      <w:proofErr w:type="gramEnd"/>
      <w:r>
        <w:t xml:space="preserve"> with an infinite R or ducts located in the conditioned space). </w:t>
      </w:r>
    </w:p>
    <w:p w:rsidR="00BF0F61" w:rsidRDefault="00BF0F61" w:rsidP="00BF0F61">
      <w:pPr>
        <w:pStyle w:val="ATPparagraph"/>
      </w:pPr>
      <w:r w:rsidRPr="00D13D85">
        <w:t>As expected, the baseline duct losses increase energy use in the baseline houses; our simulations showed a 20 % and 30 % increase for the cooling climates and heating climates, respectively, compared to the 0</w:t>
      </w:r>
      <w:r>
        <w:t xml:space="preserve"> </w:t>
      </w:r>
      <w:r w:rsidRPr="00D13D85">
        <w:t>% leak</w:t>
      </w:r>
      <w:r>
        <w:t>/no thermal loss</w:t>
      </w:r>
      <w:r w:rsidRPr="00D13D85">
        <w:t xml:space="preserve"> case.  As the duct leakage increases, energy use increases by at least 8</w:t>
      </w:r>
      <w:r>
        <w:t xml:space="preserve"> </w:t>
      </w:r>
      <w:r w:rsidRPr="00D13D85">
        <w:t>% for the cooling climates and by 12</w:t>
      </w:r>
      <w:r>
        <w:t xml:space="preserve"> </w:t>
      </w:r>
      <w:r w:rsidRPr="00D13D85">
        <w:t>% for the heating climates for each 10 % increment in the duct leakage fault. A slight improvement of the cooling COP shown with the increasing fault level is caused by a somewhat higher</w:t>
      </w:r>
      <w:r w:rsidRPr="000D316A">
        <w:t xml:space="preserve"> refrigerant saturation temperature (and pressure) in the evaporator when the air returning to the indoor section is at higher temperature</w:t>
      </w:r>
      <w:r>
        <w:t xml:space="preserve"> and humidity</w:t>
      </w:r>
      <w:r w:rsidRPr="000D316A">
        <w:t xml:space="preserve"> due to duct losses. This COP improvement, however, can’t compensate for the significant increase in the cooling load, which is the cause of the increased energy use.</w:t>
      </w:r>
      <w:r w:rsidR="00984406">
        <w:t xml:space="preserve"> </w:t>
      </w:r>
    </w:p>
    <w:p w:rsidR="00BF0F61" w:rsidRDefault="00BF0F61" w:rsidP="00BF0F61">
      <w:pPr>
        <w:pStyle w:val="NewTimes11"/>
      </w:pPr>
    </w:p>
    <w:p w:rsidR="00BF0F61" w:rsidRPr="008E551A" w:rsidRDefault="00BF0F61" w:rsidP="00BF0F61">
      <w:pPr>
        <w:pStyle w:val="NewTimes11"/>
        <w:spacing w:after="120"/>
      </w:pPr>
      <w:proofErr w:type="gramStart"/>
      <w:r>
        <w:rPr>
          <w:rFonts w:cs="Times New Roman"/>
        </w:rPr>
        <w:t xml:space="preserve">Table </w:t>
      </w:r>
      <w:r w:rsidR="00CC1DEB">
        <w:rPr>
          <w:rFonts w:cs="Times New Roman"/>
        </w:rPr>
        <w:t>4</w:t>
      </w:r>
      <w:r>
        <w:rPr>
          <w:rFonts w:cs="Times New Roman"/>
        </w:rPr>
        <w:t>.</w:t>
      </w:r>
      <w:proofErr w:type="gramEnd"/>
      <w:r>
        <w:rPr>
          <w:rFonts w:cs="Times New Roman"/>
        </w:rPr>
        <w:t xml:space="preserve">  </w:t>
      </w:r>
      <w:r w:rsidRPr="00F503DA">
        <w:rPr>
          <w:rFonts w:cs="Times New Roman"/>
        </w:rPr>
        <w:t xml:space="preserve">Effect of </w:t>
      </w:r>
      <w:r>
        <w:rPr>
          <w:rFonts w:cs="Times New Roman"/>
        </w:rPr>
        <w:t>duct leakage</w:t>
      </w:r>
      <w:r w:rsidRPr="00F503DA">
        <w:rPr>
          <w:rFonts w:cs="Times New Roman"/>
        </w:rPr>
        <w:t xml:space="preserve"> </w:t>
      </w:r>
      <w:r>
        <w:t xml:space="preserve">on annual energy use at default cooling set point </w:t>
      </w:r>
    </w:p>
    <w:p w:rsidR="00BF0F61" w:rsidRDefault="00F572A0" w:rsidP="00BF0F61">
      <w:pPr>
        <w:pStyle w:val="Caption"/>
        <w:spacing w:before="0" w:after="0"/>
      </w:pPr>
      <w:r>
        <w:rPr>
          <w:noProof/>
        </w:rPr>
        <w:drawing>
          <wp:inline distT="0" distB="0" distL="0" distR="0" wp14:anchorId="6A853967" wp14:editId="2E15624D">
            <wp:extent cx="5943600" cy="1137285"/>
            <wp:effectExtent l="0" t="0" r="0" b="5715"/>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2"/>
                    <a:srcRect/>
                    <a:stretch>
                      <a:fillRect/>
                    </a:stretch>
                  </pic:blipFill>
                  <pic:spPr bwMode="auto">
                    <a:xfrm>
                      <a:off x="0" y="0"/>
                      <a:ext cx="5943600" cy="1137285"/>
                    </a:xfrm>
                    <a:prstGeom prst="rect">
                      <a:avLst/>
                    </a:prstGeom>
                    <a:noFill/>
                    <a:ln w="9525">
                      <a:noFill/>
                      <a:miter lim="800000"/>
                      <a:headEnd/>
                      <a:tailEnd/>
                    </a:ln>
                  </pic:spPr>
                </pic:pic>
              </a:graphicData>
            </a:graphic>
          </wp:inline>
        </w:drawing>
      </w:r>
    </w:p>
    <w:p w:rsidR="00BF0F61" w:rsidRDefault="00F572A0" w:rsidP="00BF0F61">
      <w:pPr>
        <w:rPr>
          <w:b/>
          <w:color w:val="FF0000"/>
          <w:sz w:val="24"/>
          <w:szCs w:val="24"/>
        </w:rPr>
      </w:pPr>
      <w:r>
        <w:rPr>
          <w:noProof/>
        </w:rPr>
        <w:lastRenderedPageBreak/>
        <w:drawing>
          <wp:inline distT="0" distB="0" distL="0" distR="0" wp14:anchorId="289587BB" wp14:editId="0299046B">
            <wp:extent cx="5943600" cy="1137285"/>
            <wp:effectExtent l="0" t="0" r="0" b="5715"/>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3"/>
                    <a:srcRect/>
                    <a:stretch>
                      <a:fillRect/>
                    </a:stretch>
                  </pic:blipFill>
                  <pic:spPr bwMode="auto">
                    <a:xfrm>
                      <a:off x="0" y="0"/>
                      <a:ext cx="5943600" cy="1137285"/>
                    </a:xfrm>
                    <a:prstGeom prst="rect">
                      <a:avLst/>
                    </a:prstGeom>
                    <a:noFill/>
                    <a:ln w="9525">
                      <a:noFill/>
                      <a:miter lim="800000"/>
                      <a:headEnd/>
                      <a:tailEnd/>
                    </a:ln>
                  </pic:spPr>
                </pic:pic>
              </a:graphicData>
            </a:graphic>
          </wp:inline>
        </w:drawing>
      </w:r>
    </w:p>
    <w:p w:rsidR="00BF0F61" w:rsidRDefault="00BF0F61" w:rsidP="00BF0F61">
      <w:pPr>
        <w:rPr>
          <w:rFonts w:ascii="Arial" w:hAnsi="Arial" w:cs="Arial"/>
          <w:sz w:val="16"/>
          <w:szCs w:val="16"/>
        </w:rPr>
      </w:pPr>
      <w:r w:rsidRPr="00910156">
        <w:rPr>
          <w:rFonts w:ascii="Arial" w:hAnsi="Arial" w:cs="Arial"/>
          <w:sz w:val="16"/>
          <w:szCs w:val="16"/>
        </w:rPr>
        <w:t>Note: All simulation case</w:t>
      </w:r>
      <w:r>
        <w:rPr>
          <w:rFonts w:ascii="Arial" w:hAnsi="Arial" w:cs="Arial"/>
          <w:sz w:val="16"/>
          <w:szCs w:val="16"/>
        </w:rPr>
        <w:t>s</w:t>
      </w:r>
      <w:r w:rsidRPr="00910156">
        <w:rPr>
          <w:rFonts w:ascii="Arial" w:hAnsi="Arial" w:cs="Arial"/>
          <w:sz w:val="16"/>
          <w:szCs w:val="16"/>
        </w:rPr>
        <w:t xml:space="preserve"> account for thermal loss</w:t>
      </w:r>
      <w:r>
        <w:rPr>
          <w:rFonts w:ascii="Arial" w:hAnsi="Arial" w:cs="Arial"/>
          <w:sz w:val="16"/>
          <w:szCs w:val="16"/>
        </w:rPr>
        <w:t>es along with leakage losses exc</w:t>
      </w:r>
      <w:r w:rsidR="00680F0F">
        <w:rPr>
          <w:rFonts w:ascii="Arial" w:hAnsi="Arial" w:cs="Arial"/>
          <w:sz w:val="16"/>
          <w:szCs w:val="16"/>
        </w:rPr>
        <w:t>ept the case denoted ‘</w:t>
      </w:r>
      <w:r w:rsidRPr="00910156">
        <w:rPr>
          <w:rFonts w:ascii="Arial" w:hAnsi="Arial" w:cs="Arial"/>
          <w:sz w:val="16"/>
          <w:szCs w:val="16"/>
        </w:rPr>
        <w:t>0 % &amp; No thermal</w:t>
      </w:r>
      <w:r w:rsidR="00680F0F">
        <w:rPr>
          <w:rFonts w:ascii="Arial" w:hAnsi="Arial" w:cs="Arial"/>
          <w:sz w:val="16"/>
          <w:szCs w:val="16"/>
        </w:rPr>
        <w:t>’</w:t>
      </w:r>
      <w:r w:rsidRPr="00910156">
        <w:rPr>
          <w:rFonts w:ascii="Arial" w:hAnsi="Arial" w:cs="Arial"/>
          <w:sz w:val="16"/>
          <w:szCs w:val="16"/>
        </w:rPr>
        <w:t>.</w:t>
      </w:r>
    </w:p>
    <w:p w:rsidR="00BF0F61" w:rsidRDefault="00BF0F61" w:rsidP="00BF0F61">
      <w:pPr>
        <w:jc w:val="left"/>
      </w:pPr>
    </w:p>
    <w:p w:rsidR="00BF0F61" w:rsidRDefault="00984406" w:rsidP="002A3BDB">
      <w:pPr>
        <w:pStyle w:val="ATPparagraph"/>
        <w:ind w:firstLine="0"/>
      </w:pPr>
      <w:r>
        <w:t>Since the number of hours with relative humidity above 55 % increases with duct leakage</w:t>
      </w:r>
      <w:r w:rsidR="002856E0">
        <w:t xml:space="preserve">, a homeowner may be inclined to lower the thermostat cooling set point to improve indoor comfort. </w:t>
      </w:r>
      <w:r w:rsidR="00BF0F61" w:rsidRPr="00F34A40">
        <w:t xml:space="preserve">Figure </w:t>
      </w:r>
      <w:r w:rsidR="00CC1DEB">
        <w:t>3</w:t>
      </w:r>
      <w:r w:rsidR="00BF0F61">
        <w:t xml:space="preserve"> present</w:t>
      </w:r>
      <w:r w:rsidR="009D4E7A">
        <w:t>s</w:t>
      </w:r>
      <w:r w:rsidR="00BF0F61" w:rsidRPr="00F34A40">
        <w:t xml:space="preserve"> the </w:t>
      </w:r>
      <w:r w:rsidR="00BF0F61">
        <w:t>relative energy use for a slab-on-grade house in Houston with different duct leak rates at the three studied</w:t>
      </w:r>
      <w:r w:rsidR="00BF0F61" w:rsidRPr="00F34A40">
        <w:t xml:space="preserve"> </w:t>
      </w:r>
      <w:r w:rsidR="00BF0F61">
        <w:t>thermostat set point temperatures. The energy use is related to that of a house with 10 % leak rate (assumed as a representative of no-fault duct installation) at the defa</w:t>
      </w:r>
      <w:r w:rsidR="009207CF">
        <w:t>ult thermostat set point</w:t>
      </w:r>
      <w:r w:rsidR="00BF0F61">
        <w:t xml:space="preserve">. </w:t>
      </w:r>
      <w:r w:rsidR="009207CF">
        <w:t xml:space="preserve">Energy use increases by almost 17 % and 60 % as the thermostat is lowered by 1.1 </w:t>
      </w:r>
      <w:r w:rsidR="009207CF" w:rsidRPr="00F34A40">
        <w:t>°</w:t>
      </w:r>
      <w:r w:rsidR="009207CF">
        <w:t xml:space="preserve">C and 2.2 </w:t>
      </w:r>
      <w:r w:rsidR="009207CF" w:rsidRPr="00F34A40">
        <w:t>°</w:t>
      </w:r>
      <w:r w:rsidR="009207CF">
        <w:t xml:space="preserve">C, respectively. </w:t>
      </w:r>
      <w:r w:rsidR="00BF0F61">
        <w:t xml:space="preserve">For the house with a 40 % duct leakage, the energy use is predicted to be 47 % and 97 % higher than for the reference house if the set point temperature is lowered by 1.1 </w:t>
      </w:r>
      <w:r w:rsidR="00BF0F61" w:rsidRPr="00F34A40">
        <w:t>°</w:t>
      </w:r>
      <w:r w:rsidR="00BF0F61">
        <w:t xml:space="preserve">C and 2.2 </w:t>
      </w:r>
      <w:r w:rsidR="00BF0F61" w:rsidRPr="00F34A40">
        <w:t>°</w:t>
      </w:r>
      <w:r w:rsidR="00BF0F61">
        <w:t>C, respectively</w:t>
      </w:r>
      <w:r w:rsidR="00D65AB5">
        <w:t>.</w:t>
      </w:r>
      <w:r w:rsidR="00BF0F61">
        <w:t xml:space="preserve"> </w:t>
      </w:r>
    </w:p>
    <w:p w:rsidR="00BF0F61" w:rsidRDefault="00BF0F61" w:rsidP="00BF0F61">
      <w:pPr>
        <w:pStyle w:val="NewTimes11"/>
      </w:pPr>
    </w:p>
    <w:p w:rsidR="00BF0F61" w:rsidRDefault="004016F1" w:rsidP="00BF0F61">
      <w:pPr>
        <w:pStyle w:val="NewTimes11"/>
        <w:spacing w:after="120"/>
        <w:jc w:val="left"/>
      </w:pPr>
      <w:r>
        <w:rPr>
          <w:noProof/>
        </w:rPr>
        <w:drawing>
          <wp:inline distT="0" distB="0" distL="0" distR="0" wp14:anchorId="04B875C9" wp14:editId="338B65C7">
            <wp:extent cx="4521517" cy="275082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9D4E7A" w:rsidRDefault="00BF0F61" w:rsidP="00BF0F61">
      <w:pPr>
        <w:pStyle w:val="NewTimes11"/>
        <w:spacing w:after="120"/>
        <w:jc w:val="left"/>
      </w:pPr>
      <w:proofErr w:type="gramStart"/>
      <w:r w:rsidRPr="00F34A40">
        <w:t xml:space="preserve">Figure </w:t>
      </w:r>
      <w:r w:rsidR="00936501">
        <w:t>3</w:t>
      </w:r>
      <w:r>
        <w:t>.</w:t>
      </w:r>
      <w:proofErr w:type="gramEnd"/>
      <w:r>
        <w:t xml:space="preserve"> Energy use for duct leak rates from 10 % to 50 % at the default</w:t>
      </w:r>
      <w:r w:rsidRPr="00F34A40">
        <w:t xml:space="preserve"> </w:t>
      </w:r>
      <w:r>
        <w:t xml:space="preserve">thermostat set point temperature and two set points lowered by 1.1 </w:t>
      </w:r>
      <w:r w:rsidRPr="00F34A40">
        <w:t>°</w:t>
      </w:r>
      <w:r>
        <w:t xml:space="preserve">C and 2.2 </w:t>
      </w:r>
      <w:r w:rsidRPr="00F34A40">
        <w:t>°</w:t>
      </w:r>
      <w:r>
        <w:t>C</w:t>
      </w:r>
      <w:r w:rsidDel="00FF561B">
        <w:t xml:space="preserve"> </w:t>
      </w:r>
      <w:r>
        <w:t>related to energy use for the house at the default set point and 10 % leak rate in Houston</w:t>
      </w:r>
    </w:p>
    <w:p w:rsidR="00BF0F61" w:rsidRPr="00312202" w:rsidRDefault="00BF0F61" w:rsidP="00BF0F61">
      <w:pPr>
        <w:pStyle w:val="NewTimes11"/>
        <w:numPr>
          <w:ilvl w:val="2"/>
          <w:numId w:val="40"/>
        </w:numPr>
        <w:ind w:left="540" w:hanging="540"/>
        <w:rPr>
          <w:i/>
        </w:rPr>
      </w:pPr>
      <w:r w:rsidRPr="006B6D1C">
        <w:rPr>
          <w:i/>
        </w:rPr>
        <w:t>Effect of indoor coil airflow</w:t>
      </w:r>
    </w:p>
    <w:p w:rsidR="00BF0F61" w:rsidRDefault="00BF0F61" w:rsidP="00BF0F61">
      <w:pPr>
        <w:pStyle w:val="ATPparagraph"/>
        <w:rPr>
          <w:rStyle w:val="NewTimes11Char"/>
        </w:rPr>
      </w:pPr>
      <w:r>
        <w:rPr>
          <w:rStyle w:val="NewTimes11Char"/>
        </w:rPr>
        <w:t xml:space="preserve">This fault covers the case where a heat pump properly sized for the building load operates with improperly sized ductwork. As a result, the indoor coil airflow is not nominal. </w:t>
      </w:r>
      <w:r>
        <w:t xml:space="preserve">The simulated indoor airflows, ranging from -36 % to +28 % of the </w:t>
      </w:r>
      <w:r w:rsidR="009207CF">
        <w:t>designed air</w:t>
      </w:r>
      <w:r>
        <w:t xml:space="preserve"> flow, corresponded to external static pressures of (177, 171, 168, 165, and 149) Pa, respectively. </w:t>
      </w:r>
      <w:r>
        <w:rPr>
          <w:rStyle w:val="NewTimes11Char"/>
        </w:rPr>
        <w:t xml:space="preserve">Reduced airflow results in an increase in energy consumption, and this effect is similar for all houses in all climates studied (Figure </w:t>
      </w:r>
      <w:r w:rsidR="00936501">
        <w:rPr>
          <w:rStyle w:val="NewTimes11Char"/>
        </w:rPr>
        <w:t>4</w:t>
      </w:r>
      <w:r>
        <w:rPr>
          <w:rStyle w:val="NewTimes11Char"/>
        </w:rPr>
        <w:t xml:space="preserve">).  For the lowest airflow, 36 % below the nominal value, the energy use increased from 11 % to 14 %.  </w:t>
      </w:r>
    </w:p>
    <w:p w:rsidR="00BF0F61" w:rsidRDefault="00BF0F61" w:rsidP="00BF0F61">
      <w:pPr>
        <w:jc w:val="left"/>
        <w:rPr>
          <w:rStyle w:val="NewTimes11Char"/>
        </w:rPr>
      </w:pPr>
    </w:p>
    <w:p w:rsidR="00BF0F61" w:rsidRDefault="009207CF" w:rsidP="00BF0F61">
      <w:pPr>
        <w:jc w:val="left"/>
      </w:pPr>
      <w:r w:rsidRPr="00E27ACC">
        <w:rPr>
          <w:noProof/>
        </w:rPr>
        <w:lastRenderedPageBreak/>
        <w:drawing>
          <wp:inline distT="0" distB="0" distL="0" distR="0" wp14:anchorId="5BEF9417" wp14:editId="11112853">
            <wp:extent cx="4059936" cy="2487168"/>
            <wp:effectExtent l="0" t="0" r="0" b="8890"/>
            <wp:docPr id="255" name="Picture 2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059936" cy="2487168"/>
                    </a:xfrm>
                    <a:prstGeom prst="rect">
                      <a:avLst/>
                    </a:prstGeom>
                    <a:noFill/>
                    <a:ln>
                      <a:noFill/>
                    </a:ln>
                  </pic:spPr>
                </pic:pic>
              </a:graphicData>
            </a:graphic>
          </wp:inline>
        </w:drawing>
      </w:r>
    </w:p>
    <w:p w:rsidR="00BF0F61" w:rsidRDefault="00BF0F61" w:rsidP="00BF0F61">
      <w:pPr>
        <w:jc w:val="left"/>
        <w:rPr>
          <w:rStyle w:val="NewTimes11Char"/>
        </w:rPr>
      </w:pPr>
      <w:proofErr w:type="gramStart"/>
      <w:r>
        <w:t xml:space="preserve">Figure </w:t>
      </w:r>
      <w:r w:rsidR="00936501">
        <w:t>4</w:t>
      </w:r>
      <w:r>
        <w:t>.</w:t>
      </w:r>
      <w:proofErr w:type="gramEnd"/>
      <w:r>
        <w:t xml:space="preserve"> Annual energy use for houses with different indoor coil airflows relative to energy use for the house in the same location with nominal airflow rate</w:t>
      </w:r>
    </w:p>
    <w:p w:rsidR="00BF0F61" w:rsidRDefault="00BF0F61" w:rsidP="00BF0F61">
      <w:pPr>
        <w:jc w:val="left"/>
        <w:rPr>
          <w:rStyle w:val="NewTimes11Char"/>
        </w:rPr>
      </w:pPr>
    </w:p>
    <w:p w:rsidR="00BF0F61" w:rsidRDefault="00BF0F61" w:rsidP="00BF0F61">
      <w:pPr>
        <w:pStyle w:val="ATPparagraph"/>
      </w:pPr>
      <w:r>
        <w:t>In the cooling mode, r</w:t>
      </w:r>
      <w:r w:rsidRPr="006C0DB9">
        <w:t xml:space="preserve">educing the </w:t>
      </w:r>
      <w:r w:rsidR="00696CA8">
        <w:t xml:space="preserve">capacity specific </w:t>
      </w:r>
      <w:r w:rsidRPr="006C0DB9">
        <w:t xml:space="preserve">airflow below the </w:t>
      </w:r>
      <w:r w:rsidRPr="000D316A">
        <w:t xml:space="preserve">nominal value of </w:t>
      </w:r>
      <w:r>
        <w:t>181.1</w:t>
      </w:r>
      <w:r w:rsidRPr="00214E2C">
        <w:t xml:space="preserve"> </w:t>
      </w:r>
      <w:r>
        <w:t>m</w:t>
      </w:r>
      <w:r w:rsidRPr="001414D0">
        <w:rPr>
          <w:vertAlign w:val="superscript"/>
        </w:rPr>
        <w:t>3</w:t>
      </w:r>
      <w:r w:rsidR="00680F0F">
        <w:t>∙</w:t>
      </w:r>
      <w:r>
        <w:t>h</w:t>
      </w:r>
      <w:r w:rsidRPr="000D316A">
        <w:rPr>
          <w:vertAlign w:val="superscript"/>
        </w:rPr>
        <w:t>-1</w:t>
      </w:r>
      <w:r w:rsidR="00680F0F">
        <w:t>∙</w:t>
      </w:r>
      <w:r>
        <w:t>kW</w:t>
      </w:r>
      <w:r w:rsidRPr="001414D0">
        <w:rPr>
          <w:vertAlign w:val="superscript"/>
        </w:rPr>
        <w:t>-1</w:t>
      </w:r>
      <w:r>
        <w:rPr>
          <w:vertAlign w:val="superscript"/>
        </w:rPr>
        <w:t xml:space="preserve"> </w:t>
      </w:r>
      <w:r w:rsidR="00696CA8">
        <w:t xml:space="preserve"> </w:t>
      </w:r>
      <w:r w:rsidRPr="000D316A">
        <w:t>causes a decrease in the indoor coil temperature and provides better humidity control</w:t>
      </w:r>
      <w:r>
        <w:t>,</w:t>
      </w:r>
      <w:r w:rsidRPr="000D316A">
        <w:t xml:space="preserve"> but results in higher energy use because </w:t>
      </w:r>
      <w:r>
        <w:t>the sensible capacity is reduced and running time increased.</w:t>
      </w:r>
      <w:r w:rsidRPr="000D316A">
        <w:t xml:space="preserve"> Conversely, providing more airflow hurts humidity control in the house but decreases energy use.  The effici</w:t>
      </w:r>
      <w:r>
        <w:t>ency of the system goes</w:t>
      </w:r>
      <w:r w:rsidRPr="000D316A">
        <w:t xml:space="preserve"> up, and more importantly, the latent removal decreases so energy use decreases. </w:t>
      </w:r>
      <w:r>
        <w:t xml:space="preserve"> </w:t>
      </w:r>
    </w:p>
    <w:p w:rsidR="00BF0F61" w:rsidRDefault="00BF0F61" w:rsidP="00BF0F61">
      <w:pPr>
        <w:pStyle w:val="NewTimes11"/>
      </w:pPr>
    </w:p>
    <w:p w:rsidR="00BF0F61" w:rsidRPr="00F41843" w:rsidRDefault="00BF0F61" w:rsidP="00BF0F61">
      <w:pPr>
        <w:pStyle w:val="NewTimes11"/>
        <w:numPr>
          <w:ilvl w:val="2"/>
          <w:numId w:val="40"/>
        </w:numPr>
        <w:ind w:left="540" w:hanging="540"/>
        <w:rPr>
          <w:rFonts w:cs="Times New Roman"/>
          <w:i/>
        </w:rPr>
      </w:pPr>
      <w:bookmarkStart w:id="2" w:name="_Toc341689289"/>
      <w:r w:rsidRPr="006B6D1C">
        <w:rPr>
          <w:rFonts w:cs="Times New Roman"/>
          <w:i/>
        </w:rPr>
        <w:t>Effect of refrigerant undercharge</w:t>
      </w:r>
    </w:p>
    <w:p w:rsidR="00BF0F61" w:rsidRDefault="00BF0F61" w:rsidP="00BF0F61">
      <w:pPr>
        <w:pStyle w:val="ATPparagraph"/>
      </w:pPr>
      <w:r w:rsidRPr="005A2ACF">
        <w:t xml:space="preserve">When the amount of refrigerant charge in the </w:t>
      </w:r>
      <w:r>
        <w:t xml:space="preserve">TXV-controlled </w:t>
      </w:r>
      <w:r w:rsidRPr="005A2ACF">
        <w:t>system is below the nominal value, the perfor</w:t>
      </w:r>
      <w:r>
        <w:t xml:space="preserve">mance of the unit is degraded (Figure </w:t>
      </w:r>
      <w:r w:rsidR="00936501">
        <w:t>5</w:t>
      </w:r>
      <w:r>
        <w:t>).  The figure indicates that the energy use increases exponentially with increasing refrigerant undercharge. For the 30 % refrigerant undercharge level the energy use increases by as much as (17</w:t>
      </w:r>
      <w:r w:rsidRPr="005A2ACF">
        <w:t xml:space="preserve"> ~ </w:t>
      </w:r>
      <w:r>
        <w:t>23</w:t>
      </w:r>
      <w:r w:rsidRPr="005A2ACF">
        <w:t>) %</w:t>
      </w:r>
      <w:r>
        <w:t xml:space="preserve">. </w:t>
      </w:r>
      <w:r w:rsidRPr="005A2ACF">
        <w:t xml:space="preserve">The moisture removal capacity of the unit is also degraded when the unit is undercharged.  </w:t>
      </w:r>
    </w:p>
    <w:p w:rsidR="00BF0F61" w:rsidRDefault="00BF0F61" w:rsidP="00BF0F61">
      <w:pPr>
        <w:jc w:val="left"/>
      </w:pPr>
    </w:p>
    <w:p w:rsidR="00BF0F61" w:rsidRDefault="00936501" w:rsidP="00BF0F61">
      <w:pPr>
        <w:spacing w:after="120"/>
        <w:jc w:val="left"/>
      </w:pPr>
      <w:r w:rsidRPr="00E27ACC">
        <w:rPr>
          <w:noProof/>
        </w:rPr>
        <w:drawing>
          <wp:inline distT="0" distB="0" distL="0" distR="0">
            <wp:extent cx="4187952" cy="2551176"/>
            <wp:effectExtent l="0" t="0" r="3175" b="1905"/>
            <wp:docPr id="85" name="Pictur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187952" cy="2551176"/>
                    </a:xfrm>
                    <a:prstGeom prst="rect">
                      <a:avLst/>
                    </a:prstGeom>
                    <a:noFill/>
                    <a:ln>
                      <a:noFill/>
                    </a:ln>
                  </pic:spPr>
                </pic:pic>
              </a:graphicData>
            </a:graphic>
          </wp:inline>
        </w:drawing>
      </w:r>
    </w:p>
    <w:p w:rsidR="00BF0F61" w:rsidRDefault="00BF0F61" w:rsidP="00BF0F61">
      <w:pPr>
        <w:tabs>
          <w:tab w:val="left" w:pos="630"/>
        </w:tabs>
        <w:spacing w:line="238" w:lineRule="auto"/>
        <w:jc w:val="left"/>
      </w:pPr>
      <w:proofErr w:type="gramStart"/>
      <w:r>
        <w:t xml:space="preserve">Figure </w:t>
      </w:r>
      <w:r w:rsidR="00936501">
        <w:t>5</w:t>
      </w:r>
      <w:r>
        <w:t>.</w:t>
      </w:r>
      <w:proofErr w:type="gramEnd"/>
      <w:r>
        <w:t xml:space="preserve">  Annual energy use at different levels of refrigerant undercharge relative to the annual energy use for the house in the same location when the heat pump operates with the nominal refrigerant charge</w:t>
      </w:r>
    </w:p>
    <w:p w:rsidR="00BF0F61" w:rsidRDefault="00BF0F61" w:rsidP="00BF0F61">
      <w:pPr>
        <w:tabs>
          <w:tab w:val="left" w:pos="630"/>
        </w:tabs>
        <w:spacing w:line="238" w:lineRule="auto"/>
        <w:jc w:val="left"/>
      </w:pPr>
    </w:p>
    <w:p w:rsidR="00BF0F61" w:rsidRPr="00F41843" w:rsidRDefault="00BF0F61" w:rsidP="00BF0F61">
      <w:pPr>
        <w:tabs>
          <w:tab w:val="left" w:pos="630"/>
        </w:tabs>
        <w:spacing w:line="238" w:lineRule="auto"/>
        <w:jc w:val="left"/>
        <w:rPr>
          <w:i/>
        </w:rPr>
      </w:pPr>
      <w:r>
        <w:rPr>
          <w:i/>
        </w:rPr>
        <w:lastRenderedPageBreak/>
        <w:t xml:space="preserve">4.1.5. </w:t>
      </w:r>
      <w:r w:rsidRPr="00F41843">
        <w:rPr>
          <w:i/>
        </w:rPr>
        <w:t>Effect of refrigerant overcharge</w:t>
      </w:r>
    </w:p>
    <w:p w:rsidR="00BF0F61" w:rsidRDefault="00BF0F61" w:rsidP="00BF0F61">
      <w:pPr>
        <w:pStyle w:val="ATPparagraph"/>
      </w:pPr>
      <w:r w:rsidRPr="005A2ACF">
        <w:t xml:space="preserve">When the amount of refrigerant charge in the system is above the </w:t>
      </w:r>
      <w:r>
        <w:t>correct (nominal)</w:t>
      </w:r>
      <w:r w:rsidRPr="005A2ACF">
        <w:t xml:space="preserve"> value, the performance of the unit is degraded</w:t>
      </w:r>
      <w:r>
        <w:t xml:space="preserve"> (Figure </w:t>
      </w:r>
      <w:r w:rsidR="00936501">
        <w:t>6</w:t>
      </w:r>
      <w:r>
        <w:t>).  The heat pump uses (10 ~ 16</w:t>
      </w:r>
      <w:r w:rsidRPr="00711054">
        <w:t>) % more energy</w:t>
      </w:r>
      <w:r w:rsidRPr="005A2ACF">
        <w:t xml:space="preserve"> </w:t>
      </w:r>
      <w:r>
        <w:t xml:space="preserve">when overcharged by </w:t>
      </w:r>
      <w:r w:rsidRPr="005A2ACF">
        <w:t>30</w:t>
      </w:r>
      <w:r>
        <w:t xml:space="preserve"> </w:t>
      </w:r>
      <w:r w:rsidRPr="005A2ACF">
        <w:t>%</w:t>
      </w:r>
      <w:r>
        <w:t xml:space="preserve">, with somewhat higher increases in energy use occurring in localities with a significant heating season (i.e., Chicago, Washington DC, and Minneapolis). The moisture removal capability of the unit is not </w:t>
      </w:r>
      <w:r w:rsidRPr="00AD307F">
        <w:t xml:space="preserve">affected by the </w:t>
      </w:r>
      <w:r>
        <w:t xml:space="preserve">overcharge fault. </w:t>
      </w:r>
      <w:r w:rsidRPr="00AD307F">
        <w:t xml:space="preserve"> </w:t>
      </w:r>
      <w:r>
        <w:t xml:space="preserve"> </w:t>
      </w:r>
    </w:p>
    <w:p w:rsidR="00BF0F61" w:rsidRDefault="002856E0" w:rsidP="00BF0F61">
      <w:pPr>
        <w:rPr>
          <w:b/>
        </w:rPr>
      </w:pPr>
      <w:r w:rsidRPr="00AA62C3">
        <w:rPr>
          <w:noProof/>
        </w:rPr>
        <w:drawing>
          <wp:inline distT="0" distB="0" distL="0" distR="0">
            <wp:extent cx="4041648" cy="2450592"/>
            <wp:effectExtent l="0" t="0" r="0" b="6985"/>
            <wp:docPr id="88" name="Picture 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041648" cy="2450592"/>
                    </a:xfrm>
                    <a:prstGeom prst="rect">
                      <a:avLst/>
                    </a:prstGeom>
                    <a:noFill/>
                    <a:ln>
                      <a:noFill/>
                    </a:ln>
                  </pic:spPr>
                </pic:pic>
              </a:graphicData>
            </a:graphic>
          </wp:inline>
        </w:drawing>
      </w:r>
    </w:p>
    <w:p w:rsidR="00BF0F61" w:rsidRDefault="00BF0F61" w:rsidP="00BF0F61">
      <w:pPr>
        <w:jc w:val="left"/>
        <w:rPr>
          <w:rStyle w:val="NewTimes11Char"/>
        </w:rPr>
      </w:pPr>
      <w:proofErr w:type="gramStart"/>
      <w:r>
        <w:t xml:space="preserve">Figure </w:t>
      </w:r>
      <w:r w:rsidR="00196574">
        <w:t>6</w:t>
      </w:r>
      <w:r>
        <w:t>.</w:t>
      </w:r>
      <w:proofErr w:type="gramEnd"/>
      <w:r>
        <w:t xml:space="preserve"> Annual energy use at different levels of refrigerant overcharge relative to the annual energy use for the house in the same location when the heat pump operates with the nominal refrigerant charge</w:t>
      </w:r>
    </w:p>
    <w:p w:rsidR="00BF0F61" w:rsidRDefault="00BF0F61" w:rsidP="00BF0F61">
      <w:pPr>
        <w:jc w:val="left"/>
        <w:rPr>
          <w:b/>
        </w:rPr>
      </w:pPr>
    </w:p>
    <w:p w:rsidR="00BF0F61" w:rsidRPr="00F41843" w:rsidRDefault="00BF0F61" w:rsidP="00BF0F61">
      <w:pPr>
        <w:rPr>
          <w:b/>
          <w:i/>
        </w:rPr>
      </w:pPr>
      <w:r>
        <w:rPr>
          <w:i/>
        </w:rPr>
        <w:t xml:space="preserve">4.1.6 </w:t>
      </w:r>
      <w:r w:rsidRPr="00F41843">
        <w:rPr>
          <w:i/>
        </w:rPr>
        <w:t>Effect of non-condensable gases</w:t>
      </w:r>
    </w:p>
    <w:p w:rsidR="00BF0F61" w:rsidRDefault="00BF0F61" w:rsidP="00BF0F61">
      <w:pPr>
        <w:pStyle w:val="ATPparagraph"/>
      </w:pPr>
      <w:r w:rsidRPr="00AD307F">
        <w:t xml:space="preserve">If the refrigerant system </w:t>
      </w:r>
      <w:r>
        <w:t>has</w:t>
      </w:r>
      <w:r w:rsidRPr="00AD307F">
        <w:t xml:space="preserve"> non-condensable gases </w:t>
      </w:r>
      <w:r>
        <w:t xml:space="preserve">(e.g., air) </w:t>
      </w:r>
      <w:r w:rsidRPr="00AD307F">
        <w:t>mixed in with the refrigerant, the performance of the unit is degraded</w:t>
      </w:r>
      <w:r>
        <w:t>.</w:t>
      </w:r>
      <w:r w:rsidRPr="00711054">
        <w:t xml:space="preserve"> The overall </w:t>
      </w:r>
      <w:r>
        <w:t xml:space="preserve">simulation </w:t>
      </w:r>
      <w:r w:rsidRPr="00711054">
        <w:t>results show</w:t>
      </w:r>
      <w:r>
        <w:t>ed</w:t>
      </w:r>
      <w:r w:rsidRPr="00711054">
        <w:t xml:space="preserve"> </w:t>
      </w:r>
      <w:r>
        <w:t xml:space="preserve">a </w:t>
      </w:r>
      <w:r w:rsidRPr="00711054">
        <w:t xml:space="preserve">(1 ~ 2) % </w:t>
      </w:r>
      <w:r>
        <w:t>energy</w:t>
      </w:r>
      <w:r w:rsidRPr="00711054">
        <w:t xml:space="preserve"> use</w:t>
      </w:r>
      <w:r>
        <w:t xml:space="preserve"> increase in climates with a significant heating season and a </w:t>
      </w:r>
      <w:r w:rsidRPr="00AD307F">
        <w:t xml:space="preserve">4 % </w:t>
      </w:r>
      <w:r>
        <w:t>increase</w:t>
      </w:r>
      <w:r w:rsidRPr="00AD307F">
        <w:t xml:space="preserve"> in the warm</w:t>
      </w:r>
      <w:r>
        <w:t>er</w:t>
      </w:r>
      <w:r w:rsidRPr="00AD307F">
        <w:t xml:space="preserve"> climates</w:t>
      </w:r>
      <w:r>
        <w:t>. The moisture removal capability</w:t>
      </w:r>
      <w:r w:rsidRPr="00AD307F">
        <w:t xml:space="preserve"> of the unit is only m</w:t>
      </w:r>
      <w:r>
        <w:t>inimally</w:t>
      </w:r>
      <w:r w:rsidRPr="00AD307F">
        <w:t xml:space="preserve"> affected by the non-condensable gases in the system. </w:t>
      </w:r>
    </w:p>
    <w:p w:rsidR="00BF0F61" w:rsidRPr="00AD307F" w:rsidRDefault="00BF0F61" w:rsidP="00BF0F61">
      <w:pPr>
        <w:rPr>
          <w:b/>
        </w:rPr>
      </w:pPr>
      <w:r w:rsidRPr="00AD307F">
        <w:t xml:space="preserve"> </w:t>
      </w:r>
    </w:p>
    <w:p w:rsidR="00BF0F61" w:rsidRPr="00F41843" w:rsidRDefault="00BF0F61" w:rsidP="00BF0F61">
      <w:pPr>
        <w:pStyle w:val="ListParagraph"/>
        <w:numPr>
          <w:ilvl w:val="2"/>
          <w:numId w:val="50"/>
        </w:numPr>
        <w:ind w:left="630" w:hanging="630"/>
        <w:rPr>
          <w:i/>
        </w:rPr>
      </w:pPr>
      <w:r w:rsidRPr="00F41843">
        <w:rPr>
          <w:i/>
        </w:rPr>
        <w:t>Effect of voltage</w:t>
      </w:r>
    </w:p>
    <w:p w:rsidR="00BF0F61" w:rsidRDefault="00BF0F61" w:rsidP="00BF0F61">
      <w:pPr>
        <w:pStyle w:val="ATPparagraph"/>
      </w:pPr>
      <w:r w:rsidRPr="005A2ACF">
        <w:t>When input voltage to the unit is changed from the nominal value, the performance of the unit is degraded. The condition of 25 % overvoltage results in a (</w:t>
      </w:r>
      <w:r>
        <w:t>9</w:t>
      </w:r>
      <w:r w:rsidRPr="005A2ACF">
        <w:t xml:space="preserve"> </w:t>
      </w:r>
      <w:r w:rsidRPr="00711054">
        <w:t>~</w:t>
      </w:r>
      <w:r>
        <w:t>10</w:t>
      </w:r>
      <w:r w:rsidRPr="005A2ACF">
        <w:t xml:space="preserve">) % </w:t>
      </w:r>
      <w:r>
        <w:t>increase</w:t>
      </w:r>
      <w:r w:rsidRPr="005A2ACF">
        <w:t xml:space="preserve"> in annual energy </w:t>
      </w:r>
      <w:r>
        <w:t>consumption.</w:t>
      </w:r>
      <w:r w:rsidRPr="005A2ACF">
        <w:t xml:space="preserve"> This</w:t>
      </w:r>
      <w:r>
        <w:t xml:space="preserve"> </w:t>
      </w:r>
      <w:r w:rsidRPr="005A2ACF">
        <w:t xml:space="preserve">effect on the energy use does not include an adjustment for indoor fan power change with voltage.  </w:t>
      </w:r>
      <w:r>
        <w:t>The undervoltage of 8 % resulted in an insignificant (within 1 %) change in the energy use. Higher levels of undervoltage were not studied because of a possible heat pump catastrophic failure.</w:t>
      </w:r>
    </w:p>
    <w:p w:rsidR="00BF0F61" w:rsidRDefault="00BF0F61" w:rsidP="00BF0F61">
      <w:pPr>
        <w:jc w:val="left"/>
      </w:pPr>
    </w:p>
    <w:p w:rsidR="00BF0F61" w:rsidRPr="00F41843" w:rsidRDefault="00BF0F61" w:rsidP="00BF0F61">
      <w:pPr>
        <w:jc w:val="left"/>
        <w:rPr>
          <w:i/>
        </w:rPr>
      </w:pPr>
      <w:r>
        <w:rPr>
          <w:i/>
        </w:rPr>
        <w:t xml:space="preserve">4.1.8. </w:t>
      </w:r>
      <w:r w:rsidRPr="006B6D1C">
        <w:rPr>
          <w:i/>
        </w:rPr>
        <w:t xml:space="preserve">Effect of </w:t>
      </w:r>
      <w:r>
        <w:rPr>
          <w:i/>
        </w:rPr>
        <w:t>TXV</w:t>
      </w:r>
      <w:r w:rsidRPr="00C00F9D">
        <w:rPr>
          <w:i/>
        </w:rPr>
        <w:t xml:space="preserve"> sizing</w:t>
      </w:r>
      <w:r w:rsidRPr="00082A37">
        <w:rPr>
          <w:i/>
        </w:rPr>
        <w:t xml:space="preserve"> </w:t>
      </w:r>
    </w:p>
    <w:p w:rsidR="00BF0F61" w:rsidRDefault="00BF0F61" w:rsidP="00BF0F61">
      <w:pPr>
        <w:pStyle w:val="ATPparagraph"/>
      </w:pPr>
      <w:r>
        <w:t>U</w:t>
      </w:r>
      <w:r w:rsidRPr="005A2ACF">
        <w:t>ndersizing of the TXV</w:t>
      </w:r>
      <w:r>
        <w:t xml:space="preserve"> only</w:t>
      </w:r>
      <w:r w:rsidRPr="005A2ACF">
        <w:t xml:space="preserve"> in the cooling mode is considered in this study</w:t>
      </w:r>
      <w:r>
        <w:t>.</w:t>
      </w:r>
      <w:r w:rsidRPr="005A2ACF">
        <w:t xml:space="preserve">  </w:t>
      </w:r>
      <w:bookmarkEnd w:id="2"/>
      <w:r w:rsidRPr="005A2ACF">
        <w:t>When the size of the TXV does not match the compressor size</w:t>
      </w:r>
      <w:r>
        <w:t>,</w:t>
      </w:r>
      <w:r w:rsidRPr="005A2ACF">
        <w:t xml:space="preserve"> the performance of the system is degraded</w:t>
      </w:r>
      <w:r>
        <w:t xml:space="preserve"> (Figure </w:t>
      </w:r>
      <w:r w:rsidR="00196574">
        <w:t>7</w:t>
      </w:r>
      <w:r>
        <w:t>)</w:t>
      </w:r>
      <w:r w:rsidRPr="005A2ACF">
        <w:t xml:space="preserve">.  </w:t>
      </w:r>
      <w:r>
        <w:t>G</w:t>
      </w:r>
      <w:r w:rsidRPr="005A2ACF">
        <w:t>enerally</w:t>
      </w:r>
      <w:r>
        <w:t>,</w:t>
      </w:r>
      <w:r w:rsidRPr="005A2ACF">
        <w:t xml:space="preserve"> the impact is modest at 20 </w:t>
      </w:r>
      <w:r>
        <w:t xml:space="preserve">% undersizing in any climate and remains relatively small for Minneapolis at even higher fault levels. However, </w:t>
      </w:r>
      <w:r w:rsidRPr="005A2ACF">
        <w:t xml:space="preserve">the impact </w:t>
      </w:r>
      <w:r>
        <w:t>becomes significant at 40</w:t>
      </w:r>
      <w:r w:rsidRPr="005A2ACF">
        <w:t xml:space="preserve"> %</w:t>
      </w:r>
      <w:r>
        <w:t xml:space="preserve"> undersizing, particularly in hot climates where the energy use increases by (10</w:t>
      </w:r>
      <w:r w:rsidRPr="005A2ACF">
        <w:t xml:space="preserve"> ~ </w:t>
      </w:r>
      <w:r>
        <w:t>14) %.  Moisture removal is</w:t>
      </w:r>
      <w:r w:rsidRPr="005A2ACF">
        <w:t xml:space="preserve"> only modestly affected. </w:t>
      </w:r>
    </w:p>
    <w:p w:rsidR="00BF0F61" w:rsidRDefault="00BF0F61" w:rsidP="00BF0F61">
      <w:pPr>
        <w:jc w:val="left"/>
      </w:pPr>
    </w:p>
    <w:p w:rsidR="00BF0F61" w:rsidRDefault="00196574" w:rsidP="00BF0F61">
      <w:pPr>
        <w:jc w:val="left"/>
      </w:pPr>
      <w:r w:rsidRPr="00FC05AE">
        <w:rPr>
          <w:noProof/>
        </w:rPr>
        <w:lastRenderedPageBreak/>
        <w:drawing>
          <wp:inline distT="0" distB="0" distL="0" distR="0">
            <wp:extent cx="4160520" cy="2560320"/>
            <wp:effectExtent l="0" t="0" r="0" b="0"/>
            <wp:docPr id="335" name="Picture 3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60520" cy="2560320"/>
                    </a:xfrm>
                    <a:prstGeom prst="rect">
                      <a:avLst/>
                    </a:prstGeom>
                    <a:noFill/>
                    <a:ln>
                      <a:noFill/>
                    </a:ln>
                  </pic:spPr>
                </pic:pic>
              </a:graphicData>
            </a:graphic>
          </wp:inline>
        </w:drawing>
      </w:r>
    </w:p>
    <w:p w:rsidR="00BF0F61" w:rsidRDefault="00BF0F61" w:rsidP="00BF0F61">
      <w:pPr>
        <w:jc w:val="left"/>
        <w:rPr>
          <w:rStyle w:val="NewTimes11Char"/>
        </w:rPr>
      </w:pPr>
      <w:proofErr w:type="gramStart"/>
      <w:r>
        <w:t xml:space="preserve">Figure </w:t>
      </w:r>
      <w:r w:rsidR="00196574">
        <w:t>7</w:t>
      </w:r>
      <w:r>
        <w:t>.</w:t>
      </w:r>
      <w:proofErr w:type="gramEnd"/>
      <w:r>
        <w:t xml:space="preserve"> Annual energy use for slab-on-grade houses at different levels of TXV undersizing relative  to the annual energy use for the house when the heat pump operates with a properly sized TXV</w:t>
      </w:r>
    </w:p>
    <w:p w:rsidR="00BF0F61" w:rsidRDefault="00BF0F61" w:rsidP="00BF0F61">
      <w:pPr>
        <w:jc w:val="left"/>
        <w:rPr>
          <w:i/>
          <w:szCs w:val="22"/>
        </w:rPr>
      </w:pPr>
    </w:p>
    <w:p w:rsidR="00BF0F61" w:rsidRPr="00F41843" w:rsidRDefault="00BF0F61" w:rsidP="00BF0F61">
      <w:pPr>
        <w:rPr>
          <w:i/>
          <w:szCs w:val="22"/>
        </w:rPr>
      </w:pPr>
      <w:r w:rsidRPr="00F41843">
        <w:rPr>
          <w:i/>
          <w:szCs w:val="22"/>
        </w:rPr>
        <w:t xml:space="preserve">4.1.9 </w:t>
      </w:r>
      <w:r w:rsidRPr="00C00F9D">
        <w:rPr>
          <w:i/>
          <w:szCs w:val="22"/>
        </w:rPr>
        <w:t>D</w:t>
      </w:r>
      <w:r w:rsidRPr="00082A37">
        <w:rPr>
          <w:i/>
          <w:szCs w:val="22"/>
        </w:rPr>
        <w:t>iscussion of the effects of single faults</w:t>
      </w:r>
    </w:p>
    <w:p w:rsidR="00BF0F61" w:rsidRDefault="00BF0F61" w:rsidP="00BF0F61">
      <w:pPr>
        <w:pStyle w:val="ATPparagraph"/>
      </w:pPr>
      <w:r>
        <w:t xml:space="preserve">Figure </w:t>
      </w:r>
      <w:r w:rsidR="00196574">
        <w:t>8</w:t>
      </w:r>
      <w:r>
        <w:t xml:space="preserve"> </w:t>
      </w:r>
      <w:r w:rsidRPr="00F4068E">
        <w:t>show</w:t>
      </w:r>
      <w:r>
        <w:t>s</w:t>
      </w:r>
      <w:r w:rsidRPr="00F4068E">
        <w:t xml:space="preserve"> examples of annual energy used by a heat pump installed with different installation </w:t>
      </w:r>
      <w:r>
        <w:t>f</w:t>
      </w:r>
      <w:r w:rsidRPr="00F4068E">
        <w:t>aults</w:t>
      </w:r>
      <w:r>
        <w:t xml:space="preserve"> in a slab-on-grade house.  The levels of </w:t>
      </w:r>
      <w:r w:rsidRPr="00F4068E">
        <w:t xml:space="preserve">individual faults </w:t>
      </w:r>
      <w:r>
        <w:t xml:space="preserve">were selected </w:t>
      </w:r>
      <w:r w:rsidRPr="00F4068E">
        <w:t>to reflect, to some degree,</w:t>
      </w:r>
      <w:r>
        <w:t xml:space="preserve"> the</w:t>
      </w:r>
      <w:r w:rsidRPr="00F4068E">
        <w:t xml:space="preserve"> installation condition which might not be noticed by </w:t>
      </w:r>
      <w:r>
        <w:t xml:space="preserve">a </w:t>
      </w:r>
      <w:r w:rsidRPr="00F4068E">
        <w:t>poorly trained technician</w:t>
      </w:r>
      <w:r>
        <w:t xml:space="preserve"> (Table </w:t>
      </w:r>
      <w:r w:rsidR="00CC1DEB">
        <w:t>5</w:t>
      </w:r>
      <w:r>
        <w:t>)</w:t>
      </w:r>
      <w:r w:rsidRPr="00F4068E">
        <w:t>.  (The authors recognize the speculative aspect of this selection.)</w:t>
      </w:r>
      <w:r>
        <w:t xml:space="preserve"> </w:t>
      </w:r>
    </w:p>
    <w:p w:rsidR="00BF0F61" w:rsidRDefault="00BF0F61" w:rsidP="00BF0F61">
      <w:r w:rsidRPr="00F41843">
        <w:rPr>
          <w:noProof/>
        </w:rPr>
        <w:drawing>
          <wp:anchor distT="0" distB="0" distL="114300" distR="114300" simplePos="0" relativeHeight="251669504" behindDoc="0" locked="0" layoutInCell="1" allowOverlap="1" wp14:anchorId="0FDEB39A" wp14:editId="6D9CC7FA">
            <wp:simplePos x="0" y="0"/>
            <wp:positionH relativeFrom="column">
              <wp:posOffset>636270</wp:posOffset>
            </wp:positionH>
            <wp:positionV relativeFrom="paragraph">
              <wp:posOffset>4520</wp:posOffset>
            </wp:positionV>
            <wp:extent cx="4714875" cy="3062605"/>
            <wp:effectExtent l="0" t="0" r="0" b="4445"/>
            <wp:wrapNone/>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p>
    <w:p w:rsidR="00BF0F61" w:rsidRDefault="00BF0F61" w:rsidP="00BF0F61"/>
    <w:p w:rsidR="00BF0F61" w:rsidRDefault="00BF0F61" w:rsidP="00BF0F61"/>
    <w:p w:rsidR="00BF0F61" w:rsidRDefault="00BF0F61" w:rsidP="00BF0F61"/>
    <w:p w:rsidR="00BF0F61" w:rsidRDefault="00BF0F61" w:rsidP="00BF0F61"/>
    <w:p w:rsidR="00BF0F61" w:rsidRDefault="00BF0F61" w:rsidP="00BF0F61"/>
    <w:p w:rsidR="00BF0F61" w:rsidRDefault="00BF0F61" w:rsidP="00BF0F61"/>
    <w:p w:rsidR="00BF0F61" w:rsidRDefault="00BF0F61" w:rsidP="00BF0F61"/>
    <w:p w:rsidR="00BF0F61" w:rsidRDefault="00BF0F61" w:rsidP="00BF0F61"/>
    <w:p w:rsidR="00BF0F61" w:rsidRPr="00F4068E" w:rsidRDefault="00BF0F61" w:rsidP="00BF0F61"/>
    <w:p w:rsidR="00BF0F61" w:rsidRDefault="00BF0F61" w:rsidP="00BF0F61">
      <w:r>
        <w:rPr>
          <w:noProof/>
        </w:rPr>
        <w:t xml:space="preserve"> </w:t>
      </w:r>
    </w:p>
    <w:p w:rsidR="00BF0F61" w:rsidRDefault="00BF0F61" w:rsidP="00BF0F61"/>
    <w:p w:rsidR="00BF0F61" w:rsidRDefault="00BF0F61" w:rsidP="00BF0F61"/>
    <w:p w:rsidR="00BF0F61" w:rsidRDefault="00BF0F61" w:rsidP="00BF0F61"/>
    <w:p w:rsidR="00BF0F61" w:rsidRDefault="00BF0F61" w:rsidP="00BF0F61"/>
    <w:p w:rsidR="00BF0F61" w:rsidRDefault="00BF0F61" w:rsidP="00BF0F61"/>
    <w:p w:rsidR="00BF0F61" w:rsidRDefault="00BF0F61" w:rsidP="00BF0F61"/>
    <w:p w:rsidR="00BF0F61" w:rsidRDefault="00BF0F61" w:rsidP="00BF0F61"/>
    <w:p w:rsidR="00BF0F61" w:rsidRDefault="00BF0F61" w:rsidP="00BF0F61"/>
    <w:p w:rsidR="00BF0F61" w:rsidRDefault="00BF0F61" w:rsidP="00BF0F61"/>
    <w:p w:rsidR="00BF0F61" w:rsidRDefault="00BF0F61" w:rsidP="00BF0F61"/>
    <w:p w:rsidR="00BF0F61" w:rsidRDefault="00BF0F61" w:rsidP="00BF0F61">
      <w:proofErr w:type="gramStart"/>
      <w:r>
        <w:t xml:space="preserve">Figure </w:t>
      </w:r>
      <w:r w:rsidR="00196574">
        <w:t>8</w:t>
      </w:r>
      <w:r>
        <w:t>.</w:t>
      </w:r>
      <w:proofErr w:type="gramEnd"/>
      <w:r w:rsidRPr="00F4068E">
        <w:t xml:space="preserve"> Annual energy use resulting from </w:t>
      </w:r>
      <w:r>
        <w:t xml:space="preserve">a </w:t>
      </w:r>
      <w:r w:rsidRPr="00F4068E">
        <w:t>single-fault installation, referenced</w:t>
      </w:r>
      <w:r>
        <w:t xml:space="preserve"> </w:t>
      </w:r>
      <w:r w:rsidRPr="00F4068E">
        <w:t>to a fault-free installation</w:t>
      </w:r>
      <w:r>
        <w:t xml:space="preserve">. (Table </w:t>
      </w:r>
      <w:r w:rsidR="00D65AB5">
        <w:t>5</w:t>
      </w:r>
      <w:r>
        <w:t xml:space="preserve"> shows the selected fault levels)</w:t>
      </w:r>
    </w:p>
    <w:p w:rsidR="00196574" w:rsidRDefault="00196574" w:rsidP="00BF0F61"/>
    <w:p w:rsidR="00196574" w:rsidRDefault="00196574" w:rsidP="00BF0F61"/>
    <w:p w:rsidR="00196574" w:rsidRDefault="00196574" w:rsidP="00BF0F61"/>
    <w:p w:rsidR="00196574" w:rsidRDefault="00196574" w:rsidP="00BF0F61"/>
    <w:p w:rsidR="001D5A66" w:rsidRDefault="001D5A66" w:rsidP="002A3BDB">
      <w:pPr>
        <w:jc w:val="left"/>
      </w:pPr>
    </w:p>
    <w:p w:rsidR="00BF0F61" w:rsidRDefault="00BF0F61" w:rsidP="002A3BDB">
      <w:pPr>
        <w:jc w:val="left"/>
      </w:pPr>
      <w:proofErr w:type="gramStart"/>
      <w:r>
        <w:t xml:space="preserve">Table </w:t>
      </w:r>
      <w:r w:rsidR="00CC1DEB">
        <w:t>5</w:t>
      </w:r>
      <w:r>
        <w:t>.</w:t>
      </w:r>
      <w:proofErr w:type="gramEnd"/>
      <w:r>
        <w:t xml:space="preserve"> L</w:t>
      </w:r>
      <w:r w:rsidRPr="00F4068E">
        <w:t xml:space="preserve">evels of individual faults </w:t>
      </w:r>
      <w:r>
        <w:t xml:space="preserve">used in Figure </w:t>
      </w:r>
      <w:r w:rsidR="00CC1DEB">
        <w:t>8</w:t>
      </w:r>
    </w:p>
    <w:tbl>
      <w:tblPr>
        <w:tblW w:w="38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0"/>
        <w:gridCol w:w="1170"/>
      </w:tblGrid>
      <w:tr w:rsidR="00BF0F61" w:rsidRPr="00FC1E49" w:rsidTr="00680F0F">
        <w:trPr>
          <w:trHeight w:val="516"/>
        </w:trPr>
        <w:tc>
          <w:tcPr>
            <w:tcW w:w="2700" w:type="dxa"/>
            <w:vAlign w:val="center"/>
          </w:tcPr>
          <w:p w:rsidR="00BF0F61" w:rsidRPr="00F41843" w:rsidRDefault="00BF0F61" w:rsidP="00680F0F">
            <w:pPr>
              <w:jc w:val="left"/>
              <w:rPr>
                <w:sz w:val="20"/>
              </w:rPr>
            </w:pPr>
            <w:r w:rsidRPr="00F41843">
              <w:rPr>
                <w:sz w:val="20"/>
              </w:rPr>
              <w:t>Fault Type</w:t>
            </w:r>
          </w:p>
        </w:tc>
        <w:tc>
          <w:tcPr>
            <w:tcW w:w="1170" w:type="dxa"/>
            <w:vAlign w:val="center"/>
          </w:tcPr>
          <w:p w:rsidR="00BF0F61" w:rsidRPr="00F41843" w:rsidRDefault="00BF0F61" w:rsidP="00680F0F">
            <w:pPr>
              <w:jc w:val="center"/>
              <w:rPr>
                <w:sz w:val="20"/>
              </w:rPr>
            </w:pPr>
            <w:r w:rsidRPr="00F41843">
              <w:rPr>
                <w:sz w:val="20"/>
              </w:rPr>
              <w:t xml:space="preserve">Fault Level </w:t>
            </w:r>
          </w:p>
          <w:p w:rsidR="00BF0F61" w:rsidRPr="00F41843" w:rsidRDefault="00BF0F61" w:rsidP="00680F0F">
            <w:pPr>
              <w:jc w:val="center"/>
              <w:rPr>
                <w:sz w:val="20"/>
              </w:rPr>
            </w:pPr>
            <w:r w:rsidRPr="00F41843">
              <w:rPr>
                <w:sz w:val="20"/>
              </w:rPr>
              <w:t>(%)</w:t>
            </w:r>
          </w:p>
        </w:tc>
      </w:tr>
      <w:tr w:rsidR="00BF0F61" w:rsidRPr="00FC1E49" w:rsidTr="00680F0F">
        <w:trPr>
          <w:trHeight w:val="259"/>
        </w:trPr>
        <w:tc>
          <w:tcPr>
            <w:tcW w:w="2700" w:type="dxa"/>
          </w:tcPr>
          <w:p w:rsidR="00BF0F61" w:rsidRPr="00F41843" w:rsidRDefault="00BF0F61" w:rsidP="00680F0F">
            <w:pPr>
              <w:rPr>
                <w:sz w:val="20"/>
                <w:vertAlign w:val="superscript"/>
              </w:rPr>
            </w:pPr>
            <w:r w:rsidRPr="00F41843">
              <w:rPr>
                <w:sz w:val="20"/>
              </w:rPr>
              <w:t>Heat Pump Sizing (SIZ)</w:t>
            </w:r>
          </w:p>
        </w:tc>
        <w:tc>
          <w:tcPr>
            <w:tcW w:w="1170" w:type="dxa"/>
          </w:tcPr>
          <w:p w:rsidR="00BF0F61" w:rsidRPr="00F41843" w:rsidRDefault="00BF0F61" w:rsidP="00680F0F">
            <w:pPr>
              <w:jc w:val="center"/>
              <w:rPr>
                <w:sz w:val="20"/>
              </w:rPr>
            </w:pPr>
            <w:r w:rsidRPr="00F41843">
              <w:rPr>
                <w:sz w:val="20"/>
              </w:rPr>
              <w:t>+ 50</w:t>
            </w:r>
          </w:p>
        </w:tc>
      </w:tr>
      <w:tr w:rsidR="00BF0F61" w:rsidRPr="00FC1E49" w:rsidTr="00680F0F">
        <w:trPr>
          <w:trHeight w:val="259"/>
        </w:trPr>
        <w:tc>
          <w:tcPr>
            <w:tcW w:w="2700" w:type="dxa"/>
          </w:tcPr>
          <w:p w:rsidR="00BF0F61" w:rsidRPr="00F41843" w:rsidRDefault="00BF0F61" w:rsidP="00680F0F">
            <w:pPr>
              <w:rPr>
                <w:sz w:val="20"/>
              </w:rPr>
            </w:pPr>
            <w:r w:rsidRPr="00F41843">
              <w:rPr>
                <w:sz w:val="20"/>
              </w:rPr>
              <w:t>Duct Leakage (DUCT)</w:t>
            </w:r>
          </w:p>
        </w:tc>
        <w:tc>
          <w:tcPr>
            <w:tcW w:w="1170" w:type="dxa"/>
          </w:tcPr>
          <w:p w:rsidR="00BF0F61" w:rsidRPr="00F41843" w:rsidRDefault="00BF0F61" w:rsidP="00680F0F">
            <w:pPr>
              <w:jc w:val="center"/>
              <w:rPr>
                <w:sz w:val="20"/>
              </w:rPr>
            </w:pPr>
            <w:r>
              <w:rPr>
                <w:sz w:val="20"/>
              </w:rPr>
              <w:t xml:space="preserve">   </w:t>
            </w:r>
            <w:r w:rsidRPr="00F41843">
              <w:rPr>
                <w:sz w:val="20"/>
              </w:rPr>
              <w:t>30</w:t>
            </w:r>
          </w:p>
        </w:tc>
      </w:tr>
      <w:tr w:rsidR="00BF0F61" w:rsidRPr="00FC1E49" w:rsidTr="00680F0F">
        <w:trPr>
          <w:trHeight w:val="259"/>
        </w:trPr>
        <w:tc>
          <w:tcPr>
            <w:tcW w:w="2700" w:type="dxa"/>
          </w:tcPr>
          <w:p w:rsidR="00BF0F61" w:rsidRPr="00F41843" w:rsidRDefault="00BF0F61" w:rsidP="00680F0F">
            <w:pPr>
              <w:rPr>
                <w:sz w:val="20"/>
              </w:rPr>
            </w:pPr>
            <w:r w:rsidRPr="00F41843">
              <w:rPr>
                <w:sz w:val="20"/>
              </w:rPr>
              <w:t>Indoor Coil Airflow (AF)</w:t>
            </w:r>
          </w:p>
        </w:tc>
        <w:tc>
          <w:tcPr>
            <w:tcW w:w="1170" w:type="dxa"/>
          </w:tcPr>
          <w:p w:rsidR="00BF0F61" w:rsidRPr="00F41843" w:rsidRDefault="00BF0F61" w:rsidP="00680F0F">
            <w:pPr>
              <w:jc w:val="center"/>
              <w:rPr>
                <w:sz w:val="20"/>
              </w:rPr>
            </w:pPr>
            <w:r w:rsidRPr="00F41843">
              <w:rPr>
                <w:sz w:val="20"/>
              </w:rPr>
              <w:t>- 36</w:t>
            </w:r>
          </w:p>
        </w:tc>
      </w:tr>
      <w:tr w:rsidR="00BF0F61" w:rsidRPr="00FC1E49" w:rsidTr="00680F0F">
        <w:trPr>
          <w:trHeight w:val="259"/>
        </w:trPr>
        <w:tc>
          <w:tcPr>
            <w:tcW w:w="2700" w:type="dxa"/>
            <w:vAlign w:val="center"/>
          </w:tcPr>
          <w:p w:rsidR="00BF0F61" w:rsidRPr="00F41843" w:rsidRDefault="00BF0F61" w:rsidP="00680F0F">
            <w:pPr>
              <w:jc w:val="left"/>
              <w:rPr>
                <w:sz w:val="20"/>
              </w:rPr>
            </w:pPr>
            <w:r w:rsidRPr="00F41843">
              <w:rPr>
                <w:sz w:val="20"/>
              </w:rPr>
              <w:t>Refrigerant Undercharge (UC)</w:t>
            </w:r>
          </w:p>
        </w:tc>
        <w:tc>
          <w:tcPr>
            <w:tcW w:w="1170" w:type="dxa"/>
            <w:vAlign w:val="center"/>
          </w:tcPr>
          <w:p w:rsidR="00BF0F61" w:rsidRPr="00F41843" w:rsidRDefault="00BF0F61" w:rsidP="00680F0F">
            <w:pPr>
              <w:jc w:val="center"/>
              <w:rPr>
                <w:sz w:val="20"/>
              </w:rPr>
            </w:pPr>
            <w:r w:rsidRPr="00F41843">
              <w:rPr>
                <w:sz w:val="20"/>
              </w:rPr>
              <w:t>- 30</w:t>
            </w:r>
          </w:p>
        </w:tc>
      </w:tr>
      <w:tr w:rsidR="00BF0F61" w:rsidRPr="00FC1E49" w:rsidTr="00680F0F">
        <w:trPr>
          <w:trHeight w:val="259"/>
        </w:trPr>
        <w:tc>
          <w:tcPr>
            <w:tcW w:w="2700" w:type="dxa"/>
          </w:tcPr>
          <w:p w:rsidR="00BF0F61" w:rsidRPr="00F41843" w:rsidRDefault="00BF0F61" w:rsidP="00680F0F">
            <w:pPr>
              <w:rPr>
                <w:sz w:val="20"/>
              </w:rPr>
            </w:pPr>
            <w:r w:rsidRPr="00F41843">
              <w:rPr>
                <w:sz w:val="20"/>
              </w:rPr>
              <w:t>Refrigerant Overcharge (OC)</w:t>
            </w:r>
          </w:p>
        </w:tc>
        <w:tc>
          <w:tcPr>
            <w:tcW w:w="1170" w:type="dxa"/>
          </w:tcPr>
          <w:p w:rsidR="00BF0F61" w:rsidRPr="00F41843" w:rsidRDefault="00BF0F61" w:rsidP="00680F0F">
            <w:pPr>
              <w:jc w:val="center"/>
              <w:rPr>
                <w:sz w:val="20"/>
              </w:rPr>
            </w:pPr>
            <w:r w:rsidRPr="00F41843">
              <w:rPr>
                <w:sz w:val="20"/>
              </w:rPr>
              <w:t>+ 30</w:t>
            </w:r>
          </w:p>
        </w:tc>
      </w:tr>
      <w:tr w:rsidR="00BF0F61" w:rsidRPr="00FC1E49" w:rsidTr="00680F0F">
        <w:trPr>
          <w:trHeight w:val="259"/>
        </w:trPr>
        <w:tc>
          <w:tcPr>
            <w:tcW w:w="2700" w:type="dxa"/>
          </w:tcPr>
          <w:p w:rsidR="00BF0F61" w:rsidRPr="00F41843" w:rsidRDefault="00BF0F61" w:rsidP="00680F0F">
            <w:pPr>
              <w:rPr>
                <w:sz w:val="20"/>
              </w:rPr>
            </w:pPr>
            <w:r w:rsidRPr="00F41843">
              <w:rPr>
                <w:sz w:val="20"/>
              </w:rPr>
              <w:t>Non-Condensable Gases (NC)</w:t>
            </w:r>
          </w:p>
        </w:tc>
        <w:tc>
          <w:tcPr>
            <w:tcW w:w="1170" w:type="dxa"/>
          </w:tcPr>
          <w:p w:rsidR="00BF0F61" w:rsidRPr="00F41843" w:rsidRDefault="00BF0F61" w:rsidP="00680F0F">
            <w:pPr>
              <w:jc w:val="center"/>
              <w:rPr>
                <w:sz w:val="20"/>
              </w:rPr>
            </w:pPr>
            <w:r>
              <w:rPr>
                <w:sz w:val="20"/>
              </w:rPr>
              <w:t xml:space="preserve">  </w:t>
            </w:r>
            <w:r w:rsidRPr="00F41843">
              <w:rPr>
                <w:sz w:val="20"/>
              </w:rPr>
              <w:t>10</w:t>
            </w:r>
          </w:p>
        </w:tc>
      </w:tr>
      <w:tr w:rsidR="00BF0F61" w:rsidRPr="00FC1E49" w:rsidTr="00680F0F">
        <w:trPr>
          <w:trHeight w:val="259"/>
        </w:trPr>
        <w:tc>
          <w:tcPr>
            <w:tcW w:w="2700" w:type="dxa"/>
          </w:tcPr>
          <w:p w:rsidR="00BF0F61" w:rsidRPr="00F41843" w:rsidRDefault="00BF0F61" w:rsidP="00680F0F">
            <w:pPr>
              <w:rPr>
                <w:b/>
                <w:sz w:val="20"/>
              </w:rPr>
            </w:pPr>
            <w:r w:rsidRPr="00F41843">
              <w:rPr>
                <w:sz w:val="20"/>
              </w:rPr>
              <w:t>Electric Voltage (VOL)</w:t>
            </w:r>
          </w:p>
        </w:tc>
        <w:tc>
          <w:tcPr>
            <w:tcW w:w="1170" w:type="dxa"/>
          </w:tcPr>
          <w:p w:rsidR="00BF0F61" w:rsidRPr="00F41843" w:rsidRDefault="00BF0F61" w:rsidP="00680F0F">
            <w:pPr>
              <w:jc w:val="center"/>
              <w:rPr>
                <w:sz w:val="20"/>
              </w:rPr>
            </w:pPr>
            <w:r w:rsidRPr="00F41843">
              <w:rPr>
                <w:sz w:val="20"/>
              </w:rPr>
              <w:t>+ 8</w:t>
            </w:r>
          </w:p>
        </w:tc>
      </w:tr>
      <w:tr w:rsidR="00BF0F61" w:rsidRPr="00FC1E49" w:rsidTr="00680F0F">
        <w:trPr>
          <w:trHeight w:val="259"/>
        </w:trPr>
        <w:tc>
          <w:tcPr>
            <w:tcW w:w="2700" w:type="dxa"/>
          </w:tcPr>
          <w:p w:rsidR="00BF0F61" w:rsidRPr="00F41843" w:rsidRDefault="00BF0F61" w:rsidP="00680F0F">
            <w:pPr>
              <w:rPr>
                <w:sz w:val="20"/>
              </w:rPr>
            </w:pPr>
            <w:r w:rsidRPr="00F41843">
              <w:rPr>
                <w:sz w:val="20"/>
              </w:rPr>
              <w:t>TXV Undersizing (TXV)</w:t>
            </w:r>
          </w:p>
        </w:tc>
        <w:tc>
          <w:tcPr>
            <w:tcW w:w="1170" w:type="dxa"/>
          </w:tcPr>
          <w:p w:rsidR="00BF0F61" w:rsidRPr="00F41843" w:rsidRDefault="00BF0F61" w:rsidP="00680F0F">
            <w:pPr>
              <w:tabs>
                <w:tab w:val="left" w:pos="1062"/>
              </w:tabs>
              <w:jc w:val="center"/>
              <w:rPr>
                <w:sz w:val="20"/>
              </w:rPr>
            </w:pPr>
            <w:r w:rsidRPr="00F41843">
              <w:rPr>
                <w:sz w:val="20"/>
              </w:rPr>
              <w:t>- 40</w:t>
            </w:r>
          </w:p>
        </w:tc>
      </w:tr>
    </w:tbl>
    <w:p w:rsidR="00BF0F61" w:rsidRPr="00A25FCE" w:rsidRDefault="00BF0F61" w:rsidP="00BF0F61">
      <w:pPr>
        <w:rPr>
          <w:sz w:val="20"/>
        </w:rPr>
      </w:pPr>
      <w:r>
        <w:rPr>
          <w:sz w:val="20"/>
        </w:rPr>
        <w:t xml:space="preserve">  </w:t>
      </w:r>
    </w:p>
    <w:p w:rsidR="00BF0F61" w:rsidRDefault="00BF0F61" w:rsidP="00BF0F61"/>
    <w:p w:rsidR="00BF0F61" w:rsidRDefault="00BF0F61" w:rsidP="00BF0F61">
      <w:pPr>
        <w:pStyle w:val="ATPparagraph"/>
      </w:pPr>
      <w:r>
        <w:t xml:space="preserve">The duct leakage fault </w:t>
      </w:r>
      <w:r w:rsidRPr="00F4068E">
        <w:t>has the potential to result in a higher increase in energy use tha</w:t>
      </w:r>
      <w:r>
        <w:t>n</w:t>
      </w:r>
      <w:r w:rsidRPr="00F4068E">
        <w:t xml:space="preserve"> any other fault. The impact of this fault is higher for the heating dominated</w:t>
      </w:r>
      <w:r>
        <w:t xml:space="preserve"> climate (Chicago and Minneapolis, </w:t>
      </w:r>
      <w:r w:rsidRPr="00F4068E">
        <w:t>26</w:t>
      </w:r>
      <w:r>
        <w:t xml:space="preserve"> </w:t>
      </w:r>
      <w:r w:rsidRPr="00F4068E">
        <w:t xml:space="preserve">%) than </w:t>
      </w:r>
      <w:r>
        <w:t xml:space="preserve">for the </w:t>
      </w:r>
      <w:r w:rsidRPr="00F4068E">
        <w:t xml:space="preserve">cooling dominated climate (Houston, 18 %). The second most influential fault is refrigerant undercharge. For the 30 % undercharge fault level, the energy use increase is of the order of 20 % irrespective of the climate and building type. Refrigerant overcharge can also result in </w:t>
      </w:r>
      <w:r>
        <w:t xml:space="preserve">a </w:t>
      </w:r>
      <w:r w:rsidRPr="00F4068E">
        <w:t>significant</w:t>
      </w:r>
      <w:r>
        <w:t xml:space="preserve"> increase in energy use, (10 ~16</w:t>
      </w:r>
      <w:r w:rsidRPr="00F4068E">
        <w:t>) % at the 30 % overcharge fault level.</w:t>
      </w:r>
      <w:r>
        <w:t xml:space="preserve"> Improper indoor airflow can affect similar performance degradation. </w:t>
      </w:r>
    </w:p>
    <w:p w:rsidR="00BF0F61" w:rsidRDefault="00BF0F61" w:rsidP="00BF0F61">
      <w:pPr>
        <w:pStyle w:val="ATPparagraph"/>
      </w:pPr>
      <w:r>
        <w:t xml:space="preserve">Installation of an oversized heat pump resulting in an over-restrictive ductwork leads to a significant increase in energy use; 15 % increase in energy use was predicted for the house in Houston.  </w:t>
      </w:r>
      <w:r w:rsidRPr="00F4068E">
        <w:t xml:space="preserve">The cooling TXV undersized fault </w:t>
      </w:r>
      <w:r>
        <w:t xml:space="preserve">also </w:t>
      </w:r>
      <w:r w:rsidRPr="00F4068E">
        <w:t xml:space="preserve">has </w:t>
      </w:r>
      <w:r>
        <w:t>the</w:t>
      </w:r>
      <w:r w:rsidRPr="00F4068E">
        <w:t xml:space="preserve"> potential </w:t>
      </w:r>
      <w:r>
        <w:t>to</w:t>
      </w:r>
      <w:r w:rsidRPr="00F4068E">
        <w:t xml:space="preserve"> significantly increas</w:t>
      </w:r>
      <w:r>
        <w:t>e</w:t>
      </w:r>
      <w:r w:rsidRPr="00F4068E">
        <w:t xml:space="preserve"> the energy use. The effect of this fault will be most pronounced in localities with a high number of cooling mode operating hours. The cooling mode TXV undersized by 40 % results in </w:t>
      </w:r>
      <w:r>
        <w:t xml:space="preserve">(9 ~ </w:t>
      </w:r>
      <w:r w:rsidRPr="002E6796">
        <w:t>14</w:t>
      </w:r>
      <w:r>
        <w:t>)</w:t>
      </w:r>
      <w:r w:rsidRPr="002E6796">
        <w:t xml:space="preserve"> </w:t>
      </w:r>
      <w:r w:rsidRPr="00F4068E">
        <w:t xml:space="preserve">% more energy used in Houston </w:t>
      </w:r>
      <w:r>
        <w:t xml:space="preserve">as </w:t>
      </w:r>
      <w:r w:rsidRPr="00F4068E">
        <w:t>compared to</w:t>
      </w:r>
      <w:r>
        <w:t xml:space="preserve"> a</w:t>
      </w:r>
      <w:r w:rsidRPr="00F4068E">
        <w:t xml:space="preserve"> </w:t>
      </w:r>
      <w:r>
        <w:t>(</w:t>
      </w:r>
      <w:r w:rsidRPr="00F4068E">
        <w:t>3</w:t>
      </w:r>
      <w:r>
        <w:t> ~ 5)</w:t>
      </w:r>
      <w:r w:rsidRPr="00F4068E">
        <w:t xml:space="preserve"> % </w:t>
      </w:r>
      <w:r>
        <w:t xml:space="preserve">more </w:t>
      </w:r>
      <w:r w:rsidRPr="00F4068E">
        <w:t>in Chicago.</w:t>
      </w:r>
      <w:r w:rsidR="00196574">
        <w:t xml:space="preserve">  </w:t>
      </w:r>
      <w:r w:rsidRPr="00F4068E">
        <w:t>The impact of the remai</w:t>
      </w:r>
      <w:r>
        <w:t xml:space="preserve">ning faults – </w:t>
      </w:r>
      <w:r w:rsidRPr="00F4068E">
        <w:t xml:space="preserve">non-condensables and improper voltage – is under 4 %.  The non-condensables and improper voltage faults, however, represent a substantial risk for durability of equipment and are very important to be diagnosed during </w:t>
      </w:r>
      <w:r>
        <w:t xml:space="preserve">the </w:t>
      </w:r>
      <w:r w:rsidRPr="00F4068E">
        <w:t xml:space="preserve">heat pump installation. </w:t>
      </w:r>
    </w:p>
    <w:p w:rsidR="00BF0F61" w:rsidRDefault="00BF0F61" w:rsidP="00BF0F61">
      <w:pPr>
        <w:jc w:val="left"/>
      </w:pPr>
    </w:p>
    <w:p w:rsidR="00BF0F61" w:rsidRDefault="00BF0F61" w:rsidP="00BF0F61">
      <w:pPr>
        <w:rPr>
          <w:i/>
          <w:szCs w:val="22"/>
        </w:rPr>
      </w:pPr>
      <w:r w:rsidRPr="00F41843">
        <w:rPr>
          <w:i/>
          <w:szCs w:val="22"/>
        </w:rPr>
        <w:t>4.2 Simulations with dual faults</w:t>
      </w:r>
    </w:p>
    <w:p w:rsidR="00BF0F61" w:rsidRPr="00F41843" w:rsidRDefault="00BF0F61" w:rsidP="00BF0F61">
      <w:pPr>
        <w:rPr>
          <w:i/>
          <w:szCs w:val="22"/>
        </w:rPr>
      </w:pPr>
      <w:r w:rsidRPr="00F41843">
        <w:rPr>
          <w:i/>
          <w:szCs w:val="22"/>
        </w:rPr>
        <w:t>4.2.1. Studied fault combinations</w:t>
      </w:r>
    </w:p>
    <w:p w:rsidR="00BF0F61" w:rsidRDefault="00BF0F61" w:rsidP="00BF0F61">
      <w:pPr>
        <w:pStyle w:val="ATPparagraph"/>
      </w:pPr>
      <w:r>
        <w:t xml:space="preserve">Table </w:t>
      </w:r>
      <w:r w:rsidR="00CC1DEB">
        <w:t>6</w:t>
      </w:r>
      <w:r>
        <w:t xml:space="preserve"> lists </w:t>
      </w:r>
      <w:r w:rsidRPr="005A2ACF">
        <w:t>combination</w:t>
      </w:r>
      <w:r>
        <w:t>s of the</w:t>
      </w:r>
      <w:r w:rsidRPr="005A2ACF">
        <w:t xml:space="preserve"> two </w:t>
      </w:r>
      <w:r>
        <w:t xml:space="preserve">simultaneous </w:t>
      </w:r>
      <w:r w:rsidRPr="005A2ACF">
        <w:t>faults</w:t>
      </w:r>
      <w:r>
        <w:t xml:space="preserve"> studied, </w:t>
      </w:r>
      <w:r w:rsidRPr="005A2ACF">
        <w:t xml:space="preserve">A </w:t>
      </w:r>
      <w:r>
        <w:t xml:space="preserve">and </w:t>
      </w:r>
      <w:r w:rsidRPr="005A2ACF">
        <w:t>B</w:t>
      </w:r>
      <w:r>
        <w:t xml:space="preserve">.  </w:t>
      </w:r>
      <w:r w:rsidRPr="005A2ACF">
        <w:t xml:space="preserve">Each set of faults </w:t>
      </w:r>
      <w:r>
        <w:t xml:space="preserve">was considered in </w:t>
      </w:r>
      <w:r w:rsidRPr="005A2ACF">
        <w:t>four combinations</w:t>
      </w:r>
      <w:r>
        <w:t xml:space="preserve"> (Table </w:t>
      </w:r>
      <w:r w:rsidR="00CC1DEB">
        <w:t>7</w:t>
      </w:r>
      <w:r>
        <w:t xml:space="preserve">).  </w:t>
      </w:r>
      <w:r w:rsidRPr="005A2ACF">
        <w:t xml:space="preserve">The moderate level </w:t>
      </w:r>
      <w:r>
        <w:t>was</w:t>
      </w:r>
      <w:r w:rsidRPr="005A2ACF">
        <w:t xml:space="preserve"> the value at the middle of the range</w:t>
      </w:r>
      <w:r>
        <w:t>,</w:t>
      </w:r>
      <w:r w:rsidRPr="005A2ACF">
        <w:t xml:space="preserve"> while the worst level </w:t>
      </w:r>
      <w:r>
        <w:t>was</w:t>
      </w:r>
      <w:r w:rsidRPr="005A2ACF">
        <w:t xml:space="preserve"> the highest (or lowest) </w:t>
      </w:r>
      <w:r>
        <w:t xml:space="preserve">probable </w:t>
      </w:r>
      <w:r w:rsidRPr="005A2ACF">
        <w:t xml:space="preserve">level of the fault value.  </w:t>
      </w:r>
      <w:r>
        <w:t>Simulations were performed</w:t>
      </w:r>
      <w:r w:rsidRPr="00310169">
        <w:t xml:space="preserve"> </w:t>
      </w:r>
      <w:r>
        <w:t>for 14 dual fault</w:t>
      </w:r>
      <w:r w:rsidRPr="00310169">
        <w:t xml:space="preserve"> set</w:t>
      </w:r>
      <w:r>
        <w:t>s, with 4 runs per set, in 5 house</w:t>
      </w:r>
      <w:r w:rsidRPr="00310169">
        <w:t>/climat</w:t>
      </w:r>
      <w:r>
        <w:t>e combinations for a total of 280</w:t>
      </w:r>
      <w:r w:rsidRPr="00310169">
        <w:t xml:space="preserve"> runs.  </w:t>
      </w:r>
    </w:p>
    <w:p w:rsidR="00BF0F61" w:rsidRPr="005A2ACF" w:rsidRDefault="00BF0F61" w:rsidP="00BF0F61"/>
    <w:p w:rsidR="00196574" w:rsidRDefault="00196574">
      <w:pPr>
        <w:spacing w:after="200" w:line="276" w:lineRule="auto"/>
        <w:jc w:val="left"/>
      </w:pPr>
      <w:r>
        <w:br w:type="page"/>
      </w:r>
    </w:p>
    <w:p w:rsidR="00BF0F61" w:rsidRDefault="00BF0F61" w:rsidP="00BF0F61">
      <w:pPr>
        <w:jc w:val="left"/>
      </w:pPr>
      <w:proofErr w:type="gramStart"/>
      <w:r w:rsidRPr="005A2ACF">
        <w:lastRenderedPageBreak/>
        <w:t xml:space="preserve">Table </w:t>
      </w:r>
      <w:r w:rsidR="00CC1DEB">
        <w:t>6</w:t>
      </w:r>
      <w:r>
        <w:t>.</w:t>
      </w:r>
      <w:proofErr w:type="gramEnd"/>
      <w:r>
        <w:t xml:space="preserve"> Dual fault sets considered in </w:t>
      </w:r>
      <w:r w:rsidRPr="005A2ACF">
        <w:t xml:space="preserve">simulations </w:t>
      </w:r>
      <w:r>
        <w:t xml:space="preserve">of annual energy use and their approximate collective effect on annual energy use </w:t>
      </w:r>
    </w:p>
    <w:p w:rsidR="00BF0F61" w:rsidRDefault="00BF0F61" w:rsidP="00BF0F61">
      <w:pPr>
        <w:jc w:val="left"/>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0"/>
        <w:gridCol w:w="2744"/>
        <w:gridCol w:w="3366"/>
        <w:gridCol w:w="1966"/>
      </w:tblGrid>
      <w:tr w:rsidR="00BF0F61" w:rsidTr="00680F0F">
        <w:trPr>
          <w:trHeight w:val="345"/>
        </w:trPr>
        <w:tc>
          <w:tcPr>
            <w:tcW w:w="990" w:type="dxa"/>
          </w:tcPr>
          <w:p w:rsidR="00BF0F61" w:rsidRPr="0009249F" w:rsidRDefault="00BF0F61" w:rsidP="00680F0F">
            <w:pPr>
              <w:jc w:val="center"/>
              <w:rPr>
                <w:sz w:val="20"/>
              </w:rPr>
            </w:pPr>
            <w:r w:rsidRPr="0009249F">
              <w:rPr>
                <w:sz w:val="20"/>
              </w:rPr>
              <w:t>Fault set</w:t>
            </w:r>
          </w:p>
          <w:p w:rsidR="00BF0F61" w:rsidRPr="0009249F" w:rsidRDefault="00BF0F61" w:rsidP="00680F0F">
            <w:pPr>
              <w:jc w:val="center"/>
              <w:rPr>
                <w:sz w:val="20"/>
              </w:rPr>
            </w:pPr>
            <w:r w:rsidRPr="0009249F">
              <w:rPr>
                <w:sz w:val="20"/>
              </w:rPr>
              <w:t>#</w:t>
            </w:r>
          </w:p>
        </w:tc>
        <w:tc>
          <w:tcPr>
            <w:tcW w:w="2744" w:type="dxa"/>
            <w:vAlign w:val="center"/>
          </w:tcPr>
          <w:p w:rsidR="00BF0F61" w:rsidRDefault="00BF0F61" w:rsidP="00680F0F">
            <w:pPr>
              <w:jc w:val="left"/>
              <w:rPr>
                <w:sz w:val="20"/>
              </w:rPr>
            </w:pPr>
            <w:r w:rsidRPr="0009249F">
              <w:rPr>
                <w:sz w:val="20"/>
              </w:rPr>
              <w:t xml:space="preserve">Fault A </w:t>
            </w:r>
            <w:r>
              <w:rPr>
                <w:sz w:val="20"/>
              </w:rPr>
              <w:t xml:space="preserve">levels </w:t>
            </w:r>
          </w:p>
          <w:p w:rsidR="00BF0F61" w:rsidRPr="0009249F" w:rsidRDefault="00BF0F61" w:rsidP="00680F0F">
            <w:pPr>
              <w:jc w:val="left"/>
              <w:rPr>
                <w:sz w:val="20"/>
              </w:rPr>
            </w:pPr>
            <w:r w:rsidRPr="0009249F">
              <w:rPr>
                <w:sz w:val="20"/>
              </w:rPr>
              <w:t>(moderate &amp; worst level)</w:t>
            </w:r>
            <w:r w:rsidRPr="0009249F">
              <w:rPr>
                <w:sz w:val="20"/>
                <w:vertAlign w:val="superscript"/>
              </w:rPr>
              <w:t>(a)</w:t>
            </w:r>
          </w:p>
          <w:p w:rsidR="00BF0F61" w:rsidRPr="0009249F" w:rsidRDefault="00BF0F61" w:rsidP="00680F0F">
            <w:pPr>
              <w:jc w:val="left"/>
              <w:rPr>
                <w:sz w:val="20"/>
                <w:vertAlign w:val="superscript"/>
              </w:rPr>
            </w:pPr>
            <w:r>
              <w:rPr>
                <w:sz w:val="20"/>
              </w:rPr>
              <w:t>(%)</w:t>
            </w:r>
          </w:p>
        </w:tc>
        <w:tc>
          <w:tcPr>
            <w:tcW w:w="3366" w:type="dxa"/>
            <w:vAlign w:val="center"/>
          </w:tcPr>
          <w:p w:rsidR="00BF0F61" w:rsidRPr="00841C67" w:rsidRDefault="00BF0F61" w:rsidP="00680F0F">
            <w:pPr>
              <w:jc w:val="left"/>
              <w:rPr>
                <w:sz w:val="20"/>
              </w:rPr>
            </w:pPr>
            <w:r w:rsidRPr="00E277A7">
              <w:rPr>
                <w:sz w:val="20"/>
              </w:rPr>
              <w:t xml:space="preserve">Fault B </w:t>
            </w:r>
            <w:r w:rsidRPr="00323A7E">
              <w:rPr>
                <w:sz w:val="20"/>
              </w:rPr>
              <w:t>levels</w:t>
            </w:r>
          </w:p>
          <w:p w:rsidR="00BF0F61" w:rsidRDefault="00BF0F61" w:rsidP="00680F0F">
            <w:pPr>
              <w:jc w:val="left"/>
              <w:rPr>
                <w:sz w:val="20"/>
              </w:rPr>
            </w:pPr>
            <w:r w:rsidRPr="004C60F3">
              <w:rPr>
                <w:sz w:val="20"/>
              </w:rPr>
              <w:t>(moderate &amp;</w:t>
            </w:r>
            <w:r w:rsidRPr="0009249F">
              <w:rPr>
                <w:sz w:val="20"/>
              </w:rPr>
              <w:t xml:space="preserve"> worst level)</w:t>
            </w:r>
          </w:p>
          <w:p w:rsidR="00BF0F61" w:rsidRPr="0009249F" w:rsidRDefault="00BF0F61" w:rsidP="00680F0F">
            <w:pPr>
              <w:jc w:val="left"/>
              <w:rPr>
                <w:sz w:val="20"/>
              </w:rPr>
            </w:pPr>
            <w:r>
              <w:rPr>
                <w:sz w:val="20"/>
              </w:rPr>
              <w:t>(%)</w:t>
            </w:r>
          </w:p>
        </w:tc>
        <w:tc>
          <w:tcPr>
            <w:tcW w:w="1966" w:type="dxa"/>
            <w:vAlign w:val="center"/>
          </w:tcPr>
          <w:p w:rsidR="00BF0F61" w:rsidRPr="0009249F" w:rsidRDefault="00BF0F61" w:rsidP="00680F0F">
            <w:pPr>
              <w:jc w:val="center"/>
              <w:rPr>
                <w:sz w:val="20"/>
              </w:rPr>
            </w:pPr>
            <w:r w:rsidRPr="0009249F">
              <w:rPr>
                <w:sz w:val="20"/>
              </w:rPr>
              <w:t>Effect on energy use</w:t>
            </w:r>
          </w:p>
        </w:tc>
      </w:tr>
      <w:tr w:rsidR="00BF0F61" w:rsidTr="00680F0F">
        <w:trPr>
          <w:trHeight w:hRule="exact" w:val="360"/>
        </w:trPr>
        <w:tc>
          <w:tcPr>
            <w:tcW w:w="990" w:type="dxa"/>
            <w:vAlign w:val="center"/>
          </w:tcPr>
          <w:p w:rsidR="00BF0F61" w:rsidRPr="0009249F" w:rsidRDefault="00BF0F61" w:rsidP="00680F0F">
            <w:pPr>
              <w:jc w:val="center"/>
              <w:rPr>
                <w:sz w:val="20"/>
              </w:rPr>
            </w:pPr>
            <w:r w:rsidRPr="0009249F">
              <w:rPr>
                <w:sz w:val="20"/>
              </w:rPr>
              <w:t>1</w:t>
            </w:r>
          </w:p>
        </w:tc>
        <w:tc>
          <w:tcPr>
            <w:tcW w:w="2744" w:type="dxa"/>
            <w:vAlign w:val="center"/>
          </w:tcPr>
          <w:p w:rsidR="00BF0F61" w:rsidRPr="0009249F" w:rsidRDefault="00BF0F61" w:rsidP="00680F0F">
            <w:pPr>
              <w:jc w:val="left"/>
              <w:rPr>
                <w:sz w:val="20"/>
              </w:rPr>
            </w:pPr>
            <w:r w:rsidRPr="0009249F">
              <w:rPr>
                <w:sz w:val="20"/>
              </w:rPr>
              <w:t>Duct leakage</w:t>
            </w:r>
            <w:r>
              <w:rPr>
                <w:sz w:val="20"/>
              </w:rPr>
              <w:t xml:space="preserve"> </w:t>
            </w:r>
            <w:r w:rsidRPr="0009249F">
              <w:rPr>
                <w:sz w:val="20"/>
              </w:rPr>
              <w:t>(20</w:t>
            </w:r>
            <w:r>
              <w:rPr>
                <w:sz w:val="20"/>
              </w:rPr>
              <w:t>,</w:t>
            </w:r>
            <w:r w:rsidRPr="0009249F">
              <w:rPr>
                <w:sz w:val="20"/>
              </w:rPr>
              <w:t xml:space="preserve"> 40)</w:t>
            </w:r>
          </w:p>
        </w:tc>
        <w:tc>
          <w:tcPr>
            <w:tcW w:w="3366" w:type="dxa"/>
            <w:vAlign w:val="center"/>
          </w:tcPr>
          <w:p w:rsidR="00BF0F61" w:rsidRPr="0009249F" w:rsidRDefault="00BF0F61" w:rsidP="00680F0F">
            <w:pPr>
              <w:jc w:val="left"/>
              <w:rPr>
                <w:sz w:val="20"/>
              </w:rPr>
            </w:pPr>
            <w:r w:rsidRPr="0009249F">
              <w:rPr>
                <w:sz w:val="20"/>
              </w:rPr>
              <w:t>Oversize</w:t>
            </w:r>
            <w:r>
              <w:rPr>
                <w:sz w:val="20"/>
                <w:vertAlign w:val="superscript"/>
              </w:rPr>
              <w:t xml:space="preserve"> </w:t>
            </w:r>
            <w:r w:rsidRPr="0009249F">
              <w:rPr>
                <w:sz w:val="20"/>
              </w:rPr>
              <w:t>(25, 50)</w:t>
            </w:r>
          </w:p>
        </w:tc>
        <w:tc>
          <w:tcPr>
            <w:tcW w:w="1966" w:type="dxa"/>
            <w:vAlign w:val="center"/>
          </w:tcPr>
          <w:p w:rsidR="00BF0F61" w:rsidRPr="0009249F" w:rsidRDefault="00BF0F61" w:rsidP="00680F0F">
            <w:pPr>
              <w:jc w:val="center"/>
              <w:rPr>
                <w:sz w:val="20"/>
              </w:rPr>
            </w:pPr>
            <w:r w:rsidRPr="0009249F">
              <w:rPr>
                <w:sz w:val="20"/>
              </w:rPr>
              <w:t>A+B</w:t>
            </w:r>
          </w:p>
        </w:tc>
      </w:tr>
      <w:tr w:rsidR="00BF0F61" w:rsidTr="00680F0F">
        <w:trPr>
          <w:trHeight w:hRule="exact" w:val="360"/>
        </w:trPr>
        <w:tc>
          <w:tcPr>
            <w:tcW w:w="990" w:type="dxa"/>
            <w:vAlign w:val="center"/>
          </w:tcPr>
          <w:p w:rsidR="00BF0F61" w:rsidRPr="0009249F" w:rsidRDefault="00BF0F61" w:rsidP="00680F0F">
            <w:pPr>
              <w:jc w:val="center"/>
              <w:rPr>
                <w:sz w:val="20"/>
              </w:rPr>
            </w:pPr>
            <w:r w:rsidRPr="0009249F">
              <w:rPr>
                <w:sz w:val="20"/>
              </w:rPr>
              <w:t>2</w:t>
            </w:r>
          </w:p>
        </w:tc>
        <w:tc>
          <w:tcPr>
            <w:tcW w:w="2744" w:type="dxa"/>
            <w:vAlign w:val="center"/>
          </w:tcPr>
          <w:p w:rsidR="00BF0F61" w:rsidRPr="0009249F" w:rsidRDefault="00BF0F61" w:rsidP="00680F0F">
            <w:pPr>
              <w:jc w:val="left"/>
              <w:rPr>
                <w:sz w:val="20"/>
              </w:rPr>
            </w:pPr>
            <w:r w:rsidRPr="0009249F">
              <w:rPr>
                <w:sz w:val="20"/>
              </w:rPr>
              <w:t>Duct leakage</w:t>
            </w:r>
            <w:r>
              <w:rPr>
                <w:sz w:val="20"/>
              </w:rPr>
              <w:t xml:space="preserve"> </w:t>
            </w:r>
            <w:r w:rsidRPr="0009249F">
              <w:rPr>
                <w:sz w:val="20"/>
              </w:rPr>
              <w:t>(20, 40 )</w:t>
            </w:r>
          </w:p>
        </w:tc>
        <w:tc>
          <w:tcPr>
            <w:tcW w:w="3366" w:type="dxa"/>
            <w:vAlign w:val="center"/>
          </w:tcPr>
          <w:p w:rsidR="00BF0F61" w:rsidRPr="0009249F" w:rsidRDefault="00BF0F61" w:rsidP="00680F0F">
            <w:pPr>
              <w:jc w:val="left"/>
              <w:rPr>
                <w:sz w:val="20"/>
              </w:rPr>
            </w:pPr>
            <w:r w:rsidRPr="0009249F">
              <w:rPr>
                <w:sz w:val="20"/>
              </w:rPr>
              <w:t>Indoor coil airflow</w:t>
            </w:r>
            <w:r>
              <w:rPr>
                <w:sz w:val="20"/>
              </w:rPr>
              <w:t xml:space="preserve"> </w:t>
            </w:r>
            <w:r w:rsidRPr="0009249F">
              <w:rPr>
                <w:sz w:val="20"/>
              </w:rPr>
              <w:t>(-15, -36)</w:t>
            </w:r>
          </w:p>
        </w:tc>
        <w:tc>
          <w:tcPr>
            <w:tcW w:w="1966" w:type="dxa"/>
            <w:vAlign w:val="center"/>
          </w:tcPr>
          <w:p w:rsidR="00BF0F61" w:rsidRPr="0009249F" w:rsidRDefault="00AB5ACC" w:rsidP="00AB5ACC">
            <w:pPr>
              <w:rPr>
                <w:sz w:val="20"/>
              </w:rPr>
            </w:pPr>
            <w:r>
              <w:rPr>
                <w:sz w:val="20"/>
              </w:rPr>
              <w:t xml:space="preserve">          </w:t>
            </w:r>
            <w:r w:rsidR="00BF0F61" w:rsidRPr="0009249F">
              <w:rPr>
                <w:sz w:val="20"/>
              </w:rPr>
              <w:t>&lt; A+B</w:t>
            </w:r>
          </w:p>
        </w:tc>
      </w:tr>
      <w:tr w:rsidR="00BF0F61" w:rsidTr="00680F0F">
        <w:trPr>
          <w:trHeight w:hRule="exact" w:val="360"/>
        </w:trPr>
        <w:tc>
          <w:tcPr>
            <w:tcW w:w="990" w:type="dxa"/>
            <w:vAlign w:val="center"/>
          </w:tcPr>
          <w:p w:rsidR="00BF0F61" w:rsidRPr="0009249F" w:rsidRDefault="00BF0F61" w:rsidP="00680F0F">
            <w:pPr>
              <w:jc w:val="center"/>
              <w:rPr>
                <w:sz w:val="20"/>
              </w:rPr>
            </w:pPr>
            <w:r w:rsidRPr="0009249F">
              <w:rPr>
                <w:sz w:val="20"/>
              </w:rPr>
              <w:t>3</w:t>
            </w:r>
          </w:p>
        </w:tc>
        <w:tc>
          <w:tcPr>
            <w:tcW w:w="2744" w:type="dxa"/>
            <w:vAlign w:val="center"/>
          </w:tcPr>
          <w:p w:rsidR="00BF0F61" w:rsidRPr="0009249F" w:rsidRDefault="00BF0F61" w:rsidP="00680F0F">
            <w:pPr>
              <w:jc w:val="left"/>
              <w:rPr>
                <w:sz w:val="20"/>
              </w:rPr>
            </w:pPr>
            <w:r w:rsidRPr="0009249F">
              <w:rPr>
                <w:sz w:val="20"/>
              </w:rPr>
              <w:t>Duct leakage</w:t>
            </w:r>
            <w:r>
              <w:rPr>
                <w:sz w:val="20"/>
              </w:rPr>
              <w:t xml:space="preserve"> </w:t>
            </w:r>
            <w:r w:rsidRPr="0009249F">
              <w:rPr>
                <w:sz w:val="20"/>
              </w:rPr>
              <w:t>(20, 40)</w:t>
            </w:r>
          </w:p>
        </w:tc>
        <w:tc>
          <w:tcPr>
            <w:tcW w:w="3366" w:type="dxa"/>
            <w:vAlign w:val="center"/>
          </w:tcPr>
          <w:p w:rsidR="00BF0F61" w:rsidRPr="0009249F" w:rsidRDefault="00BF0F61" w:rsidP="00680F0F">
            <w:pPr>
              <w:jc w:val="left"/>
              <w:rPr>
                <w:sz w:val="20"/>
              </w:rPr>
            </w:pPr>
            <w:r w:rsidRPr="0009249F">
              <w:rPr>
                <w:sz w:val="20"/>
              </w:rPr>
              <w:t>Refrigerant undercharge</w:t>
            </w:r>
            <w:r>
              <w:rPr>
                <w:sz w:val="20"/>
              </w:rPr>
              <w:t xml:space="preserve"> </w:t>
            </w:r>
            <w:r w:rsidRPr="0009249F">
              <w:rPr>
                <w:sz w:val="20"/>
              </w:rPr>
              <w:t>(-15, -30)</w:t>
            </w:r>
          </w:p>
        </w:tc>
        <w:tc>
          <w:tcPr>
            <w:tcW w:w="1966" w:type="dxa"/>
            <w:vAlign w:val="center"/>
          </w:tcPr>
          <w:p w:rsidR="00BF0F61" w:rsidRPr="0009249F" w:rsidRDefault="00BF0F61" w:rsidP="00680F0F">
            <w:pPr>
              <w:jc w:val="center"/>
              <w:rPr>
                <w:sz w:val="20"/>
              </w:rPr>
            </w:pPr>
            <w:r w:rsidRPr="0009249F">
              <w:rPr>
                <w:sz w:val="20"/>
              </w:rPr>
              <w:t>A+B or &gt; A+B</w:t>
            </w:r>
          </w:p>
        </w:tc>
      </w:tr>
      <w:tr w:rsidR="00BF0F61" w:rsidTr="00680F0F">
        <w:trPr>
          <w:trHeight w:hRule="exact" w:val="360"/>
        </w:trPr>
        <w:tc>
          <w:tcPr>
            <w:tcW w:w="990" w:type="dxa"/>
            <w:vAlign w:val="center"/>
          </w:tcPr>
          <w:p w:rsidR="00BF0F61" w:rsidRPr="0009249F" w:rsidRDefault="00BF0F61" w:rsidP="00680F0F">
            <w:pPr>
              <w:jc w:val="center"/>
              <w:rPr>
                <w:sz w:val="20"/>
              </w:rPr>
            </w:pPr>
            <w:r w:rsidRPr="0009249F">
              <w:rPr>
                <w:sz w:val="20"/>
              </w:rPr>
              <w:t xml:space="preserve"> 4</w:t>
            </w:r>
          </w:p>
        </w:tc>
        <w:tc>
          <w:tcPr>
            <w:tcW w:w="2744" w:type="dxa"/>
            <w:vAlign w:val="center"/>
          </w:tcPr>
          <w:p w:rsidR="00BF0F61" w:rsidRPr="0009249F" w:rsidRDefault="00BF0F61" w:rsidP="00680F0F">
            <w:pPr>
              <w:jc w:val="left"/>
              <w:rPr>
                <w:sz w:val="20"/>
              </w:rPr>
            </w:pPr>
            <w:r w:rsidRPr="0009249F">
              <w:rPr>
                <w:sz w:val="20"/>
              </w:rPr>
              <w:t>Duct leakage</w:t>
            </w:r>
            <w:r>
              <w:rPr>
                <w:sz w:val="20"/>
              </w:rPr>
              <w:t xml:space="preserve"> </w:t>
            </w:r>
            <w:r w:rsidRPr="0009249F">
              <w:rPr>
                <w:sz w:val="20"/>
              </w:rPr>
              <w:t>(20, 40)</w:t>
            </w:r>
          </w:p>
        </w:tc>
        <w:tc>
          <w:tcPr>
            <w:tcW w:w="3366" w:type="dxa"/>
            <w:vAlign w:val="center"/>
          </w:tcPr>
          <w:p w:rsidR="00BF0F61" w:rsidRPr="0009249F" w:rsidRDefault="00BF0F61" w:rsidP="00680F0F">
            <w:pPr>
              <w:jc w:val="left"/>
              <w:rPr>
                <w:sz w:val="20"/>
              </w:rPr>
            </w:pPr>
            <w:r w:rsidRPr="0009249F">
              <w:rPr>
                <w:sz w:val="20"/>
              </w:rPr>
              <w:t>Refrigerant overcharge</w:t>
            </w:r>
            <w:r>
              <w:rPr>
                <w:sz w:val="20"/>
              </w:rPr>
              <w:t xml:space="preserve"> </w:t>
            </w:r>
            <w:r w:rsidRPr="0009249F">
              <w:rPr>
                <w:sz w:val="20"/>
              </w:rPr>
              <w:t>(15, 30)</w:t>
            </w:r>
          </w:p>
        </w:tc>
        <w:tc>
          <w:tcPr>
            <w:tcW w:w="1966" w:type="dxa"/>
            <w:vAlign w:val="center"/>
          </w:tcPr>
          <w:p w:rsidR="00BF0F61" w:rsidRPr="0009249F" w:rsidRDefault="00BF0F61" w:rsidP="00680F0F">
            <w:pPr>
              <w:jc w:val="center"/>
              <w:rPr>
                <w:sz w:val="20"/>
              </w:rPr>
            </w:pPr>
            <w:r w:rsidRPr="0009249F">
              <w:rPr>
                <w:sz w:val="20"/>
              </w:rPr>
              <w:t>A+B</w:t>
            </w:r>
          </w:p>
        </w:tc>
      </w:tr>
      <w:tr w:rsidR="00BF0F61" w:rsidTr="00680F0F">
        <w:trPr>
          <w:trHeight w:hRule="exact" w:val="360"/>
        </w:trPr>
        <w:tc>
          <w:tcPr>
            <w:tcW w:w="990" w:type="dxa"/>
            <w:vAlign w:val="center"/>
          </w:tcPr>
          <w:p w:rsidR="00BF0F61" w:rsidRPr="0009249F" w:rsidRDefault="00BF0F61" w:rsidP="00680F0F">
            <w:pPr>
              <w:jc w:val="center"/>
              <w:rPr>
                <w:sz w:val="20"/>
              </w:rPr>
            </w:pPr>
            <w:r w:rsidRPr="0009249F">
              <w:rPr>
                <w:sz w:val="20"/>
              </w:rPr>
              <w:t xml:space="preserve"> 5</w:t>
            </w:r>
          </w:p>
        </w:tc>
        <w:tc>
          <w:tcPr>
            <w:tcW w:w="2744" w:type="dxa"/>
            <w:vAlign w:val="center"/>
          </w:tcPr>
          <w:p w:rsidR="00BF0F61" w:rsidRPr="0009249F" w:rsidRDefault="00BF0F61" w:rsidP="00680F0F">
            <w:pPr>
              <w:jc w:val="left"/>
              <w:rPr>
                <w:sz w:val="20"/>
              </w:rPr>
            </w:pPr>
            <w:r w:rsidRPr="0009249F">
              <w:rPr>
                <w:sz w:val="20"/>
              </w:rPr>
              <w:t>Duct leakage</w:t>
            </w:r>
            <w:r>
              <w:rPr>
                <w:sz w:val="20"/>
              </w:rPr>
              <w:t xml:space="preserve"> </w:t>
            </w:r>
            <w:r w:rsidRPr="0009249F">
              <w:rPr>
                <w:sz w:val="20"/>
              </w:rPr>
              <w:t>(20, 40</w:t>
            </w:r>
            <w:r>
              <w:rPr>
                <w:sz w:val="20"/>
              </w:rPr>
              <w:t xml:space="preserve"> </w:t>
            </w:r>
            <w:r w:rsidRPr="0009249F">
              <w:rPr>
                <w:sz w:val="20"/>
              </w:rPr>
              <w:t>)</w:t>
            </w:r>
          </w:p>
        </w:tc>
        <w:tc>
          <w:tcPr>
            <w:tcW w:w="3366" w:type="dxa"/>
            <w:vAlign w:val="center"/>
          </w:tcPr>
          <w:p w:rsidR="00BF0F61" w:rsidRPr="0009249F" w:rsidRDefault="00BF0F61" w:rsidP="00680F0F">
            <w:pPr>
              <w:jc w:val="left"/>
              <w:rPr>
                <w:sz w:val="20"/>
              </w:rPr>
            </w:pPr>
            <w:r w:rsidRPr="0009249F">
              <w:rPr>
                <w:sz w:val="20"/>
              </w:rPr>
              <w:t>Non-condensables</w:t>
            </w:r>
            <w:r>
              <w:rPr>
                <w:sz w:val="20"/>
              </w:rPr>
              <w:t xml:space="preserve"> </w:t>
            </w:r>
            <w:r w:rsidRPr="0009249F">
              <w:rPr>
                <w:sz w:val="20"/>
              </w:rPr>
              <w:t>(10</w:t>
            </w:r>
            <w:r>
              <w:rPr>
                <w:sz w:val="20"/>
              </w:rPr>
              <w:t xml:space="preserve"> </w:t>
            </w:r>
            <w:r w:rsidRPr="0009249F">
              <w:rPr>
                <w:sz w:val="20"/>
              </w:rPr>
              <w:t>, 20</w:t>
            </w:r>
            <w:r>
              <w:rPr>
                <w:sz w:val="20"/>
              </w:rPr>
              <w:t xml:space="preserve"> </w:t>
            </w:r>
            <w:r w:rsidRPr="0009249F">
              <w:rPr>
                <w:sz w:val="20"/>
              </w:rPr>
              <w:t>)</w:t>
            </w:r>
          </w:p>
        </w:tc>
        <w:tc>
          <w:tcPr>
            <w:tcW w:w="1966" w:type="dxa"/>
            <w:vAlign w:val="center"/>
          </w:tcPr>
          <w:p w:rsidR="00BF0F61" w:rsidRPr="0009249F" w:rsidRDefault="00BF0F61" w:rsidP="00680F0F">
            <w:pPr>
              <w:jc w:val="center"/>
              <w:rPr>
                <w:sz w:val="20"/>
              </w:rPr>
            </w:pPr>
            <w:r w:rsidRPr="0009249F">
              <w:rPr>
                <w:sz w:val="20"/>
              </w:rPr>
              <w:t>A+B</w:t>
            </w:r>
          </w:p>
        </w:tc>
      </w:tr>
      <w:tr w:rsidR="00BF0F61" w:rsidTr="00680F0F">
        <w:trPr>
          <w:trHeight w:hRule="exact" w:val="360"/>
        </w:trPr>
        <w:tc>
          <w:tcPr>
            <w:tcW w:w="990" w:type="dxa"/>
            <w:vAlign w:val="center"/>
          </w:tcPr>
          <w:p w:rsidR="00BF0F61" w:rsidRPr="0009249F" w:rsidRDefault="00BF0F61" w:rsidP="00680F0F">
            <w:pPr>
              <w:jc w:val="center"/>
              <w:rPr>
                <w:sz w:val="20"/>
              </w:rPr>
            </w:pPr>
            <w:r w:rsidRPr="0009249F">
              <w:rPr>
                <w:sz w:val="20"/>
              </w:rPr>
              <w:t xml:space="preserve"> 6</w:t>
            </w:r>
          </w:p>
        </w:tc>
        <w:tc>
          <w:tcPr>
            <w:tcW w:w="2744" w:type="dxa"/>
            <w:vAlign w:val="center"/>
          </w:tcPr>
          <w:p w:rsidR="00BF0F61" w:rsidRPr="0009249F" w:rsidRDefault="00BF0F61" w:rsidP="00680F0F">
            <w:pPr>
              <w:jc w:val="left"/>
              <w:rPr>
                <w:sz w:val="20"/>
              </w:rPr>
            </w:pPr>
            <w:r w:rsidRPr="0009249F">
              <w:rPr>
                <w:sz w:val="20"/>
              </w:rPr>
              <w:t>Oversize (25, 50)</w:t>
            </w:r>
          </w:p>
        </w:tc>
        <w:tc>
          <w:tcPr>
            <w:tcW w:w="3366" w:type="dxa"/>
            <w:vAlign w:val="center"/>
          </w:tcPr>
          <w:p w:rsidR="00BF0F61" w:rsidRPr="0009249F" w:rsidRDefault="00BF0F61" w:rsidP="00680F0F">
            <w:pPr>
              <w:jc w:val="left"/>
              <w:rPr>
                <w:sz w:val="20"/>
              </w:rPr>
            </w:pPr>
            <w:r w:rsidRPr="0009249F">
              <w:rPr>
                <w:sz w:val="20"/>
              </w:rPr>
              <w:t>Refrigerant undercharge</w:t>
            </w:r>
            <w:r>
              <w:rPr>
                <w:sz w:val="20"/>
              </w:rPr>
              <w:t xml:space="preserve"> </w:t>
            </w:r>
            <w:r w:rsidRPr="0009249F">
              <w:rPr>
                <w:sz w:val="20"/>
              </w:rPr>
              <w:t>(-15, -30)</w:t>
            </w:r>
          </w:p>
        </w:tc>
        <w:tc>
          <w:tcPr>
            <w:tcW w:w="1966" w:type="dxa"/>
            <w:vAlign w:val="center"/>
          </w:tcPr>
          <w:p w:rsidR="00BF0F61" w:rsidRPr="0009249F" w:rsidRDefault="00BF0F61" w:rsidP="00680F0F">
            <w:pPr>
              <w:jc w:val="center"/>
              <w:rPr>
                <w:sz w:val="20"/>
              </w:rPr>
            </w:pPr>
            <w:r w:rsidRPr="0009249F">
              <w:rPr>
                <w:sz w:val="20"/>
              </w:rPr>
              <w:t>A+B</w:t>
            </w:r>
          </w:p>
        </w:tc>
      </w:tr>
      <w:tr w:rsidR="00BF0F61" w:rsidTr="00680F0F">
        <w:trPr>
          <w:trHeight w:hRule="exact" w:val="360"/>
        </w:trPr>
        <w:tc>
          <w:tcPr>
            <w:tcW w:w="990" w:type="dxa"/>
            <w:vAlign w:val="center"/>
          </w:tcPr>
          <w:p w:rsidR="00BF0F61" w:rsidRPr="0009249F" w:rsidRDefault="00BF0F61" w:rsidP="00680F0F">
            <w:pPr>
              <w:jc w:val="center"/>
              <w:rPr>
                <w:sz w:val="20"/>
              </w:rPr>
            </w:pPr>
            <w:r w:rsidRPr="0009249F">
              <w:rPr>
                <w:sz w:val="20"/>
              </w:rPr>
              <w:t xml:space="preserve"> 7</w:t>
            </w:r>
          </w:p>
        </w:tc>
        <w:tc>
          <w:tcPr>
            <w:tcW w:w="2744" w:type="dxa"/>
            <w:vAlign w:val="center"/>
          </w:tcPr>
          <w:p w:rsidR="00BF0F61" w:rsidRPr="0009249F" w:rsidRDefault="00BF0F61" w:rsidP="00680F0F">
            <w:pPr>
              <w:jc w:val="left"/>
              <w:rPr>
                <w:sz w:val="20"/>
              </w:rPr>
            </w:pPr>
            <w:r w:rsidRPr="0009249F">
              <w:rPr>
                <w:sz w:val="20"/>
              </w:rPr>
              <w:t>Oversize</w:t>
            </w:r>
            <w:r>
              <w:rPr>
                <w:sz w:val="20"/>
                <w:vertAlign w:val="superscript"/>
              </w:rPr>
              <w:t xml:space="preserve"> </w:t>
            </w:r>
            <w:r w:rsidRPr="0009249F">
              <w:rPr>
                <w:sz w:val="20"/>
              </w:rPr>
              <w:t>(25, 50)</w:t>
            </w:r>
          </w:p>
        </w:tc>
        <w:tc>
          <w:tcPr>
            <w:tcW w:w="3366" w:type="dxa"/>
            <w:vAlign w:val="center"/>
          </w:tcPr>
          <w:p w:rsidR="00BF0F61" w:rsidRPr="0009249F" w:rsidRDefault="00BF0F61" w:rsidP="00680F0F">
            <w:pPr>
              <w:jc w:val="left"/>
              <w:rPr>
                <w:sz w:val="20"/>
              </w:rPr>
            </w:pPr>
            <w:r w:rsidRPr="0009249F">
              <w:rPr>
                <w:sz w:val="20"/>
              </w:rPr>
              <w:t>Refrigerant overcharge</w:t>
            </w:r>
            <w:r>
              <w:rPr>
                <w:sz w:val="20"/>
              </w:rPr>
              <w:t xml:space="preserve"> </w:t>
            </w:r>
            <w:r w:rsidRPr="0009249F">
              <w:rPr>
                <w:sz w:val="20"/>
              </w:rPr>
              <w:t>(15, 30)</w:t>
            </w:r>
          </w:p>
        </w:tc>
        <w:tc>
          <w:tcPr>
            <w:tcW w:w="1966" w:type="dxa"/>
            <w:vAlign w:val="center"/>
          </w:tcPr>
          <w:p w:rsidR="00BF0F61" w:rsidRPr="0009249F" w:rsidRDefault="00BF0F61" w:rsidP="00680F0F">
            <w:pPr>
              <w:jc w:val="center"/>
              <w:rPr>
                <w:sz w:val="20"/>
              </w:rPr>
            </w:pPr>
            <w:r w:rsidRPr="0009249F">
              <w:rPr>
                <w:sz w:val="20"/>
              </w:rPr>
              <w:t>A+B</w:t>
            </w:r>
          </w:p>
        </w:tc>
      </w:tr>
      <w:tr w:rsidR="00BF0F61" w:rsidTr="00680F0F">
        <w:trPr>
          <w:trHeight w:hRule="exact" w:val="360"/>
        </w:trPr>
        <w:tc>
          <w:tcPr>
            <w:tcW w:w="990" w:type="dxa"/>
            <w:tcBorders>
              <w:top w:val="single" w:sz="4" w:space="0" w:color="auto"/>
              <w:left w:val="single" w:sz="4" w:space="0" w:color="auto"/>
              <w:bottom w:val="single" w:sz="4" w:space="0" w:color="auto"/>
              <w:right w:val="single" w:sz="4" w:space="0" w:color="auto"/>
            </w:tcBorders>
            <w:vAlign w:val="center"/>
          </w:tcPr>
          <w:p w:rsidR="00BF0F61" w:rsidRPr="0009249F" w:rsidRDefault="00BF0F61" w:rsidP="00680F0F">
            <w:pPr>
              <w:jc w:val="center"/>
              <w:rPr>
                <w:sz w:val="20"/>
              </w:rPr>
            </w:pPr>
            <w:r w:rsidRPr="0009249F">
              <w:rPr>
                <w:sz w:val="20"/>
              </w:rPr>
              <w:t>8</w:t>
            </w:r>
          </w:p>
        </w:tc>
        <w:tc>
          <w:tcPr>
            <w:tcW w:w="2744" w:type="dxa"/>
            <w:tcBorders>
              <w:top w:val="single" w:sz="4" w:space="0" w:color="auto"/>
              <w:left w:val="single" w:sz="4" w:space="0" w:color="auto"/>
              <w:bottom w:val="single" w:sz="4" w:space="0" w:color="auto"/>
              <w:right w:val="single" w:sz="4" w:space="0" w:color="auto"/>
            </w:tcBorders>
            <w:vAlign w:val="center"/>
          </w:tcPr>
          <w:p w:rsidR="00BF0F61" w:rsidRPr="0009249F" w:rsidRDefault="00BF0F61" w:rsidP="00680F0F">
            <w:pPr>
              <w:jc w:val="left"/>
              <w:rPr>
                <w:sz w:val="20"/>
              </w:rPr>
            </w:pPr>
            <w:r w:rsidRPr="0009249F">
              <w:rPr>
                <w:sz w:val="20"/>
              </w:rPr>
              <w:t>Oversize</w:t>
            </w:r>
            <w:r>
              <w:rPr>
                <w:sz w:val="20"/>
                <w:vertAlign w:val="superscript"/>
              </w:rPr>
              <w:t xml:space="preserve"> </w:t>
            </w:r>
            <w:r w:rsidRPr="0009249F">
              <w:rPr>
                <w:sz w:val="20"/>
              </w:rPr>
              <w:t xml:space="preserve"> (25, 50)</w:t>
            </w:r>
          </w:p>
        </w:tc>
        <w:tc>
          <w:tcPr>
            <w:tcW w:w="3366" w:type="dxa"/>
            <w:tcBorders>
              <w:top w:val="single" w:sz="4" w:space="0" w:color="auto"/>
              <w:left w:val="single" w:sz="4" w:space="0" w:color="auto"/>
              <w:bottom w:val="single" w:sz="4" w:space="0" w:color="auto"/>
              <w:right w:val="single" w:sz="4" w:space="0" w:color="auto"/>
            </w:tcBorders>
            <w:vAlign w:val="center"/>
          </w:tcPr>
          <w:p w:rsidR="00BF0F61" w:rsidRPr="0009249F" w:rsidRDefault="00BF0F61" w:rsidP="00680F0F">
            <w:pPr>
              <w:jc w:val="left"/>
              <w:rPr>
                <w:sz w:val="20"/>
              </w:rPr>
            </w:pPr>
            <w:r w:rsidRPr="0009249F">
              <w:rPr>
                <w:sz w:val="20"/>
              </w:rPr>
              <w:t xml:space="preserve">Non-condensables </w:t>
            </w:r>
            <w:r>
              <w:rPr>
                <w:sz w:val="20"/>
              </w:rPr>
              <w:t xml:space="preserve"> </w:t>
            </w:r>
            <w:r w:rsidRPr="0009249F">
              <w:rPr>
                <w:sz w:val="20"/>
              </w:rPr>
              <w:t>(10, 20)</w:t>
            </w:r>
          </w:p>
        </w:tc>
        <w:tc>
          <w:tcPr>
            <w:tcW w:w="1966" w:type="dxa"/>
            <w:tcBorders>
              <w:top w:val="single" w:sz="4" w:space="0" w:color="auto"/>
              <w:left w:val="single" w:sz="4" w:space="0" w:color="auto"/>
              <w:bottom w:val="single" w:sz="4" w:space="0" w:color="auto"/>
              <w:right w:val="single" w:sz="4" w:space="0" w:color="auto"/>
            </w:tcBorders>
            <w:vAlign w:val="center"/>
          </w:tcPr>
          <w:p w:rsidR="00BF0F61" w:rsidRPr="0009249F" w:rsidRDefault="00BF0F61" w:rsidP="00680F0F">
            <w:pPr>
              <w:jc w:val="center"/>
              <w:rPr>
                <w:sz w:val="20"/>
              </w:rPr>
            </w:pPr>
            <w:r w:rsidRPr="0009249F">
              <w:rPr>
                <w:sz w:val="20"/>
              </w:rPr>
              <w:t>A+B</w:t>
            </w:r>
          </w:p>
        </w:tc>
      </w:tr>
      <w:tr w:rsidR="00BF0F61" w:rsidTr="00680F0F">
        <w:trPr>
          <w:trHeight w:hRule="exact" w:val="360"/>
        </w:trPr>
        <w:tc>
          <w:tcPr>
            <w:tcW w:w="990" w:type="dxa"/>
            <w:tcBorders>
              <w:top w:val="single" w:sz="4" w:space="0" w:color="auto"/>
              <w:left w:val="single" w:sz="4" w:space="0" w:color="auto"/>
              <w:bottom w:val="single" w:sz="4" w:space="0" w:color="auto"/>
              <w:right w:val="single" w:sz="4" w:space="0" w:color="auto"/>
            </w:tcBorders>
            <w:vAlign w:val="center"/>
          </w:tcPr>
          <w:p w:rsidR="00BF0F61" w:rsidRPr="0009249F" w:rsidRDefault="00BF0F61" w:rsidP="00680F0F">
            <w:pPr>
              <w:jc w:val="center"/>
              <w:rPr>
                <w:sz w:val="20"/>
              </w:rPr>
            </w:pPr>
            <w:r w:rsidRPr="0009249F">
              <w:rPr>
                <w:sz w:val="20"/>
              </w:rPr>
              <w:t xml:space="preserve"> 9</w:t>
            </w:r>
          </w:p>
        </w:tc>
        <w:tc>
          <w:tcPr>
            <w:tcW w:w="2744" w:type="dxa"/>
            <w:tcBorders>
              <w:top w:val="single" w:sz="4" w:space="0" w:color="auto"/>
              <w:left w:val="single" w:sz="4" w:space="0" w:color="auto"/>
              <w:bottom w:val="single" w:sz="4" w:space="0" w:color="auto"/>
              <w:right w:val="single" w:sz="4" w:space="0" w:color="auto"/>
            </w:tcBorders>
            <w:vAlign w:val="center"/>
          </w:tcPr>
          <w:p w:rsidR="00BF0F61" w:rsidRPr="0009249F" w:rsidRDefault="00BF0F61" w:rsidP="00680F0F">
            <w:pPr>
              <w:jc w:val="left"/>
              <w:rPr>
                <w:sz w:val="20"/>
              </w:rPr>
            </w:pPr>
            <w:r w:rsidRPr="0009249F">
              <w:rPr>
                <w:sz w:val="20"/>
              </w:rPr>
              <w:t>Indoor coil airflow</w:t>
            </w:r>
            <w:r>
              <w:rPr>
                <w:sz w:val="20"/>
              </w:rPr>
              <w:t xml:space="preserve"> </w:t>
            </w:r>
            <w:r w:rsidRPr="0009249F">
              <w:rPr>
                <w:sz w:val="20"/>
              </w:rPr>
              <w:t xml:space="preserve">(-15, -36)  </w:t>
            </w:r>
          </w:p>
        </w:tc>
        <w:tc>
          <w:tcPr>
            <w:tcW w:w="3366" w:type="dxa"/>
            <w:tcBorders>
              <w:top w:val="single" w:sz="4" w:space="0" w:color="auto"/>
              <w:left w:val="single" w:sz="4" w:space="0" w:color="auto"/>
              <w:bottom w:val="single" w:sz="4" w:space="0" w:color="auto"/>
              <w:right w:val="single" w:sz="4" w:space="0" w:color="auto"/>
            </w:tcBorders>
            <w:vAlign w:val="center"/>
          </w:tcPr>
          <w:p w:rsidR="00BF0F61" w:rsidRPr="0009249F" w:rsidRDefault="00BF0F61" w:rsidP="00680F0F">
            <w:pPr>
              <w:jc w:val="left"/>
              <w:rPr>
                <w:sz w:val="20"/>
              </w:rPr>
            </w:pPr>
            <w:r w:rsidRPr="0009249F">
              <w:rPr>
                <w:sz w:val="20"/>
              </w:rPr>
              <w:t>Refrigerant undercharge</w:t>
            </w:r>
            <w:r>
              <w:rPr>
                <w:sz w:val="20"/>
              </w:rPr>
              <w:t xml:space="preserve"> </w:t>
            </w:r>
            <w:r w:rsidRPr="0009249F">
              <w:rPr>
                <w:sz w:val="20"/>
              </w:rPr>
              <w:t>(-15, -30)</w:t>
            </w:r>
          </w:p>
        </w:tc>
        <w:tc>
          <w:tcPr>
            <w:tcW w:w="1966" w:type="dxa"/>
            <w:tcBorders>
              <w:top w:val="single" w:sz="4" w:space="0" w:color="auto"/>
              <w:left w:val="single" w:sz="4" w:space="0" w:color="auto"/>
              <w:bottom w:val="single" w:sz="4" w:space="0" w:color="auto"/>
              <w:right w:val="single" w:sz="4" w:space="0" w:color="auto"/>
            </w:tcBorders>
            <w:vAlign w:val="center"/>
          </w:tcPr>
          <w:p w:rsidR="00BF0F61" w:rsidRPr="0009249F" w:rsidRDefault="00AB5ACC" w:rsidP="00AB5ACC">
            <w:pPr>
              <w:rPr>
                <w:sz w:val="20"/>
              </w:rPr>
            </w:pPr>
            <w:r>
              <w:rPr>
                <w:sz w:val="20"/>
              </w:rPr>
              <w:t xml:space="preserve">          </w:t>
            </w:r>
            <w:r w:rsidR="00BF0F61" w:rsidRPr="0009249F">
              <w:rPr>
                <w:sz w:val="20"/>
              </w:rPr>
              <w:t>&lt; A+B</w:t>
            </w:r>
          </w:p>
        </w:tc>
      </w:tr>
      <w:tr w:rsidR="00BF0F61" w:rsidTr="00680F0F">
        <w:trPr>
          <w:trHeight w:hRule="exact" w:val="360"/>
        </w:trPr>
        <w:tc>
          <w:tcPr>
            <w:tcW w:w="990" w:type="dxa"/>
            <w:tcBorders>
              <w:top w:val="single" w:sz="4" w:space="0" w:color="auto"/>
              <w:left w:val="single" w:sz="4" w:space="0" w:color="auto"/>
              <w:bottom w:val="single" w:sz="4" w:space="0" w:color="auto"/>
              <w:right w:val="single" w:sz="4" w:space="0" w:color="auto"/>
            </w:tcBorders>
            <w:vAlign w:val="center"/>
          </w:tcPr>
          <w:p w:rsidR="00BF0F61" w:rsidRPr="0009249F" w:rsidRDefault="00BF0F61" w:rsidP="00680F0F">
            <w:pPr>
              <w:jc w:val="center"/>
              <w:rPr>
                <w:sz w:val="20"/>
              </w:rPr>
            </w:pPr>
            <w:r w:rsidRPr="0009249F">
              <w:rPr>
                <w:sz w:val="20"/>
              </w:rPr>
              <w:t xml:space="preserve"> 10</w:t>
            </w:r>
          </w:p>
        </w:tc>
        <w:tc>
          <w:tcPr>
            <w:tcW w:w="2744" w:type="dxa"/>
            <w:tcBorders>
              <w:top w:val="single" w:sz="4" w:space="0" w:color="auto"/>
              <w:left w:val="single" w:sz="4" w:space="0" w:color="auto"/>
              <w:bottom w:val="single" w:sz="4" w:space="0" w:color="auto"/>
              <w:right w:val="single" w:sz="4" w:space="0" w:color="auto"/>
            </w:tcBorders>
            <w:vAlign w:val="center"/>
          </w:tcPr>
          <w:p w:rsidR="00BF0F61" w:rsidRPr="0009249F" w:rsidRDefault="00BF0F61" w:rsidP="00680F0F">
            <w:pPr>
              <w:jc w:val="left"/>
              <w:rPr>
                <w:sz w:val="20"/>
              </w:rPr>
            </w:pPr>
            <w:r w:rsidRPr="0009249F">
              <w:rPr>
                <w:sz w:val="20"/>
              </w:rPr>
              <w:t>Indoor coil airflow</w:t>
            </w:r>
            <w:r>
              <w:rPr>
                <w:sz w:val="20"/>
              </w:rPr>
              <w:t xml:space="preserve"> </w:t>
            </w:r>
            <w:r w:rsidRPr="0009249F">
              <w:rPr>
                <w:sz w:val="20"/>
              </w:rPr>
              <w:t xml:space="preserve">(-15, -36)  </w:t>
            </w:r>
          </w:p>
        </w:tc>
        <w:tc>
          <w:tcPr>
            <w:tcW w:w="3366" w:type="dxa"/>
            <w:tcBorders>
              <w:top w:val="single" w:sz="4" w:space="0" w:color="auto"/>
              <w:left w:val="single" w:sz="4" w:space="0" w:color="auto"/>
              <w:bottom w:val="single" w:sz="4" w:space="0" w:color="auto"/>
              <w:right w:val="single" w:sz="4" w:space="0" w:color="auto"/>
            </w:tcBorders>
            <w:vAlign w:val="center"/>
          </w:tcPr>
          <w:p w:rsidR="00BF0F61" w:rsidRPr="0009249F" w:rsidRDefault="00BF0F61" w:rsidP="00680F0F">
            <w:pPr>
              <w:jc w:val="left"/>
              <w:rPr>
                <w:sz w:val="20"/>
              </w:rPr>
            </w:pPr>
            <w:r w:rsidRPr="0009249F">
              <w:rPr>
                <w:sz w:val="20"/>
              </w:rPr>
              <w:t>Refrigerant overcharge</w:t>
            </w:r>
            <w:r>
              <w:rPr>
                <w:sz w:val="20"/>
              </w:rPr>
              <w:t xml:space="preserve"> </w:t>
            </w:r>
            <w:r w:rsidRPr="0009249F">
              <w:rPr>
                <w:sz w:val="20"/>
              </w:rPr>
              <w:t>(15, 30)</w:t>
            </w:r>
          </w:p>
        </w:tc>
        <w:tc>
          <w:tcPr>
            <w:tcW w:w="1966" w:type="dxa"/>
            <w:tcBorders>
              <w:top w:val="single" w:sz="4" w:space="0" w:color="auto"/>
              <w:left w:val="single" w:sz="4" w:space="0" w:color="auto"/>
              <w:bottom w:val="single" w:sz="4" w:space="0" w:color="auto"/>
              <w:right w:val="single" w:sz="4" w:space="0" w:color="auto"/>
            </w:tcBorders>
            <w:vAlign w:val="center"/>
          </w:tcPr>
          <w:p w:rsidR="00BF0F61" w:rsidRPr="0009249F" w:rsidRDefault="00AB5ACC" w:rsidP="00AB5ACC">
            <w:pPr>
              <w:rPr>
                <w:sz w:val="20"/>
              </w:rPr>
            </w:pPr>
            <w:r>
              <w:rPr>
                <w:sz w:val="20"/>
              </w:rPr>
              <w:t xml:space="preserve">          </w:t>
            </w:r>
            <w:r w:rsidR="00BF0F61" w:rsidRPr="0009249F">
              <w:rPr>
                <w:sz w:val="20"/>
              </w:rPr>
              <w:t>&lt; A+B</w:t>
            </w:r>
          </w:p>
        </w:tc>
      </w:tr>
      <w:tr w:rsidR="00BF0F61" w:rsidTr="00680F0F">
        <w:trPr>
          <w:trHeight w:hRule="exact" w:val="360"/>
        </w:trPr>
        <w:tc>
          <w:tcPr>
            <w:tcW w:w="990" w:type="dxa"/>
            <w:tcBorders>
              <w:top w:val="single" w:sz="4" w:space="0" w:color="auto"/>
              <w:left w:val="single" w:sz="4" w:space="0" w:color="auto"/>
              <w:bottom w:val="single" w:sz="4" w:space="0" w:color="auto"/>
              <w:right w:val="single" w:sz="4" w:space="0" w:color="auto"/>
            </w:tcBorders>
            <w:vAlign w:val="center"/>
          </w:tcPr>
          <w:p w:rsidR="00BF0F61" w:rsidRPr="0009249F" w:rsidRDefault="00BF0F61" w:rsidP="00680F0F">
            <w:pPr>
              <w:jc w:val="center"/>
              <w:rPr>
                <w:sz w:val="20"/>
              </w:rPr>
            </w:pPr>
            <w:r w:rsidRPr="0009249F">
              <w:rPr>
                <w:sz w:val="20"/>
              </w:rPr>
              <w:t xml:space="preserve"> 11</w:t>
            </w:r>
          </w:p>
        </w:tc>
        <w:tc>
          <w:tcPr>
            <w:tcW w:w="2744" w:type="dxa"/>
            <w:tcBorders>
              <w:top w:val="single" w:sz="4" w:space="0" w:color="auto"/>
              <w:left w:val="single" w:sz="4" w:space="0" w:color="auto"/>
              <w:bottom w:val="single" w:sz="4" w:space="0" w:color="auto"/>
              <w:right w:val="single" w:sz="4" w:space="0" w:color="auto"/>
            </w:tcBorders>
            <w:vAlign w:val="center"/>
          </w:tcPr>
          <w:p w:rsidR="00BF0F61" w:rsidRPr="0009249F" w:rsidRDefault="00BF0F61" w:rsidP="00680F0F">
            <w:pPr>
              <w:jc w:val="left"/>
              <w:rPr>
                <w:sz w:val="20"/>
              </w:rPr>
            </w:pPr>
            <w:r w:rsidRPr="0009249F">
              <w:rPr>
                <w:sz w:val="20"/>
              </w:rPr>
              <w:t>Indoor coil airflow</w:t>
            </w:r>
            <w:r>
              <w:rPr>
                <w:sz w:val="20"/>
              </w:rPr>
              <w:t xml:space="preserve"> </w:t>
            </w:r>
            <w:r w:rsidRPr="0009249F">
              <w:rPr>
                <w:sz w:val="20"/>
              </w:rPr>
              <w:t xml:space="preserve">(-15, -36)  </w:t>
            </w:r>
          </w:p>
        </w:tc>
        <w:tc>
          <w:tcPr>
            <w:tcW w:w="3366" w:type="dxa"/>
            <w:tcBorders>
              <w:top w:val="single" w:sz="4" w:space="0" w:color="auto"/>
              <w:left w:val="single" w:sz="4" w:space="0" w:color="auto"/>
              <w:bottom w:val="single" w:sz="4" w:space="0" w:color="auto"/>
              <w:right w:val="single" w:sz="4" w:space="0" w:color="auto"/>
            </w:tcBorders>
            <w:vAlign w:val="center"/>
          </w:tcPr>
          <w:p w:rsidR="00BF0F61" w:rsidRPr="0009249F" w:rsidRDefault="00BF0F61" w:rsidP="00680F0F">
            <w:pPr>
              <w:jc w:val="left"/>
              <w:rPr>
                <w:sz w:val="20"/>
              </w:rPr>
            </w:pPr>
            <w:r w:rsidRPr="0009249F">
              <w:rPr>
                <w:sz w:val="20"/>
              </w:rPr>
              <w:t>Non-condensables  (10, 20)</w:t>
            </w:r>
          </w:p>
        </w:tc>
        <w:tc>
          <w:tcPr>
            <w:tcW w:w="1966" w:type="dxa"/>
            <w:tcBorders>
              <w:top w:val="single" w:sz="4" w:space="0" w:color="auto"/>
              <w:left w:val="single" w:sz="4" w:space="0" w:color="auto"/>
              <w:bottom w:val="single" w:sz="4" w:space="0" w:color="auto"/>
              <w:right w:val="single" w:sz="4" w:space="0" w:color="auto"/>
            </w:tcBorders>
            <w:vAlign w:val="center"/>
          </w:tcPr>
          <w:p w:rsidR="00BF0F61" w:rsidRPr="0009249F" w:rsidRDefault="00AB5ACC" w:rsidP="00AB5ACC">
            <w:pPr>
              <w:rPr>
                <w:sz w:val="20"/>
              </w:rPr>
            </w:pPr>
            <w:r>
              <w:rPr>
                <w:sz w:val="20"/>
              </w:rPr>
              <w:t xml:space="preserve">          </w:t>
            </w:r>
            <w:r w:rsidR="00BF0F61" w:rsidRPr="0009249F">
              <w:rPr>
                <w:sz w:val="20"/>
              </w:rPr>
              <w:t>&lt; A+B</w:t>
            </w:r>
          </w:p>
        </w:tc>
      </w:tr>
      <w:tr w:rsidR="00BF0F61" w:rsidTr="00680F0F">
        <w:trPr>
          <w:trHeight w:hRule="exact" w:val="360"/>
        </w:trPr>
        <w:tc>
          <w:tcPr>
            <w:tcW w:w="990" w:type="dxa"/>
            <w:tcBorders>
              <w:top w:val="single" w:sz="4" w:space="0" w:color="auto"/>
              <w:left w:val="single" w:sz="4" w:space="0" w:color="auto"/>
              <w:bottom w:val="single" w:sz="4" w:space="0" w:color="auto"/>
              <w:right w:val="single" w:sz="4" w:space="0" w:color="auto"/>
            </w:tcBorders>
            <w:vAlign w:val="center"/>
          </w:tcPr>
          <w:p w:rsidR="00BF0F61" w:rsidRPr="0009249F" w:rsidRDefault="00BF0F61" w:rsidP="00680F0F">
            <w:pPr>
              <w:jc w:val="center"/>
              <w:rPr>
                <w:sz w:val="20"/>
              </w:rPr>
            </w:pPr>
            <w:r w:rsidRPr="0009249F">
              <w:rPr>
                <w:sz w:val="20"/>
              </w:rPr>
              <w:t xml:space="preserve"> </w:t>
            </w:r>
            <w:r>
              <w:rPr>
                <w:sz w:val="20"/>
              </w:rPr>
              <w:t>12</w:t>
            </w:r>
          </w:p>
        </w:tc>
        <w:tc>
          <w:tcPr>
            <w:tcW w:w="2744" w:type="dxa"/>
            <w:tcBorders>
              <w:top w:val="single" w:sz="4" w:space="0" w:color="auto"/>
              <w:left w:val="single" w:sz="4" w:space="0" w:color="auto"/>
              <w:bottom w:val="single" w:sz="4" w:space="0" w:color="auto"/>
              <w:right w:val="single" w:sz="4" w:space="0" w:color="auto"/>
            </w:tcBorders>
            <w:vAlign w:val="center"/>
          </w:tcPr>
          <w:p w:rsidR="00BF0F61" w:rsidRPr="0009249F" w:rsidRDefault="00BF0F61" w:rsidP="00680F0F">
            <w:pPr>
              <w:jc w:val="left"/>
              <w:rPr>
                <w:sz w:val="20"/>
              </w:rPr>
            </w:pPr>
            <w:r w:rsidRPr="0009249F">
              <w:rPr>
                <w:sz w:val="20"/>
              </w:rPr>
              <w:t xml:space="preserve">Duct leakage </w:t>
            </w:r>
            <w:r>
              <w:rPr>
                <w:sz w:val="20"/>
              </w:rPr>
              <w:t xml:space="preserve"> </w:t>
            </w:r>
            <w:r w:rsidRPr="0009249F">
              <w:rPr>
                <w:sz w:val="20"/>
              </w:rPr>
              <w:t>(20, 40)</w:t>
            </w:r>
          </w:p>
        </w:tc>
        <w:tc>
          <w:tcPr>
            <w:tcW w:w="3366" w:type="dxa"/>
            <w:tcBorders>
              <w:top w:val="single" w:sz="4" w:space="0" w:color="auto"/>
              <w:left w:val="single" w:sz="4" w:space="0" w:color="auto"/>
              <w:bottom w:val="single" w:sz="4" w:space="0" w:color="auto"/>
              <w:right w:val="single" w:sz="4" w:space="0" w:color="auto"/>
            </w:tcBorders>
            <w:vAlign w:val="center"/>
          </w:tcPr>
          <w:p w:rsidR="00BF0F61" w:rsidRPr="006A1F52" w:rsidRDefault="00BF0F61" w:rsidP="00680F0F">
            <w:pPr>
              <w:jc w:val="left"/>
              <w:rPr>
                <w:sz w:val="20"/>
                <w:vertAlign w:val="superscript"/>
              </w:rPr>
            </w:pPr>
            <w:r>
              <w:rPr>
                <w:sz w:val="20"/>
              </w:rPr>
              <w:t xml:space="preserve">Cooling </w:t>
            </w:r>
            <w:r w:rsidRPr="0009249F">
              <w:rPr>
                <w:sz w:val="20"/>
              </w:rPr>
              <w:t>TXV undersizing</w:t>
            </w:r>
            <w:r>
              <w:rPr>
                <w:sz w:val="20"/>
                <w:vertAlign w:val="superscript"/>
              </w:rPr>
              <w:t xml:space="preserve">(b) </w:t>
            </w:r>
            <w:r w:rsidRPr="0009249F">
              <w:rPr>
                <w:sz w:val="20"/>
              </w:rPr>
              <w:t>(-20, -60)</w:t>
            </w:r>
          </w:p>
        </w:tc>
        <w:tc>
          <w:tcPr>
            <w:tcW w:w="1966" w:type="dxa"/>
            <w:tcBorders>
              <w:top w:val="single" w:sz="4" w:space="0" w:color="auto"/>
              <w:left w:val="single" w:sz="4" w:space="0" w:color="auto"/>
              <w:bottom w:val="single" w:sz="4" w:space="0" w:color="auto"/>
              <w:right w:val="single" w:sz="4" w:space="0" w:color="auto"/>
            </w:tcBorders>
            <w:vAlign w:val="center"/>
          </w:tcPr>
          <w:p w:rsidR="00BF0F61" w:rsidRPr="0009249F" w:rsidRDefault="00BF0F61" w:rsidP="00680F0F">
            <w:pPr>
              <w:jc w:val="center"/>
              <w:rPr>
                <w:sz w:val="20"/>
              </w:rPr>
            </w:pPr>
            <w:r w:rsidRPr="0009249F">
              <w:rPr>
                <w:sz w:val="20"/>
              </w:rPr>
              <w:t>A+B</w:t>
            </w:r>
          </w:p>
        </w:tc>
      </w:tr>
      <w:tr w:rsidR="00BF0F61" w:rsidTr="00680F0F">
        <w:trPr>
          <w:trHeight w:hRule="exact" w:val="360"/>
        </w:trPr>
        <w:tc>
          <w:tcPr>
            <w:tcW w:w="990" w:type="dxa"/>
            <w:tcBorders>
              <w:top w:val="single" w:sz="4" w:space="0" w:color="auto"/>
              <w:left w:val="single" w:sz="4" w:space="0" w:color="auto"/>
              <w:bottom w:val="single" w:sz="4" w:space="0" w:color="auto"/>
              <w:right w:val="single" w:sz="4" w:space="0" w:color="auto"/>
            </w:tcBorders>
            <w:vAlign w:val="center"/>
          </w:tcPr>
          <w:p w:rsidR="00BF0F61" w:rsidRPr="0009249F" w:rsidRDefault="00BF0F61" w:rsidP="00680F0F">
            <w:pPr>
              <w:jc w:val="center"/>
              <w:rPr>
                <w:sz w:val="20"/>
              </w:rPr>
            </w:pPr>
            <w:r w:rsidRPr="0009249F">
              <w:rPr>
                <w:sz w:val="20"/>
              </w:rPr>
              <w:t xml:space="preserve"> 1</w:t>
            </w:r>
            <w:r>
              <w:rPr>
                <w:sz w:val="20"/>
              </w:rPr>
              <w:t>3</w:t>
            </w:r>
          </w:p>
        </w:tc>
        <w:tc>
          <w:tcPr>
            <w:tcW w:w="2744" w:type="dxa"/>
            <w:tcBorders>
              <w:top w:val="single" w:sz="4" w:space="0" w:color="auto"/>
              <w:left w:val="single" w:sz="4" w:space="0" w:color="auto"/>
              <w:bottom w:val="single" w:sz="4" w:space="0" w:color="auto"/>
              <w:right w:val="single" w:sz="4" w:space="0" w:color="auto"/>
            </w:tcBorders>
            <w:vAlign w:val="center"/>
          </w:tcPr>
          <w:p w:rsidR="00BF0F61" w:rsidRPr="0009249F" w:rsidRDefault="00BF0F61" w:rsidP="00680F0F">
            <w:pPr>
              <w:jc w:val="left"/>
              <w:rPr>
                <w:sz w:val="20"/>
              </w:rPr>
            </w:pPr>
            <w:r w:rsidRPr="0009249F">
              <w:rPr>
                <w:sz w:val="20"/>
              </w:rPr>
              <w:t>Oversize (25, 50)</w:t>
            </w:r>
          </w:p>
        </w:tc>
        <w:tc>
          <w:tcPr>
            <w:tcW w:w="3366" w:type="dxa"/>
            <w:tcBorders>
              <w:top w:val="single" w:sz="4" w:space="0" w:color="auto"/>
              <w:left w:val="single" w:sz="4" w:space="0" w:color="auto"/>
              <w:bottom w:val="single" w:sz="4" w:space="0" w:color="auto"/>
              <w:right w:val="single" w:sz="4" w:space="0" w:color="auto"/>
            </w:tcBorders>
            <w:vAlign w:val="center"/>
          </w:tcPr>
          <w:p w:rsidR="00BF0F61" w:rsidRPr="0009249F" w:rsidRDefault="00BF0F61" w:rsidP="00680F0F">
            <w:pPr>
              <w:jc w:val="left"/>
              <w:rPr>
                <w:sz w:val="20"/>
              </w:rPr>
            </w:pPr>
            <w:r>
              <w:rPr>
                <w:sz w:val="20"/>
              </w:rPr>
              <w:t xml:space="preserve">Cooling </w:t>
            </w:r>
            <w:r w:rsidRPr="0009249F">
              <w:rPr>
                <w:sz w:val="20"/>
              </w:rPr>
              <w:t>TXV undersizing</w:t>
            </w:r>
            <w:r>
              <w:rPr>
                <w:sz w:val="20"/>
                <w:vertAlign w:val="superscript"/>
              </w:rPr>
              <w:t xml:space="preserve">(b) </w:t>
            </w:r>
            <w:r w:rsidRPr="0009249F">
              <w:rPr>
                <w:sz w:val="20"/>
              </w:rPr>
              <w:t>(-20, -60)</w:t>
            </w:r>
          </w:p>
        </w:tc>
        <w:tc>
          <w:tcPr>
            <w:tcW w:w="1966" w:type="dxa"/>
            <w:tcBorders>
              <w:top w:val="single" w:sz="4" w:space="0" w:color="auto"/>
              <w:left w:val="single" w:sz="4" w:space="0" w:color="auto"/>
              <w:bottom w:val="single" w:sz="4" w:space="0" w:color="auto"/>
              <w:right w:val="single" w:sz="4" w:space="0" w:color="auto"/>
            </w:tcBorders>
            <w:vAlign w:val="center"/>
          </w:tcPr>
          <w:p w:rsidR="00BF0F61" w:rsidRPr="0009249F" w:rsidRDefault="00BF0F61" w:rsidP="00680F0F">
            <w:pPr>
              <w:jc w:val="center"/>
              <w:rPr>
                <w:sz w:val="20"/>
              </w:rPr>
            </w:pPr>
            <w:r w:rsidRPr="0009249F">
              <w:rPr>
                <w:sz w:val="20"/>
              </w:rPr>
              <w:t>A+B</w:t>
            </w:r>
          </w:p>
        </w:tc>
      </w:tr>
      <w:tr w:rsidR="00BF0F61" w:rsidTr="00680F0F">
        <w:trPr>
          <w:trHeight w:hRule="exact" w:val="360"/>
        </w:trPr>
        <w:tc>
          <w:tcPr>
            <w:tcW w:w="990" w:type="dxa"/>
            <w:tcBorders>
              <w:top w:val="single" w:sz="4" w:space="0" w:color="auto"/>
              <w:left w:val="single" w:sz="4" w:space="0" w:color="auto"/>
              <w:bottom w:val="single" w:sz="4" w:space="0" w:color="auto"/>
              <w:right w:val="single" w:sz="4" w:space="0" w:color="auto"/>
            </w:tcBorders>
            <w:vAlign w:val="center"/>
          </w:tcPr>
          <w:p w:rsidR="00BF0F61" w:rsidRPr="0009249F" w:rsidRDefault="00BF0F61" w:rsidP="00680F0F">
            <w:pPr>
              <w:jc w:val="center"/>
              <w:rPr>
                <w:sz w:val="20"/>
              </w:rPr>
            </w:pPr>
            <w:r w:rsidRPr="0009249F">
              <w:rPr>
                <w:sz w:val="20"/>
              </w:rPr>
              <w:t xml:space="preserve"> 1</w:t>
            </w:r>
            <w:r>
              <w:rPr>
                <w:sz w:val="20"/>
              </w:rPr>
              <w:t>4</w:t>
            </w:r>
          </w:p>
        </w:tc>
        <w:tc>
          <w:tcPr>
            <w:tcW w:w="2744" w:type="dxa"/>
            <w:tcBorders>
              <w:top w:val="single" w:sz="4" w:space="0" w:color="auto"/>
              <w:left w:val="single" w:sz="4" w:space="0" w:color="auto"/>
              <w:bottom w:val="single" w:sz="4" w:space="0" w:color="auto"/>
              <w:right w:val="single" w:sz="4" w:space="0" w:color="auto"/>
            </w:tcBorders>
            <w:vAlign w:val="center"/>
          </w:tcPr>
          <w:p w:rsidR="00BF0F61" w:rsidRPr="0009249F" w:rsidRDefault="00BF0F61" w:rsidP="00680F0F">
            <w:pPr>
              <w:jc w:val="left"/>
              <w:rPr>
                <w:sz w:val="20"/>
              </w:rPr>
            </w:pPr>
            <w:r w:rsidRPr="0009249F">
              <w:rPr>
                <w:sz w:val="20"/>
              </w:rPr>
              <w:t>Indoor coil airflow</w:t>
            </w:r>
            <w:r>
              <w:rPr>
                <w:sz w:val="20"/>
              </w:rPr>
              <w:t xml:space="preserve"> </w:t>
            </w:r>
            <w:r w:rsidRPr="0009249F">
              <w:rPr>
                <w:sz w:val="20"/>
              </w:rPr>
              <w:t xml:space="preserve">(-15, -36)  </w:t>
            </w:r>
          </w:p>
        </w:tc>
        <w:tc>
          <w:tcPr>
            <w:tcW w:w="3366" w:type="dxa"/>
            <w:tcBorders>
              <w:top w:val="single" w:sz="4" w:space="0" w:color="auto"/>
              <w:left w:val="single" w:sz="4" w:space="0" w:color="auto"/>
              <w:bottom w:val="single" w:sz="4" w:space="0" w:color="auto"/>
              <w:right w:val="single" w:sz="4" w:space="0" w:color="auto"/>
            </w:tcBorders>
            <w:vAlign w:val="center"/>
          </w:tcPr>
          <w:p w:rsidR="00BF0F61" w:rsidRPr="0009249F" w:rsidRDefault="00BF0F61" w:rsidP="00680F0F">
            <w:pPr>
              <w:jc w:val="left"/>
              <w:rPr>
                <w:sz w:val="20"/>
              </w:rPr>
            </w:pPr>
            <w:r>
              <w:rPr>
                <w:sz w:val="20"/>
              </w:rPr>
              <w:t xml:space="preserve">Cooling </w:t>
            </w:r>
            <w:r w:rsidRPr="0009249F">
              <w:rPr>
                <w:sz w:val="20"/>
              </w:rPr>
              <w:t>TXV undersizing</w:t>
            </w:r>
            <w:r>
              <w:rPr>
                <w:sz w:val="20"/>
                <w:vertAlign w:val="superscript"/>
              </w:rPr>
              <w:t>(b)</w:t>
            </w:r>
            <w:r>
              <w:rPr>
                <w:sz w:val="20"/>
              </w:rPr>
              <w:t xml:space="preserve"> </w:t>
            </w:r>
            <w:r w:rsidRPr="0009249F">
              <w:rPr>
                <w:sz w:val="20"/>
              </w:rPr>
              <w:t>(-20, -60)</w:t>
            </w:r>
          </w:p>
        </w:tc>
        <w:tc>
          <w:tcPr>
            <w:tcW w:w="1966" w:type="dxa"/>
            <w:tcBorders>
              <w:top w:val="single" w:sz="4" w:space="0" w:color="auto"/>
              <w:left w:val="single" w:sz="4" w:space="0" w:color="auto"/>
              <w:bottom w:val="single" w:sz="4" w:space="0" w:color="auto"/>
              <w:right w:val="single" w:sz="4" w:space="0" w:color="auto"/>
            </w:tcBorders>
            <w:vAlign w:val="center"/>
          </w:tcPr>
          <w:p w:rsidR="00BF0F61" w:rsidRPr="0009249F" w:rsidRDefault="00AB5ACC" w:rsidP="00AB5ACC">
            <w:pPr>
              <w:rPr>
                <w:sz w:val="20"/>
              </w:rPr>
            </w:pPr>
            <w:r>
              <w:rPr>
                <w:sz w:val="20"/>
              </w:rPr>
              <w:t xml:space="preserve">          </w:t>
            </w:r>
            <w:r w:rsidR="00BF0F61" w:rsidRPr="0009249F">
              <w:rPr>
                <w:sz w:val="20"/>
              </w:rPr>
              <w:t>&lt; A+B</w:t>
            </w:r>
          </w:p>
        </w:tc>
      </w:tr>
    </w:tbl>
    <w:p w:rsidR="00BF0F61" w:rsidRDefault="00BF0F61" w:rsidP="00BF0F61">
      <w:pPr>
        <w:rPr>
          <w:sz w:val="20"/>
        </w:rPr>
      </w:pPr>
      <w:r>
        <w:rPr>
          <w:sz w:val="20"/>
        </w:rPr>
        <w:t>(a)</w:t>
      </w:r>
      <w:r w:rsidRPr="005A2ACF">
        <w:rPr>
          <w:sz w:val="20"/>
        </w:rPr>
        <w:t xml:space="preserve"> </w:t>
      </w:r>
      <w:proofErr w:type="gramStart"/>
      <w:r w:rsidRPr="005A2ACF">
        <w:rPr>
          <w:sz w:val="20"/>
        </w:rPr>
        <w:t>moderate</w:t>
      </w:r>
      <w:proofErr w:type="gramEnd"/>
      <w:r w:rsidRPr="005A2ACF">
        <w:rPr>
          <w:sz w:val="20"/>
        </w:rPr>
        <w:t xml:space="preserve"> = mid-level value,    worst = lowest/highest level value</w:t>
      </w:r>
    </w:p>
    <w:p w:rsidR="00BF0F61" w:rsidRDefault="00BF0F61" w:rsidP="00BF0F61">
      <w:pPr>
        <w:rPr>
          <w:sz w:val="20"/>
        </w:rPr>
      </w:pPr>
      <w:r>
        <w:rPr>
          <w:sz w:val="20"/>
        </w:rPr>
        <w:t>(b) Fault exists only in the cooling mode; the heating mode TXV is sized correctly</w:t>
      </w:r>
    </w:p>
    <w:p w:rsidR="00BF0F61" w:rsidRDefault="00BF0F61" w:rsidP="00BF0F61">
      <w:pPr>
        <w:pStyle w:val="ATPparagraph"/>
      </w:pPr>
      <w:r>
        <w:t xml:space="preserve"> </w:t>
      </w:r>
    </w:p>
    <w:p w:rsidR="00BF0F61" w:rsidRPr="005A2ACF" w:rsidRDefault="00BF0F61" w:rsidP="00BF0F61">
      <w:pPr>
        <w:spacing w:after="120"/>
      </w:pPr>
      <w:proofErr w:type="gramStart"/>
      <w:r>
        <w:t xml:space="preserve">Table </w:t>
      </w:r>
      <w:r w:rsidR="00CC1DEB">
        <w:t>7</w:t>
      </w:r>
      <w:r w:rsidRPr="005A2ACF">
        <w:t>.</w:t>
      </w:r>
      <w:proofErr w:type="gramEnd"/>
      <w:r w:rsidRPr="005A2ACF">
        <w:t xml:space="preserve">  Combinations of studied faults</w:t>
      </w:r>
    </w:p>
    <w:tbl>
      <w:tblPr>
        <w:tblW w:w="54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0"/>
        <w:gridCol w:w="1710"/>
        <w:gridCol w:w="1800"/>
      </w:tblGrid>
      <w:tr w:rsidR="00BF0F61" w:rsidRPr="003C5E63" w:rsidTr="00680F0F">
        <w:trPr>
          <w:trHeight w:val="516"/>
        </w:trPr>
        <w:tc>
          <w:tcPr>
            <w:tcW w:w="1890" w:type="dxa"/>
            <w:vAlign w:val="center"/>
          </w:tcPr>
          <w:p w:rsidR="00BF0F61" w:rsidRPr="00F41843" w:rsidRDefault="00BF0F61" w:rsidP="00680F0F">
            <w:pPr>
              <w:jc w:val="center"/>
              <w:rPr>
                <w:sz w:val="20"/>
              </w:rPr>
            </w:pPr>
            <w:r w:rsidRPr="00F41843">
              <w:rPr>
                <w:sz w:val="20"/>
              </w:rPr>
              <w:t>Fault combination case</w:t>
            </w:r>
          </w:p>
        </w:tc>
        <w:tc>
          <w:tcPr>
            <w:tcW w:w="1710" w:type="dxa"/>
            <w:vAlign w:val="center"/>
          </w:tcPr>
          <w:p w:rsidR="00BF0F61" w:rsidRPr="00F41843" w:rsidRDefault="00BF0F61" w:rsidP="00680F0F">
            <w:pPr>
              <w:jc w:val="center"/>
              <w:rPr>
                <w:sz w:val="20"/>
              </w:rPr>
            </w:pPr>
            <w:r w:rsidRPr="00F41843">
              <w:rPr>
                <w:sz w:val="20"/>
              </w:rPr>
              <w:t xml:space="preserve">Level of fault A </w:t>
            </w:r>
          </w:p>
        </w:tc>
        <w:tc>
          <w:tcPr>
            <w:tcW w:w="1800" w:type="dxa"/>
            <w:vAlign w:val="center"/>
          </w:tcPr>
          <w:p w:rsidR="00BF0F61" w:rsidRPr="00F41843" w:rsidRDefault="00BF0F61" w:rsidP="00680F0F">
            <w:pPr>
              <w:jc w:val="center"/>
              <w:rPr>
                <w:sz w:val="20"/>
              </w:rPr>
            </w:pPr>
            <w:r w:rsidRPr="00F41843">
              <w:rPr>
                <w:sz w:val="20"/>
              </w:rPr>
              <w:t xml:space="preserve">Level of fault B </w:t>
            </w:r>
          </w:p>
        </w:tc>
      </w:tr>
      <w:tr w:rsidR="00BF0F61" w:rsidRPr="003C5E63" w:rsidTr="00680F0F">
        <w:trPr>
          <w:trHeight w:hRule="exact" w:val="259"/>
        </w:trPr>
        <w:tc>
          <w:tcPr>
            <w:tcW w:w="1890" w:type="dxa"/>
          </w:tcPr>
          <w:p w:rsidR="00BF0F61" w:rsidRPr="00F41843" w:rsidRDefault="00BF0F61" w:rsidP="00680F0F">
            <w:pPr>
              <w:jc w:val="center"/>
              <w:rPr>
                <w:sz w:val="20"/>
              </w:rPr>
            </w:pPr>
            <w:r w:rsidRPr="00F41843">
              <w:rPr>
                <w:sz w:val="20"/>
              </w:rPr>
              <w:t>a</w:t>
            </w:r>
          </w:p>
        </w:tc>
        <w:tc>
          <w:tcPr>
            <w:tcW w:w="1710" w:type="dxa"/>
          </w:tcPr>
          <w:p w:rsidR="00BF0F61" w:rsidRPr="00F41843" w:rsidRDefault="00BF0F61" w:rsidP="00680F0F">
            <w:pPr>
              <w:jc w:val="center"/>
              <w:rPr>
                <w:sz w:val="20"/>
              </w:rPr>
            </w:pPr>
            <w:r w:rsidRPr="00F41843">
              <w:rPr>
                <w:sz w:val="20"/>
              </w:rPr>
              <w:t>moderate</w:t>
            </w:r>
          </w:p>
        </w:tc>
        <w:tc>
          <w:tcPr>
            <w:tcW w:w="1800" w:type="dxa"/>
          </w:tcPr>
          <w:p w:rsidR="00BF0F61" w:rsidRPr="00F41843" w:rsidRDefault="00BF0F61" w:rsidP="00680F0F">
            <w:pPr>
              <w:jc w:val="center"/>
              <w:rPr>
                <w:sz w:val="20"/>
              </w:rPr>
            </w:pPr>
            <w:r w:rsidRPr="00F41843">
              <w:rPr>
                <w:sz w:val="20"/>
              </w:rPr>
              <w:t>moderate</w:t>
            </w:r>
          </w:p>
        </w:tc>
      </w:tr>
      <w:tr w:rsidR="00BF0F61" w:rsidRPr="003C5E63" w:rsidTr="00680F0F">
        <w:trPr>
          <w:trHeight w:hRule="exact" w:val="259"/>
        </w:trPr>
        <w:tc>
          <w:tcPr>
            <w:tcW w:w="1890" w:type="dxa"/>
          </w:tcPr>
          <w:p w:rsidR="00BF0F61" w:rsidRPr="00F41843" w:rsidRDefault="00BF0F61" w:rsidP="00680F0F">
            <w:pPr>
              <w:jc w:val="center"/>
              <w:rPr>
                <w:sz w:val="20"/>
              </w:rPr>
            </w:pPr>
            <w:r w:rsidRPr="00F41843">
              <w:rPr>
                <w:sz w:val="20"/>
              </w:rPr>
              <w:t>b</w:t>
            </w:r>
          </w:p>
        </w:tc>
        <w:tc>
          <w:tcPr>
            <w:tcW w:w="1710" w:type="dxa"/>
          </w:tcPr>
          <w:p w:rsidR="00BF0F61" w:rsidRPr="00F41843" w:rsidRDefault="00BF0F61" w:rsidP="00680F0F">
            <w:pPr>
              <w:jc w:val="center"/>
              <w:rPr>
                <w:sz w:val="20"/>
              </w:rPr>
            </w:pPr>
            <w:r w:rsidRPr="00F41843">
              <w:rPr>
                <w:sz w:val="20"/>
              </w:rPr>
              <w:t>moderate</w:t>
            </w:r>
          </w:p>
        </w:tc>
        <w:tc>
          <w:tcPr>
            <w:tcW w:w="1800" w:type="dxa"/>
          </w:tcPr>
          <w:p w:rsidR="00BF0F61" w:rsidRPr="00F41843" w:rsidRDefault="00BF0F61" w:rsidP="00680F0F">
            <w:pPr>
              <w:jc w:val="center"/>
              <w:rPr>
                <w:sz w:val="20"/>
              </w:rPr>
            </w:pPr>
            <w:r w:rsidRPr="00F41843">
              <w:rPr>
                <w:sz w:val="20"/>
              </w:rPr>
              <w:t>worst</w:t>
            </w:r>
          </w:p>
        </w:tc>
      </w:tr>
      <w:tr w:rsidR="00BF0F61" w:rsidRPr="003C5E63" w:rsidTr="00680F0F">
        <w:trPr>
          <w:trHeight w:hRule="exact" w:val="259"/>
        </w:trPr>
        <w:tc>
          <w:tcPr>
            <w:tcW w:w="1890" w:type="dxa"/>
          </w:tcPr>
          <w:p w:rsidR="00BF0F61" w:rsidRPr="00F41843" w:rsidRDefault="00BF0F61" w:rsidP="00680F0F">
            <w:pPr>
              <w:jc w:val="center"/>
              <w:rPr>
                <w:sz w:val="20"/>
              </w:rPr>
            </w:pPr>
            <w:r w:rsidRPr="00F41843">
              <w:rPr>
                <w:sz w:val="20"/>
              </w:rPr>
              <w:t>c</w:t>
            </w:r>
          </w:p>
        </w:tc>
        <w:tc>
          <w:tcPr>
            <w:tcW w:w="1710" w:type="dxa"/>
          </w:tcPr>
          <w:p w:rsidR="00BF0F61" w:rsidRPr="00F41843" w:rsidRDefault="00BF0F61" w:rsidP="00680F0F">
            <w:pPr>
              <w:jc w:val="center"/>
              <w:rPr>
                <w:sz w:val="20"/>
              </w:rPr>
            </w:pPr>
            <w:r w:rsidRPr="00F41843">
              <w:rPr>
                <w:sz w:val="20"/>
              </w:rPr>
              <w:t>worst</w:t>
            </w:r>
          </w:p>
        </w:tc>
        <w:tc>
          <w:tcPr>
            <w:tcW w:w="1800" w:type="dxa"/>
          </w:tcPr>
          <w:p w:rsidR="00BF0F61" w:rsidRPr="00F41843" w:rsidRDefault="00BF0F61" w:rsidP="00680F0F">
            <w:pPr>
              <w:jc w:val="center"/>
              <w:rPr>
                <w:sz w:val="20"/>
              </w:rPr>
            </w:pPr>
            <w:r w:rsidRPr="00F41843">
              <w:rPr>
                <w:sz w:val="20"/>
              </w:rPr>
              <w:t>moderate</w:t>
            </w:r>
          </w:p>
        </w:tc>
      </w:tr>
      <w:tr w:rsidR="00BF0F61" w:rsidRPr="003C5E63" w:rsidTr="00680F0F">
        <w:trPr>
          <w:trHeight w:hRule="exact" w:val="259"/>
        </w:trPr>
        <w:tc>
          <w:tcPr>
            <w:tcW w:w="1890" w:type="dxa"/>
          </w:tcPr>
          <w:p w:rsidR="00BF0F61" w:rsidRPr="00F41843" w:rsidRDefault="00BF0F61" w:rsidP="00680F0F">
            <w:pPr>
              <w:jc w:val="center"/>
              <w:rPr>
                <w:sz w:val="20"/>
              </w:rPr>
            </w:pPr>
            <w:r w:rsidRPr="00F41843">
              <w:rPr>
                <w:sz w:val="20"/>
              </w:rPr>
              <w:t>d</w:t>
            </w:r>
          </w:p>
        </w:tc>
        <w:tc>
          <w:tcPr>
            <w:tcW w:w="1710" w:type="dxa"/>
          </w:tcPr>
          <w:p w:rsidR="00BF0F61" w:rsidRPr="00F41843" w:rsidRDefault="00BF0F61" w:rsidP="00680F0F">
            <w:pPr>
              <w:jc w:val="center"/>
              <w:rPr>
                <w:sz w:val="20"/>
              </w:rPr>
            </w:pPr>
            <w:r w:rsidRPr="00F41843">
              <w:rPr>
                <w:sz w:val="20"/>
              </w:rPr>
              <w:t>worst</w:t>
            </w:r>
          </w:p>
        </w:tc>
        <w:tc>
          <w:tcPr>
            <w:tcW w:w="1800" w:type="dxa"/>
          </w:tcPr>
          <w:p w:rsidR="00BF0F61" w:rsidRPr="00F41843" w:rsidRDefault="00BF0F61" w:rsidP="00680F0F">
            <w:pPr>
              <w:jc w:val="center"/>
              <w:rPr>
                <w:sz w:val="20"/>
              </w:rPr>
            </w:pPr>
            <w:r w:rsidRPr="00F41843">
              <w:rPr>
                <w:sz w:val="20"/>
              </w:rPr>
              <w:t>worst</w:t>
            </w:r>
          </w:p>
        </w:tc>
      </w:tr>
    </w:tbl>
    <w:p w:rsidR="00BF0F61" w:rsidRPr="009F7E92" w:rsidRDefault="00BF0F61" w:rsidP="00BF0F61">
      <w:pPr>
        <w:rPr>
          <w:szCs w:val="22"/>
        </w:rPr>
      </w:pPr>
    </w:p>
    <w:p w:rsidR="00BF0F61" w:rsidRPr="00F41843" w:rsidRDefault="00BF0F61" w:rsidP="00BF0F61">
      <w:pPr>
        <w:rPr>
          <w:b/>
          <w:i/>
        </w:rPr>
      </w:pPr>
      <w:r>
        <w:rPr>
          <w:i/>
        </w:rPr>
        <w:t xml:space="preserve">4.2.2. </w:t>
      </w:r>
      <w:r w:rsidRPr="00F41843">
        <w:rPr>
          <w:i/>
        </w:rPr>
        <w:t>Effects of dual faults</w:t>
      </w:r>
    </w:p>
    <w:p w:rsidR="00680F0F" w:rsidRDefault="00BF0F61" w:rsidP="00BF0F61">
      <w:pPr>
        <w:pStyle w:val="ATPparagraph"/>
      </w:pPr>
      <w:r>
        <w:t xml:space="preserve">The most right-hand column in Table </w:t>
      </w:r>
      <w:r w:rsidR="00CC1DEB">
        <w:t>6</w:t>
      </w:r>
      <w:r>
        <w:t xml:space="preserve"> shows an approximate effect of the studied fault sets on the energy use: the faults effects may be additive (A+B), less than additive (&lt;A+B), or greater than additive (&gt;A+B). </w:t>
      </w:r>
      <w:r w:rsidRPr="00323A7E">
        <w:t>As expected, t</w:t>
      </w:r>
      <w:r w:rsidRPr="00DB39EA">
        <w:t xml:space="preserve">he collective impact of two simultaneous </w:t>
      </w:r>
      <w:r w:rsidRPr="00841C67">
        <w:t>faults on the energy consumption</w:t>
      </w:r>
      <w:r w:rsidRPr="004C60F3">
        <w:t xml:space="preserve"> varies </w:t>
      </w:r>
      <w:r w:rsidRPr="004E3390">
        <w:t xml:space="preserve">and </w:t>
      </w:r>
      <w:r w:rsidRPr="00C75AF6">
        <w:t xml:space="preserve">depends on the faults considered. In most cases </w:t>
      </w:r>
      <w:r>
        <w:t xml:space="preserve">(9 out of 14 fault sets), </w:t>
      </w:r>
      <w:r w:rsidRPr="00323A7E">
        <w:t xml:space="preserve">the collective effect </w:t>
      </w:r>
      <w:r w:rsidRPr="00DB39EA">
        <w:t xml:space="preserve">can be described as being additive; however, </w:t>
      </w:r>
      <w:r>
        <w:t xml:space="preserve">for the remaining five sets – all involving indoor coil airflow –  </w:t>
      </w:r>
      <w:r w:rsidRPr="00323A7E">
        <w:t>the effect</w:t>
      </w:r>
      <w:r w:rsidR="00C96C22">
        <w:t xml:space="preserve"> can </w:t>
      </w:r>
      <w:r w:rsidRPr="00841C67">
        <w:t xml:space="preserve">be markedly below this </w:t>
      </w:r>
      <w:r w:rsidRPr="004C60F3">
        <w:t xml:space="preserve">additive </w:t>
      </w:r>
      <w:r w:rsidRPr="004E3390">
        <w:t xml:space="preserve">value, </w:t>
      </w:r>
      <w:r w:rsidRPr="00C75AF6">
        <w:t>including being approximately equal to the individual effect of one of the faults involved</w:t>
      </w:r>
      <w:r>
        <w:t>.</w:t>
      </w:r>
      <w:r w:rsidRPr="00323A7E">
        <w:t xml:space="preserve"> </w:t>
      </w:r>
      <w:r w:rsidRPr="00DB39EA">
        <w:t>The above characterization applies to all house/climate combi</w:t>
      </w:r>
      <w:r w:rsidRPr="00841C67">
        <w:t>nations</w:t>
      </w:r>
      <w:r w:rsidRPr="00323A7E">
        <w:t>.</w:t>
      </w:r>
      <w:r>
        <w:t xml:space="preserve"> Figure </w:t>
      </w:r>
      <w:r w:rsidR="00CC1DEB">
        <w:t>9</w:t>
      </w:r>
      <w:r>
        <w:t xml:space="preserve"> presents annual energy use for all studied dual fault sets at the five locations for the worse fault levels. The figure shows the most severe performance degradation with dual faults involving duct leakage.</w:t>
      </w:r>
    </w:p>
    <w:p w:rsidR="00D030C1" w:rsidRDefault="00D030C1" w:rsidP="00BF0F61">
      <w:pPr>
        <w:pStyle w:val="ATPparagraph"/>
      </w:pPr>
    </w:p>
    <w:p w:rsidR="00680F0F" w:rsidRDefault="00680F0F">
      <w:pPr>
        <w:spacing w:after="200" w:line="276" w:lineRule="auto"/>
        <w:jc w:val="left"/>
      </w:pPr>
    </w:p>
    <w:p w:rsidR="00BF0F61" w:rsidRDefault="00BF0F61" w:rsidP="00BF0F61">
      <w:pPr>
        <w:pStyle w:val="ATPparagraph"/>
      </w:pPr>
    </w:p>
    <w:p w:rsidR="00BF0F61" w:rsidRDefault="00517B80" w:rsidP="00BF0F61">
      <w:pPr>
        <w:pStyle w:val="ATPparagraph"/>
      </w:pPr>
      <w:r>
        <w:rPr>
          <w:noProof/>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3.25pt;margin-top:-4.25pt;width:351.55pt;height:238pt;z-index:251668480">
            <v:imagedata r:id="rId20" o:title=""/>
          </v:shape>
          <o:OLEObject Type="Embed" ProgID="Excel.Sheet.12" ShapeID="_x0000_s1026" DrawAspect="Content" ObjectID="_1491040059" r:id="rId21"/>
        </w:pict>
      </w:r>
    </w:p>
    <w:p w:rsidR="00BF0F61" w:rsidRDefault="00BF0F61" w:rsidP="00BF0F61">
      <w:pPr>
        <w:pStyle w:val="ATPparagraph"/>
      </w:pPr>
    </w:p>
    <w:p w:rsidR="00BF0F61" w:rsidRDefault="00BF0F61" w:rsidP="00BF0F61">
      <w:pPr>
        <w:pStyle w:val="ATPparagraph"/>
      </w:pPr>
    </w:p>
    <w:p w:rsidR="00BF0F61" w:rsidRDefault="00BF0F61" w:rsidP="00BF0F61">
      <w:pPr>
        <w:pStyle w:val="ATPparagraph"/>
      </w:pPr>
    </w:p>
    <w:p w:rsidR="00BF0F61" w:rsidRDefault="00BF0F61" w:rsidP="00BF0F61">
      <w:pPr>
        <w:pStyle w:val="ATPparagraph"/>
      </w:pPr>
    </w:p>
    <w:p w:rsidR="00BF0F61" w:rsidRDefault="00BF0F61" w:rsidP="00BF0F61">
      <w:pPr>
        <w:pStyle w:val="ATPparagraph"/>
      </w:pPr>
    </w:p>
    <w:p w:rsidR="00BF0F61" w:rsidRDefault="00BF0F61" w:rsidP="00BF0F61">
      <w:pPr>
        <w:pStyle w:val="ATPparagraph"/>
      </w:pPr>
    </w:p>
    <w:p w:rsidR="00BF0F61" w:rsidRDefault="00BF0F61" w:rsidP="00BF0F61">
      <w:pPr>
        <w:pStyle w:val="ATPparagraph"/>
      </w:pPr>
    </w:p>
    <w:p w:rsidR="00BF0F61" w:rsidRDefault="00BF0F61" w:rsidP="00BF0F61">
      <w:pPr>
        <w:pStyle w:val="ATPparagraph"/>
      </w:pPr>
    </w:p>
    <w:p w:rsidR="00BF0F61" w:rsidRDefault="00BF0F61" w:rsidP="00BF0F61">
      <w:pPr>
        <w:pStyle w:val="ATPparagraph"/>
      </w:pPr>
    </w:p>
    <w:p w:rsidR="00BF0F61" w:rsidRDefault="00BF0F61" w:rsidP="00BF0F61">
      <w:pPr>
        <w:pStyle w:val="ATPparagraph"/>
      </w:pPr>
    </w:p>
    <w:p w:rsidR="00BF0F61" w:rsidRDefault="00BF0F61" w:rsidP="00BF0F61">
      <w:pPr>
        <w:pStyle w:val="ATPparagraph"/>
      </w:pPr>
    </w:p>
    <w:p w:rsidR="00BF0F61" w:rsidRDefault="00BF0F61" w:rsidP="00BF0F61">
      <w:pPr>
        <w:pStyle w:val="ATPparagraph"/>
      </w:pPr>
    </w:p>
    <w:p w:rsidR="00BF0F61" w:rsidRDefault="00BF0F61" w:rsidP="00BF0F61">
      <w:pPr>
        <w:pStyle w:val="ATPparagraph"/>
      </w:pPr>
    </w:p>
    <w:p w:rsidR="00BF0F61" w:rsidRDefault="00BF0F61" w:rsidP="00BF0F61">
      <w:pPr>
        <w:pStyle w:val="ATPparagraph"/>
      </w:pPr>
    </w:p>
    <w:p w:rsidR="00BF0F61" w:rsidRDefault="00BF0F61" w:rsidP="00BF0F61">
      <w:pPr>
        <w:pStyle w:val="ATPparagraph"/>
      </w:pPr>
    </w:p>
    <w:p w:rsidR="002E302D" w:rsidRDefault="002E302D" w:rsidP="00BF0F61">
      <w:pPr>
        <w:jc w:val="left"/>
      </w:pPr>
    </w:p>
    <w:p w:rsidR="002E302D" w:rsidRDefault="002E302D" w:rsidP="00BF0F61">
      <w:pPr>
        <w:jc w:val="left"/>
      </w:pPr>
    </w:p>
    <w:p w:rsidR="00196574" w:rsidRDefault="00196574" w:rsidP="00BF0F61">
      <w:pPr>
        <w:jc w:val="left"/>
      </w:pPr>
    </w:p>
    <w:p w:rsidR="00BF0F61" w:rsidRDefault="00BF0F61" w:rsidP="00BF0F61">
      <w:pPr>
        <w:jc w:val="left"/>
      </w:pPr>
      <w:proofErr w:type="gramStart"/>
      <w:r>
        <w:t xml:space="preserve">Figure </w:t>
      </w:r>
      <w:r w:rsidR="001050B8">
        <w:t>9</w:t>
      </w:r>
      <w:r>
        <w:t>.</w:t>
      </w:r>
      <w:proofErr w:type="gramEnd"/>
      <w:r>
        <w:t xml:space="preserve"> Annual energy use with 14 dual faults relative to the energy use for fault-free installation (Faults defined in Tables </w:t>
      </w:r>
      <w:r w:rsidR="001050B8">
        <w:t>6</w:t>
      </w:r>
      <w:r>
        <w:t xml:space="preserve">; Table </w:t>
      </w:r>
      <w:r w:rsidR="001050B8">
        <w:t>7</w:t>
      </w:r>
      <w:r>
        <w:t xml:space="preserve"> case d, the worst level for both faults)</w:t>
      </w:r>
    </w:p>
    <w:p w:rsidR="002E302D" w:rsidRDefault="002E302D" w:rsidP="00BF0F61">
      <w:pPr>
        <w:pStyle w:val="ATPparagraph"/>
      </w:pPr>
    </w:p>
    <w:p w:rsidR="00BF0F61" w:rsidRDefault="00BF0F61" w:rsidP="00BF0F61">
      <w:pPr>
        <w:jc w:val="left"/>
        <w:rPr>
          <w:b/>
          <w:szCs w:val="22"/>
        </w:rPr>
      </w:pPr>
      <w:r>
        <w:rPr>
          <w:b/>
          <w:szCs w:val="22"/>
        </w:rPr>
        <w:t xml:space="preserve">5. </w:t>
      </w:r>
      <w:r w:rsidRPr="006B6D1C">
        <w:rPr>
          <w:b/>
          <w:szCs w:val="22"/>
        </w:rPr>
        <w:t>Concluding remarks</w:t>
      </w:r>
    </w:p>
    <w:p w:rsidR="00BF0F61" w:rsidRDefault="00BF0F61" w:rsidP="00BF0F61">
      <w:pPr>
        <w:pStyle w:val="ATPparagraph"/>
      </w:pPr>
      <w:r w:rsidRPr="00E01DDD">
        <w:t>Extensive simulations of house/heat pump systems in five climatic zones lead to the following conclusions:</w:t>
      </w:r>
    </w:p>
    <w:p w:rsidR="00BF0F61" w:rsidRDefault="00BF0F61" w:rsidP="00BF0F61">
      <w:pPr>
        <w:pStyle w:val="ListParagraph"/>
        <w:numPr>
          <w:ilvl w:val="0"/>
          <w:numId w:val="44"/>
        </w:numPr>
        <w:rPr>
          <w:szCs w:val="22"/>
        </w:rPr>
      </w:pPr>
      <w:r w:rsidRPr="009F7E92">
        <w:rPr>
          <w:szCs w:val="22"/>
        </w:rPr>
        <w:t>Duct leakage, refrigerant undercharge, oversized heat pump with non-oversized ductwork, low indoor airflow due to undersized ductwork</w:t>
      </w:r>
      <w:r>
        <w:rPr>
          <w:szCs w:val="22"/>
        </w:rPr>
        <w:t xml:space="preserve">, and refrigerant overcharge </w:t>
      </w:r>
      <w:r w:rsidRPr="009F7E92">
        <w:rPr>
          <w:szCs w:val="22"/>
        </w:rPr>
        <w:t>have the most potential for cau</w:t>
      </w:r>
      <w:r w:rsidRPr="00A302DE">
        <w:rPr>
          <w:szCs w:val="22"/>
        </w:rPr>
        <w:t>sing significant performance degradation and increased annual energy consumption. Increases of energy use by 30 % due to improper installation practices seem to be plausible.</w:t>
      </w:r>
    </w:p>
    <w:p w:rsidR="00BF0F61" w:rsidRDefault="00BF0F61" w:rsidP="00BF0F61">
      <w:pPr>
        <w:pStyle w:val="ListParagraph"/>
        <w:numPr>
          <w:ilvl w:val="0"/>
          <w:numId w:val="45"/>
        </w:numPr>
        <w:rPr>
          <w:szCs w:val="22"/>
        </w:rPr>
      </w:pPr>
      <w:r w:rsidRPr="00E01DDD">
        <w:rPr>
          <w:szCs w:val="22"/>
        </w:rPr>
        <w:t>Effect</w:t>
      </w:r>
      <w:r>
        <w:rPr>
          <w:szCs w:val="22"/>
        </w:rPr>
        <w:t>s</w:t>
      </w:r>
      <w:r w:rsidRPr="00E01DDD">
        <w:rPr>
          <w:szCs w:val="22"/>
        </w:rPr>
        <w:t xml:space="preserve"> of different  installation faults </w:t>
      </w:r>
      <w:r>
        <w:rPr>
          <w:szCs w:val="22"/>
        </w:rPr>
        <w:t>are</w:t>
      </w:r>
      <w:r w:rsidRPr="00E01DDD">
        <w:rPr>
          <w:szCs w:val="22"/>
        </w:rPr>
        <w:t xml:space="preserve"> similar in different climates except for the following cases:</w:t>
      </w:r>
    </w:p>
    <w:p w:rsidR="00BF0F61" w:rsidRDefault="00BF0F61" w:rsidP="00BF0F61">
      <w:pPr>
        <w:pStyle w:val="ListParagraph"/>
        <w:numPr>
          <w:ilvl w:val="0"/>
          <w:numId w:val="43"/>
        </w:numPr>
        <w:tabs>
          <w:tab w:val="left" w:pos="720"/>
          <w:tab w:val="left" w:pos="990"/>
        </w:tabs>
        <w:ind w:left="1080"/>
        <w:rPr>
          <w:szCs w:val="22"/>
        </w:rPr>
      </w:pPr>
      <w:r w:rsidRPr="00443B11">
        <w:rPr>
          <w:szCs w:val="22"/>
        </w:rPr>
        <w:t xml:space="preserve">Duct leakage causes a </w:t>
      </w:r>
      <w:r w:rsidRPr="0094774C">
        <w:rPr>
          <w:szCs w:val="22"/>
        </w:rPr>
        <w:t xml:space="preserve">significant increase </w:t>
      </w:r>
      <w:r w:rsidRPr="00CD22D8">
        <w:rPr>
          <w:szCs w:val="22"/>
        </w:rPr>
        <w:t>in the</w:t>
      </w:r>
      <w:r w:rsidRPr="00825A4B">
        <w:rPr>
          <w:szCs w:val="22"/>
        </w:rPr>
        <w:t xml:space="preserve"> ind</w:t>
      </w:r>
      <w:r w:rsidRPr="00E048A3">
        <w:rPr>
          <w:szCs w:val="22"/>
        </w:rPr>
        <w:t xml:space="preserve">oor RH </w:t>
      </w:r>
      <w:r w:rsidRPr="00100E1D">
        <w:rPr>
          <w:szCs w:val="22"/>
        </w:rPr>
        <w:t>for</w:t>
      </w:r>
      <w:r w:rsidRPr="00F41843">
        <w:rPr>
          <w:szCs w:val="22"/>
        </w:rPr>
        <w:t xml:space="preserve"> installations in a hot &amp; humid </w:t>
      </w:r>
    </w:p>
    <w:p w:rsidR="00BF0F61" w:rsidRDefault="00BF0F61" w:rsidP="00BF0F61">
      <w:pPr>
        <w:tabs>
          <w:tab w:val="left" w:pos="720"/>
          <w:tab w:val="left" w:pos="990"/>
        </w:tabs>
        <w:ind w:left="720"/>
        <w:rPr>
          <w:szCs w:val="22"/>
        </w:rPr>
      </w:pPr>
      <w:r>
        <w:rPr>
          <w:szCs w:val="22"/>
        </w:rPr>
        <w:t xml:space="preserve">     </w:t>
      </w:r>
      <w:proofErr w:type="gramStart"/>
      <w:r>
        <w:rPr>
          <w:szCs w:val="22"/>
        </w:rPr>
        <w:t>c</w:t>
      </w:r>
      <w:r w:rsidRPr="00C5129C">
        <w:rPr>
          <w:szCs w:val="22"/>
        </w:rPr>
        <w:t>limate</w:t>
      </w:r>
      <w:proofErr w:type="gramEnd"/>
    </w:p>
    <w:p w:rsidR="00BF0F61" w:rsidRDefault="00BF0F61" w:rsidP="00BF0F61">
      <w:pPr>
        <w:pStyle w:val="ListParagraph"/>
        <w:numPr>
          <w:ilvl w:val="0"/>
          <w:numId w:val="43"/>
        </w:numPr>
        <w:tabs>
          <w:tab w:val="left" w:pos="990"/>
        </w:tabs>
        <w:ind w:left="1080"/>
        <w:rPr>
          <w:szCs w:val="22"/>
        </w:rPr>
      </w:pPr>
      <w:r w:rsidRPr="00443B11">
        <w:rPr>
          <w:szCs w:val="22"/>
        </w:rPr>
        <w:t xml:space="preserve">Heat pump oversizing with undersized </w:t>
      </w:r>
      <w:r w:rsidRPr="00262D58">
        <w:rPr>
          <w:szCs w:val="22"/>
        </w:rPr>
        <w:t>air duct</w:t>
      </w:r>
      <w:r w:rsidRPr="0094774C">
        <w:rPr>
          <w:szCs w:val="22"/>
        </w:rPr>
        <w:t>s</w:t>
      </w:r>
      <w:r w:rsidRPr="00825A4B">
        <w:rPr>
          <w:szCs w:val="22"/>
        </w:rPr>
        <w:t xml:space="preserve"> </w:t>
      </w:r>
      <w:r w:rsidRPr="00E048A3">
        <w:rPr>
          <w:szCs w:val="22"/>
        </w:rPr>
        <w:t xml:space="preserve">causes </w:t>
      </w:r>
      <w:r w:rsidRPr="00100E1D">
        <w:rPr>
          <w:szCs w:val="22"/>
        </w:rPr>
        <w:t xml:space="preserve">stronger </w:t>
      </w:r>
      <w:r w:rsidRPr="00F41843">
        <w:rPr>
          <w:szCs w:val="22"/>
        </w:rPr>
        <w:t xml:space="preserve">performance degradation in </w:t>
      </w:r>
    </w:p>
    <w:p w:rsidR="00BF0F61" w:rsidRDefault="00BF0F61" w:rsidP="00BF0F61">
      <w:pPr>
        <w:tabs>
          <w:tab w:val="left" w:pos="990"/>
        </w:tabs>
        <w:rPr>
          <w:szCs w:val="22"/>
        </w:rPr>
      </w:pPr>
      <w:r>
        <w:rPr>
          <w:szCs w:val="22"/>
        </w:rPr>
        <w:t xml:space="preserve">                  </w:t>
      </w:r>
      <w:proofErr w:type="gramStart"/>
      <w:r>
        <w:rPr>
          <w:szCs w:val="22"/>
        </w:rPr>
        <w:t>cooling-dominated</w:t>
      </w:r>
      <w:proofErr w:type="gramEnd"/>
      <w:r>
        <w:rPr>
          <w:szCs w:val="22"/>
        </w:rPr>
        <w:t xml:space="preserve"> climates than in </w:t>
      </w:r>
      <w:r w:rsidRPr="00E01DDD">
        <w:rPr>
          <w:szCs w:val="22"/>
        </w:rPr>
        <w:t>in heating-dominated climates,</w:t>
      </w:r>
      <w:r>
        <w:rPr>
          <w:szCs w:val="22"/>
        </w:rPr>
        <w:t xml:space="preserve"> where </w:t>
      </w:r>
      <w:r w:rsidRPr="00E01DDD">
        <w:rPr>
          <w:szCs w:val="22"/>
        </w:rPr>
        <w:t xml:space="preserve">the increased </w:t>
      </w:r>
    </w:p>
    <w:p w:rsidR="00BF0F61" w:rsidRDefault="00BF0F61" w:rsidP="00BF0F61">
      <w:pPr>
        <w:tabs>
          <w:tab w:val="left" w:pos="990"/>
        </w:tabs>
        <w:ind w:left="360"/>
        <w:rPr>
          <w:szCs w:val="22"/>
        </w:rPr>
      </w:pPr>
      <w:r>
        <w:rPr>
          <w:szCs w:val="22"/>
        </w:rPr>
        <w:t xml:space="preserve">            </w:t>
      </w:r>
      <w:proofErr w:type="gramStart"/>
      <w:r w:rsidRPr="00E01DDD">
        <w:rPr>
          <w:szCs w:val="22"/>
        </w:rPr>
        <w:t>indoor</w:t>
      </w:r>
      <w:proofErr w:type="gramEnd"/>
      <w:r w:rsidRPr="00E01DDD">
        <w:rPr>
          <w:szCs w:val="22"/>
        </w:rPr>
        <w:t xml:space="preserve"> </w:t>
      </w:r>
      <w:r>
        <w:rPr>
          <w:szCs w:val="22"/>
        </w:rPr>
        <w:t>f</w:t>
      </w:r>
      <w:r w:rsidRPr="00E01DDD">
        <w:rPr>
          <w:szCs w:val="22"/>
        </w:rPr>
        <w:t xml:space="preserve">an energy use associated with </w:t>
      </w:r>
      <w:r>
        <w:rPr>
          <w:szCs w:val="22"/>
        </w:rPr>
        <w:t xml:space="preserve">the </w:t>
      </w:r>
      <w:r w:rsidRPr="00E01DDD">
        <w:rPr>
          <w:szCs w:val="22"/>
        </w:rPr>
        <w:t xml:space="preserve">overcoming </w:t>
      </w:r>
      <w:r>
        <w:rPr>
          <w:szCs w:val="22"/>
        </w:rPr>
        <w:t xml:space="preserve">of </w:t>
      </w:r>
      <w:r w:rsidRPr="00E01DDD">
        <w:rPr>
          <w:szCs w:val="22"/>
        </w:rPr>
        <w:t>the higher external static pressure</w:t>
      </w:r>
      <w:r>
        <w:rPr>
          <w:szCs w:val="22"/>
        </w:rPr>
        <w:t xml:space="preserve"> is   </w:t>
      </w:r>
    </w:p>
    <w:p w:rsidR="00BF0F61" w:rsidRDefault="00BF0F61" w:rsidP="00BF0F61">
      <w:pPr>
        <w:tabs>
          <w:tab w:val="left" w:pos="990"/>
        </w:tabs>
        <w:ind w:left="360"/>
        <w:rPr>
          <w:szCs w:val="22"/>
        </w:rPr>
      </w:pPr>
      <w:r>
        <w:rPr>
          <w:szCs w:val="22"/>
        </w:rPr>
        <w:t xml:space="preserve">            </w:t>
      </w:r>
      <w:proofErr w:type="gramStart"/>
      <w:r>
        <w:rPr>
          <w:szCs w:val="22"/>
        </w:rPr>
        <w:t>compensated</w:t>
      </w:r>
      <w:proofErr w:type="gramEnd"/>
      <w:r>
        <w:rPr>
          <w:szCs w:val="22"/>
        </w:rPr>
        <w:t xml:space="preserve"> by the reduced </w:t>
      </w:r>
      <w:r w:rsidRPr="00E01DDD">
        <w:rPr>
          <w:szCs w:val="22"/>
        </w:rPr>
        <w:t>use of backup</w:t>
      </w:r>
      <w:r>
        <w:rPr>
          <w:szCs w:val="22"/>
        </w:rPr>
        <w:t xml:space="preserve"> resistance</w:t>
      </w:r>
      <w:r w:rsidRPr="00E01DDD">
        <w:rPr>
          <w:szCs w:val="22"/>
        </w:rPr>
        <w:t xml:space="preserve"> heat</w:t>
      </w:r>
    </w:p>
    <w:p w:rsidR="00BF0F61" w:rsidRDefault="00BF0F61" w:rsidP="00BF0F61">
      <w:pPr>
        <w:pStyle w:val="ListParagraph"/>
        <w:numPr>
          <w:ilvl w:val="0"/>
          <w:numId w:val="42"/>
        </w:numPr>
        <w:tabs>
          <w:tab w:val="left" w:pos="990"/>
        </w:tabs>
        <w:ind w:left="990" w:hanging="270"/>
        <w:rPr>
          <w:szCs w:val="22"/>
        </w:rPr>
      </w:pPr>
      <w:r w:rsidRPr="00E01DDD">
        <w:t>Undersized cooling</w:t>
      </w:r>
      <w:r>
        <w:t>-</w:t>
      </w:r>
      <w:r w:rsidRPr="00E01DDD">
        <w:t>mode TXV</w:t>
      </w:r>
      <w:r>
        <w:t xml:space="preserve"> has </w:t>
      </w:r>
      <w:r w:rsidRPr="00E01DDD">
        <w:t>little effect in heating-dominated climates,</w:t>
      </w:r>
      <w:r>
        <w:t xml:space="preserve"> while a </w:t>
      </w:r>
      <w:r w:rsidRPr="00E01DDD">
        <w:t xml:space="preserve">significant </w:t>
      </w:r>
      <w:r w:rsidRPr="005372DF">
        <w:rPr>
          <w:szCs w:val="22"/>
        </w:rPr>
        <w:t>increase of energy use is possible in cooling-dominated climates.</w:t>
      </w:r>
    </w:p>
    <w:p w:rsidR="00BF0F61" w:rsidRDefault="00BF0F61" w:rsidP="00BF0F61">
      <w:pPr>
        <w:pStyle w:val="ListParagraph"/>
        <w:numPr>
          <w:ilvl w:val="0"/>
          <w:numId w:val="48"/>
        </w:numPr>
      </w:pPr>
      <w:r w:rsidRPr="006B6D1C">
        <w:t>The effect of simultaneous faults can be additive (e.g., duct leakage and non-condensable gases), little changed relative to the single fault</w:t>
      </w:r>
      <w:r w:rsidRPr="00C00F9D">
        <w:t xml:space="preserve"> condition (e.g., low indoor airflow and refrigerant undercharge), or well-beyond additive (duct leakage and refrigerant undercharge</w:t>
      </w:r>
      <w:r w:rsidRPr="00A302DE">
        <w:t xml:space="preserve">).  </w:t>
      </w:r>
    </w:p>
    <w:p w:rsidR="00BF0F61" w:rsidRDefault="00BF0F61" w:rsidP="00BF0F61">
      <w:pPr>
        <w:pStyle w:val="ATPparagraph"/>
        <w:numPr>
          <w:ilvl w:val="0"/>
          <w:numId w:val="49"/>
        </w:numPr>
      </w:pPr>
      <w:r w:rsidRPr="00E01DDD">
        <w:t xml:space="preserve">A significant increase in annual energy use can be caused by lowering the thermostat in the cooling mode to improve indoor comfort in cases of excessive indoor humidity levels. </w:t>
      </w:r>
    </w:p>
    <w:p w:rsidR="00BF0F61" w:rsidRDefault="00BF0F61" w:rsidP="00BF0F61">
      <w:pPr>
        <w:pStyle w:val="ATPparagraph"/>
      </w:pPr>
      <w:r w:rsidRPr="00F41843">
        <w:rPr>
          <w:iCs/>
        </w:rPr>
        <w:t xml:space="preserve">The goal of this study was to assess the impacts that HVAC system installation faults had on equipment electricity consumption. </w:t>
      </w:r>
      <w:r w:rsidRPr="00F41843">
        <w:rPr>
          <w:rFonts w:hint="eastAsia"/>
          <w:iCs/>
        </w:rPr>
        <w:t> </w:t>
      </w:r>
      <w:r w:rsidRPr="00F41843">
        <w:rPr>
          <w:iCs/>
        </w:rPr>
        <w:t>The effect of the installation faults on occupant comfort was not</w:t>
      </w:r>
      <w:r w:rsidRPr="00F41843">
        <w:rPr>
          <w:rFonts w:hint="eastAsia"/>
          <w:iCs/>
        </w:rPr>
        <w:t> </w:t>
      </w:r>
      <w:r w:rsidRPr="00F41843">
        <w:rPr>
          <w:iCs/>
        </w:rPr>
        <w:t>the main focus of the study, and this research did not</w:t>
      </w:r>
      <w:r w:rsidRPr="00F41843">
        <w:rPr>
          <w:rFonts w:hint="eastAsia"/>
          <w:iCs/>
        </w:rPr>
        <w:t> </w:t>
      </w:r>
      <w:r w:rsidRPr="00F41843">
        <w:rPr>
          <w:iCs/>
        </w:rPr>
        <w:t>seek to quantify any impacts on indoor air quality, or noise generation (e.g., airflow noise from air moving through restricted ducts).</w:t>
      </w:r>
      <w:r w:rsidRPr="00F41843">
        <w:rPr>
          <w:rFonts w:hint="eastAsia"/>
          <w:iCs/>
        </w:rPr>
        <w:t> </w:t>
      </w:r>
      <w:r w:rsidRPr="00F41843">
        <w:rPr>
          <w:iCs/>
        </w:rPr>
        <w:t xml:space="preserve"> Additionally, the study does not address the effects that installation faults have on equipment reliability/robustness (number of starts/stops, etc.), maintainability (e.g., access issues), or costs of initial installation and ongoing maintenance.</w:t>
      </w:r>
    </w:p>
    <w:p w:rsidR="00BF0F61" w:rsidRDefault="00BF0F61" w:rsidP="002A3BDB">
      <w:pPr>
        <w:spacing w:line="276" w:lineRule="auto"/>
        <w:jc w:val="left"/>
        <w:rPr>
          <w:b/>
        </w:rPr>
      </w:pPr>
      <w:r w:rsidRPr="00F41843">
        <w:rPr>
          <w:b/>
        </w:rPr>
        <w:lastRenderedPageBreak/>
        <w:t xml:space="preserve">References </w:t>
      </w:r>
    </w:p>
    <w:p w:rsidR="00BF0F61" w:rsidRDefault="00B16DB8" w:rsidP="00BF0F61">
      <w:pPr>
        <w:pStyle w:val="NoSpacing"/>
        <w:tabs>
          <w:tab w:val="left" w:pos="360"/>
        </w:tabs>
        <w:rPr>
          <w:rStyle w:val="ATPparagraphChar"/>
          <w:rFonts w:eastAsia="SimSun"/>
        </w:rPr>
      </w:pPr>
      <w:r>
        <w:t>[</w:t>
      </w:r>
      <w:r w:rsidR="00BF0F61" w:rsidRPr="00F41843">
        <w:rPr>
          <w:rStyle w:val="ATPparagraphChar"/>
          <w:rFonts w:eastAsiaTheme="minorHAnsi"/>
        </w:rPr>
        <w:t>1</w:t>
      </w:r>
      <w:proofErr w:type="gramStart"/>
      <w:r w:rsidR="00BF0F61" w:rsidRPr="00F41843">
        <w:rPr>
          <w:rStyle w:val="ATPparagraphChar"/>
          <w:rFonts w:eastAsiaTheme="minorHAnsi"/>
        </w:rPr>
        <w:t xml:space="preserve">] </w:t>
      </w:r>
      <w:r w:rsidR="00BF0F61">
        <w:rPr>
          <w:rStyle w:val="ATPparagraphChar"/>
          <w:rFonts w:eastAsia="SimSun"/>
        </w:rPr>
        <w:t xml:space="preserve"> </w:t>
      </w:r>
      <w:r w:rsidR="00BF0F61" w:rsidRPr="00F41843">
        <w:rPr>
          <w:rStyle w:val="ATPparagraphChar"/>
          <w:rFonts w:eastAsiaTheme="minorHAnsi"/>
        </w:rPr>
        <w:t>DOE</w:t>
      </w:r>
      <w:proofErr w:type="gramEnd"/>
      <w:r w:rsidR="00BF0F61" w:rsidRPr="00F41843">
        <w:rPr>
          <w:rStyle w:val="ATPparagraphChar"/>
          <w:rFonts w:eastAsiaTheme="minorHAnsi"/>
        </w:rPr>
        <w:t>, 2011 Buildings Energy Data Book, Residential Sector Ener</w:t>
      </w:r>
      <w:r w:rsidR="00BF0F61" w:rsidRPr="003D16A9">
        <w:rPr>
          <w:rStyle w:val="ATPparagraphChar"/>
          <w:rFonts w:eastAsia="SimSun"/>
        </w:rPr>
        <w:t>gy Consumption. U.S. Department</w:t>
      </w:r>
    </w:p>
    <w:p w:rsidR="00BF0F61" w:rsidRDefault="00BF0F61" w:rsidP="00BF0F61">
      <w:pPr>
        <w:pStyle w:val="NoSpacing"/>
        <w:tabs>
          <w:tab w:val="left" w:pos="360"/>
        </w:tabs>
        <w:rPr>
          <w:rStyle w:val="ATPparagraphChar"/>
          <w:rFonts w:eastAsia="SimSun"/>
        </w:rPr>
      </w:pPr>
      <w:r>
        <w:rPr>
          <w:rStyle w:val="ATPparagraphChar"/>
          <w:rFonts w:eastAsia="SimSun"/>
        </w:rPr>
        <w:t xml:space="preserve">       </w:t>
      </w:r>
      <w:proofErr w:type="gramStart"/>
      <w:r w:rsidRPr="00562C1E">
        <w:rPr>
          <w:rStyle w:val="ATPparagraphChar"/>
          <w:rFonts w:eastAsia="SimSun"/>
        </w:rPr>
        <w:t>of</w:t>
      </w:r>
      <w:proofErr w:type="gramEnd"/>
      <w:r w:rsidRPr="00562C1E">
        <w:rPr>
          <w:rStyle w:val="ATPparagraphChar"/>
          <w:rFonts w:eastAsia="SimSun"/>
        </w:rPr>
        <w:t xml:space="preserve"> Energ</w:t>
      </w:r>
      <w:r>
        <w:rPr>
          <w:rStyle w:val="ATPparagraphChar"/>
          <w:rFonts w:eastAsia="SimSun"/>
        </w:rPr>
        <w:t xml:space="preserve">y. Retrieved online at </w:t>
      </w:r>
      <w:hyperlink r:id="rId22" w:history="1">
        <w:r w:rsidRPr="00F41843">
          <w:rPr>
            <w:rStyle w:val="ATPparagraphChar"/>
            <w:rFonts w:eastAsiaTheme="majorEastAsia"/>
          </w:rPr>
          <w:t>http://buildingsdatabook.eren.doe.gov/docs/xls_pdf/2.1.6.pdf</w:t>
        </w:r>
      </w:hyperlink>
      <w:r>
        <w:rPr>
          <w:rStyle w:val="ATPparagraphChar"/>
          <w:rFonts w:eastAsia="SimSun"/>
        </w:rPr>
        <w:t xml:space="preserve">, </w:t>
      </w:r>
    </w:p>
    <w:p w:rsidR="00BF0F61" w:rsidRPr="00F41843" w:rsidRDefault="00BF0F61" w:rsidP="00BF0F61">
      <w:pPr>
        <w:pStyle w:val="NoSpacing"/>
        <w:tabs>
          <w:tab w:val="left" w:pos="360"/>
        </w:tabs>
        <w:rPr>
          <w:rStyle w:val="ATPparagraphChar"/>
          <w:rFonts w:eastAsiaTheme="minorEastAsia" w:cstheme="minorBidi"/>
          <w:szCs w:val="22"/>
        </w:rPr>
      </w:pPr>
      <w:r>
        <w:rPr>
          <w:rStyle w:val="ATPparagraphChar"/>
          <w:rFonts w:eastAsia="SimSun"/>
        </w:rPr>
        <w:tab/>
        <w:t>September 30, 2014</w:t>
      </w:r>
    </w:p>
    <w:p w:rsidR="00BF0F61" w:rsidRPr="00F41843" w:rsidRDefault="00BF0F61" w:rsidP="00BF0F61">
      <w:pPr>
        <w:pStyle w:val="Arial10r"/>
        <w:jc w:val="left"/>
        <w:rPr>
          <w:lang w:val="en-US"/>
        </w:rPr>
      </w:pPr>
      <w:r w:rsidRPr="003D0626">
        <w:rPr>
          <w:rStyle w:val="Hyperlink"/>
          <w:rFonts w:eastAsiaTheme="majorEastAsia"/>
          <w:iCs/>
          <w:color w:val="auto"/>
          <w:u w:val="none"/>
          <w:lang w:val="en-US"/>
        </w:rPr>
        <w:t>[</w:t>
      </w:r>
      <w:r w:rsidR="001050B8">
        <w:rPr>
          <w:rStyle w:val="Hyperlink"/>
          <w:rFonts w:eastAsiaTheme="majorEastAsia"/>
          <w:iCs/>
          <w:color w:val="auto"/>
          <w:u w:val="none"/>
          <w:lang w:val="en-US"/>
        </w:rPr>
        <w:t>2</w:t>
      </w:r>
      <w:proofErr w:type="gramStart"/>
      <w:r w:rsidRPr="003D0626">
        <w:rPr>
          <w:rStyle w:val="Hyperlink"/>
          <w:rFonts w:eastAsiaTheme="majorEastAsia"/>
          <w:iCs/>
          <w:color w:val="auto"/>
          <w:u w:val="none"/>
          <w:lang w:val="en-US"/>
        </w:rPr>
        <w:t xml:space="preserve">]  </w:t>
      </w:r>
      <w:r w:rsidRPr="00F41843">
        <w:rPr>
          <w:lang w:val="en-US"/>
        </w:rPr>
        <w:t>Domanski</w:t>
      </w:r>
      <w:proofErr w:type="gramEnd"/>
      <w:r w:rsidRPr="00F41843">
        <w:rPr>
          <w:lang w:val="en-US"/>
        </w:rPr>
        <w:t xml:space="preserve">, P.A., Henderson, H., Payne, W.V., Sensitivity Analysis of Installation Faults on Heat </w:t>
      </w:r>
    </w:p>
    <w:p w:rsidR="00BF0F61" w:rsidRPr="00F41843" w:rsidRDefault="00BF0F61" w:rsidP="00BF0F61">
      <w:pPr>
        <w:pStyle w:val="Arial10r"/>
        <w:jc w:val="left"/>
        <w:rPr>
          <w:lang w:val="en-US"/>
        </w:rPr>
      </w:pPr>
      <w:r w:rsidRPr="00F41843">
        <w:rPr>
          <w:lang w:val="en-US"/>
        </w:rPr>
        <w:t xml:space="preserve">       Pump Performance. NIST Technical Note 1848, National Institute of Standards and Technology,</w:t>
      </w:r>
    </w:p>
    <w:p w:rsidR="00BF0F61" w:rsidRPr="00F41843" w:rsidRDefault="00BF0F61" w:rsidP="00BF0F61">
      <w:pPr>
        <w:pStyle w:val="Arial10r"/>
        <w:jc w:val="left"/>
        <w:rPr>
          <w:lang w:val="en-US"/>
        </w:rPr>
      </w:pPr>
      <w:r w:rsidRPr="00F41843">
        <w:rPr>
          <w:lang w:val="en-US"/>
        </w:rPr>
        <w:t xml:space="preserve">       Gaithersburg, MD., </w:t>
      </w:r>
      <w:hyperlink r:id="rId23" w:history="1">
        <w:r w:rsidR="004D2317" w:rsidRPr="00836360">
          <w:rPr>
            <w:rStyle w:val="Hyperlink"/>
            <w:color w:val="362BB6"/>
            <w:shd w:val="clear" w:color="auto" w:fill="FFFFFF"/>
          </w:rPr>
          <w:t>http://dx.doi.org/10.6028/NIST.TN.1848</w:t>
        </w:r>
      </w:hyperlink>
      <w:r w:rsidR="004D2317">
        <w:t>,</w:t>
      </w:r>
      <w:r w:rsidR="004D2317" w:rsidRPr="00836360">
        <w:rPr>
          <w:lang w:val="en-US"/>
        </w:rPr>
        <w:t xml:space="preserve"> (2014</w:t>
      </w:r>
      <w:r w:rsidR="004D2317" w:rsidRPr="00F41843">
        <w:rPr>
          <w:lang w:val="en-US"/>
        </w:rPr>
        <w:t>).</w:t>
      </w:r>
      <w:r w:rsidR="004D2317" w:rsidRPr="00F41843">
        <w:rPr>
          <w:lang w:val="en-US"/>
        </w:rPr>
        <w:t xml:space="preserve"> </w:t>
      </w:r>
    </w:p>
    <w:p w:rsidR="00BF0F61" w:rsidRDefault="00BF0F61" w:rsidP="00BF0F61">
      <w:pPr>
        <w:tabs>
          <w:tab w:val="left" w:pos="360"/>
        </w:tabs>
        <w:jc w:val="left"/>
      </w:pPr>
      <w:r>
        <w:t>[</w:t>
      </w:r>
      <w:r w:rsidR="001050B8">
        <w:t>3</w:t>
      </w:r>
      <w:proofErr w:type="gramStart"/>
      <w:r>
        <w:t xml:space="preserve">]  </w:t>
      </w:r>
      <w:r w:rsidRPr="005B3F14">
        <w:t>Proctor</w:t>
      </w:r>
      <w:proofErr w:type="gramEnd"/>
      <w:r w:rsidRPr="005B3F14">
        <w:t xml:space="preserve">, J.P., Field Measurements of New Residential Air Conditioners in Phoenix, Arizona. ASHRAE </w:t>
      </w:r>
    </w:p>
    <w:p w:rsidR="00BF0F61" w:rsidRPr="005B3F14" w:rsidRDefault="00BF0F61" w:rsidP="00BF0F61">
      <w:pPr>
        <w:tabs>
          <w:tab w:val="left" w:pos="360"/>
        </w:tabs>
        <w:jc w:val="left"/>
      </w:pPr>
      <w:r>
        <w:t xml:space="preserve">      </w:t>
      </w:r>
      <w:r w:rsidRPr="005B3F14">
        <w:t xml:space="preserve">Transactions, 103(2), 406-415. </w:t>
      </w:r>
      <w:hyperlink r:id="rId24" w:history="1">
        <w:r w:rsidRPr="009E2B6B">
          <w:rPr>
            <w:rStyle w:val="Hyperlink"/>
            <w:rFonts w:eastAsiaTheme="majorEastAsia"/>
            <w:szCs w:val="22"/>
          </w:rPr>
          <w:t>http://www.ashrae.org</w:t>
        </w:r>
      </w:hyperlink>
      <w:r>
        <w:rPr>
          <w:szCs w:val="22"/>
        </w:rPr>
        <w:t>, (1997).</w:t>
      </w:r>
    </w:p>
    <w:p w:rsidR="00BF0F61" w:rsidRDefault="00BF0F61" w:rsidP="00BF0F61">
      <w:pPr>
        <w:tabs>
          <w:tab w:val="left" w:pos="360"/>
        </w:tabs>
        <w:ind w:right="-90"/>
        <w:jc w:val="left"/>
      </w:pPr>
      <w:r>
        <w:t>[</w:t>
      </w:r>
      <w:r w:rsidR="001050B8">
        <w:t>4</w:t>
      </w:r>
      <w:proofErr w:type="gramStart"/>
      <w:r>
        <w:t xml:space="preserve">]  </w:t>
      </w:r>
      <w:r w:rsidRPr="005B3F14">
        <w:t>Rossi</w:t>
      </w:r>
      <w:proofErr w:type="gramEnd"/>
      <w:r w:rsidRPr="005B3F14">
        <w:t>, T.M.,</w:t>
      </w:r>
      <w:r>
        <w:t xml:space="preserve"> </w:t>
      </w:r>
      <w:r w:rsidRPr="005B3F14">
        <w:t xml:space="preserve">Unitary Air Conditioner Field Performance. International Refrigeration and Air </w:t>
      </w:r>
    </w:p>
    <w:p w:rsidR="00BF0F61" w:rsidRPr="005B3F14" w:rsidRDefault="00BF0F61" w:rsidP="00BF0F61">
      <w:pPr>
        <w:tabs>
          <w:tab w:val="left" w:pos="360"/>
        </w:tabs>
        <w:jc w:val="left"/>
      </w:pPr>
      <w:r>
        <w:t xml:space="preserve">       </w:t>
      </w:r>
      <w:r w:rsidRPr="005B3F14">
        <w:t>Conditioning Conference at Purdue, Paper No. R146, West Lafayette, IN.</w:t>
      </w:r>
      <w:r>
        <w:t>, (2004).</w:t>
      </w:r>
    </w:p>
    <w:p w:rsidR="00BF0F61" w:rsidRDefault="00BF0F61" w:rsidP="00BF0F61">
      <w:pPr>
        <w:tabs>
          <w:tab w:val="left" w:pos="360"/>
        </w:tabs>
        <w:jc w:val="left"/>
        <w:rPr>
          <w:szCs w:val="22"/>
        </w:rPr>
      </w:pPr>
      <w:r>
        <w:rPr>
          <w:szCs w:val="22"/>
        </w:rPr>
        <w:t>[</w:t>
      </w:r>
      <w:r w:rsidR="001050B8">
        <w:rPr>
          <w:szCs w:val="22"/>
        </w:rPr>
        <w:t>5</w:t>
      </w:r>
      <w:r>
        <w:rPr>
          <w:szCs w:val="22"/>
        </w:rPr>
        <w:t xml:space="preserve">] </w:t>
      </w:r>
      <w:r w:rsidRPr="00C00F9D">
        <w:rPr>
          <w:szCs w:val="22"/>
        </w:rPr>
        <w:t xml:space="preserve">Parker, D.S., P.A. Broman, J.B. Grant, L. </w:t>
      </w:r>
      <w:proofErr w:type="spellStart"/>
      <w:r w:rsidRPr="00C00F9D">
        <w:rPr>
          <w:szCs w:val="22"/>
        </w:rPr>
        <w:t>Gu</w:t>
      </w:r>
      <w:proofErr w:type="spellEnd"/>
      <w:r w:rsidRPr="00C00F9D">
        <w:rPr>
          <w:szCs w:val="22"/>
        </w:rPr>
        <w:t xml:space="preserve">, M.T. </w:t>
      </w:r>
      <w:proofErr w:type="spellStart"/>
      <w:r w:rsidRPr="00C00F9D">
        <w:rPr>
          <w:szCs w:val="22"/>
        </w:rPr>
        <w:t>Anello</w:t>
      </w:r>
      <w:proofErr w:type="spellEnd"/>
      <w:r w:rsidRPr="00C00F9D">
        <w:rPr>
          <w:szCs w:val="22"/>
        </w:rPr>
        <w:t>, R.K. Vieira, H.I. Henderson. 1999.</w:t>
      </w:r>
    </w:p>
    <w:p w:rsidR="00BF0F61" w:rsidRDefault="00BF0F61" w:rsidP="00BF0F61">
      <w:pPr>
        <w:tabs>
          <w:tab w:val="left" w:pos="360"/>
        </w:tabs>
        <w:ind w:left="360"/>
        <w:jc w:val="left"/>
        <w:rPr>
          <w:szCs w:val="22"/>
        </w:rPr>
      </w:pPr>
      <w:r w:rsidRPr="00C00F9D">
        <w:rPr>
          <w:szCs w:val="22"/>
        </w:rPr>
        <w:t>ENERGYGAUGE USA: A Residential Building Energy Simulation Design Tool. Proceedings of Building Simulation '99, Volume 1</w:t>
      </w:r>
      <w:r>
        <w:rPr>
          <w:szCs w:val="22"/>
        </w:rPr>
        <w:t xml:space="preserve"> (1999)</w:t>
      </w:r>
      <w:r w:rsidRPr="00C00F9D">
        <w:rPr>
          <w:szCs w:val="22"/>
        </w:rPr>
        <w:t xml:space="preserve"> 73-79.</w:t>
      </w:r>
    </w:p>
    <w:p w:rsidR="00BF0F61" w:rsidRDefault="00BF0F61" w:rsidP="00BF0F61">
      <w:pPr>
        <w:tabs>
          <w:tab w:val="left" w:pos="360"/>
        </w:tabs>
        <w:jc w:val="left"/>
        <w:rPr>
          <w:szCs w:val="22"/>
        </w:rPr>
      </w:pPr>
      <w:r>
        <w:rPr>
          <w:szCs w:val="22"/>
        </w:rPr>
        <w:t>[</w:t>
      </w:r>
      <w:r w:rsidR="001050B8">
        <w:rPr>
          <w:szCs w:val="22"/>
        </w:rPr>
        <w:t>6</w:t>
      </w:r>
      <w:r>
        <w:rPr>
          <w:szCs w:val="22"/>
        </w:rPr>
        <w:t xml:space="preserve">] </w:t>
      </w:r>
      <w:r w:rsidRPr="00114BD9">
        <w:rPr>
          <w:szCs w:val="22"/>
        </w:rPr>
        <w:t xml:space="preserve">Mowris, R.J., Blankenship, A., Jones, E., 2004. Field Measurements of Air Conditioners with and </w:t>
      </w:r>
    </w:p>
    <w:p w:rsidR="00BF0F61" w:rsidRDefault="00BF0F61" w:rsidP="00BF0F61">
      <w:pPr>
        <w:tabs>
          <w:tab w:val="left" w:pos="360"/>
        </w:tabs>
        <w:ind w:left="360"/>
        <w:jc w:val="left"/>
        <w:rPr>
          <w:rStyle w:val="Hyperlink"/>
          <w:rFonts w:eastAsiaTheme="majorEastAsia"/>
          <w:szCs w:val="22"/>
        </w:rPr>
      </w:pPr>
      <w:proofErr w:type="gramStart"/>
      <w:r w:rsidRPr="00114BD9">
        <w:rPr>
          <w:szCs w:val="22"/>
        </w:rPr>
        <w:t>without</w:t>
      </w:r>
      <w:proofErr w:type="gramEnd"/>
      <w:r w:rsidRPr="00114BD9">
        <w:rPr>
          <w:szCs w:val="22"/>
        </w:rPr>
        <w:t xml:space="preserve"> TXVs. ACEEE 2004 Summer study on Energy Efficiency in Buildings, American Council for an Energy Efficient Economy, Washington, DC. </w:t>
      </w:r>
      <w:r w:rsidRPr="00F41843">
        <w:rPr>
          <w:rFonts w:eastAsiaTheme="majorEastAsia"/>
          <w:szCs w:val="22"/>
        </w:rPr>
        <w:t>http://www.aceee.org</w:t>
      </w:r>
      <w:r w:rsidRPr="00F41843">
        <w:rPr>
          <w:rStyle w:val="Hyperlink"/>
          <w:rFonts w:eastAsiaTheme="majorEastAsia"/>
          <w:color w:val="auto"/>
          <w:szCs w:val="22"/>
        </w:rPr>
        <w:t>, (2004).</w:t>
      </w:r>
    </w:p>
    <w:p w:rsidR="00BF0F61" w:rsidRDefault="00BF0F61" w:rsidP="00BF0F61">
      <w:pPr>
        <w:tabs>
          <w:tab w:val="left" w:pos="360"/>
        </w:tabs>
        <w:jc w:val="left"/>
        <w:rPr>
          <w:szCs w:val="22"/>
        </w:rPr>
      </w:pPr>
      <w:r>
        <w:t>[</w:t>
      </w:r>
      <w:r w:rsidR="001050B8">
        <w:t>7</w:t>
      </w:r>
      <w:r>
        <w:t xml:space="preserve">] </w:t>
      </w:r>
      <w:r>
        <w:tab/>
      </w:r>
      <w:r w:rsidRPr="00A302DE">
        <w:rPr>
          <w:szCs w:val="22"/>
        </w:rPr>
        <w:t>CDH Energy Corp.</w:t>
      </w:r>
      <w:proofErr w:type="gramStart"/>
      <w:r w:rsidRPr="00A302DE">
        <w:rPr>
          <w:szCs w:val="22"/>
        </w:rPr>
        <w:t>,  TRN</w:t>
      </w:r>
      <w:proofErr w:type="gramEnd"/>
      <w:r w:rsidRPr="00A302DE">
        <w:rPr>
          <w:szCs w:val="22"/>
        </w:rPr>
        <w:t xml:space="preserve">-RESDH5:  TRNSYS Residential AC/Dehumidifier Model – SHORT </w:t>
      </w:r>
    </w:p>
    <w:p w:rsidR="00BF0F61" w:rsidRDefault="00BF0F61" w:rsidP="00BF0F61">
      <w:pPr>
        <w:tabs>
          <w:tab w:val="left" w:pos="360"/>
        </w:tabs>
        <w:ind w:left="360"/>
        <w:jc w:val="left"/>
        <w:rPr>
          <w:szCs w:val="22"/>
        </w:rPr>
      </w:pPr>
      <w:proofErr w:type="gramStart"/>
      <w:r w:rsidRPr="00A302DE">
        <w:rPr>
          <w:szCs w:val="22"/>
        </w:rPr>
        <w:t>TIMESTEP.</w:t>
      </w:r>
      <w:proofErr w:type="gramEnd"/>
      <w:r w:rsidRPr="00A302DE">
        <w:rPr>
          <w:szCs w:val="22"/>
        </w:rPr>
        <w:t xml:space="preserve">  </w:t>
      </w:r>
      <w:proofErr w:type="gramStart"/>
      <w:r w:rsidRPr="00A302DE">
        <w:rPr>
          <w:szCs w:val="22"/>
        </w:rPr>
        <w:t xml:space="preserve">A Tool for Evaluating Hybrid Configurations and Control Options in Single-Zone Building Applications, </w:t>
      </w:r>
      <w:r w:rsidRPr="006B6D1C">
        <w:rPr>
          <w:szCs w:val="22"/>
        </w:rPr>
        <w:t>Operating and Reference Manual.</w:t>
      </w:r>
      <w:proofErr w:type="gramEnd"/>
      <w:r w:rsidRPr="006B6D1C">
        <w:rPr>
          <w:szCs w:val="22"/>
        </w:rPr>
        <w:t xml:space="preserve"> Cazenovia, </w:t>
      </w:r>
      <w:proofErr w:type="gramStart"/>
      <w:r w:rsidRPr="006B6D1C">
        <w:rPr>
          <w:szCs w:val="22"/>
        </w:rPr>
        <w:t>NY.</w:t>
      </w:r>
      <w:r>
        <w:rPr>
          <w:szCs w:val="22"/>
        </w:rPr>
        <w:t>,</w:t>
      </w:r>
      <w:proofErr w:type="gramEnd"/>
      <w:r>
        <w:rPr>
          <w:szCs w:val="22"/>
        </w:rPr>
        <w:t xml:space="preserve"> (2010).</w:t>
      </w:r>
    </w:p>
    <w:p w:rsidR="00BF0F61" w:rsidRPr="00E01A3E" w:rsidRDefault="00BF0F61" w:rsidP="00BF0F61">
      <w:pPr>
        <w:pStyle w:val="Char0"/>
        <w:tabs>
          <w:tab w:val="left" w:pos="450"/>
        </w:tabs>
        <w:rPr>
          <w:rFonts w:ascii="Times New Roman" w:cs="Times New Roman"/>
          <w:color w:val="auto"/>
          <w:sz w:val="22"/>
          <w:szCs w:val="22"/>
        </w:rPr>
      </w:pPr>
      <w:r>
        <w:rPr>
          <w:rFonts w:ascii="Times New Roman" w:cs="Times New Roman"/>
          <w:color w:val="auto"/>
          <w:sz w:val="22"/>
          <w:szCs w:val="22"/>
        </w:rPr>
        <w:t>[</w:t>
      </w:r>
      <w:r w:rsidR="001050B8">
        <w:rPr>
          <w:rFonts w:ascii="Times New Roman" w:cs="Times New Roman"/>
          <w:color w:val="auto"/>
          <w:sz w:val="22"/>
          <w:szCs w:val="22"/>
        </w:rPr>
        <w:t>8</w:t>
      </w:r>
      <w:proofErr w:type="gramStart"/>
      <w:r>
        <w:rPr>
          <w:rFonts w:ascii="Times New Roman" w:cs="Times New Roman"/>
          <w:color w:val="auto"/>
          <w:sz w:val="22"/>
          <w:szCs w:val="22"/>
        </w:rPr>
        <w:t xml:space="preserve">]  </w:t>
      </w:r>
      <w:r w:rsidRPr="008F3167">
        <w:rPr>
          <w:rFonts w:ascii="Times New Roman" w:cs="Times New Roman"/>
          <w:color w:val="auto"/>
          <w:sz w:val="22"/>
          <w:szCs w:val="22"/>
        </w:rPr>
        <w:t>Wilcox</w:t>
      </w:r>
      <w:proofErr w:type="gramEnd"/>
      <w:r>
        <w:rPr>
          <w:rFonts w:ascii="Times New Roman" w:cs="Times New Roman"/>
          <w:color w:val="auto"/>
          <w:sz w:val="22"/>
          <w:szCs w:val="22"/>
        </w:rPr>
        <w:t xml:space="preserve">, S., </w:t>
      </w:r>
      <w:r w:rsidRPr="008F3167">
        <w:rPr>
          <w:rFonts w:ascii="Times New Roman" w:cs="Times New Roman"/>
          <w:color w:val="auto"/>
          <w:sz w:val="22"/>
          <w:szCs w:val="22"/>
        </w:rPr>
        <w:t>Marion</w:t>
      </w:r>
      <w:r>
        <w:rPr>
          <w:rFonts w:ascii="Times New Roman" w:cs="Times New Roman"/>
          <w:color w:val="auto"/>
          <w:sz w:val="22"/>
          <w:szCs w:val="22"/>
        </w:rPr>
        <w:t xml:space="preserve">, W., </w:t>
      </w:r>
      <w:proofErr w:type="spellStart"/>
      <w:r w:rsidRPr="00E01A3E">
        <w:rPr>
          <w:rFonts w:ascii="Times New Roman" w:cs="Times New Roman"/>
          <w:color w:val="auto"/>
          <w:sz w:val="22"/>
          <w:szCs w:val="22"/>
        </w:rPr>
        <w:t>Users Manual</w:t>
      </w:r>
      <w:proofErr w:type="spellEnd"/>
      <w:r w:rsidRPr="00E01A3E">
        <w:rPr>
          <w:rFonts w:ascii="Times New Roman" w:cs="Times New Roman"/>
          <w:color w:val="auto"/>
          <w:sz w:val="22"/>
          <w:szCs w:val="22"/>
        </w:rPr>
        <w:t xml:space="preserve"> for TMY3 Data Sets</w:t>
      </w:r>
      <w:r>
        <w:rPr>
          <w:rFonts w:ascii="Times New Roman" w:cs="Times New Roman"/>
          <w:color w:val="auto"/>
          <w:sz w:val="22"/>
          <w:szCs w:val="22"/>
        </w:rPr>
        <w:t xml:space="preserve">, </w:t>
      </w:r>
      <w:r w:rsidRPr="00E01A3E">
        <w:rPr>
          <w:rFonts w:ascii="Times New Roman" w:cs="Times New Roman"/>
          <w:color w:val="auto"/>
          <w:sz w:val="22"/>
          <w:szCs w:val="22"/>
        </w:rPr>
        <w:t xml:space="preserve">Technical Report </w:t>
      </w:r>
    </w:p>
    <w:p w:rsidR="00BF0F61" w:rsidRDefault="00BF0F61" w:rsidP="00BF0F61">
      <w:pPr>
        <w:pStyle w:val="Char0"/>
        <w:tabs>
          <w:tab w:val="left" w:pos="450"/>
        </w:tabs>
        <w:rPr>
          <w:rFonts w:ascii="Times New Roman" w:cs="Times New Roman"/>
          <w:color w:val="auto"/>
          <w:sz w:val="22"/>
          <w:szCs w:val="22"/>
          <w:lang w:val="nn-NO"/>
        </w:rPr>
      </w:pPr>
      <w:r w:rsidRPr="00BF0F61">
        <w:rPr>
          <w:rFonts w:ascii="Times New Roman" w:cs="Times New Roman"/>
          <w:color w:val="auto"/>
          <w:sz w:val="22"/>
          <w:szCs w:val="22"/>
        </w:rPr>
        <w:t xml:space="preserve">         </w:t>
      </w:r>
      <w:r w:rsidRPr="00F41843">
        <w:rPr>
          <w:rFonts w:ascii="Times New Roman" w:cs="Times New Roman"/>
          <w:color w:val="auto"/>
          <w:sz w:val="22"/>
          <w:szCs w:val="22"/>
          <w:lang w:val="nn-NO"/>
        </w:rPr>
        <w:t xml:space="preserve">NREL/TP-581-43156, </w:t>
      </w:r>
      <w:r w:rsidR="00EE3388">
        <w:fldChar w:fldCharType="begin"/>
      </w:r>
      <w:r w:rsidR="00EE3388">
        <w:instrText xml:space="preserve"> HYPERLINK "http://www.nrel.gov/docs/fy08osti/43156.Pdf" </w:instrText>
      </w:r>
      <w:r w:rsidR="00EE3388">
        <w:fldChar w:fldCharType="separate"/>
      </w:r>
      <w:r w:rsidRPr="00F41843">
        <w:rPr>
          <w:rStyle w:val="Hyperlink"/>
          <w:rFonts w:ascii="Times New Roman" w:cs="Times New Roman"/>
          <w:sz w:val="22"/>
          <w:szCs w:val="22"/>
          <w:lang w:val="nn-NO"/>
        </w:rPr>
        <w:t>http://www.nrel.gov/docs/fy08osti/43156.Pdf</w:t>
      </w:r>
      <w:r w:rsidR="00EE3388">
        <w:rPr>
          <w:rStyle w:val="Hyperlink"/>
          <w:rFonts w:ascii="Times New Roman" w:cs="Times New Roman"/>
          <w:sz w:val="22"/>
          <w:szCs w:val="22"/>
          <w:lang w:val="nn-NO"/>
        </w:rPr>
        <w:fldChar w:fldCharType="end"/>
      </w:r>
      <w:r w:rsidRPr="00F41843">
        <w:rPr>
          <w:rFonts w:ascii="Times New Roman" w:cs="Times New Roman"/>
          <w:color w:val="auto"/>
          <w:sz w:val="22"/>
          <w:szCs w:val="22"/>
          <w:lang w:val="nn-NO"/>
        </w:rPr>
        <w:t>, (2008).</w:t>
      </w:r>
    </w:p>
    <w:p w:rsidR="001050B8" w:rsidRDefault="001050B8" w:rsidP="001050B8">
      <w:pPr>
        <w:pStyle w:val="ListParagraph"/>
        <w:tabs>
          <w:tab w:val="left" w:pos="450"/>
        </w:tabs>
        <w:ind w:left="0"/>
        <w:jc w:val="left"/>
        <w:rPr>
          <w:szCs w:val="22"/>
        </w:rPr>
      </w:pPr>
      <w:r>
        <w:rPr>
          <w:szCs w:val="22"/>
          <w:shd w:val="clear" w:color="auto" w:fill="FFFFFF"/>
        </w:rPr>
        <w:t xml:space="preserve">[9] </w:t>
      </w:r>
      <w:r w:rsidRPr="005B3F14">
        <w:rPr>
          <w:szCs w:val="22"/>
          <w:shd w:val="clear" w:color="auto" w:fill="FFFFFF"/>
        </w:rPr>
        <w:t xml:space="preserve">EIA, </w:t>
      </w:r>
      <w:r w:rsidRPr="005B3F14">
        <w:rPr>
          <w:szCs w:val="22"/>
        </w:rPr>
        <w:t xml:space="preserve">Form 826 data for local utility in 2010 for residential sector. U.S. Energy Information </w:t>
      </w:r>
    </w:p>
    <w:p w:rsidR="001050B8" w:rsidRPr="005B3F14" w:rsidRDefault="001050B8" w:rsidP="001050B8">
      <w:pPr>
        <w:pStyle w:val="ListParagraph"/>
        <w:tabs>
          <w:tab w:val="left" w:pos="450"/>
        </w:tabs>
        <w:ind w:left="0"/>
        <w:jc w:val="left"/>
        <w:rPr>
          <w:szCs w:val="22"/>
        </w:rPr>
      </w:pPr>
      <w:r>
        <w:rPr>
          <w:szCs w:val="22"/>
        </w:rPr>
        <w:tab/>
      </w:r>
      <w:r w:rsidRPr="005B3F14">
        <w:rPr>
          <w:szCs w:val="22"/>
        </w:rPr>
        <w:t>Agency</w:t>
      </w:r>
      <w:proofErr w:type="gramStart"/>
      <w:r w:rsidRPr="005B3F14">
        <w:rPr>
          <w:szCs w:val="22"/>
        </w:rPr>
        <w:t xml:space="preserve">,  </w:t>
      </w:r>
      <w:proofErr w:type="gramEnd"/>
      <w:r>
        <w:fldChar w:fldCharType="begin"/>
      </w:r>
      <w:r>
        <w:instrText xml:space="preserve"> HYPERLINK "http://www.eia.gov/cneaf/electricity/page/eia826.html" </w:instrText>
      </w:r>
      <w:r>
        <w:fldChar w:fldCharType="separate"/>
      </w:r>
      <w:r w:rsidRPr="005B3F14">
        <w:rPr>
          <w:rStyle w:val="Hyperlink"/>
          <w:rFonts w:eastAsiaTheme="majorEastAsia"/>
          <w:szCs w:val="22"/>
        </w:rPr>
        <w:t>http://www.eia.gov/cneaf/electricity/page/eia826.html</w:t>
      </w:r>
      <w:r>
        <w:rPr>
          <w:rStyle w:val="Hyperlink"/>
          <w:rFonts w:eastAsiaTheme="majorEastAsia"/>
          <w:szCs w:val="22"/>
        </w:rPr>
        <w:fldChar w:fldCharType="end"/>
      </w:r>
      <w:r w:rsidRPr="00C5129C">
        <w:rPr>
          <w:szCs w:val="22"/>
        </w:rPr>
        <w:t>,</w:t>
      </w:r>
      <w:r>
        <w:rPr>
          <w:szCs w:val="22"/>
        </w:rPr>
        <w:t xml:space="preserve"> (2012).</w:t>
      </w:r>
      <w:r w:rsidRPr="005B3F14">
        <w:rPr>
          <w:szCs w:val="22"/>
        </w:rPr>
        <w:t> </w:t>
      </w:r>
    </w:p>
    <w:p w:rsidR="00BF0F61" w:rsidRPr="00F41843" w:rsidRDefault="00BF0F61" w:rsidP="00BF0F61">
      <w:pPr>
        <w:tabs>
          <w:tab w:val="left" w:pos="450"/>
        </w:tabs>
        <w:jc w:val="left"/>
        <w:rPr>
          <w:rStyle w:val="Hyperlink"/>
          <w:color w:val="auto"/>
          <w:szCs w:val="22"/>
        </w:rPr>
      </w:pPr>
      <w:r w:rsidRPr="006411F9">
        <w:t>[</w:t>
      </w:r>
      <w:r w:rsidR="009A227E">
        <w:t>10</w:t>
      </w:r>
      <w:r w:rsidRPr="006411F9">
        <w:t xml:space="preserve">] RESNET, 2006. </w:t>
      </w:r>
      <w:proofErr w:type="gramStart"/>
      <w:r w:rsidRPr="005B3F14">
        <w:rPr>
          <w:szCs w:val="22"/>
          <w:shd w:val="clear" w:color="auto" w:fill="FFFFFF"/>
        </w:rPr>
        <w:t>Home Energy Rating System (HERS), R</w:t>
      </w:r>
      <w:r w:rsidRPr="005B3F14">
        <w:t xml:space="preserve">esidential Energy Services Network </w:t>
      </w:r>
      <w:r>
        <w:tab/>
      </w:r>
      <w:hyperlink r:id="rId25" w:history="1">
        <w:r w:rsidRPr="005B3F14">
          <w:rPr>
            <w:rStyle w:val="Hyperlink"/>
            <w:rFonts w:eastAsiaTheme="majorEastAsia"/>
          </w:rPr>
          <w:t>http://www.resnet.us/</w:t>
        </w:r>
      </w:hyperlink>
      <w:r w:rsidRPr="00F41843">
        <w:rPr>
          <w:rStyle w:val="Hyperlink"/>
          <w:rFonts w:eastAsiaTheme="majorEastAsia"/>
          <w:color w:val="auto"/>
        </w:rPr>
        <w:t>, (2006).</w:t>
      </w:r>
      <w:proofErr w:type="gramEnd"/>
    </w:p>
    <w:p w:rsidR="00BF0F61" w:rsidRDefault="00BF0F61" w:rsidP="00BF0F61">
      <w:pPr>
        <w:tabs>
          <w:tab w:val="left" w:pos="450"/>
        </w:tabs>
        <w:ind w:right="-90"/>
        <w:jc w:val="left"/>
      </w:pPr>
      <w:r>
        <w:t>[1</w:t>
      </w:r>
      <w:r w:rsidR="009A227E">
        <w:t>1</w:t>
      </w:r>
      <w:r>
        <w:t xml:space="preserve">] </w:t>
      </w:r>
      <w:proofErr w:type="spellStart"/>
      <w:r w:rsidRPr="005B3F14">
        <w:t>Winkelmann</w:t>
      </w:r>
      <w:proofErr w:type="spellEnd"/>
      <w:r w:rsidRPr="005B3F14">
        <w:t xml:space="preserve">, F., Underground Surfaces: How to Get a Better Underground Surface Heat Transfer </w:t>
      </w:r>
    </w:p>
    <w:p w:rsidR="00BF0F61" w:rsidRDefault="00BF0F61" w:rsidP="00BF0F61">
      <w:pPr>
        <w:tabs>
          <w:tab w:val="left" w:pos="450"/>
        </w:tabs>
        <w:ind w:right="-90"/>
        <w:jc w:val="left"/>
      </w:pPr>
      <w:r>
        <w:tab/>
      </w:r>
      <w:proofErr w:type="gramStart"/>
      <w:r w:rsidRPr="005B3F14">
        <w:t>Calculation in DOE-2.1E.</w:t>
      </w:r>
      <w:proofErr w:type="gramEnd"/>
      <w:r w:rsidRPr="005B3F14">
        <w:t xml:space="preserve">  </w:t>
      </w:r>
      <w:proofErr w:type="gramStart"/>
      <w:r w:rsidRPr="005B3F14">
        <w:t xml:space="preserve">Building Energy Simulation User News, Vol. 19, No. 1, </w:t>
      </w:r>
      <w:r>
        <w:t>(1998).</w:t>
      </w:r>
      <w:proofErr w:type="gramEnd"/>
    </w:p>
    <w:p w:rsidR="00BF0F61" w:rsidRDefault="00BF0F61" w:rsidP="00BF0F61">
      <w:pPr>
        <w:tabs>
          <w:tab w:val="left" w:pos="450"/>
        </w:tabs>
        <w:ind w:right="-90"/>
        <w:rPr>
          <w:szCs w:val="22"/>
        </w:rPr>
      </w:pPr>
      <w:r>
        <w:t>[1</w:t>
      </w:r>
      <w:r w:rsidR="009A227E">
        <w:t>2</w:t>
      </w:r>
      <w:r>
        <w:t xml:space="preserve">] </w:t>
      </w:r>
      <w:r w:rsidRPr="005B3F14">
        <w:rPr>
          <w:szCs w:val="22"/>
        </w:rPr>
        <w:t xml:space="preserve">Walker, I., Wilson, D. Field Validation of Algebraic Equations for Stack and Wind Driven Air </w:t>
      </w:r>
    </w:p>
    <w:p w:rsidR="00BF0F61" w:rsidRDefault="00BF0F61" w:rsidP="00BF0F61">
      <w:pPr>
        <w:tabs>
          <w:tab w:val="left" w:pos="450"/>
        </w:tabs>
        <w:ind w:left="446" w:right="-90"/>
        <w:rPr>
          <w:szCs w:val="22"/>
        </w:rPr>
      </w:pPr>
      <w:proofErr w:type="gramStart"/>
      <w:r w:rsidRPr="005B3F14">
        <w:rPr>
          <w:szCs w:val="22"/>
        </w:rPr>
        <w:t>Infiltration Calculations.</w:t>
      </w:r>
      <w:proofErr w:type="gramEnd"/>
      <w:r w:rsidRPr="005B3F14">
        <w:rPr>
          <w:szCs w:val="22"/>
        </w:rPr>
        <w:t xml:space="preserve"> </w:t>
      </w:r>
      <w:proofErr w:type="gramStart"/>
      <w:r w:rsidRPr="005B3F14">
        <w:rPr>
          <w:szCs w:val="22"/>
        </w:rPr>
        <w:t>International Journal of HVAC&amp;R Research (now ASHRAE HVAC&amp;R Research Journal), 4(2).</w:t>
      </w:r>
      <w:proofErr w:type="gramEnd"/>
      <w:r w:rsidRPr="005B3F14">
        <w:rPr>
          <w:szCs w:val="22"/>
        </w:rPr>
        <w:t xml:space="preserve"> </w:t>
      </w:r>
      <w:hyperlink r:id="rId26" w:history="1">
        <w:r w:rsidRPr="009E2B6B">
          <w:rPr>
            <w:rStyle w:val="Hyperlink"/>
            <w:rFonts w:eastAsiaTheme="majorEastAsia"/>
          </w:rPr>
          <w:t>http://aceee.org</w:t>
        </w:r>
      </w:hyperlink>
      <w:r w:rsidRPr="00B10394">
        <w:t>,</w:t>
      </w:r>
      <w:r>
        <w:t xml:space="preserve"> (1998).</w:t>
      </w:r>
    </w:p>
    <w:p w:rsidR="00BF0F61" w:rsidRDefault="00BF0F61" w:rsidP="00BF0F61">
      <w:pPr>
        <w:tabs>
          <w:tab w:val="left" w:pos="450"/>
        </w:tabs>
        <w:ind w:left="288" w:right="-90" w:hanging="288"/>
        <w:jc w:val="left"/>
      </w:pPr>
      <w:r>
        <w:t>[1</w:t>
      </w:r>
      <w:r w:rsidR="009A227E">
        <w:t>3</w:t>
      </w:r>
      <w:r>
        <w:t xml:space="preserve">] </w:t>
      </w:r>
      <w:r w:rsidRPr="005B3F14">
        <w:t xml:space="preserve">ASHRAE, ASHRAE Handbook of Fundamentals.  Chapter 17, Residential Cooling and Heating Load </w:t>
      </w:r>
    </w:p>
    <w:p w:rsidR="00BF0F61" w:rsidRPr="00F41843" w:rsidRDefault="00BF0F61" w:rsidP="00BF0F61">
      <w:pPr>
        <w:tabs>
          <w:tab w:val="left" w:pos="450"/>
        </w:tabs>
        <w:ind w:left="446" w:right="-90"/>
        <w:jc w:val="left"/>
        <w:rPr>
          <w:rFonts w:eastAsiaTheme="minorHAnsi"/>
          <w:szCs w:val="22"/>
        </w:rPr>
      </w:pPr>
      <w:r>
        <w:tab/>
      </w:r>
      <w:proofErr w:type="gramStart"/>
      <w:r w:rsidRPr="005B3F14">
        <w:t>Calculations.</w:t>
      </w:r>
      <w:proofErr w:type="gramEnd"/>
      <w:r w:rsidRPr="005B3F14">
        <w:t xml:space="preserve">  </w:t>
      </w:r>
      <w:proofErr w:type="gramStart"/>
      <w:r w:rsidRPr="005B3F14">
        <w:t xml:space="preserve">American Society of Heating, Refrigerating, and Air-Conditioning Engineers, Atlanta, GA. </w:t>
      </w:r>
      <w:hyperlink r:id="rId27" w:history="1">
        <w:r w:rsidRPr="00C5129C">
          <w:rPr>
            <w:rStyle w:val="Hyperlink"/>
            <w:rFonts w:eastAsiaTheme="majorEastAsia"/>
            <w:szCs w:val="22"/>
          </w:rPr>
          <w:t>http://www.ashrae.org</w:t>
        </w:r>
      </w:hyperlink>
      <w:r w:rsidRPr="00F41843">
        <w:rPr>
          <w:rFonts w:eastAsiaTheme="minorHAnsi"/>
          <w:szCs w:val="22"/>
        </w:rPr>
        <w:t>, (2009).</w:t>
      </w:r>
      <w:proofErr w:type="gramEnd"/>
    </w:p>
    <w:p w:rsidR="00BF0F61" w:rsidRDefault="00BF0F61" w:rsidP="00BF0F61">
      <w:pPr>
        <w:tabs>
          <w:tab w:val="left" w:pos="450"/>
        </w:tabs>
        <w:ind w:right="-90"/>
        <w:rPr>
          <w:szCs w:val="22"/>
        </w:rPr>
      </w:pPr>
      <w:r>
        <w:rPr>
          <w:szCs w:val="22"/>
        </w:rPr>
        <w:t>[1</w:t>
      </w:r>
      <w:r w:rsidR="009A227E">
        <w:rPr>
          <w:szCs w:val="22"/>
        </w:rPr>
        <w:t>4</w:t>
      </w:r>
      <w:r>
        <w:rPr>
          <w:szCs w:val="22"/>
        </w:rPr>
        <w:t xml:space="preserve">] </w:t>
      </w:r>
      <w:proofErr w:type="spellStart"/>
      <w:r w:rsidRPr="005B3F14">
        <w:rPr>
          <w:szCs w:val="22"/>
        </w:rPr>
        <w:t>Fugler</w:t>
      </w:r>
      <w:proofErr w:type="spellEnd"/>
      <w:r w:rsidRPr="005B3F14">
        <w:rPr>
          <w:szCs w:val="22"/>
        </w:rPr>
        <w:t>, D.</w:t>
      </w:r>
      <w:r>
        <w:rPr>
          <w:szCs w:val="22"/>
        </w:rPr>
        <w:t>,</w:t>
      </w:r>
      <w:r w:rsidRPr="005B3F14">
        <w:rPr>
          <w:szCs w:val="22"/>
        </w:rPr>
        <w:t xml:space="preserve"> Conclusions from Ten Years of Canadian Attic Research.  </w:t>
      </w:r>
      <w:proofErr w:type="gramStart"/>
      <w:r w:rsidRPr="005B3F14">
        <w:rPr>
          <w:szCs w:val="22"/>
        </w:rPr>
        <w:t>ASHRAE Transactions, 105(1).</w:t>
      </w:r>
      <w:proofErr w:type="gramEnd"/>
      <w:r w:rsidRPr="005B3F14">
        <w:rPr>
          <w:szCs w:val="22"/>
        </w:rPr>
        <w:t xml:space="preserve"> </w:t>
      </w:r>
    </w:p>
    <w:p w:rsidR="00BF0F61" w:rsidRPr="005B3F14" w:rsidRDefault="00BF0F61" w:rsidP="00BF0F61">
      <w:pPr>
        <w:tabs>
          <w:tab w:val="left" w:pos="450"/>
        </w:tabs>
        <w:ind w:right="-90"/>
        <w:rPr>
          <w:szCs w:val="22"/>
        </w:rPr>
      </w:pPr>
      <w:r>
        <w:rPr>
          <w:szCs w:val="22"/>
        </w:rPr>
        <w:tab/>
      </w:r>
      <w:hyperlink r:id="rId28" w:history="1">
        <w:r w:rsidRPr="009E2B6B">
          <w:rPr>
            <w:rStyle w:val="Hyperlink"/>
            <w:rFonts w:eastAsiaTheme="majorEastAsia"/>
            <w:szCs w:val="22"/>
          </w:rPr>
          <w:t>http://www.ashrae.org</w:t>
        </w:r>
      </w:hyperlink>
      <w:r>
        <w:rPr>
          <w:szCs w:val="22"/>
        </w:rPr>
        <w:t>, (1999).</w:t>
      </w:r>
    </w:p>
    <w:p w:rsidR="00BF0F61" w:rsidRDefault="00BF0F61" w:rsidP="00BF0F61">
      <w:pPr>
        <w:ind w:right="-90"/>
        <w:jc w:val="left"/>
        <w:rPr>
          <w:rFonts w:eastAsia="Calibri"/>
        </w:rPr>
      </w:pPr>
      <w:r>
        <w:t>[1</w:t>
      </w:r>
      <w:r w:rsidR="009A227E">
        <w:t>5</w:t>
      </w:r>
      <w:r>
        <w:t xml:space="preserve">] </w:t>
      </w:r>
      <w:proofErr w:type="spellStart"/>
      <w:r>
        <w:rPr>
          <w:rFonts w:eastAsia="Calibri"/>
        </w:rPr>
        <w:t>Arasteh</w:t>
      </w:r>
      <w:proofErr w:type="spellEnd"/>
      <w:r>
        <w:rPr>
          <w:rFonts w:eastAsia="Calibri"/>
        </w:rPr>
        <w:t xml:space="preserve">, D., C. Kohler, </w:t>
      </w:r>
      <w:r w:rsidRPr="005B3F14">
        <w:rPr>
          <w:rFonts w:eastAsia="Calibri"/>
        </w:rPr>
        <w:t>B. Griffith</w:t>
      </w:r>
      <w:r>
        <w:rPr>
          <w:rFonts w:eastAsia="Calibri"/>
        </w:rPr>
        <w:t xml:space="preserve">, </w:t>
      </w:r>
      <w:r w:rsidRPr="005B3F14">
        <w:rPr>
          <w:rFonts w:eastAsia="Calibri"/>
        </w:rPr>
        <w:t xml:space="preserve">Modeling Windows in Energy </w:t>
      </w:r>
      <w:proofErr w:type="gramStart"/>
      <w:r w:rsidRPr="005B3F14">
        <w:rPr>
          <w:rFonts w:eastAsia="Calibri"/>
        </w:rPr>
        <w:t>Plus</w:t>
      </w:r>
      <w:proofErr w:type="gramEnd"/>
      <w:r w:rsidRPr="005B3F14">
        <w:rPr>
          <w:rFonts w:eastAsia="Calibri"/>
        </w:rPr>
        <w:t xml:space="preserve"> with Simple Performance </w:t>
      </w:r>
    </w:p>
    <w:p w:rsidR="00BF0F61" w:rsidRDefault="00BF0F61" w:rsidP="00BF0F61">
      <w:pPr>
        <w:tabs>
          <w:tab w:val="left" w:pos="450"/>
        </w:tabs>
        <w:ind w:left="450" w:right="-90"/>
        <w:jc w:val="left"/>
        <w:rPr>
          <w:rFonts w:eastAsia="Calibri"/>
        </w:rPr>
      </w:pPr>
      <w:proofErr w:type="gramStart"/>
      <w:r w:rsidRPr="005B3F14">
        <w:rPr>
          <w:rFonts w:eastAsia="Calibri"/>
        </w:rPr>
        <w:t>Indices.</w:t>
      </w:r>
      <w:proofErr w:type="gramEnd"/>
      <w:r>
        <w:rPr>
          <w:rFonts w:eastAsia="Calibri"/>
        </w:rPr>
        <w:fldChar w:fldCharType="begin"/>
      </w:r>
      <w:r>
        <w:rPr>
          <w:rFonts w:eastAsia="Calibri"/>
        </w:rPr>
        <w:instrText xml:space="preserve"> HYPERLINK "</w:instrText>
      </w:r>
      <w:r w:rsidRPr="00F41843">
        <w:rPr>
          <w:rFonts w:eastAsia="Calibri"/>
        </w:rPr>
        <w:instrText>http://windows.lbl.gov/win_prop/ModelingWindowsInEnergyPlusWithSimplePerformanceIndices.pdf</w:instrText>
      </w:r>
      <w:r>
        <w:rPr>
          <w:rFonts w:eastAsia="Calibri"/>
        </w:rPr>
        <w:instrText xml:space="preserve">" </w:instrText>
      </w:r>
      <w:r>
        <w:rPr>
          <w:rFonts w:eastAsia="Calibri"/>
        </w:rPr>
        <w:fldChar w:fldCharType="separate"/>
      </w:r>
      <w:r w:rsidRPr="009E2B6B">
        <w:rPr>
          <w:rStyle w:val="Hyperlink"/>
          <w:rFonts w:eastAsia="Calibri"/>
        </w:rPr>
        <w:t>http://windows.lbl.gov/win_prop/ModelingWindowsInEnergyPlusWithSimplePerformanceIndices.pdf</w:t>
      </w:r>
      <w:r>
        <w:rPr>
          <w:rFonts w:eastAsia="Calibri"/>
        </w:rPr>
        <w:fldChar w:fldCharType="end"/>
      </w:r>
      <w:r>
        <w:rPr>
          <w:rFonts w:eastAsia="Calibri"/>
        </w:rPr>
        <w:t>, (2009)</w:t>
      </w:r>
    </w:p>
    <w:p w:rsidR="00BF0F61" w:rsidRDefault="00BF0F61" w:rsidP="00BF0F61">
      <w:pPr>
        <w:tabs>
          <w:tab w:val="left" w:pos="450"/>
        </w:tabs>
        <w:ind w:right="-90"/>
        <w:jc w:val="left"/>
        <w:rPr>
          <w:szCs w:val="22"/>
        </w:rPr>
      </w:pPr>
      <w:r w:rsidRPr="00F41843">
        <w:rPr>
          <w:szCs w:val="22"/>
        </w:rPr>
        <w:t>[1</w:t>
      </w:r>
      <w:r w:rsidR="009A227E">
        <w:rPr>
          <w:szCs w:val="22"/>
        </w:rPr>
        <w:t>6</w:t>
      </w:r>
      <w:r w:rsidRPr="00F41843">
        <w:rPr>
          <w:szCs w:val="22"/>
        </w:rPr>
        <w:t xml:space="preserve">] </w:t>
      </w:r>
      <w:proofErr w:type="spellStart"/>
      <w:r w:rsidRPr="00831A62">
        <w:rPr>
          <w:szCs w:val="22"/>
        </w:rPr>
        <w:t>Hendron</w:t>
      </w:r>
      <w:proofErr w:type="spellEnd"/>
      <w:r w:rsidRPr="00831A62">
        <w:rPr>
          <w:szCs w:val="22"/>
        </w:rPr>
        <w:t>, R.</w:t>
      </w:r>
      <w:r>
        <w:rPr>
          <w:szCs w:val="22"/>
        </w:rPr>
        <w:t xml:space="preserve">, </w:t>
      </w:r>
      <w:r w:rsidRPr="00831A62">
        <w:rPr>
          <w:szCs w:val="22"/>
        </w:rPr>
        <w:t>Building America Research Benchmark Definition. Technical Report, NREL/TP-550-</w:t>
      </w:r>
    </w:p>
    <w:p w:rsidR="00BF0F61" w:rsidRPr="005B3F14" w:rsidRDefault="00BF0F61" w:rsidP="00BF0F61">
      <w:pPr>
        <w:tabs>
          <w:tab w:val="left" w:pos="450"/>
        </w:tabs>
        <w:jc w:val="left"/>
        <w:rPr>
          <w:rFonts w:eastAsiaTheme="minorHAnsi"/>
          <w:sz w:val="24"/>
          <w:szCs w:val="24"/>
        </w:rPr>
      </w:pPr>
      <w:r>
        <w:rPr>
          <w:szCs w:val="22"/>
        </w:rPr>
        <w:tab/>
      </w:r>
      <w:proofErr w:type="gramStart"/>
      <w:r w:rsidRPr="00831A62">
        <w:rPr>
          <w:szCs w:val="22"/>
        </w:rPr>
        <w:t>44816,</w:t>
      </w:r>
      <w:proofErr w:type="gramEnd"/>
      <w:r w:rsidRPr="00831A62">
        <w:rPr>
          <w:szCs w:val="22"/>
        </w:rPr>
        <w:t xml:space="preserve"> Updated December 19, 2008, National Renewable Energy Laboratory, Golden, CO.</w:t>
      </w:r>
      <w:r>
        <w:rPr>
          <w:szCs w:val="22"/>
        </w:rPr>
        <w:t>, (2008).</w:t>
      </w:r>
    </w:p>
    <w:p w:rsidR="00BF0F61" w:rsidRDefault="00BF0F61" w:rsidP="00BF0F61">
      <w:pPr>
        <w:tabs>
          <w:tab w:val="left" w:pos="450"/>
        </w:tabs>
        <w:jc w:val="left"/>
      </w:pPr>
      <w:r>
        <w:t>[1</w:t>
      </w:r>
      <w:r w:rsidR="009A227E">
        <w:t>7</w:t>
      </w:r>
      <w:r>
        <w:t xml:space="preserve">] </w:t>
      </w:r>
      <w:r w:rsidRPr="005B3F14">
        <w:t xml:space="preserve">ASHRAE, ANSI/ASHRAE Standard 160-2009, Criteria for Moisture-Control Design Analysis in </w:t>
      </w:r>
    </w:p>
    <w:p w:rsidR="00BF0F61" w:rsidRPr="00F41843" w:rsidRDefault="00BF0F61" w:rsidP="00BF0F61">
      <w:pPr>
        <w:tabs>
          <w:tab w:val="left" w:pos="450"/>
        </w:tabs>
        <w:ind w:left="450"/>
        <w:jc w:val="left"/>
        <w:rPr>
          <w:rFonts w:eastAsiaTheme="minorHAnsi"/>
          <w:szCs w:val="22"/>
        </w:rPr>
      </w:pPr>
      <w:proofErr w:type="gramStart"/>
      <w:r w:rsidRPr="005B3F14">
        <w:t>Buildings, American Society of Heating.</w:t>
      </w:r>
      <w:proofErr w:type="gramEnd"/>
      <w:r w:rsidRPr="005B3F14">
        <w:t xml:space="preserve"> </w:t>
      </w:r>
      <w:proofErr w:type="gramStart"/>
      <w:r w:rsidRPr="005B3F14">
        <w:t xml:space="preserve">Refrigerating, and Air-Conditioning Engineers, Atlanta, GA. </w:t>
      </w:r>
      <w:hyperlink r:id="rId29" w:history="1">
        <w:r w:rsidRPr="00C5129C">
          <w:rPr>
            <w:rStyle w:val="Hyperlink"/>
            <w:rFonts w:eastAsiaTheme="majorEastAsia"/>
            <w:szCs w:val="22"/>
          </w:rPr>
          <w:t>http://www.ashrae.org</w:t>
        </w:r>
      </w:hyperlink>
      <w:r w:rsidRPr="00F41843">
        <w:rPr>
          <w:rFonts w:eastAsiaTheme="minorHAnsi"/>
          <w:szCs w:val="22"/>
        </w:rPr>
        <w:t>, (2009).</w:t>
      </w:r>
      <w:proofErr w:type="gramEnd"/>
    </w:p>
    <w:p w:rsidR="00BF0F61" w:rsidRDefault="00BF0F61" w:rsidP="00BF0F61">
      <w:pPr>
        <w:tabs>
          <w:tab w:val="left" w:pos="450"/>
        </w:tabs>
        <w:jc w:val="left"/>
        <w:rPr>
          <w:bCs/>
          <w:szCs w:val="22"/>
        </w:rPr>
      </w:pPr>
      <w:r>
        <w:rPr>
          <w:szCs w:val="22"/>
        </w:rPr>
        <w:t>[</w:t>
      </w:r>
      <w:r w:rsidR="001050B8">
        <w:rPr>
          <w:szCs w:val="22"/>
        </w:rPr>
        <w:t>1</w:t>
      </w:r>
      <w:r w:rsidR="009A227E">
        <w:rPr>
          <w:szCs w:val="22"/>
        </w:rPr>
        <w:t>8</w:t>
      </w:r>
      <w:r>
        <w:rPr>
          <w:szCs w:val="22"/>
        </w:rPr>
        <w:t xml:space="preserve">] </w:t>
      </w:r>
      <w:r w:rsidRPr="005B3F14">
        <w:rPr>
          <w:szCs w:val="22"/>
        </w:rPr>
        <w:t xml:space="preserve">ASHRAE, </w:t>
      </w:r>
      <w:r w:rsidRPr="005B3F14">
        <w:t>ANSI/</w:t>
      </w:r>
      <w:r>
        <w:rPr>
          <w:szCs w:val="22"/>
        </w:rPr>
        <w:t>ASHRAE Standard 62.2</w:t>
      </w:r>
      <w:r w:rsidRPr="005B3F14">
        <w:rPr>
          <w:szCs w:val="22"/>
        </w:rPr>
        <w:t xml:space="preserve">, </w:t>
      </w:r>
      <w:r w:rsidRPr="005B3F14">
        <w:rPr>
          <w:bCs/>
          <w:szCs w:val="22"/>
        </w:rPr>
        <w:t xml:space="preserve">Ventilation and Acceptable Indoor Air Quality in </w:t>
      </w:r>
    </w:p>
    <w:p w:rsidR="00BF0F61" w:rsidRDefault="00BF0F61" w:rsidP="00BF0F61">
      <w:pPr>
        <w:tabs>
          <w:tab w:val="left" w:pos="450"/>
        </w:tabs>
        <w:ind w:left="450"/>
        <w:jc w:val="left"/>
        <w:rPr>
          <w:szCs w:val="22"/>
        </w:rPr>
      </w:pPr>
      <w:proofErr w:type="gramStart"/>
      <w:r w:rsidRPr="005B3F14">
        <w:rPr>
          <w:bCs/>
          <w:szCs w:val="22"/>
        </w:rPr>
        <w:t>Low-Rise Residential Buildings</w:t>
      </w:r>
      <w:r w:rsidRPr="005B3F14">
        <w:rPr>
          <w:szCs w:val="22"/>
        </w:rPr>
        <w:t>.</w:t>
      </w:r>
      <w:proofErr w:type="gramEnd"/>
      <w:r w:rsidRPr="005B3F14">
        <w:rPr>
          <w:szCs w:val="22"/>
        </w:rPr>
        <w:t xml:space="preserve"> </w:t>
      </w:r>
      <w:proofErr w:type="gramStart"/>
      <w:r w:rsidRPr="005B3F14">
        <w:rPr>
          <w:szCs w:val="22"/>
        </w:rPr>
        <w:t>American Society of Heating, Refrigerating, and Air-Conditioning Engineers, Atlanta, GA.</w:t>
      </w:r>
      <w:proofErr w:type="gramEnd"/>
      <w:r w:rsidRPr="005B3F14">
        <w:rPr>
          <w:szCs w:val="22"/>
        </w:rPr>
        <w:t xml:space="preserve">  </w:t>
      </w:r>
      <w:hyperlink r:id="rId30" w:history="1">
        <w:r w:rsidRPr="00022B87">
          <w:rPr>
            <w:rStyle w:val="Hyperlink"/>
            <w:rFonts w:eastAsiaTheme="majorEastAsia"/>
            <w:szCs w:val="22"/>
          </w:rPr>
          <w:t>http://www.ashrae.org</w:t>
        </w:r>
      </w:hyperlink>
      <w:r w:rsidRPr="00B10394">
        <w:rPr>
          <w:szCs w:val="22"/>
        </w:rPr>
        <w:t>,</w:t>
      </w:r>
      <w:r>
        <w:rPr>
          <w:szCs w:val="22"/>
        </w:rPr>
        <w:t xml:space="preserve"> (2013)</w:t>
      </w:r>
    </w:p>
    <w:p w:rsidR="00BF0F61" w:rsidRDefault="00BF0F61" w:rsidP="00BF0F61">
      <w:pPr>
        <w:tabs>
          <w:tab w:val="left" w:pos="450"/>
        </w:tabs>
        <w:jc w:val="left"/>
      </w:pPr>
      <w:r>
        <w:t>[1</w:t>
      </w:r>
      <w:r w:rsidR="009A227E">
        <w:t>9</w:t>
      </w:r>
      <w:r>
        <w:t xml:space="preserve">] </w:t>
      </w:r>
      <w:r w:rsidRPr="005B3F14">
        <w:t>ACCA, ANSI/ACCA 2 Manual J – 2011, Residential Load Calculation 8</w:t>
      </w:r>
      <w:r w:rsidRPr="005B3F14">
        <w:rPr>
          <w:vertAlign w:val="superscript"/>
        </w:rPr>
        <w:t>th</w:t>
      </w:r>
      <w:r w:rsidRPr="005B3F14">
        <w:t xml:space="preserve"> Edition. Air Conditioning </w:t>
      </w:r>
    </w:p>
    <w:p w:rsidR="00BF0F61" w:rsidRPr="005B3F14" w:rsidRDefault="00BF0F61" w:rsidP="00BF0F61">
      <w:pPr>
        <w:tabs>
          <w:tab w:val="left" w:pos="450"/>
        </w:tabs>
        <w:jc w:val="left"/>
        <w:rPr>
          <w:rStyle w:val="Hyperlink"/>
          <w:rFonts w:eastAsiaTheme="majorEastAsia"/>
        </w:rPr>
      </w:pPr>
      <w:r>
        <w:tab/>
      </w:r>
      <w:r w:rsidRPr="005B3F14">
        <w:t xml:space="preserve">Contractors of America, Arlington, VA., </w:t>
      </w:r>
      <w:hyperlink r:id="rId31" w:history="1">
        <w:r w:rsidRPr="005B3F14">
          <w:rPr>
            <w:rStyle w:val="Hyperlink"/>
            <w:rFonts w:eastAsiaTheme="majorEastAsia"/>
          </w:rPr>
          <w:t>http://www.acca.org/</w:t>
        </w:r>
      </w:hyperlink>
    </w:p>
    <w:p w:rsidR="004D2317" w:rsidRDefault="004D2317" w:rsidP="00BF0F61">
      <w:pPr>
        <w:tabs>
          <w:tab w:val="left" w:pos="450"/>
        </w:tabs>
        <w:jc w:val="left"/>
        <w:rPr>
          <w:szCs w:val="22"/>
        </w:rPr>
      </w:pPr>
    </w:p>
    <w:p w:rsidR="004D2317" w:rsidRDefault="004D2317" w:rsidP="00BF0F61">
      <w:pPr>
        <w:tabs>
          <w:tab w:val="left" w:pos="450"/>
        </w:tabs>
        <w:jc w:val="left"/>
        <w:rPr>
          <w:szCs w:val="22"/>
        </w:rPr>
      </w:pPr>
    </w:p>
    <w:p w:rsidR="00BF0F61" w:rsidRDefault="00BF0F61" w:rsidP="00BF0F61">
      <w:pPr>
        <w:tabs>
          <w:tab w:val="left" w:pos="450"/>
        </w:tabs>
        <w:jc w:val="left"/>
        <w:rPr>
          <w:szCs w:val="22"/>
        </w:rPr>
      </w:pPr>
      <w:bookmarkStart w:id="3" w:name="_GoBack"/>
      <w:bookmarkEnd w:id="3"/>
      <w:r>
        <w:rPr>
          <w:szCs w:val="22"/>
        </w:rPr>
        <w:lastRenderedPageBreak/>
        <w:t>[</w:t>
      </w:r>
      <w:r w:rsidR="009A227E">
        <w:rPr>
          <w:szCs w:val="22"/>
        </w:rPr>
        <w:t>20</w:t>
      </w:r>
      <w:r>
        <w:rPr>
          <w:szCs w:val="22"/>
        </w:rPr>
        <w:t xml:space="preserve">] </w:t>
      </w:r>
      <w:r w:rsidRPr="00C00F9D">
        <w:rPr>
          <w:szCs w:val="22"/>
        </w:rPr>
        <w:t xml:space="preserve">Parker, D.S., Sherwin, J.R., </w:t>
      </w:r>
      <w:proofErr w:type="spellStart"/>
      <w:r w:rsidRPr="00C00F9D">
        <w:rPr>
          <w:szCs w:val="22"/>
        </w:rPr>
        <w:t>Raustad</w:t>
      </w:r>
      <w:proofErr w:type="spellEnd"/>
      <w:r w:rsidRPr="00C00F9D">
        <w:rPr>
          <w:szCs w:val="22"/>
        </w:rPr>
        <w:t xml:space="preserve">, R.A., </w:t>
      </w:r>
      <w:proofErr w:type="spellStart"/>
      <w:r w:rsidRPr="00C00F9D">
        <w:rPr>
          <w:szCs w:val="22"/>
        </w:rPr>
        <w:t>Shirey</w:t>
      </w:r>
      <w:proofErr w:type="spellEnd"/>
      <w:r w:rsidRPr="00C00F9D">
        <w:rPr>
          <w:szCs w:val="22"/>
        </w:rPr>
        <w:t>, D.B. III.</w:t>
      </w:r>
      <w:r>
        <w:rPr>
          <w:szCs w:val="22"/>
        </w:rPr>
        <w:t xml:space="preserve"> </w:t>
      </w:r>
      <w:r w:rsidRPr="00A2566D">
        <w:rPr>
          <w:szCs w:val="22"/>
        </w:rPr>
        <w:t xml:space="preserve">Impact of Evaporator Coil Airflow in </w:t>
      </w:r>
    </w:p>
    <w:p w:rsidR="00BF0F61" w:rsidRDefault="00BF0F61" w:rsidP="00BF0F61">
      <w:pPr>
        <w:tabs>
          <w:tab w:val="left" w:pos="450"/>
        </w:tabs>
        <w:ind w:left="450"/>
        <w:jc w:val="left"/>
        <w:rPr>
          <w:szCs w:val="22"/>
        </w:rPr>
      </w:pPr>
      <w:proofErr w:type="gramStart"/>
      <w:r w:rsidRPr="00A2566D">
        <w:rPr>
          <w:szCs w:val="22"/>
        </w:rPr>
        <w:t>Residential Air-Conditioning Systems.</w:t>
      </w:r>
      <w:proofErr w:type="gramEnd"/>
      <w:r w:rsidRPr="00A2566D">
        <w:rPr>
          <w:szCs w:val="22"/>
        </w:rPr>
        <w:t xml:space="preserve"> ASHRAE Transactions, 103(2), 395-405</w:t>
      </w:r>
      <w:r>
        <w:rPr>
          <w:szCs w:val="22"/>
        </w:rPr>
        <w:t xml:space="preserve">. </w:t>
      </w:r>
      <w:hyperlink r:id="rId32" w:history="1">
        <w:r w:rsidRPr="00C00F9D">
          <w:rPr>
            <w:rStyle w:val="Hyperlink"/>
            <w:rFonts w:eastAsiaTheme="majorEastAsia"/>
            <w:szCs w:val="22"/>
          </w:rPr>
          <w:t>http://www.ashrae.org</w:t>
        </w:r>
      </w:hyperlink>
      <w:r w:rsidRPr="00B10394">
        <w:rPr>
          <w:szCs w:val="22"/>
        </w:rPr>
        <w:t xml:space="preserve">, </w:t>
      </w:r>
      <w:r>
        <w:rPr>
          <w:szCs w:val="22"/>
        </w:rPr>
        <w:t>(1997).</w:t>
      </w:r>
    </w:p>
    <w:p w:rsidR="00CA59E3" w:rsidRDefault="00CA59E3" w:rsidP="00CA59E3">
      <w:pPr>
        <w:pStyle w:val="a"/>
        <w:tabs>
          <w:tab w:val="left" w:pos="450"/>
        </w:tabs>
        <w:outlineLvl w:val="0"/>
        <w:rPr>
          <w:rFonts w:ascii="Times New Roman" w:cs="Times New Roman"/>
          <w:color w:val="auto"/>
          <w:sz w:val="22"/>
          <w:szCs w:val="22"/>
        </w:rPr>
      </w:pPr>
      <w:r w:rsidRPr="002A3BDB">
        <w:rPr>
          <w:rFonts w:ascii="Times New Roman" w:cs="Times New Roman"/>
          <w:sz w:val="22"/>
          <w:szCs w:val="22"/>
        </w:rPr>
        <w:t>[</w:t>
      </w:r>
      <w:r w:rsidR="001050B8">
        <w:rPr>
          <w:rFonts w:ascii="Times New Roman" w:cs="Times New Roman"/>
          <w:sz w:val="22"/>
          <w:szCs w:val="22"/>
        </w:rPr>
        <w:t>2</w:t>
      </w:r>
      <w:r w:rsidR="009A227E">
        <w:rPr>
          <w:rFonts w:ascii="Times New Roman" w:cs="Times New Roman"/>
          <w:sz w:val="22"/>
          <w:szCs w:val="22"/>
        </w:rPr>
        <w:t>1</w:t>
      </w:r>
      <w:r w:rsidRPr="002A3BDB">
        <w:rPr>
          <w:rFonts w:ascii="Times New Roman" w:cs="Times New Roman"/>
          <w:sz w:val="22"/>
          <w:szCs w:val="22"/>
        </w:rPr>
        <w:t>]</w:t>
      </w:r>
      <w:r>
        <w:tab/>
      </w:r>
      <w:r w:rsidRPr="005B3F14">
        <w:rPr>
          <w:rFonts w:ascii="Times New Roman" w:cs="Times New Roman"/>
          <w:color w:val="auto"/>
          <w:sz w:val="22"/>
          <w:szCs w:val="22"/>
        </w:rPr>
        <w:t>Kim, M., Payne, W. V., Do</w:t>
      </w:r>
      <w:r>
        <w:rPr>
          <w:rFonts w:ascii="Times New Roman" w:cs="Times New Roman"/>
          <w:color w:val="auto"/>
          <w:sz w:val="22"/>
          <w:szCs w:val="22"/>
        </w:rPr>
        <w:t>manski, P. A., Yoon, S. H., Hermes, C.J.L.,</w:t>
      </w:r>
      <w:r w:rsidRPr="005B3F14">
        <w:rPr>
          <w:rFonts w:ascii="Times New Roman" w:cs="Times New Roman"/>
          <w:color w:val="auto"/>
          <w:sz w:val="22"/>
          <w:szCs w:val="22"/>
        </w:rPr>
        <w:t xml:space="preserve"> Performance of a Residential</w:t>
      </w:r>
    </w:p>
    <w:p w:rsidR="00CA59E3" w:rsidRDefault="00CA59E3" w:rsidP="00CA59E3">
      <w:pPr>
        <w:pStyle w:val="a"/>
        <w:tabs>
          <w:tab w:val="left" w:pos="450"/>
        </w:tabs>
        <w:outlineLvl w:val="0"/>
        <w:rPr>
          <w:rFonts w:ascii="Times New Roman" w:cs="Times New Roman"/>
          <w:color w:val="auto"/>
          <w:sz w:val="22"/>
          <w:szCs w:val="22"/>
        </w:rPr>
      </w:pPr>
      <w:r>
        <w:rPr>
          <w:rFonts w:ascii="Times New Roman" w:cs="Times New Roman"/>
          <w:color w:val="auto"/>
          <w:sz w:val="22"/>
          <w:szCs w:val="22"/>
        </w:rPr>
        <w:tab/>
      </w:r>
      <w:r w:rsidRPr="005B3F14">
        <w:rPr>
          <w:rFonts w:ascii="Times New Roman" w:cs="Times New Roman"/>
          <w:color w:val="auto"/>
          <w:sz w:val="22"/>
          <w:szCs w:val="22"/>
        </w:rPr>
        <w:t xml:space="preserve">Heat Pump Operating in the Cooling Mode with Single Faults Imposed. Applied Thermal </w:t>
      </w:r>
    </w:p>
    <w:p w:rsidR="00492C64" w:rsidRPr="00492C64" w:rsidRDefault="00CA59E3" w:rsidP="00CA59E3">
      <w:pPr>
        <w:pStyle w:val="a"/>
        <w:tabs>
          <w:tab w:val="left" w:pos="450"/>
        </w:tabs>
        <w:outlineLvl w:val="0"/>
        <w:rPr>
          <w:rFonts w:ascii="Times New Roman" w:cs="Times New Roman"/>
          <w:color w:val="auto"/>
          <w:sz w:val="22"/>
          <w:szCs w:val="22"/>
        </w:rPr>
      </w:pPr>
      <w:r>
        <w:rPr>
          <w:rFonts w:ascii="Times New Roman" w:cs="Times New Roman"/>
          <w:color w:val="auto"/>
          <w:sz w:val="22"/>
          <w:szCs w:val="22"/>
        </w:rPr>
        <w:tab/>
      </w:r>
      <w:r w:rsidRPr="00492C64">
        <w:rPr>
          <w:rFonts w:ascii="Times New Roman" w:cs="Times New Roman"/>
          <w:color w:val="auto"/>
          <w:sz w:val="22"/>
          <w:szCs w:val="22"/>
        </w:rPr>
        <w:t>Engineering 29(4), 770-778, (2009)</w:t>
      </w:r>
    </w:p>
    <w:p w:rsidR="00CA59E3" w:rsidRPr="00492C64" w:rsidRDefault="00492C64" w:rsidP="00CA59E3">
      <w:pPr>
        <w:pStyle w:val="a"/>
        <w:tabs>
          <w:tab w:val="left" w:pos="450"/>
        </w:tabs>
        <w:outlineLvl w:val="0"/>
        <w:rPr>
          <w:rFonts w:ascii="Times New Roman" w:cs="Times New Roman"/>
          <w:color w:val="auto"/>
          <w:sz w:val="22"/>
          <w:szCs w:val="22"/>
        </w:rPr>
      </w:pPr>
      <w:r w:rsidRPr="00492C64">
        <w:rPr>
          <w:rFonts w:ascii="Times New Roman" w:eastAsia="Batang" w:cs="Times New Roman"/>
          <w:color w:val="0000FF"/>
          <w:sz w:val="22"/>
          <w:szCs w:val="22"/>
        </w:rPr>
        <w:tab/>
        <w:t>http://dx.doi.org/10.1016/j.applthermaleng.2008.04.009</w:t>
      </w:r>
      <w:r w:rsidRPr="00492C64">
        <w:rPr>
          <w:rFonts w:ascii="Times New Roman" w:eastAsia="Batang" w:cs="Times New Roman"/>
          <w:sz w:val="22"/>
          <w:szCs w:val="22"/>
        </w:rPr>
        <w:t>, (2009).</w:t>
      </w:r>
      <w:r w:rsidR="00CA59E3" w:rsidRPr="00492C64">
        <w:rPr>
          <w:rFonts w:ascii="Times New Roman" w:cs="Times New Roman"/>
          <w:color w:val="auto"/>
          <w:sz w:val="22"/>
          <w:szCs w:val="22"/>
        </w:rPr>
        <w:t xml:space="preserve"> </w:t>
      </w:r>
    </w:p>
    <w:p w:rsidR="00492C64" w:rsidRPr="00F41843" w:rsidRDefault="00492C64" w:rsidP="00492C64">
      <w:pPr>
        <w:pStyle w:val="Char0"/>
        <w:tabs>
          <w:tab w:val="left" w:pos="450"/>
        </w:tabs>
        <w:rPr>
          <w:rFonts w:ascii="Times New Roman" w:cs="Times New Roman"/>
          <w:color w:val="auto"/>
          <w:sz w:val="22"/>
          <w:szCs w:val="22"/>
        </w:rPr>
      </w:pPr>
      <w:r>
        <w:rPr>
          <w:rFonts w:ascii="Times New Roman" w:cs="Times New Roman"/>
          <w:color w:val="auto"/>
          <w:sz w:val="22"/>
          <w:szCs w:val="22"/>
        </w:rPr>
        <w:t>[2</w:t>
      </w:r>
      <w:r w:rsidR="009A227E">
        <w:rPr>
          <w:rFonts w:ascii="Times New Roman" w:cs="Times New Roman"/>
          <w:color w:val="auto"/>
          <w:sz w:val="22"/>
          <w:szCs w:val="22"/>
        </w:rPr>
        <w:t>2</w:t>
      </w:r>
      <w:r>
        <w:rPr>
          <w:rFonts w:ascii="Times New Roman" w:cs="Times New Roman"/>
          <w:color w:val="auto"/>
          <w:sz w:val="22"/>
          <w:szCs w:val="22"/>
        </w:rPr>
        <w:t xml:space="preserve">] </w:t>
      </w:r>
      <w:r w:rsidRPr="00F41843">
        <w:rPr>
          <w:rFonts w:ascii="Times New Roman" w:cs="Times New Roman"/>
          <w:color w:val="auto"/>
          <w:sz w:val="22"/>
          <w:szCs w:val="22"/>
        </w:rPr>
        <w:t>Cho, J.M., Payne, W.</w:t>
      </w:r>
      <w:r>
        <w:rPr>
          <w:rFonts w:ascii="Times New Roman" w:cs="Times New Roman"/>
          <w:color w:val="auto"/>
          <w:sz w:val="22"/>
          <w:szCs w:val="22"/>
        </w:rPr>
        <w:t xml:space="preserve">V. Payne, Domanski, P.A., </w:t>
      </w:r>
      <w:r w:rsidRPr="00F41843">
        <w:rPr>
          <w:rFonts w:ascii="Times New Roman" w:cs="Times New Roman"/>
          <w:color w:val="auto"/>
          <w:sz w:val="22"/>
          <w:szCs w:val="22"/>
        </w:rPr>
        <w:t xml:space="preserve">Normalized Performance Parameters for a </w:t>
      </w:r>
    </w:p>
    <w:p w:rsidR="00492C64" w:rsidRPr="00F41843" w:rsidRDefault="00492C64" w:rsidP="00492C64">
      <w:pPr>
        <w:pStyle w:val="Char0"/>
        <w:tabs>
          <w:tab w:val="left" w:pos="450"/>
        </w:tabs>
        <w:ind w:left="450"/>
        <w:rPr>
          <w:rFonts w:ascii="Times New Roman" w:eastAsia="Arial Unicode MS" w:cs="Times New Roman"/>
          <w:color w:val="2E2E2E"/>
          <w:sz w:val="22"/>
          <w:szCs w:val="22"/>
          <w:shd w:val="clear" w:color="auto" w:fill="FFFFFF"/>
        </w:rPr>
      </w:pPr>
      <w:proofErr w:type="gramStart"/>
      <w:r w:rsidRPr="00F41843">
        <w:rPr>
          <w:rFonts w:ascii="Times New Roman" w:cs="Times New Roman"/>
          <w:color w:val="auto"/>
          <w:sz w:val="22"/>
          <w:szCs w:val="22"/>
        </w:rPr>
        <w:t>Residential Heat Pump in the Cooling Mode with Single Faults Imposed, Applied Thermal Engineering, 67(1-2), 1-15</w:t>
      </w:r>
      <w:r w:rsidRPr="00F41843">
        <w:rPr>
          <w:rFonts w:ascii="Times New Roman" w:cs="Times New Roman"/>
          <w:color w:val="00B050"/>
          <w:sz w:val="22"/>
          <w:szCs w:val="22"/>
        </w:rPr>
        <w:t xml:space="preserve">, </w:t>
      </w:r>
      <w:hyperlink r:id="rId33" w:history="1">
        <w:r w:rsidRPr="00F41843">
          <w:rPr>
            <w:rStyle w:val="Hyperlink"/>
            <w:rFonts w:ascii="Times New Roman" w:eastAsia="Arial Unicode MS" w:cs="Times New Roman"/>
            <w:sz w:val="22"/>
            <w:szCs w:val="22"/>
            <w:shd w:val="clear" w:color="auto" w:fill="FFFFFF"/>
          </w:rPr>
          <w:t>http://dx.doi.org/10.1016/j.applthermaleng.2014.03.010</w:t>
        </w:r>
      </w:hyperlink>
      <w:r>
        <w:rPr>
          <w:rFonts w:ascii="Times New Roman" w:eastAsia="Arial Unicode MS" w:cs="Times New Roman"/>
          <w:color w:val="2E2E2E"/>
          <w:sz w:val="22"/>
          <w:szCs w:val="22"/>
          <w:shd w:val="clear" w:color="auto" w:fill="FFFFFF"/>
        </w:rPr>
        <w:t>, (2014).</w:t>
      </w:r>
      <w:proofErr w:type="gramEnd"/>
    </w:p>
    <w:p w:rsidR="00492C64" w:rsidRDefault="00492C64" w:rsidP="00492C64">
      <w:pPr>
        <w:jc w:val="left"/>
      </w:pPr>
      <w:r w:rsidRPr="00F41843">
        <w:rPr>
          <w:lang w:val="nn-NO"/>
        </w:rPr>
        <w:t>[2</w:t>
      </w:r>
      <w:r w:rsidR="009A227E">
        <w:rPr>
          <w:lang w:val="nn-NO"/>
        </w:rPr>
        <w:t>3</w:t>
      </w:r>
      <w:r w:rsidRPr="00F41843">
        <w:rPr>
          <w:lang w:val="nn-NO"/>
        </w:rPr>
        <w:t xml:space="preserve">] </w:t>
      </w:r>
      <w:r w:rsidRPr="00C13D99">
        <w:rPr>
          <w:lang w:val="nn-NO"/>
        </w:rPr>
        <w:t xml:space="preserve">Shirey, D.B., Henderson, H.I.,  Raustad, R., 2006. </w:t>
      </w:r>
      <w:r w:rsidRPr="005B3F14">
        <w:t xml:space="preserve">Understanding the Dehumidification Performance </w:t>
      </w:r>
    </w:p>
    <w:p w:rsidR="00492C64" w:rsidRPr="00F41843" w:rsidRDefault="00492C64" w:rsidP="00492C64">
      <w:pPr>
        <w:ind w:left="450"/>
        <w:jc w:val="left"/>
        <w:rPr>
          <w:color w:val="0000FF"/>
          <w:u w:val="single"/>
          <w:lang w:val="es-GT"/>
        </w:rPr>
      </w:pPr>
      <w:proofErr w:type="gramStart"/>
      <w:r w:rsidRPr="005B3F14">
        <w:t>of</w:t>
      </w:r>
      <w:proofErr w:type="gramEnd"/>
      <w:r w:rsidRPr="005B3F14">
        <w:t xml:space="preserve"> Air-Conditioning Equipment at Part-Load Conditions. </w:t>
      </w:r>
      <w:proofErr w:type="gramStart"/>
      <w:r w:rsidRPr="005B3F14">
        <w:t>Final Report FSEC-CR-1537-0.</w:t>
      </w:r>
      <w:proofErr w:type="gramEnd"/>
      <w:r w:rsidRPr="005B3F14">
        <w:t xml:space="preserve"> </w:t>
      </w:r>
      <w:proofErr w:type="gramStart"/>
      <w:r w:rsidRPr="005B3F14">
        <w:t>DOE/NETL Project No.</w:t>
      </w:r>
      <w:proofErr w:type="gramEnd"/>
      <w:r w:rsidRPr="005B3F14">
        <w:t xml:space="preserve"> </w:t>
      </w:r>
      <w:proofErr w:type="gramStart"/>
      <w:r w:rsidRPr="005B3F14">
        <w:t>DE-FC26-01NT41253.</w:t>
      </w:r>
      <w:proofErr w:type="gramEnd"/>
      <w:r w:rsidRPr="005B3F14">
        <w:t xml:space="preserve"> Florida Solar Energy Center, Cocoa, FL. </w:t>
      </w:r>
      <w:hyperlink r:id="rId34" w:history="1">
        <w:r w:rsidRPr="00DE16A1">
          <w:rPr>
            <w:rStyle w:val="Hyperlink"/>
            <w:rFonts w:eastAsiaTheme="majorEastAsia"/>
            <w:lang w:val="es-GT"/>
          </w:rPr>
          <w:t>http://www.fsec.ucf.edu/en</w:t>
        </w:r>
      </w:hyperlink>
    </w:p>
    <w:p w:rsidR="00492C64" w:rsidRDefault="00492C64" w:rsidP="00492C64">
      <w:pPr>
        <w:jc w:val="left"/>
        <w:rPr>
          <w:b/>
          <w:szCs w:val="22"/>
        </w:rPr>
      </w:pPr>
    </w:p>
    <w:p w:rsidR="00492C64" w:rsidRPr="00F41843" w:rsidRDefault="00492C64" w:rsidP="00492C64">
      <w:pPr>
        <w:jc w:val="left"/>
        <w:rPr>
          <w:b/>
          <w:szCs w:val="22"/>
        </w:rPr>
      </w:pPr>
      <w:r w:rsidRPr="00E01DDD">
        <w:rPr>
          <w:b/>
          <w:szCs w:val="22"/>
        </w:rPr>
        <w:t>Acknowledgement</w:t>
      </w:r>
    </w:p>
    <w:p w:rsidR="00492C64" w:rsidRPr="00492C64" w:rsidRDefault="00492C64" w:rsidP="00492C64">
      <w:pPr>
        <w:pStyle w:val="ListParagraph"/>
        <w:ind w:left="0"/>
        <w:rPr>
          <w:rStyle w:val="Hyperlink"/>
          <w:rFonts w:eastAsiaTheme="majorEastAsia"/>
          <w:color w:val="auto"/>
          <w:szCs w:val="22"/>
          <w:u w:val="none"/>
        </w:rPr>
      </w:pPr>
      <w:r w:rsidRPr="00492C64">
        <w:rPr>
          <w:rStyle w:val="Hyperlink"/>
          <w:rFonts w:eastAsiaTheme="majorEastAsia"/>
          <w:color w:val="auto"/>
          <w:szCs w:val="22"/>
          <w:u w:val="none"/>
        </w:rPr>
        <w:t xml:space="preserve">This study was performed within Annex 36, Quality Installation/Quality Maintenance Sensitivity Study Analysis, of the International Energy Agency Heat Pump Program. The authors acknowledge Van Baxter of the Oak Ridge National Laboratory, Oak Ridge, TN, and Glenn Hourahan of the Air Conditioning Contractors of America, Arlington, VA, for organizing and managing the Annex.  The authors also thank Glenn Hourahan for suggesting the scope of this study and for sharing his practical insights during different phases of the </w:t>
      </w:r>
      <w:proofErr w:type="gramStart"/>
      <w:r w:rsidRPr="00492C64">
        <w:rPr>
          <w:rStyle w:val="Hyperlink"/>
          <w:rFonts w:eastAsiaTheme="majorEastAsia"/>
          <w:color w:val="auto"/>
          <w:szCs w:val="22"/>
          <w:u w:val="none"/>
        </w:rPr>
        <w:t>project,</w:t>
      </w:r>
      <w:proofErr w:type="gramEnd"/>
      <w:r w:rsidRPr="00492C64">
        <w:rPr>
          <w:rStyle w:val="Hyperlink"/>
          <w:rFonts w:eastAsiaTheme="majorEastAsia"/>
          <w:color w:val="auto"/>
          <w:szCs w:val="22"/>
          <w:u w:val="none"/>
        </w:rPr>
        <w:t xml:space="preserve"> and Brian Dougherty of NIST for his expert review of the manuscript.</w:t>
      </w:r>
    </w:p>
    <w:p w:rsidR="00492C64" w:rsidRPr="00492C64" w:rsidRDefault="00492C64" w:rsidP="00492C64">
      <w:pPr>
        <w:jc w:val="left"/>
        <w:rPr>
          <w:rStyle w:val="Hyperlink"/>
          <w:rFonts w:eastAsiaTheme="majorEastAsia"/>
          <w:color w:val="auto"/>
          <w:szCs w:val="22"/>
          <w:u w:val="none"/>
        </w:rPr>
      </w:pPr>
    </w:p>
    <w:p w:rsidR="00492C64" w:rsidRDefault="00492C64" w:rsidP="00492C64">
      <w:pPr>
        <w:jc w:val="left"/>
        <w:rPr>
          <w:b/>
        </w:rPr>
      </w:pPr>
      <w:r w:rsidRPr="006A1F52">
        <w:rPr>
          <w:b/>
        </w:rPr>
        <w:t>Nomenclature</w:t>
      </w:r>
    </w:p>
    <w:p w:rsidR="00492C64" w:rsidRDefault="00492C64" w:rsidP="00492C64">
      <w:pPr>
        <w:pStyle w:val="a"/>
        <w:tabs>
          <w:tab w:val="left" w:pos="120"/>
          <w:tab w:val="left" w:pos="1080"/>
          <w:tab w:val="left" w:pos="1170"/>
          <w:tab w:val="left" w:pos="1620"/>
          <w:tab w:val="left" w:pos="2400"/>
          <w:tab w:val="left" w:pos="3200"/>
          <w:tab w:val="left" w:pos="4000"/>
          <w:tab w:val="left" w:pos="4680"/>
          <w:tab w:val="left" w:pos="5520"/>
          <w:tab w:val="left" w:pos="6400"/>
          <w:tab w:val="left" w:pos="7200"/>
          <w:tab w:val="left" w:pos="8000"/>
          <w:tab w:val="left" w:pos="8800"/>
        </w:tabs>
        <w:jc w:val="both"/>
        <w:rPr>
          <w:rFonts w:ascii="Times New Roman" w:cs="Times New Roman"/>
          <w:sz w:val="22"/>
          <w:szCs w:val="22"/>
        </w:rPr>
      </w:pPr>
      <w:r w:rsidRPr="00C532B7">
        <w:rPr>
          <w:rFonts w:ascii="Times New Roman" w:cs="Times New Roman"/>
          <w:sz w:val="22"/>
          <w:szCs w:val="22"/>
        </w:rPr>
        <w:t>ACH</w:t>
      </w:r>
      <w:r>
        <w:rPr>
          <w:rFonts w:ascii="Times New Roman" w:cs="Times New Roman"/>
          <w:sz w:val="22"/>
          <w:szCs w:val="22"/>
        </w:rPr>
        <w:t>50</w:t>
      </w:r>
      <w:r>
        <w:rPr>
          <w:rFonts w:ascii="Times New Roman" w:cs="Times New Roman"/>
          <w:sz w:val="22"/>
          <w:szCs w:val="22"/>
        </w:rPr>
        <w:tab/>
      </w:r>
      <w:r>
        <w:rPr>
          <w:rFonts w:ascii="Times New Roman" w:cs="Times New Roman"/>
          <w:sz w:val="22"/>
          <w:szCs w:val="22"/>
        </w:rPr>
        <w:tab/>
      </w:r>
      <w:r>
        <w:rPr>
          <w:rFonts w:ascii="Times New Roman" w:cs="Times New Roman"/>
          <w:sz w:val="22"/>
          <w:szCs w:val="22"/>
        </w:rPr>
        <w:tab/>
        <w:t>= air changes per hour at 50 pascal pressure differential</w:t>
      </w:r>
    </w:p>
    <w:p w:rsidR="00492C64" w:rsidRPr="0011351A" w:rsidRDefault="00492C64" w:rsidP="00492C64">
      <w:pPr>
        <w:pStyle w:val="a"/>
        <w:tabs>
          <w:tab w:val="left" w:pos="240"/>
          <w:tab w:val="left" w:pos="1080"/>
          <w:tab w:val="left" w:pos="1620"/>
          <w:tab w:val="left" w:pos="2400"/>
          <w:tab w:val="left" w:pos="3200"/>
          <w:tab w:val="left" w:pos="4000"/>
          <w:tab w:val="left" w:pos="4680"/>
          <w:tab w:val="left" w:pos="5520"/>
          <w:tab w:val="left" w:pos="6400"/>
          <w:tab w:val="left" w:pos="7200"/>
          <w:tab w:val="left" w:pos="8000"/>
          <w:tab w:val="left" w:pos="8800"/>
        </w:tabs>
        <w:jc w:val="both"/>
        <w:rPr>
          <w:rFonts w:ascii="Times New Roman" w:cs="Times New Roman"/>
          <w:sz w:val="22"/>
          <w:szCs w:val="22"/>
        </w:rPr>
      </w:pPr>
      <w:r>
        <w:rPr>
          <w:rFonts w:ascii="Times New Roman" w:cs="Times New Roman"/>
          <w:sz w:val="22"/>
          <w:szCs w:val="22"/>
        </w:rPr>
        <w:t>A</w:t>
      </w:r>
      <w:r w:rsidRPr="0011351A">
        <w:rPr>
          <w:rFonts w:ascii="Times New Roman" w:cs="Times New Roman"/>
          <w:sz w:val="22"/>
          <w:szCs w:val="22"/>
        </w:rPr>
        <w:t xml:space="preserve">F </w:t>
      </w:r>
      <w:r w:rsidRPr="0011351A">
        <w:rPr>
          <w:rFonts w:ascii="Times New Roman" w:cs="Times New Roman"/>
          <w:sz w:val="22"/>
          <w:szCs w:val="22"/>
        </w:rPr>
        <w:tab/>
      </w:r>
      <w:r>
        <w:rPr>
          <w:rFonts w:ascii="Times New Roman" w:cs="Times New Roman"/>
          <w:sz w:val="22"/>
          <w:szCs w:val="22"/>
        </w:rPr>
        <w:tab/>
      </w:r>
      <w:r w:rsidRPr="0011351A">
        <w:rPr>
          <w:rFonts w:ascii="Times New Roman" w:cs="Times New Roman"/>
          <w:sz w:val="22"/>
          <w:szCs w:val="22"/>
        </w:rPr>
        <w:t xml:space="preserve">= improper indoor </w:t>
      </w:r>
      <w:r>
        <w:rPr>
          <w:rFonts w:ascii="Times New Roman" w:cs="Times New Roman"/>
          <w:sz w:val="22"/>
          <w:szCs w:val="22"/>
        </w:rPr>
        <w:t xml:space="preserve">airflow rate </w:t>
      </w:r>
      <w:r w:rsidRPr="0011351A">
        <w:rPr>
          <w:rFonts w:ascii="Times New Roman" w:cs="Times New Roman"/>
          <w:sz w:val="22"/>
          <w:szCs w:val="22"/>
        </w:rPr>
        <w:t>fault</w:t>
      </w:r>
    </w:p>
    <w:p w:rsidR="00492C64" w:rsidRDefault="00492C64" w:rsidP="00492C64">
      <w:pPr>
        <w:pStyle w:val="a"/>
        <w:tabs>
          <w:tab w:val="left" w:pos="120"/>
          <w:tab w:val="left" w:pos="1080"/>
          <w:tab w:val="left" w:pos="1170"/>
          <w:tab w:val="left" w:pos="1620"/>
          <w:tab w:val="left" w:pos="2400"/>
          <w:tab w:val="left" w:pos="3200"/>
          <w:tab w:val="left" w:pos="4000"/>
          <w:tab w:val="left" w:pos="4680"/>
          <w:tab w:val="left" w:pos="5520"/>
          <w:tab w:val="left" w:pos="6400"/>
          <w:tab w:val="left" w:pos="7200"/>
          <w:tab w:val="left" w:pos="8000"/>
          <w:tab w:val="left" w:pos="8800"/>
        </w:tabs>
        <w:jc w:val="both"/>
        <w:rPr>
          <w:rFonts w:ascii="Times New Roman" w:cs="Times New Roman"/>
          <w:sz w:val="22"/>
          <w:szCs w:val="22"/>
        </w:rPr>
      </w:pPr>
      <w:r>
        <w:rPr>
          <w:rFonts w:ascii="Times New Roman" w:cs="Times New Roman"/>
          <w:sz w:val="22"/>
          <w:szCs w:val="22"/>
        </w:rPr>
        <w:t>AHU</w:t>
      </w:r>
      <w:r>
        <w:rPr>
          <w:rFonts w:ascii="Times New Roman" w:cs="Times New Roman"/>
          <w:sz w:val="22"/>
          <w:szCs w:val="22"/>
        </w:rPr>
        <w:tab/>
      </w:r>
      <w:r>
        <w:rPr>
          <w:rFonts w:ascii="Times New Roman" w:cs="Times New Roman"/>
          <w:sz w:val="22"/>
          <w:szCs w:val="22"/>
        </w:rPr>
        <w:tab/>
      </w:r>
      <w:r>
        <w:rPr>
          <w:rFonts w:ascii="Times New Roman" w:cs="Times New Roman"/>
          <w:sz w:val="22"/>
          <w:szCs w:val="22"/>
        </w:rPr>
        <w:tab/>
        <w:t>= air handling unit</w:t>
      </w:r>
    </w:p>
    <w:p w:rsidR="00492C64" w:rsidRPr="00DB60DB" w:rsidRDefault="00492C64" w:rsidP="00492C64">
      <w:pPr>
        <w:pStyle w:val="a"/>
        <w:tabs>
          <w:tab w:val="left" w:pos="240"/>
          <w:tab w:val="left" w:pos="1080"/>
          <w:tab w:val="left" w:pos="1440"/>
          <w:tab w:val="left" w:pos="1620"/>
          <w:tab w:val="left" w:pos="2400"/>
          <w:tab w:val="left" w:pos="3200"/>
          <w:tab w:val="left" w:pos="4000"/>
          <w:tab w:val="left" w:pos="4680"/>
          <w:tab w:val="left" w:pos="5520"/>
          <w:tab w:val="left" w:pos="6400"/>
          <w:tab w:val="left" w:pos="7200"/>
          <w:tab w:val="left" w:pos="8000"/>
          <w:tab w:val="left" w:pos="8800"/>
        </w:tabs>
        <w:jc w:val="both"/>
        <w:rPr>
          <w:rFonts w:ascii="Times New Roman" w:cs="Times New Roman"/>
          <w:i/>
          <w:sz w:val="22"/>
          <w:szCs w:val="22"/>
        </w:rPr>
      </w:pPr>
      <w:r w:rsidRPr="00DB60DB">
        <w:rPr>
          <w:rFonts w:ascii="Times New Roman" w:cs="Times New Roman"/>
          <w:color w:val="auto"/>
          <w:sz w:val="22"/>
          <w:szCs w:val="22"/>
        </w:rPr>
        <w:t>C</w:t>
      </w:r>
      <w:r w:rsidRPr="00DB60DB">
        <w:rPr>
          <w:rFonts w:ascii="Times New Roman" w:cs="Times New Roman"/>
          <w:color w:val="auto"/>
          <w:sz w:val="22"/>
          <w:szCs w:val="22"/>
          <w:vertAlign w:val="subscript"/>
        </w:rPr>
        <w:t>D</w:t>
      </w:r>
      <w:r w:rsidRPr="00DB60DB">
        <w:rPr>
          <w:rFonts w:ascii="Times New Roman" w:cs="Times New Roman"/>
          <w:color w:val="auto"/>
          <w:sz w:val="22"/>
          <w:szCs w:val="22"/>
        </w:rPr>
        <w:tab/>
      </w:r>
      <w:r w:rsidRPr="00DB60DB">
        <w:rPr>
          <w:rFonts w:ascii="Times New Roman" w:cs="Times New Roman"/>
          <w:color w:val="auto"/>
          <w:sz w:val="22"/>
          <w:szCs w:val="22"/>
        </w:rPr>
        <w:tab/>
      </w:r>
      <w:r w:rsidRPr="00DB60DB">
        <w:rPr>
          <w:rFonts w:ascii="Times New Roman" w:cs="Times New Roman"/>
          <w:color w:val="auto"/>
          <w:sz w:val="22"/>
          <w:szCs w:val="22"/>
        </w:rPr>
        <w:tab/>
        <w:t>=</w:t>
      </w:r>
      <w:r w:rsidRPr="00DB60DB">
        <w:rPr>
          <w:rFonts w:ascii="Times New Roman" w:cs="Times New Roman"/>
          <w:color w:val="auto"/>
          <w:sz w:val="22"/>
          <w:szCs w:val="22"/>
          <w:vertAlign w:val="subscript"/>
        </w:rPr>
        <w:t xml:space="preserve"> </w:t>
      </w:r>
      <w:r>
        <w:rPr>
          <w:rFonts w:ascii="Times New Roman" w:cs="Times New Roman"/>
          <w:color w:val="auto"/>
          <w:sz w:val="22"/>
          <w:szCs w:val="22"/>
        </w:rPr>
        <w:t>heat pump cyclic</w:t>
      </w:r>
      <w:r w:rsidRPr="00DB60DB">
        <w:rPr>
          <w:rFonts w:ascii="Times New Roman" w:cs="Times New Roman"/>
          <w:color w:val="auto"/>
          <w:sz w:val="22"/>
          <w:szCs w:val="22"/>
        </w:rPr>
        <w:t xml:space="preserve"> degradation coefficient</w:t>
      </w:r>
    </w:p>
    <w:p w:rsidR="00492C64" w:rsidRPr="0011351A" w:rsidRDefault="00492C64" w:rsidP="00492C64">
      <w:pPr>
        <w:pStyle w:val="a"/>
        <w:tabs>
          <w:tab w:val="left" w:pos="240"/>
          <w:tab w:val="left" w:pos="1080"/>
          <w:tab w:val="left" w:pos="1620"/>
          <w:tab w:val="left" w:pos="2400"/>
          <w:tab w:val="left" w:pos="3200"/>
          <w:tab w:val="left" w:pos="4000"/>
          <w:tab w:val="left" w:pos="4680"/>
          <w:tab w:val="left" w:pos="5520"/>
          <w:tab w:val="left" w:pos="6400"/>
          <w:tab w:val="left" w:pos="7200"/>
          <w:tab w:val="left" w:pos="8000"/>
          <w:tab w:val="left" w:pos="8800"/>
        </w:tabs>
        <w:jc w:val="both"/>
        <w:rPr>
          <w:rFonts w:ascii="Times New Roman" w:cs="Times New Roman"/>
          <w:sz w:val="22"/>
          <w:szCs w:val="22"/>
        </w:rPr>
      </w:pPr>
      <w:r w:rsidRPr="0011351A">
        <w:rPr>
          <w:rFonts w:ascii="Times New Roman" w:cs="Times New Roman"/>
          <w:sz w:val="22"/>
          <w:szCs w:val="22"/>
        </w:rPr>
        <w:t xml:space="preserve">COP </w:t>
      </w:r>
      <w:r w:rsidRPr="0011351A">
        <w:rPr>
          <w:rFonts w:ascii="Times New Roman" w:cs="Times New Roman"/>
          <w:sz w:val="22"/>
          <w:szCs w:val="22"/>
        </w:rPr>
        <w:tab/>
      </w:r>
      <w:r>
        <w:rPr>
          <w:rFonts w:ascii="Times New Roman" w:cs="Times New Roman"/>
          <w:sz w:val="22"/>
          <w:szCs w:val="22"/>
        </w:rPr>
        <w:tab/>
      </w:r>
      <w:r w:rsidRPr="0011351A">
        <w:rPr>
          <w:rFonts w:ascii="Times New Roman" w:cs="Times New Roman"/>
          <w:sz w:val="22"/>
          <w:szCs w:val="22"/>
        </w:rPr>
        <w:t>= coefficient of performance</w:t>
      </w:r>
    </w:p>
    <w:p w:rsidR="00492C64" w:rsidRDefault="00492C64" w:rsidP="00492C64">
      <w:pPr>
        <w:pStyle w:val="a"/>
        <w:tabs>
          <w:tab w:val="left" w:pos="240"/>
          <w:tab w:val="left" w:pos="1080"/>
          <w:tab w:val="left" w:pos="1620"/>
          <w:tab w:val="left" w:pos="2400"/>
          <w:tab w:val="left" w:pos="3200"/>
          <w:tab w:val="left" w:pos="4000"/>
          <w:tab w:val="left" w:pos="4680"/>
          <w:tab w:val="left" w:pos="5520"/>
          <w:tab w:val="left" w:pos="6400"/>
          <w:tab w:val="left" w:pos="7200"/>
          <w:tab w:val="left" w:pos="8000"/>
          <w:tab w:val="left" w:pos="8800"/>
        </w:tabs>
        <w:jc w:val="both"/>
        <w:rPr>
          <w:rFonts w:ascii="Times New Roman" w:cs="Times New Roman"/>
          <w:sz w:val="22"/>
          <w:szCs w:val="22"/>
        </w:rPr>
      </w:pPr>
      <w:r>
        <w:rPr>
          <w:rFonts w:ascii="Times New Roman" w:cs="Times New Roman"/>
          <w:sz w:val="22"/>
          <w:szCs w:val="22"/>
        </w:rPr>
        <w:t>DUCT</w:t>
      </w:r>
      <w:r>
        <w:rPr>
          <w:rFonts w:ascii="Times New Roman" w:cs="Times New Roman"/>
          <w:sz w:val="22"/>
          <w:szCs w:val="22"/>
        </w:rPr>
        <w:tab/>
      </w:r>
      <w:r>
        <w:rPr>
          <w:rFonts w:ascii="Times New Roman" w:cs="Times New Roman"/>
          <w:sz w:val="22"/>
          <w:szCs w:val="22"/>
        </w:rPr>
        <w:tab/>
        <w:t>= duct leakage fault</w:t>
      </w:r>
    </w:p>
    <w:p w:rsidR="00492C64" w:rsidRPr="00A32484" w:rsidRDefault="00492C64" w:rsidP="00492C64">
      <w:pPr>
        <w:tabs>
          <w:tab w:val="left" w:pos="1080"/>
          <w:tab w:val="left" w:pos="1170"/>
          <w:tab w:val="left" w:pos="1620"/>
        </w:tabs>
      </w:pPr>
      <w:r w:rsidRPr="00A32484">
        <w:t>ELA</w:t>
      </w:r>
      <w:r w:rsidRPr="00A32484">
        <w:tab/>
      </w:r>
      <w:r w:rsidRPr="00A32484">
        <w:tab/>
      </w:r>
      <w:r>
        <w:tab/>
      </w:r>
      <w:r w:rsidRPr="00A32484">
        <w:t>= equivalent leakage area [m</w:t>
      </w:r>
      <w:r w:rsidRPr="00A32484">
        <w:rPr>
          <w:vertAlign w:val="superscript"/>
        </w:rPr>
        <w:t>2</w:t>
      </w:r>
      <w:r w:rsidRPr="00A32484">
        <w:t>]</w:t>
      </w:r>
    </w:p>
    <w:p w:rsidR="00492C64" w:rsidRPr="005C6E27" w:rsidRDefault="00492C64" w:rsidP="00492C64">
      <w:pPr>
        <w:tabs>
          <w:tab w:val="left" w:pos="1080"/>
          <w:tab w:val="left" w:pos="1440"/>
          <w:tab w:val="left" w:pos="1620"/>
        </w:tabs>
      </w:pPr>
      <w:r>
        <w:t>HSPF</w:t>
      </w:r>
      <w:r>
        <w:tab/>
      </w:r>
      <w:r>
        <w:tab/>
      </w:r>
      <w:r>
        <w:tab/>
        <w:t>= heating seasonal performance factor</w:t>
      </w:r>
      <w:r w:rsidRPr="005C6E27">
        <w:rPr>
          <w:vertAlign w:val="subscript"/>
        </w:rPr>
        <w:t xml:space="preserve"> </w:t>
      </w:r>
      <w:r w:rsidRPr="005C6E27">
        <w:t xml:space="preserve"> </w:t>
      </w:r>
    </w:p>
    <w:p w:rsidR="00492C64" w:rsidRDefault="00492C64" w:rsidP="00492C64">
      <w:pPr>
        <w:pStyle w:val="a"/>
        <w:tabs>
          <w:tab w:val="left" w:pos="240"/>
          <w:tab w:val="left" w:pos="1080"/>
          <w:tab w:val="left" w:pos="1440"/>
          <w:tab w:val="left" w:pos="1620"/>
          <w:tab w:val="left" w:pos="2400"/>
          <w:tab w:val="left" w:pos="3200"/>
          <w:tab w:val="left" w:pos="4000"/>
          <w:tab w:val="left" w:pos="4680"/>
          <w:tab w:val="left" w:pos="5520"/>
          <w:tab w:val="left" w:pos="6400"/>
          <w:tab w:val="left" w:pos="7200"/>
          <w:tab w:val="left" w:pos="8000"/>
          <w:tab w:val="left" w:pos="8800"/>
        </w:tabs>
        <w:jc w:val="both"/>
        <w:rPr>
          <w:rFonts w:ascii="Times New Roman" w:cs="Times New Roman"/>
          <w:sz w:val="22"/>
          <w:szCs w:val="22"/>
        </w:rPr>
      </w:pPr>
      <w:r w:rsidRPr="0011351A">
        <w:rPr>
          <w:rFonts w:ascii="Times New Roman" w:cs="Times New Roman"/>
          <w:sz w:val="22"/>
          <w:szCs w:val="22"/>
        </w:rPr>
        <w:t>HVAC</w:t>
      </w:r>
      <w:r w:rsidRPr="0011351A">
        <w:rPr>
          <w:rFonts w:ascii="Times New Roman" w:cs="Times New Roman"/>
          <w:sz w:val="22"/>
          <w:szCs w:val="22"/>
        </w:rPr>
        <w:tab/>
      </w:r>
      <w:r>
        <w:rPr>
          <w:rFonts w:ascii="Times New Roman" w:cs="Times New Roman"/>
          <w:sz w:val="22"/>
          <w:szCs w:val="22"/>
        </w:rPr>
        <w:tab/>
      </w:r>
      <w:r>
        <w:rPr>
          <w:rFonts w:ascii="Times New Roman" w:cs="Times New Roman"/>
          <w:sz w:val="22"/>
          <w:szCs w:val="22"/>
        </w:rPr>
        <w:tab/>
      </w:r>
      <w:r w:rsidRPr="0011351A">
        <w:rPr>
          <w:rFonts w:ascii="Times New Roman" w:cs="Times New Roman"/>
          <w:sz w:val="22"/>
          <w:szCs w:val="22"/>
        </w:rPr>
        <w:t>= heating, ventila</w:t>
      </w:r>
      <w:r>
        <w:rPr>
          <w:rFonts w:ascii="Times New Roman" w:cs="Times New Roman"/>
          <w:sz w:val="22"/>
          <w:szCs w:val="22"/>
        </w:rPr>
        <w:t>ting, air conditioning</w:t>
      </w:r>
    </w:p>
    <w:p w:rsidR="00492C64" w:rsidRPr="0011351A" w:rsidRDefault="00492C64" w:rsidP="00492C64">
      <w:pPr>
        <w:pStyle w:val="a"/>
        <w:tabs>
          <w:tab w:val="left" w:pos="240"/>
          <w:tab w:val="left" w:pos="1080"/>
          <w:tab w:val="left" w:pos="1440"/>
          <w:tab w:val="left" w:pos="1620"/>
          <w:tab w:val="left" w:pos="2400"/>
          <w:tab w:val="left" w:pos="3200"/>
          <w:tab w:val="left" w:pos="4000"/>
          <w:tab w:val="left" w:pos="4680"/>
          <w:tab w:val="left" w:pos="5520"/>
          <w:tab w:val="left" w:pos="6400"/>
          <w:tab w:val="left" w:pos="7200"/>
          <w:tab w:val="left" w:pos="8000"/>
          <w:tab w:val="left" w:pos="8800"/>
        </w:tabs>
        <w:jc w:val="both"/>
        <w:rPr>
          <w:rFonts w:ascii="Times New Roman" w:cs="Times New Roman"/>
          <w:sz w:val="22"/>
          <w:szCs w:val="22"/>
        </w:rPr>
      </w:pPr>
      <w:proofErr w:type="spellStart"/>
      <w:r>
        <w:rPr>
          <w:rFonts w:ascii="Times New Roman" w:cs="Times New Roman"/>
          <w:sz w:val="22"/>
          <w:szCs w:val="22"/>
        </w:rPr>
        <w:t>Htg</w:t>
      </w:r>
      <w:proofErr w:type="spellEnd"/>
      <w:r>
        <w:rPr>
          <w:rFonts w:ascii="Times New Roman" w:cs="Times New Roman"/>
          <w:sz w:val="22"/>
          <w:szCs w:val="22"/>
        </w:rPr>
        <w:tab/>
      </w:r>
      <w:r>
        <w:rPr>
          <w:rFonts w:ascii="Times New Roman" w:cs="Times New Roman"/>
          <w:sz w:val="22"/>
          <w:szCs w:val="22"/>
        </w:rPr>
        <w:tab/>
      </w:r>
      <w:r>
        <w:rPr>
          <w:rFonts w:ascii="Times New Roman" w:cs="Times New Roman"/>
          <w:sz w:val="22"/>
          <w:szCs w:val="22"/>
        </w:rPr>
        <w:tab/>
        <w:t>= heating</w:t>
      </w:r>
    </w:p>
    <w:p w:rsidR="00492C64" w:rsidRPr="0011351A" w:rsidRDefault="00492C64" w:rsidP="00492C64">
      <w:pPr>
        <w:pStyle w:val="a"/>
        <w:tabs>
          <w:tab w:val="left" w:pos="240"/>
          <w:tab w:val="left" w:pos="1080"/>
          <w:tab w:val="left" w:pos="1440"/>
          <w:tab w:val="left" w:pos="1620"/>
          <w:tab w:val="left" w:pos="2400"/>
          <w:tab w:val="left" w:pos="3200"/>
          <w:tab w:val="left" w:pos="4000"/>
          <w:tab w:val="left" w:pos="4680"/>
          <w:tab w:val="left" w:pos="5520"/>
          <w:tab w:val="left" w:pos="6400"/>
          <w:tab w:val="left" w:pos="7200"/>
          <w:tab w:val="left" w:pos="8000"/>
          <w:tab w:val="left" w:pos="8800"/>
        </w:tabs>
        <w:jc w:val="both"/>
        <w:rPr>
          <w:rFonts w:ascii="Times New Roman" w:cs="Times New Roman"/>
          <w:sz w:val="22"/>
          <w:szCs w:val="22"/>
        </w:rPr>
      </w:pPr>
      <w:r w:rsidRPr="0011351A">
        <w:rPr>
          <w:rFonts w:ascii="Times New Roman" w:cs="Times New Roman"/>
          <w:sz w:val="22"/>
          <w:szCs w:val="22"/>
        </w:rPr>
        <w:t>NC</w:t>
      </w:r>
      <w:r w:rsidRPr="0011351A">
        <w:rPr>
          <w:rFonts w:ascii="Times New Roman" w:cs="Times New Roman"/>
          <w:sz w:val="22"/>
          <w:szCs w:val="22"/>
        </w:rPr>
        <w:tab/>
      </w:r>
      <w:r>
        <w:rPr>
          <w:rFonts w:ascii="Times New Roman" w:cs="Times New Roman"/>
          <w:sz w:val="22"/>
          <w:szCs w:val="22"/>
        </w:rPr>
        <w:tab/>
      </w:r>
      <w:r>
        <w:rPr>
          <w:rFonts w:ascii="Times New Roman" w:cs="Times New Roman"/>
          <w:sz w:val="22"/>
          <w:szCs w:val="22"/>
        </w:rPr>
        <w:tab/>
      </w:r>
      <w:r w:rsidRPr="0011351A">
        <w:rPr>
          <w:rFonts w:ascii="Times New Roman" w:cs="Times New Roman"/>
          <w:sz w:val="22"/>
          <w:szCs w:val="22"/>
        </w:rPr>
        <w:t>= presence of non-condensable gases fault</w:t>
      </w:r>
    </w:p>
    <w:p w:rsidR="00492C64" w:rsidRPr="0011351A" w:rsidRDefault="00492C64" w:rsidP="00492C64">
      <w:pPr>
        <w:pStyle w:val="a"/>
        <w:tabs>
          <w:tab w:val="left" w:pos="240"/>
          <w:tab w:val="left" w:pos="1620"/>
          <w:tab w:val="left" w:pos="2400"/>
          <w:tab w:val="left" w:pos="3200"/>
          <w:tab w:val="left" w:pos="4000"/>
          <w:tab w:val="left" w:pos="4680"/>
          <w:tab w:val="left" w:pos="5520"/>
          <w:tab w:val="left" w:pos="6400"/>
          <w:tab w:val="left" w:pos="7200"/>
          <w:tab w:val="left" w:pos="8000"/>
          <w:tab w:val="left" w:pos="8800"/>
        </w:tabs>
        <w:jc w:val="both"/>
        <w:rPr>
          <w:rFonts w:ascii="Times New Roman" w:cs="Times New Roman"/>
          <w:sz w:val="22"/>
          <w:szCs w:val="22"/>
        </w:rPr>
      </w:pPr>
      <w:r w:rsidRPr="0011351A">
        <w:rPr>
          <w:rFonts w:ascii="Times New Roman" w:cs="Times New Roman"/>
          <w:sz w:val="22"/>
          <w:szCs w:val="22"/>
        </w:rPr>
        <w:t>OC</w:t>
      </w:r>
      <w:r w:rsidRPr="0011351A">
        <w:rPr>
          <w:rFonts w:ascii="Times New Roman" w:cs="Times New Roman"/>
          <w:sz w:val="22"/>
          <w:szCs w:val="22"/>
        </w:rPr>
        <w:tab/>
        <w:t>= refrigerant overcharge fault</w:t>
      </w:r>
      <w:r>
        <w:rPr>
          <w:rFonts w:ascii="Times New Roman" w:cs="Times New Roman"/>
          <w:sz w:val="22"/>
          <w:szCs w:val="22"/>
        </w:rPr>
        <w:t>, % (or fraction) departure from the correct value</w:t>
      </w:r>
    </w:p>
    <w:p w:rsidR="00492C64" w:rsidRPr="004C26B5" w:rsidRDefault="00492C64" w:rsidP="00492C64">
      <w:pPr>
        <w:tabs>
          <w:tab w:val="left" w:pos="1080"/>
          <w:tab w:val="left" w:pos="1170"/>
          <w:tab w:val="left" w:pos="1440"/>
          <w:tab w:val="left" w:pos="1620"/>
        </w:tabs>
      </w:pPr>
      <w:proofErr w:type="gramStart"/>
      <w:r w:rsidRPr="006A1F52">
        <w:t>R</w:t>
      </w:r>
      <w:r w:rsidRPr="004C26B5">
        <w:t>(</w:t>
      </w:r>
      <w:proofErr w:type="gramEnd"/>
      <w:r w:rsidRPr="004C26B5">
        <w:t>SI)</w:t>
      </w:r>
      <w:r w:rsidRPr="004C26B5">
        <w:tab/>
      </w:r>
      <w:r w:rsidRPr="004C26B5">
        <w:tab/>
      </w:r>
      <w:r w:rsidRPr="004C26B5">
        <w:tab/>
      </w:r>
      <w:r w:rsidRPr="004C26B5">
        <w:tab/>
        <w:t>= thermal resistance in SI system of units [K∙m</w:t>
      </w:r>
      <w:r w:rsidRPr="004C26B5">
        <w:rPr>
          <w:vertAlign w:val="superscript"/>
        </w:rPr>
        <w:t>2</w:t>
      </w:r>
      <w:r w:rsidRPr="004C26B5">
        <w:t>∙W</w:t>
      </w:r>
      <w:r w:rsidRPr="004C26B5">
        <w:rPr>
          <w:vertAlign w:val="superscript"/>
        </w:rPr>
        <w:t>-1</w:t>
      </w:r>
      <w:r w:rsidRPr="004C26B5">
        <w:t>]</w:t>
      </w:r>
    </w:p>
    <w:p w:rsidR="00492C64" w:rsidRPr="004C26B5" w:rsidRDefault="00492C64" w:rsidP="00492C64">
      <w:pPr>
        <w:tabs>
          <w:tab w:val="left" w:pos="1080"/>
          <w:tab w:val="left" w:pos="1170"/>
          <w:tab w:val="left" w:pos="1440"/>
          <w:tab w:val="left" w:pos="1620"/>
        </w:tabs>
      </w:pPr>
      <w:r w:rsidRPr="004C26B5">
        <w:t>RH</w:t>
      </w:r>
      <w:r w:rsidRPr="004C26B5">
        <w:tab/>
      </w:r>
      <w:r w:rsidRPr="004C26B5">
        <w:tab/>
      </w:r>
      <w:r w:rsidRPr="004C26B5">
        <w:tab/>
      </w:r>
      <w:r w:rsidRPr="004C26B5">
        <w:tab/>
        <w:t>= relative humidity</w:t>
      </w:r>
      <w:r>
        <w:t xml:space="preserve"> </w:t>
      </w:r>
      <w:r w:rsidRPr="004C26B5">
        <w:t>[%]</w:t>
      </w:r>
    </w:p>
    <w:p w:rsidR="00492C64" w:rsidRDefault="00492C64" w:rsidP="002A3BDB">
      <w:pPr>
        <w:tabs>
          <w:tab w:val="left" w:pos="1170"/>
          <w:tab w:val="left" w:pos="1440"/>
          <w:tab w:val="left" w:pos="1620"/>
        </w:tabs>
        <w:ind w:left="1080" w:hanging="1080"/>
      </w:pPr>
      <w:r>
        <w:t>SEER</w:t>
      </w:r>
      <w:r>
        <w:tab/>
      </w:r>
      <w:r>
        <w:tab/>
      </w:r>
      <w:r>
        <w:tab/>
      </w:r>
      <w:r>
        <w:tab/>
        <w:t>= seasonal energy efficiency ratio [(Btu</w:t>
      </w:r>
      <w:r w:rsidRPr="0011351A">
        <w:t>∙</w:t>
      </w:r>
      <w:r>
        <w:t>W</w:t>
      </w:r>
      <w:r w:rsidRPr="0011351A">
        <w:rPr>
          <w:vertAlign w:val="superscript"/>
        </w:rPr>
        <w:t>-1</w:t>
      </w:r>
      <w:r w:rsidRPr="0011351A">
        <w:t>∙</w:t>
      </w:r>
      <w:r>
        <w:t>h</w:t>
      </w:r>
      <w:r w:rsidRPr="0011351A">
        <w:rPr>
          <w:vertAlign w:val="superscript"/>
        </w:rPr>
        <w:t>-1</w:t>
      </w:r>
      <w:r>
        <w:t>)</w:t>
      </w:r>
      <w:r w:rsidRPr="000343BA">
        <w:t>]</w:t>
      </w:r>
    </w:p>
    <w:p w:rsidR="00492C64" w:rsidRPr="0011351A" w:rsidRDefault="00492C64" w:rsidP="00492C64">
      <w:pPr>
        <w:pStyle w:val="a"/>
        <w:tabs>
          <w:tab w:val="left" w:pos="120"/>
          <w:tab w:val="left" w:pos="1620"/>
          <w:tab w:val="left" w:pos="2400"/>
          <w:tab w:val="left" w:pos="3200"/>
          <w:tab w:val="left" w:pos="4000"/>
          <w:tab w:val="left" w:pos="4680"/>
          <w:tab w:val="left" w:pos="5520"/>
          <w:tab w:val="left" w:pos="6400"/>
          <w:tab w:val="left" w:pos="7200"/>
          <w:tab w:val="left" w:pos="8000"/>
          <w:tab w:val="left" w:pos="8800"/>
        </w:tabs>
        <w:jc w:val="both"/>
        <w:rPr>
          <w:rFonts w:ascii="Times New Roman" w:cs="Times New Roman"/>
          <w:sz w:val="22"/>
          <w:szCs w:val="22"/>
        </w:rPr>
      </w:pPr>
      <w:r>
        <w:rPr>
          <w:rFonts w:ascii="Times New Roman" w:cs="Times New Roman"/>
          <w:sz w:val="22"/>
          <w:szCs w:val="22"/>
        </w:rPr>
        <w:t>SIZ</w:t>
      </w:r>
      <w:r>
        <w:rPr>
          <w:rFonts w:ascii="Times New Roman" w:cs="Times New Roman"/>
          <w:sz w:val="22"/>
          <w:szCs w:val="22"/>
        </w:rPr>
        <w:tab/>
        <w:t>= heat pump sizing fault, % (or fraction) above or below the correct capacity</w:t>
      </w:r>
    </w:p>
    <w:p w:rsidR="00492C64" w:rsidRDefault="00492C64" w:rsidP="00492C64">
      <w:pPr>
        <w:tabs>
          <w:tab w:val="left" w:pos="1620"/>
        </w:tabs>
      </w:pPr>
      <w:r w:rsidRPr="0011351A">
        <w:rPr>
          <w:i/>
          <w:iCs/>
        </w:rPr>
        <w:t>T</w:t>
      </w:r>
      <w:r w:rsidRPr="0011351A">
        <w:rPr>
          <w:iCs/>
        </w:rPr>
        <w:t xml:space="preserve"> </w:t>
      </w:r>
      <w:r w:rsidRPr="0011351A">
        <w:tab/>
        <w:t>= temperature [</w:t>
      </w:r>
      <w:r w:rsidRPr="0011351A">
        <w:sym w:font="Symbol" w:char="F0B0"/>
      </w:r>
      <w:r w:rsidRPr="0011351A">
        <w:t>C]</w:t>
      </w:r>
    </w:p>
    <w:p w:rsidR="00492C64" w:rsidRPr="0011351A" w:rsidRDefault="00492C64" w:rsidP="00492C64">
      <w:pPr>
        <w:tabs>
          <w:tab w:val="left" w:pos="1620"/>
        </w:tabs>
      </w:pPr>
      <w:r w:rsidRPr="0084207E">
        <w:t>TMY3</w:t>
      </w:r>
      <w:r>
        <w:tab/>
        <w:t>= data set 3 with typical meteorological year weather data</w:t>
      </w:r>
    </w:p>
    <w:p w:rsidR="00492C64" w:rsidRPr="0011351A" w:rsidRDefault="00492C64" w:rsidP="00492C64">
      <w:pPr>
        <w:pStyle w:val="a"/>
        <w:tabs>
          <w:tab w:val="left" w:pos="120"/>
          <w:tab w:val="left" w:pos="1620"/>
          <w:tab w:val="left" w:pos="2400"/>
          <w:tab w:val="left" w:pos="3200"/>
          <w:tab w:val="left" w:pos="4000"/>
          <w:tab w:val="left" w:pos="4680"/>
          <w:tab w:val="left" w:pos="5520"/>
          <w:tab w:val="left" w:pos="6400"/>
          <w:tab w:val="left" w:pos="7200"/>
          <w:tab w:val="left" w:pos="8000"/>
          <w:tab w:val="left" w:pos="8800"/>
        </w:tabs>
        <w:jc w:val="both"/>
        <w:rPr>
          <w:rFonts w:ascii="Times New Roman" w:cs="Times New Roman"/>
          <w:sz w:val="22"/>
          <w:szCs w:val="22"/>
        </w:rPr>
      </w:pPr>
      <w:r w:rsidRPr="0011351A">
        <w:rPr>
          <w:rFonts w:ascii="Times New Roman" w:cs="Times New Roman"/>
          <w:sz w:val="22"/>
          <w:szCs w:val="22"/>
        </w:rPr>
        <w:t>TXV</w:t>
      </w:r>
      <w:r w:rsidRPr="0011351A">
        <w:rPr>
          <w:rFonts w:ascii="Times New Roman" w:cs="Times New Roman"/>
          <w:sz w:val="22"/>
          <w:szCs w:val="22"/>
        </w:rPr>
        <w:tab/>
        <w:t>= thermostatic expansion valve</w:t>
      </w:r>
      <w:r>
        <w:rPr>
          <w:rFonts w:ascii="Times New Roman" w:cs="Times New Roman"/>
          <w:sz w:val="22"/>
          <w:szCs w:val="22"/>
        </w:rPr>
        <w:t xml:space="preserve"> or TXV undersizing fault in cooling</w:t>
      </w:r>
    </w:p>
    <w:p w:rsidR="00492C64" w:rsidRDefault="00492C64" w:rsidP="00492C64">
      <w:pPr>
        <w:pStyle w:val="a"/>
        <w:tabs>
          <w:tab w:val="left" w:pos="240"/>
          <w:tab w:val="left" w:pos="1620"/>
          <w:tab w:val="left" w:pos="2400"/>
          <w:tab w:val="left" w:pos="3200"/>
          <w:tab w:val="left" w:pos="4000"/>
          <w:tab w:val="left" w:pos="4680"/>
          <w:tab w:val="left" w:pos="5520"/>
          <w:tab w:val="left" w:pos="6400"/>
          <w:tab w:val="left" w:pos="7200"/>
          <w:tab w:val="left" w:pos="8000"/>
          <w:tab w:val="left" w:pos="8800"/>
        </w:tabs>
        <w:jc w:val="both"/>
        <w:rPr>
          <w:rFonts w:ascii="Times New Roman" w:cs="Times New Roman"/>
          <w:sz w:val="22"/>
          <w:szCs w:val="22"/>
        </w:rPr>
      </w:pPr>
      <w:r w:rsidRPr="0011351A">
        <w:rPr>
          <w:rFonts w:ascii="Times New Roman" w:cs="Times New Roman"/>
          <w:sz w:val="22"/>
          <w:szCs w:val="22"/>
        </w:rPr>
        <w:t>UC</w:t>
      </w:r>
      <w:r w:rsidRPr="0011351A">
        <w:rPr>
          <w:rFonts w:ascii="Times New Roman" w:cs="Times New Roman"/>
          <w:sz w:val="22"/>
          <w:szCs w:val="22"/>
        </w:rPr>
        <w:tab/>
        <w:t>= refrigerant undercharge fault</w:t>
      </w:r>
      <w:r>
        <w:rPr>
          <w:rFonts w:ascii="Times New Roman" w:cs="Times New Roman"/>
          <w:sz w:val="22"/>
          <w:szCs w:val="22"/>
        </w:rPr>
        <w:t>, % (or fraction) departure from the correct value</w:t>
      </w:r>
    </w:p>
    <w:p w:rsidR="00492C64" w:rsidRDefault="00492C64" w:rsidP="00492C64">
      <w:pPr>
        <w:pStyle w:val="a"/>
        <w:tabs>
          <w:tab w:val="left" w:pos="240"/>
          <w:tab w:val="left" w:pos="1620"/>
          <w:tab w:val="left" w:pos="2400"/>
          <w:tab w:val="left" w:pos="3200"/>
          <w:tab w:val="left" w:pos="4000"/>
          <w:tab w:val="left" w:pos="4680"/>
          <w:tab w:val="left" w:pos="5520"/>
          <w:tab w:val="left" w:pos="6400"/>
          <w:tab w:val="left" w:pos="7200"/>
          <w:tab w:val="left" w:pos="8000"/>
          <w:tab w:val="left" w:pos="8800"/>
        </w:tabs>
        <w:jc w:val="both"/>
        <w:rPr>
          <w:rFonts w:ascii="Times New Roman" w:cs="Times New Roman"/>
          <w:sz w:val="22"/>
          <w:szCs w:val="22"/>
        </w:rPr>
      </w:pPr>
      <w:r w:rsidRPr="0011351A">
        <w:rPr>
          <w:rFonts w:ascii="Times New Roman" w:cs="Times New Roman"/>
          <w:iCs/>
          <w:sz w:val="22"/>
          <w:szCs w:val="22"/>
        </w:rPr>
        <w:t xml:space="preserve">VOL </w:t>
      </w:r>
      <w:r w:rsidRPr="0011351A">
        <w:rPr>
          <w:rFonts w:ascii="Times New Roman" w:cs="Times New Roman"/>
          <w:sz w:val="22"/>
          <w:szCs w:val="22"/>
        </w:rPr>
        <w:tab/>
        <w:t>= electric line voltage fault</w:t>
      </w:r>
    </w:p>
    <w:p w:rsidR="0077536E" w:rsidRPr="00492C64" w:rsidRDefault="0077536E">
      <w:pPr>
        <w:jc w:val="left"/>
        <w:rPr>
          <w:rFonts w:eastAsia="BatangChe"/>
          <w:color w:val="000000"/>
          <w:szCs w:val="22"/>
          <w:lang w:eastAsia="ko-KR"/>
        </w:rPr>
      </w:pPr>
    </w:p>
    <w:sectPr w:rsidR="0077536E" w:rsidRPr="00492C64" w:rsidSect="00BF0F61">
      <w:headerReference w:type="default" r:id="rId35"/>
      <w:pgSz w:w="12240" w:h="15840"/>
      <w:pgMar w:top="1440" w:right="135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7B80" w:rsidRDefault="00517B80" w:rsidP="00BF0F61">
      <w:r>
        <w:separator/>
      </w:r>
    </w:p>
  </w:endnote>
  <w:endnote w:type="continuationSeparator" w:id="0">
    <w:p w:rsidR="00517B80" w:rsidRDefault="00517B80" w:rsidP="00BF0F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w:panose1 w:val="02020603060405020304"/>
    <w:charset w:val="00"/>
    <w:family w:val="roman"/>
    <w:pitch w:val="variable"/>
    <w:sig w:usb0="00000007" w:usb1="00000000" w:usb2="00000000" w:usb3="00000000" w:csb0="00000093" w:csb1="00000000"/>
  </w:font>
  <w:font w:name="BatangChe">
    <w:panose1 w:val="02030609000101010101"/>
    <w:charset w:val="81"/>
    <w:family w:val="modern"/>
    <w:pitch w:val="fixed"/>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DotumChe">
    <w:panose1 w:val="020B0609000101010101"/>
    <w:charset w:val="81"/>
    <w:family w:val="modern"/>
    <w:pitch w:val="fixed"/>
    <w:sig w:usb0="B00002AF" w:usb1="69D77CFB" w:usb2="00000030" w:usb3="00000000" w:csb0="0008009F" w:csb1="00000000"/>
  </w:font>
  <w:font w:name="Garamond">
    <w:panose1 w:val="02020404030301010803"/>
    <w:charset w:val="00"/>
    <w:family w:val="roman"/>
    <w:pitch w:val="variable"/>
    <w:sig w:usb0="00000287" w:usb1="00000000" w:usb2="00000000" w:usb3="00000000" w:csb0="0000009F" w:csb1="00000000"/>
  </w:font>
  <w:font w:name="Times New Roman PS MT">
    <w:panose1 w:val="00000000000000000000"/>
    <w:charset w:val="00"/>
    <w:family w:val="modern"/>
    <w:notTrueType/>
    <w:pitch w:val="variable"/>
    <w:sig w:usb0="00000003" w:usb1="00000000" w:usb2="00000000" w:usb3="00000000" w:csb0="00000001" w:csb1="00000000"/>
  </w:font>
  <w:font w:name="TimesNewRomanPS-ItalicMT">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7B80" w:rsidRDefault="00517B80" w:rsidP="00BF0F61">
      <w:r>
        <w:separator/>
      </w:r>
    </w:p>
  </w:footnote>
  <w:footnote w:type="continuationSeparator" w:id="0">
    <w:p w:rsidR="00517B80" w:rsidRDefault="00517B80" w:rsidP="00BF0F61">
      <w:r>
        <w:continuationSeparator/>
      </w:r>
    </w:p>
  </w:footnote>
  <w:footnote w:id="1">
    <w:p w:rsidR="009207CF" w:rsidRDefault="009207CF" w:rsidP="00BF0F61">
      <w:pPr>
        <w:pStyle w:val="FootnoteText"/>
      </w:pPr>
      <w:r>
        <w:rPr>
          <w:rStyle w:val="FootnoteReference"/>
        </w:rPr>
        <w:footnoteRef/>
      </w:r>
      <w:r>
        <w:t xml:space="preserve"> Corresponding author; </w:t>
      </w:r>
      <w:hyperlink r:id="rId1" w:history="1">
        <w:r w:rsidRPr="009E2B6B">
          <w:rPr>
            <w:rStyle w:val="Hyperlink"/>
            <w:rFonts w:eastAsiaTheme="majorEastAsia"/>
          </w:rPr>
          <w:t>piotr.domanski@nist.gov</w:t>
        </w:r>
      </w:hyperlink>
      <w:r>
        <w:t xml:space="preserve">; </w:t>
      </w:r>
      <w:proofErr w:type="spellStart"/>
      <w:r>
        <w:t>tel</w:t>
      </w:r>
      <w:proofErr w:type="spellEnd"/>
      <w:r>
        <w:t>: 301-975-5877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7CF" w:rsidRDefault="00E16F46">
    <w:pPr>
      <w:pStyle w:val="Header"/>
    </w:pPr>
    <w:r>
      <w:t>2015-4-20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36FFF"/>
    <w:multiLevelType w:val="hybridMultilevel"/>
    <w:tmpl w:val="9E7464E8"/>
    <w:lvl w:ilvl="0" w:tplc="D240648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101E7A"/>
    <w:multiLevelType w:val="multilevel"/>
    <w:tmpl w:val="B5C4B2E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9F41886"/>
    <w:multiLevelType w:val="hybridMultilevel"/>
    <w:tmpl w:val="EAE885C6"/>
    <w:lvl w:ilvl="0" w:tplc="B1B636E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7A1CDA"/>
    <w:multiLevelType w:val="multilevel"/>
    <w:tmpl w:val="2C146E52"/>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0B7F347F"/>
    <w:multiLevelType w:val="hybridMultilevel"/>
    <w:tmpl w:val="62B08E18"/>
    <w:lvl w:ilvl="0" w:tplc="F6FCA602">
      <w:start w:val="1"/>
      <w:numFmt w:val="bullet"/>
      <w:lvlText w:val=""/>
      <w:lvlJc w:val="left"/>
      <w:pPr>
        <w:ind w:left="720" w:hanging="360"/>
      </w:pPr>
      <w:rPr>
        <w:rFonts w:ascii="Symbol" w:hAnsi="Symbol" w:hint="default"/>
        <w:sz w:val="2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FC687D"/>
    <w:multiLevelType w:val="hybridMultilevel"/>
    <w:tmpl w:val="46DE201E"/>
    <w:lvl w:ilvl="0" w:tplc="F6FCA602">
      <w:start w:val="1"/>
      <w:numFmt w:val="bullet"/>
      <w:lvlText w:val=""/>
      <w:lvlJc w:val="left"/>
      <w:pPr>
        <w:ind w:left="720" w:hanging="360"/>
      </w:pPr>
      <w:rPr>
        <w:rFonts w:ascii="Symbol" w:hAnsi="Symbo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BD4616"/>
    <w:multiLevelType w:val="hybridMultilevel"/>
    <w:tmpl w:val="0D5039CC"/>
    <w:lvl w:ilvl="0" w:tplc="E2545494">
      <w:start w:val="2"/>
      <w:numFmt w:val="bullet"/>
      <w:lvlText w:val="-"/>
      <w:lvlJc w:val="left"/>
      <w:pPr>
        <w:ind w:left="360" w:hanging="360"/>
      </w:pPr>
      <w:rPr>
        <w:rFonts w:ascii="Times New Roman" w:eastAsia="Batang"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5AB6487"/>
    <w:multiLevelType w:val="hybridMultilevel"/>
    <w:tmpl w:val="C70830B2"/>
    <w:lvl w:ilvl="0" w:tplc="A7A841CE">
      <w:start w:val="1"/>
      <w:numFmt w:val="bullet"/>
      <w:lvlText w:val=""/>
      <w:lvlJc w:val="left"/>
      <w:pPr>
        <w:tabs>
          <w:tab w:val="num" w:pos="360"/>
        </w:tabs>
        <w:ind w:left="360" w:hanging="360"/>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A9A4BDA"/>
    <w:multiLevelType w:val="hybridMultilevel"/>
    <w:tmpl w:val="76F03D70"/>
    <w:lvl w:ilvl="0" w:tplc="F6FCA602">
      <w:start w:val="1"/>
      <w:numFmt w:val="bullet"/>
      <w:lvlText w:val=""/>
      <w:lvlJc w:val="left"/>
      <w:pPr>
        <w:ind w:left="720" w:hanging="360"/>
      </w:pPr>
      <w:rPr>
        <w:rFonts w:ascii="Symbol" w:hAnsi="Symbol" w:hint="default"/>
        <w:sz w:val="22"/>
      </w:rPr>
    </w:lvl>
    <w:lvl w:ilvl="1" w:tplc="F6FCA602">
      <w:start w:val="1"/>
      <w:numFmt w:val="bullet"/>
      <w:lvlText w:val=""/>
      <w:lvlJc w:val="left"/>
      <w:pPr>
        <w:ind w:left="1440" w:hanging="360"/>
      </w:pPr>
      <w:rPr>
        <w:rFonts w:ascii="Symbol" w:hAnsi="Symbol" w:hint="default"/>
        <w:sz w:val="22"/>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C314433"/>
    <w:multiLevelType w:val="multilevel"/>
    <w:tmpl w:val="ACF22F9A"/>
    <w:lvl w:ilvl="0">
      <w:start w:val="3"/>
      <w:numFmt w:val="decimal"/>
      <w:pStyle w:val="Heading1"/>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19A3D04"/>
    <w:multiLevelType w:val="hybridMultilevel"/>
    <w:tmpl w:val="F4446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1E32D35"/>
    <w:multiLevelType w:val="multilevel"/>
    <w:tmpl w:val="F7C4D056"/>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233565A8"/>
    <w:multiLevelType w:val="multilevel"/>
    <w:tmpl w:val="4AD8C09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39A7757"/>
    <w:multiLevelType w:val="multilevel"/>
    <w:tmpl w:val="4C667AA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4">
    <w:nsid w:val="243F44A2"/>
    <w:multiLevelType w:val="hybridMultilevel"/>
    <w:tmpl w:val="93246292"/>
    <w:lvl w:ilvl="0" w:tplc="332C7646">
      <w:start w:val="1"/>
      <w:numFmt w:val="bullet"/>
      <w:lvlText w:val=""/>
      <w:lvlJc w:val="left"/>
      <w:pPr>
        <w:ind w:left="72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5696CDF"/>
    <w:multiLevelType w:val="hybridMultilevel"/>
    <w:tmpl w:val="D786A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88B1830"/>
    <w:multiLevelType w:val="multilevel"/>
    <w:tmpl w:val="1BC47B76"/>
    <w:styleLink w:val="Style2"/>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7">
    <w:nsid w:val="2CB004A2"/>
    <w:multiLevelType w:val="hybridMultilevel"/>
    <w:tmpl w:val="133C6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DA00B0C"/>
    <w:multiLevelType w:val="multilevel"/>
    <w:tmpl w:val="EACC58A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2ECE4482"/>
    <w:multiLevelType w:val="hybridMultilevel"/>
    <w:tmpl w:val="C116F752"/>
    <w:lvl w:ilvl="0" w:tplc="20DE2A28">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5926A62"/>
    <w:multiLevelType w:val="hybridMultilevel"/>
    <w:tmpl w:val="35FA2916"/>
    <w:lvl w:ilvl="0" w:tplc="4E185820">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365A5B43"/>
    <w:multiLevelType w:val="multilevel"/>
    <w:tmpl w:val="BB424654"/>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36976F5F"/>
    <w:multiLevelType w:val="multilevel"/>
    <w:tmpl w:val="D1589DC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38484ED1"/>
    <w:multiLevelType w:val="multilevel"/>
    <w:tmpl w:val="AD5ADABE"/>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328" w:hanging="1440"/>
      </w:pPr>
      <w:rPr>
        <w:rFonts w:hint="default"/>
      </w:rPr>
    </w:lvl>
  </w:abstractNum>
  <w:abstractNum w:abstractNumId="24">
    <w:nsid w:val="3B771551"/>
    <w:multiLevelType w:val="hybridMultilevel"/>
    <w:tmpl w:val="F95E2692"/>
    <w:lvl w:ilvl="0" w:tplc="405ED37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ECC4BD4"/>
    <w:multiLevelType w:val="hybridMultilevel"/>
    <w:tmpl w:val="AC3E4774"/>
    <w:lvl w:ilvl="0" w:tplc="AC3E4520">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F450C88"/>
    <w:multiLevelType w:val="multilevel"/>
    <w:tmpl w:val="E460DEB6"/>
    <w:styleLink w:val="Style1"/>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27">
    <w:nsid w:val="3F8C22F9"/>
    <w:multiLevelType w:val="hybridMultilevel"/>
    <w:tmpl w:val="5CA45E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CE747A"/>
    <w:multiLevelType w:val="hybridMultilevel"/>
    <w:tmpl w:val="9006B2C4"/>
    <w:lvl w:ilvl="0" w:tplc="F6FCA602">
      <w:start w:val="1"/>
      <w:numFmt w:val="bullet"/>
      <w:lvlText w:val=""/>
      <w:lvlJc w:val="left"/>
      <w:pPr>
        <w:ind w:left="720" w:hanging="360"/>
      </w:pPr>
      <w:rPr>
        <w:rFonts w:ascii="Symbol" w:hAnsi="Symbo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60278A"/>
    <w:multiLevelType w:val="hybridMultilevel"/>
    <w:tmpl w:val="C156AF66"/>
    <w:lvl w:ilvl="0" w:tplc="8BF4773C">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46DC25D3"/>
    <w:multiLevelType w:val="hybridMultilevel"/>
    <w:tmpl w:val="829AE840"/>
    <w:lvl w:ilvl="0" w:tplc="F6FCA602">
      <w:start w:val="1"/>
      <w:numFmt w:val="bullet"/>
      <w:lvlText w:val=""/>
      <w:lvlJc w:val="left"/>
      <w:pPr>
        <w:ind w:left="720" w:hanging="360"/>
      </w:pPr>
      <w:rPr>
        <w:rFonts w:ascii="Symbol" w:hAnsi="Symbol" w:hint="default"/>
        <w:sz w:val="2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A6F394F"/>
    <w:multiLevelType w:val="hybridMultilevel"/>
    <w:tmpl w:val="763A20DA"/>
    <w:lvl w:ilvl="0" w:tplc="380C820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B3E52B3"/>
    <w:multiLevelType w:val="multilevel"/>
    <w:tmpl w:val="3B3CB64E"/>
    <w:lvl w:ilvl="0">
      <w:start w:val="1"/>
      <w:numFmt w:val="decimal"/>
      <w:pStyle w:val="Figure"/>
      <w:suff w:val="space"/>
      <w:lvlText w:val="Figure %1."/>
      <w:lvlJc w:val="center"/>
      <w:pPr>
        <w:ind w:left="0" w:firstLine="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4D3A6939"/>
    <w:multiLevelType w:val="hybridMultilevel"/>
    <w:tmpl w:val="DFB6CF62"/>
    <w:lvl w:ilvl="0" w:tplc="F6FCA602">
      <w:start w:val="1"/>
      <w:numFmt w:val="bullet"/>
      <w:lvlText w:val=""/>
      <w:lvlJc w:val="left"/>
      <w:pPr>
        <w:ind w:left="720" w:hanging="360"/>
      </w:pPr>
      <w:rPr>
        <w:rFonts w:ascii="Symbol" w:hAnsi="Symbol" w:hint="default"/>
        <w:sz w:val="2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DC25E23"/>
    <w:multiLevelType w:val="hybridMultilevel"/>
    <w:tmpl w:val="4C3E4C06"/>
    <w:lvl w:ilvl="0" w:tplc="AC3E4520">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1834D77"/>
    <w:multiLevelType w:val="multilevel"/>
    <w:tmpl w:val="1204A66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2C35679"/>
    <w:multiLevelType w:val="multilevel"/>
    <w:tmpl w:val="21A29BDE"/>
    <w:numStyleLink w:val="Style3"/>
  </w:abstractNum>
  <w:abstractNum w:abstractNumId="37">
    <w:nsid w:val="54743125"/>
    <w:multiLevelType w:val="multilevel"/>
    <w:tmpl w:val="21A29BDE"/>
    <w:styleLink w:val="Style3"/>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pStyle w:val="SubSubTitle"/>
      <w:suff w:val="space"/>
      <w:lvlText w:val="%1.%2.%3."/>
      <w:lvlJc w:val="left"/>
      <w:pPr>
        <w:ind w:left="0" w:firstLine="0"/>
      </w:pPr>
      <w:rPr>
        <w:rFonts w:ascii="Times New Roman" w:hAnsi="Times New Roman" w:hint="default"/>
        <w:b w:val="0"/>
        <w:i w:val="0"/>
        <w:color w:val="auto"/>
        <w:sz w:val="22"/>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8">
    <w:nsid w:val="56820DB3"/>
    <w:multiLevelType w:val="hybridMultilevel"/>
    <w:tmpl w:val="45F64BB2"/>
    <w:lvl w:ilvl="0" w:tplc="395493AA">
      <w:start w:val="1"/>
      <w:numFmt w:val="decimal"/>
      <w:pStyle w:val="Numberedlist"/>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9">
    <w:nsid w:val="57035B87"/>
    <w:multiLevelType w:val="hybridMultilevel"/>
    <w:tmpl w:val="D410FF2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7B46A9A"/>
    <w:multiLevelType w:val="hybridMultilevel"/>
    <w:tmpl w:val="D2D604F0"/>
    <w:lvl w:ilvl="0" w:tplc="F6FCA602">
      <w:start w:val="1"/>
      <w:numFmt w:val="bullet"/>
      <w:lvlText w:val=""/>
      <w:lvlJc w:val="left"/>
      <w:pPr>
        <w:ind w:left="720" w:hanging="360"/>
      </w:pPr>
      <w:rPr>
        <w:rFonts w:ascii="Symbol" w:hAnsi="Symbol" w:hint="default"/>
        <w:sz w:val="22"/>
      </w:rPr>
    </w:lvl>
    <w:lvl w:ilvl="1" w:tplc="57D4F5CE">
      <w:start w:val="1"/>
      <w:numFmt w:val="bullet"/>
      <w:lvlText w:val=""/>
      <w:lvlJc w:val="left"/>
      <w:pPr>
        <w:ind w:left="1440" w:hanging="360"/>
      </w:pPr>
      <w:rPr>
        <w:rFonts w:ascii="Symbol" w:hAnsi="Symbol" w:hint="default"/>
        <w:sz w:val="24"/>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8D370F8"/>
    <w:multiLevelType w:val="hybridMultilevel"/>
    <w:tmpl w:val="0DEED0E4"/>
    <w:lvl w:ilvl="0" w:tplc="04090003">
      <w:start w:val="1"/>
      <w:numFmt w:val="bullet"/>
      <w:lvlText w:val="o"/>
      <w:lvlJc w:val="left"/>
      <w:pPr>
        <w:ind w:left="1320" w:hanging="360"/>
      </w:pPr>
      <w:rPr>
        <w:rFonts w:ascii="Courier New" w:hAnsi="Courier New" w:cs="Courier New" w:hint="default"/>
      </w:rPr>
    </w:lvl>
    <w:lvl w:ilvl="1" w:tplc="04090003">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42">
    <w:nsid w:val="5C014A82"/>
    <w:multiLevelType w:val="hybridMultilevel"/>
    <w:tmpl w:val="3C9A622C"/>
    <w:lvl w:ilvl="0" w:tplc="E6585EE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C962F79"/>
    <w:multiLevelType w:val="hybridMultilevel"/>
    <w:tmpl w:val="C39CD970"/>
    <w:lvl w:ilvl="0" w:tplc="A9C43836">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nsid w:val="5E3A2550"/>
    <w:multiLevelType w:val="hybridMultilevel"/>
    <w:tmpl w:val="B96CF424"/>
    <w:lvl w:ilvl="0" w:tplc="4EA6BC6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3F87062"/>
    <w:multiLevelType w:val="hybridMultilevel"/>
    <w:tmpl w:val="412A51D4"/>
    <w:lvl w:ilvl="0" w:tplc="D240648E">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A616C4A"/>
    <w:multiLevelType w:val="hybridMultilevel"/>
    <w:tmpl w:val="EFAA012E"/>
    <w:lvl w:ilvl="0" w:tplc="04090013">
      <w:start w:val="1"/>
      <w:numFmt w:val="upperLetter"/>
      <w:lvlText w:val="%1."/>
      <w:lvlJc w:val="right"/>
      <w:pPr>
        <w:ind w:left="360" w:hanging="360"/>
      </w:pPr>
    </w:lvl>
    <w:lvl w:ilvl="1" w:tplc="42D42CF6">
      <w:start w:val="1"/>
      <w:numFmt w:val="upperLetter"/>
      <w:lvlText w:val="%2."/>
      <w:lvlJc w:val="left"/>
      <w:pPr>
        <w:ind w:left="1080" w:hanging="360"/>
      </w:pPr>
      <w:rPr>
        <w:rFonts w:hint="default"/>
      </w:rPr>
    </w:lvl>
    <w:lvl w:ilvl="2" w:tplc="332C7646">
      <w:start w:val="1"/>
      <w:numFmt w:val="bullet"/>
      <w:lvlText w:val=""/>
      <w:lvlJc w:val="left"/>
      <w:pPr>
        <w:ind w:left="1980" w:hanging="360"/>
      </w:pPr>
      <w:rPr>
        <w:rFonts w:ascii="Symbol" w:hAnsi="Symbol" w:hint="default"/>
        <w:sz w:val="16"/>
      </w:rPr>
    </w:lvl>
    <w:lvl w:ilvl="3" w:tplc="F6FCA602">
      <w:start w:val="1"/>
      <w:numFmt w:val="bullet"/>
      <w:lvlText w:val=""/>
      <w:lvlJc w:val="left"/>
      <w:pPr>
        <w:ind w:left="630" w:hanging="360"/>
      </w:pPr>
      <w:rPr>
        <w:rFonts w:ascii="Symbol" w:hAnsi="Symbol" w:hint="default"/>
        <w:sz w:val="22"/>
      </w:rPr>
    </w:lvl>
    <w:lvl w:ilvl="4" w:tplc="D240648E">
      <w:start w:val="1"/>
      <w:numFmt w:val="bullet"/>
      <w:lvlText w:val="-"/>
      <w:lvlJc w:val="left"/>
      <w:pPr>
        <w:ind w:left="3240" w:hanging="360"/>
      </w:pPr>
      <w:rPr>
        <w:rFonts w:ascii="Times New Roman" w:eastAsia="Times New Roman" w:hAnsi="Times New Roman" w:cs="Times New Roman" w:hint="default"/>
      </w:r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nsid w:val="73623630"/>
    <w:multiLevelType w:val="hybridMultilevel"/>
    <w:tmpl w:val="7444C48C"/>
    <w:lvl w:ilvl="0" w:tplc="D5CEFBA4">
      <w:start w:val="1"/>
      <w:numFmt w:val="decimal"/>
      <w:pStyle w:val="Table"/>
      <w:lvlText w:val="Table %1."/>
      <w:lvlJc w:val="left"/>
      <w:pPr>
        <w:ind w:left="360" w:hanging="360"/>
      </w:pPr>
      <w:rPr>
        <w:rFonts w:hint="default"/>
        <w:b w:val="0"/>
        <w:color w:val="000000" w:themeColor="text1"/>
        <w:sz w:val="22"/>
      </w:r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48">
    <w:nsid w:val="784C5AA1"/>
    <w:multiLevelType w:val="hybridMultilevel"/>
    <w:tmpl w:val="C166FBEA"/>
    <w:lvl w:ilvl="0" w:tplc="AC3E4520">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D6F4F2D"/>
    <w:multiLevelType w:val="hybridMultilevel"/>
    <w:tmpl w:val="2174CAA4"/>
    <w:lvl w:ilvl="0" w:tplc="688AE5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8"/>
  </w:num>
  <w:num w:numId="2">
    <w:abstractNumId w:val="26"/>
  </w:num>
  <w:num w:numId="3">
    <w:abstractNumId w:val="16"/>
  </w:num>
  <w:num w:numId="4">
    <w:abstractNumId w:val="37"/>
  </w:num>
  <w:num w:numId="5">
    <w:abstractNumId w:val="47"/>
  </w:num>
  <w:num w:numId="6">
    <w:abstractNumId w:val="32"/>
  </w:num>
  <w:num w:numId="7">
    <w:abstractNumId w:val="36"/>
  </w:num>
  <w:num w:numId="8">
    <w:abstractNumId w:val="46"/>
  </w:num>
  <w:num w:numId="9">
    <w:abstractNumId w:val="6"/>
  </w:num>
  <w:num w:numId="10">
    <w:abstractNumId w:val="23"/>
  </w:num>
  <w:num w:numId="11">
    <w:abstractNumId w:val="18"/>
  </w:num>
  <w:num w:numId="12">
    <w:abstractNumId w:val="14"/>
  </w:num>
  <w:num w:numId="13">
    <w:abstractNumId w:val="5"/>
  </w:num>
  <w:num w:numId="14">
    <w:abstractNumId w:val="0"/>
  </w:num>
  <w:num w:numId="15">
    <w:abstractNumId w:val="7"/>
  </w:num>
  <w:num w:numId="16">
    <w:abstractNumId w:val="22"/>
  </w:num>
  <w:num w:numId="17">
    <w:abstractNumId w:val="39"/>
  </w:num>
  <w:num w:numId="18">
    <w:abstractNumId w:val="10"/>
  </w:num>
  <w:num w:numId="19">
    <w:abstractNumId w:val="49"/>
  </w:num>
  <w:num w:numId="20">
    <w:abstractNumId w:val="15"/>
  </w:num>
  <w:num w:numId="21">
    <w:abstractNumId w:val="17"/>
  </w:num>
  <w:num w:numId="22">
    <w:abstractNumId w:val="19"/>
  </w:num>
  <w:num w:numId="23">
    <w:abstractNumId w:val="42"/>
  </w:num>
  <w:num w:numId="24">
    <w:abstractNumId w:val="24"/>
  </w:num>
  <w:num w:numId="25">
    <w:abstractNumId w:val="29"/>
  </w:num>
  <w:num w:numId="26">
    <w:abstractNumId w:val="44"/>
  </w:num>
  <w:num w:numId="27">
    <w:abstractNumId w:val="27"/>
  </w:num>
  <w:num w:numId="28">
    <w:abstractNumId w:val="41"/>
  </w:num>
  <w:num w:numId="29">
    <w:abstractNumId w:val="25"/>
  </w:num>
  <w:num w:numId="30">
    <w:abstractNumId w:val="34"/>
  </w:num>
  <w:num w:numId="31">
    <w:abstractNumId w:val="31"/>
  </w:num>
  <w:num w:numId="32">
    <w:abstractNumId w:val="2"/>
  </w:num>
  <w:num w:numId="33">
    <w:abstractNumId w:val="48"/>
  </w:num>
  <w:num w:numId="34">
    <w:abstractNumId w:val="13"/>
  </w:num>
  <w:num w:numId="35">
    <w:abstractNumId w:val="3"/>
  </w:num>
  <w:num w:numId="36">
    <w:abstractNumId w:val="9"/>
  </w:num>
  <w:num w:numId="37">
    <w:abstractNumId w:val="11"/>
  </w:num>
  <w:num w:numId="38">
    <w:abstractNumId w:val="21"/>
  </w:num>
  <w:num w:numId="39">
    <w:abstractNumId w:val="12"/>
  </w:num>
  <w:num w:numId="40">
    <w:abstractNumId w:val="1"/>
  </w:num>
  <w:num w:numId="41">
    <w:abstractNumId w:val="20"/>
  </w:num>
  <w:num w:numId="42">
    <w:abstractNumId w:val="43"/>
  </w:num>
  <w:num w:numId="43">
    <w:abstractNumId w:val="45"/>
  </w:num>
  <w:num w:numId="44">
    <w:abstractNumId w:val="33"/>
  </w:num>
  <w:num w:numId="45">
    <w:abstractNumId w:val="4"/>
  </w:num>
  <w:num w:numId="46">
    <w:abstractNumId w:val="30"/>
  </w:num>
  <w:num w:numId="47">
    <w:abstractNumId w:val="8"/>
  </w:num>
  <w:num w:numId="48">
    <w:abstractNumId w:val="40"/>
  </w:num>
  <w:num w:numId="49">
    <w:abstractNumId w:val="28"/>
  </w:num>
  <w:num w:numId="5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0F61"/>
    <w:rsid w:val="00031A49"/>
    <w:rsid w:val="00066D80"/>
    <w:rsid w:val="000C4E02"/>
    <w:rsid w:val="001046B4"/>
    <w:rsid w:val="001050B8"/>
    <w:rsid w:val="00146EA4"/>
    <w:rsid w:val="00196574"/>
    <w:rsid w:val="001D5A66"/>
    <w:rsid w:val="00213BA0"/>
    <w:rsid w:val="002171B5"/>
    <w:rsid w:val="002856E0"/>
    <w:rsid w:val="002A3BDB"/>
    <w:rsid w:val="002E302D"/>
    <w:rsid w:val="002F541D"/>
    <w:rsid w:val="003028DA"/>
    <w:rsid w:val="003D0626"/>
    <w:rsid w:val="004016F1"/>
    <w:rsid w:val="00492C64"/>
    <w:rsid w:val="004D2317"/>
    <w:rsid w:val="00517B80"/>
    <w:rsid w:val="005F23A7"/>
    <w:rsid w:val="006411F9"/>
    <w:rsid w:val="00680F0F"/>
    <w:rsid w:val="00685D09"/>
    <w:rsid w:val="00696CA8"/>
    <w:rsid w:val="006A5A96"/>
    <w:rsid w:val="006B4A75"/>
    <w:rsid w:val="00746118"/>
    <w:rsid w:val="0077536E"/>
    <w:rsid w:val="007B51C0"/>
    <w:rsid w:val="007F470F"/>
    <w:rsid w:val="008021C0"/>
    <w:rsid w:val="00876F1C"/>
    <w:rsid w:val="009207CF"/>
    <w:rsid w:val="00936501"/>
    <w:rsid w:val="00984406"/>
    <w:rsid w:val="009A227E"/>
    <w:rsid w:val="009D4E7A"/>
    <w:rsid w:val="009D67A2"/>
    <w:rsid w:val="009F04EC"/>
    <w:rsid w:val="00AB5ACC"/>
    <w:rsid w:val="00B16DB8"/>
    <w:rsid w:val="00BC52ED"/>
    <w:rsid w:val="00BC577A"/>
    <w:rsid w:val="00BF0F61"/>
    <w:rsid w:val="00C6259B"/>
    <w:rsid w:val="00C96C22"/>
    <w:rsid w:val="00CA59E3"/>
    <w:rsid w:val="00CC1DEB"/>
    <w:rsid w:val="00D030C1"/>
    <w:rsid w:val="00D5545D"/>
    <w:rsid w:val="00D65AB5"/>
    <w:rsid w:val="00DB592A"/>
    <w:rsid w:val="00DF5DD6"/>
    <w:rsid w:val="00E16F46"/>
    <w:rsid w:val="00E34960"/>
    <w:rsid w:val="00EE3388"/>
    <w:rsid w:val="00F55F94"/>
    <w:rsid w:val="00F572A0"/>
    <w:rsid w:val="00F734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List" w:uiPriority="0"/>
    <w:lsdException w:name="List 2" w:uiPriority="0"/>
    <w:lsdException w:name="Title" w:semiHidden="0" w:unhideWhenUsed="0" w:qFormat="1"/>
    <w:lsdException w:name="Default Paragraph Font" w:uiPriority="1"/>
    <w:lsdException w:name="Body Text" w:uiPriority="0"/>
    <w:lsdException w:name="Body Text Indent" w:uiPriority="0"/>
    <w:lsdException w:name="Subtitle" w:semiHidden="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nhideWhenUsed="0" w:qFormat="1"/>
    <w:lsdException w:name="Emphasis" w:semiHidden="0" w:uiPriority="20" w:unhideWhenUsed="0" w:qFormat="1"/>
    <w:lsdException w:name="Document Map" w:uiPriority="0"/>
    <w:lsdException w:name="Table List 1" w:uiPriority="0"/>
    <w:lsdException w:name="Table 3D effects 1" w:uiPriority="0"/>
    <w:lsdException w:name="Table 3D effects 3"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Normal">
    <w:name w:val="Normal"/>
    <w:aliases w:val="Arial 11 - 1.0"/>
    <w:qFormat/>
    <w:rsid w:val="00BF0F61"/>
    <w:pPr>
      <w:spacing w:after="0" w:line="240" w:lineRule="auto"/>
      <w:jc w:val="both"/>
    </w:pPr>
    <w:rPr>
      <w:rFonts w:ascii="Times New Roman" w:eastAsia="Times New Roman" w:hAnsi="Times New Roman" w:cs="Times New Roman"/>
      <w:szCs w:val="20"/>
    </w:rPr>
  </w:style>
  <w:style w:type="paragraph" w:styleId="Heading1">
    <w:name w:val="heading 1"/>
    <w:basedOn w:val="Normal"/>
    <w:next w:val="Normal"/>
    <w:link w:val="Heading1Char"/>
    <w:autoRedefine/>
    <w:uiPriority w:val="99"/>
    <w:qFormat/>
    <w:rsid w:val="00BF0F61"/>
    <w:pPr>
      <w:numPr>
        <w:numId w:val="36"/>
      </w:numPr>
      <w:jc w:val="left"/>
      <w:outlineLvl w:val="0"/>
    </w:pPr>
    <w:rPr>
      <w:b/>
      <w:szCs w:val="22"/>
    </w:rPr>
  </w:style>
  <w:style w:type="paragraph" w:styleId="Heading2">
    <w:name w:val="heading 2"/>
    <w:aliases w:val="Sub title"/>
    <w:basedOn w:val="Normal"/>
    <w:next w:val="Normal"/>
    <w:link w:val="Heading2Char"/>
    <w:autoRedefine/>
    <w:uiPriority w:val="99"/>
    <w:qFormat/>
    <w:rsid w:val="00BF0F61"/>
    <w:pPr>
      <w:jc w:val="left"/>
      <w:outlineLvl w:val="1"/>
    </w:pPr>
    <w:rPr>
      <w:b/>
      <w:sz w:val="24"/>
      <w:szCs w:val="24"/>
    </w:rPr>
  </w:style>
  <w:style w:type="paragraph" w:styleId="Heading3">
    <w:name w:val="heading 3"/>
    <w:basedOn w:val="Normal"/>
    <w:next w:val="Normal"/>
    <w:link w:val="Heading3Char"/>
    <w:uiPriority w:val="99"/>
    <w:unhideWhenUsed/>
    <w:qFormat/>
    <w:rsid w:val="00BF0F6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qFormat/>
    <w:rsid w:val="00BF0F61"/>
    <w:pPr>
      <w:keepNext/>
      <w:tabs>
        <w:tab w:val="num" w:pos="720"/>
      </w:tabs>
      <w:ind w:left="360"/>
      <w:jc w:val="center"/>
      <w:outlineLvl w:val="3"/>
    </w:pPr>
    <w:rPr>
      <w:rFonts w:ascii="Arial" w:hAnsi="Arial" w:cs="Arial"/>
      <w:sz w:val="52"/>
      <w:szCs w:val="24"/>
      <w:lang w:eastAsia="fr-FR"/>
    </w:rPr>
  </w:style>
  <w:style w:type="paragraph" w:styleId="Heading5">
    <w:name w:val="heading 5"/>
    <w:basedOn w:val="Normal"/>
    <w:next w:val="Normal"/>
    <w:link w:val="Heading5Char"/>
    <w:uiPriority w:val="99"/>
    <w:qFormat/>
    <w:rsid w:val="00BF0F61"/>
    <w:pPr>
      <w:keepNext/>
      <w:widowControl w:val="0"/>
      <w:tabs>
        <w:tab w:val="left" w:pos="4537"/>
      </w:tabs>
      <w:overflowPunct w:val="0"/>
      <w:autoSpaceDE w:val="0"/>
      <w:autoSpaceDN w:val="0"/>
      <w:adjustRightInd w:val="0"/>
      <w:ind w:right="-2"/>
      <w:textAlignment w:val="baseline"/>
      <w:outlineLvl w:val="4"/>
    </w:pPr>
    <w:rPr>
      <w:b/>
      <w:sz w:val="28"/>
      <w:lang w:val="en-GB" w:eastAsia="fr-FR"/>
    </w:rPr>
  </w:style>
  <w:style w:type="paragraph" w:styleId="Heading6">
    <w:name w:val="heading 6"/>
    <w:basedOn w:val="Normal"/>
    <w:next w:val="Normal"/>
    <w:link w:val="Heading6Char"/>
    <w:uiPriority w:val="99"/>
    <w:qFormat/>
    <w:rsid w:val="00BF0F61"/>
    <w:pPr>
      <w:keepNext/>
      <w:tabs>
        <w:tab w:val="left" w:pos="4537"/>
      </w:tabs>
      <w:outlineLvl w:val="5"/>
    </w:pPr>
    <w:rPr>
      <w:rFonts w:ascii="Arial" w:hAnsi="Arial" w:cs="Arial"/>
      <w:b/>
      <w:bCs/>
      <w:sz w:val="24"/>
      <w:szCs w:val="24"/>
      <w:lang w:val="en-GB" w:eastAsia="fr-FR"/>
    </w:rPr>
  </w:style>
  <w:style w:type="paragraph" w:styleId="Heading7">
    <w:name w:val="heading 7"/>
    <w:basedOn w:val="Normal"/>
    <w:next w:val="Normal"/>
    <w:link w:val="Heading7Char"/>
    <w:uiPriority w:val="99"/>
    <w:qFormat/>
    <w:rsid w:val="00BF0F61"/>
    <w:pPr>
      <w:keepNext/>
      <w:widowControl w:val="0"/>
      <w:tabs>
        <w:tab w:val="left" w:pos="3402"/>
      </w:tabs>
      <w:overflowPunct w:val="0"/>
      <w:autoSpaceDE w:val="0"/>
      <w:autoSpaceDN w:val="0"/>
      <w:adjustRightInd w:val="0"/>
      <w:ind w:left="567" w:right="706"/>
      <w:textAlignment w:val="baseline"/>
      <w:outlineLvl w:val="6"/>
    </w:pPr>
    <w:rPr>
      <w:b/>
      <w:sz w:val="20"/>
      <w:lang w:val="en-GB" w:eastAsia="fr-FR"/>
    </w:rPr>
  </w:style>
  <w:style w:type="paragraph" w:styleId="Heading8">
    <w:name w:val="heading 8"/>
    <w:basedOn w:val="Normal"/>
    <w:next w:val="Normal"/>
    <w:link w:val="Heading8Char"/>
    <w:uiPriority w:val="99"/>
    <w:qFormat/>
    <w:rsid w:val="00BF0F61"/>
    <w:pPr>
      <w:keepNext/>
      <w:widowControl w:val="0"/>
      <w:tabs>
        <w:tab w:val="left" w:pos="3402"/>
      </w:tabs>
      <w:overflowPunct w:val="0"/>
      <w:autoSpaceDE w:val="0"/>
      <w:autoSpaceDN w:val="0"/>
      <w:adjustRightInd w:val="0"/>
      <w:ind w:left="567" w:right="706"/>
      <w:textAlignment w:val="baseline"/>
      <w:outlineLvl w:val="7"/>
    </w:pPr>
    <w:rPr>
      <w:b/>
      <w:sz w:val="24"/>
      <w:lang w:val="en-GB" w:eastAsia="fr-FR"/>
    </w:rPr>
  </w:style>
  <w:style w:type="paragraph" w:styleId="Heading9">
    <w:name w:val="heading 9"/>
    <w:basedOn w:val="Normal"/>
    <w:next w:val="Normal"/>
    <w:link w:val="Heading9Char"/>
    <w:uiPriority w:val="99"/>
    <w:qFormat/>
    <w:rsid w:val="00BF0F61"/>
    <w:pPr>
      <w:keepNext/>
      <w:widowControl w:val="0"/>
      <w:tabs>
        <w:tab w:val="left" w:pos="709"/>
      </w:tabs>
      <w:overflowPunct w:val="0"/>
      <w:autoSpaceDE w:val="0"/>
      <w:autoSpaceDN w:val="0"/>
      <w:adjustRightInd w:val="0"/>
      <w:spacing w:before="120"/>
      <w:ind w:left="142"/>
      <w:textAlignment w:val="baseline"/>
      <w:outlineLvl w:val="8"/>
    </w:pPr>
    <w:rPr>
      <w:i/>
      <w:iCs/>
      <w:sz w:val="24"/>
      <w:lang w:val="en-IE"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ATE references"/>
    <w:link w:val="NoSpacingChar"/>
    <w:uiPriority w:val="99"/>
    <w:qFormat/>
    <w:rsid w:val="00BC577A"/>
    <w:pPr>
      <w:spacing w:after="0" w:line="240" w:lineRule="auto"/>
    </w:pPr>
    <w:rPr>
      <w:rFonts w:ascii="Arial" w:eastAsia="SimSun" w:hAnsi="Arial" w:cs="Times New Roman"/>
      <w:szCs w:val="24"/>
      <w:lang w:eastAsia="zh-CN"/>
    </w:rPr>
  </w:style>
  <w:style w:type="character" w:customStyle="1" w:styleId="Heading1Char">
    <w:name w:val="Heading 1 Char"/>
    <w:basedOn w:val="DefaultParagraphFont"/>
    <w:link w:val="Heading1"/>
    <w:uiPriority w:val="99"/>
    <w:rsid w:val="00BF0F61"/>
    <w:rPr>
      <w:rFonts w:ascii="Times New Roman" w:eastAsia="Times New Roman" w:hAnsi="Times New Roman" w:cs="Times New Roman"/>
      <w:b/>
    </w:rPr>
  </w:style>
  <w:style w:type="character" w:customStyle="1" w:styleId="Heading2Char">
    <w:name w:val="Heading 2 Char"/>
    <w:aliases w:val="Sub title Char"/>
    <w:basedOn w:val="DefaultParagraphFont"/>
    <w:link w:val="Heading2"/>
    <w:uiPriority w:val="99"/>
    <w:rsid w:val="00BF0F61"/>
    <w:rPr>
      <w:rFonts w:ascii="Times New Roman" w:eastAsia="Times New Roman" w:hAnsi="Times New Roman" w:cs="Times New Roman"/>
      <w:b/>
      <w:sz w:val="24"/>
      <w:szCs w:val="24"/>
    </w:rPr>
  </w:style>
  <w:style w:type="character" w:customStyle="1" w:styleId="Heading3Char">
    <w:name w:val="Heading 3 Char"/>
    <w:basedOn w:val="DefaultParagraphFont"/>
    <w:link w:val="Heading3"/>
    <w:uiPriority w:val="99"/>
    <w:rsid w:val="00BF0F61"/>
    <w:rPr>
      <w:rFonts w:asciiTheme="majorHAnsi" w:eastAsiaTheme="majorEastAsia" w:hAnsiTheme="majorHAnsi" w:cstheme="majorBidi"/>
      <w:b/>
      <w:bCs/>
      <w:color w:val="4F81BD" w:themeColor="accent1"/>
      <w:szCs w:val="20"/>
    </w:rPr>
  </w:style>
  <w:style w:type="character" w:customStyle="1" w:styleId="Heading4Char">
    <w:name w:val="Heading 4 Char"/>
    <w:basedOn w:val="DefaultParagraphFont"/>
    <w:link w:val="Heading4"/>
    <w:uiPriority w:val="99"/>
    <w:rsid w:val="00BF0F61"/>
    <w:rPr>
      <w:rFonts w:ascii="Arial" w:eastAsia="Times New Roman" w:hAnsi="Arial" w:cs="Arial"/>
      <w:sz w:val="52"/>
      <w:szCs w:val="24"/>
      <w:lang w:eastAsia="fr-FR"/>
    </w:rPr>
  </w:style>
  <w:style w:type="character" w:customStyle="1" w:styleId="Heading5Char">
    <w:name w:val="Heading 5 Char"/>
    <w:basedOn w:val="DefaultParagraphFont"/>
    <w:link w:val="Heading5"/>
    <w:uiPriority w:val="99"/>
    <w:rsid w:val="00BF0F61"/>
    <w:rPr>
      <w:rFonts w:ascii="Times New Roman" w:eastAsia="Times New Roman" w:hAnsi="Times New Roman" w:cs="Times New Roman"/>
      <w:b/>
      <w:sz w:val="28"/>
      <w:szCs w:val="20"/>
      <w:lang w:val="en-GB" w:eastAsia="fr-FR"/>
    </w:rPr>
  </w:style>
  <w:style w:type="character" w:customStyle="1" w:styleId="Heading6Char">
    <w:name w:val="Heading 6 Char"/>
    <w:basedOn w:val="DefaultParagraphFont"/>
    <w:link w:val="Heading6"/>
    <w:uiPriority w:val="99"/>
    <w:rsid w:val="00BF0F61"/>
    <w:rPr>
      <w:rFonts w:ascii="Arial" w:eastAsia="Times New Roman" w:hAnsi="Arial" w:cs="Arial"/>
      <w:b/>
      <w:bCs/>
      <w:sz w:val="24"/>
      <w:szCs w:val="24"/>
      <w:lang w:val="en-GB" w:eastAsia="fr-FR"/>
    </w:rPr>
  </w:style>
  <w:style w:type="character" w:customStyle="1" w:styleId="Heading7Char">
    <w:name w:val="Heading 7 Char"/>
    <w:basedOn w:val="DefaultParagraphFont"/>
    <w:link w:val="Heading7"/>
    <w:uiPriority w:val="99"/>
    <w:rsid w:val="00BF0F61"/>
    <w:rPr>
      <w:rFonts w:ascii="Times New Roman" w:eastAsia="Times New Roman" w:hAnsi="Times New Roman" w:cs="Times New Roman"/>
      <w:b/>
      <w:sz w:val="20"/>
      <w:szCs w:val="20"/>
      <w:lang w:val="en-GB" w:eastAsia="fr-FR"/>
    </w:rPr>
  </w:style>
  <w:style w:type="character" w:customStyle="1" w:styleId="Heading8Char">
    <w:name w:val="Heading 8 Char"/>
    <w:basedOn w:val="DefaultParagraphFont"/>
    <w:link w:val="Heading8"/>
    <w:uiPriority w:val="99"/>
    <w:rsid w:val="00BF0F61"/>
    <w:rPr>
      <w:rFonts w:ascii="Times New Roman" w:eastAsia="Times New Roman" w:hAnsi="Times New Roman" w:cs="Times New Roman"/>
      <w:b/>
      <w:sz w:val="24"/>
      <w:szCs w:val="20"/>
      <w:lang w:val="en-GB" w:eastAsia="fr-FR"/>
    </w:rPr>
  </w:style>
  <w:style w:type="character" w:customStyle="1" w:styleId="Heading9Char">
    <w:name w:val="Heading 9 Char"/>
    <w:basedOn w:val="DefaultParagraphFont"/>
    <w:link w:val="Heading9"/>
    <w:uiPriority w:val="99"/>
    <w:rsid w:val="00BF0F61"/>
    <w:rPr>
      <w:rFonts w:ascii="Times New Roman" w:eastAsia="Times New Roman" w:hAnsi="Times New Roman" w:cs="Times New Roman"/>
      <w:i/>
      <w:iCs/>
      <w:sz w:val="24"/>
      <w:szCs w:val="20"/>
      <w:lang w:val="en-IE" w:eastAsia="fr-FR"/>
    </w:rPr>
  </w:style>
  <w:style w:type="paragraph" w:styleId="BodyText">
    <w:name w:val="Body Text"/>
    <w:basedOn w:val="Normal"/>
    <w:link w:val="BodyTextChar"/>
    <w:rsid w:val="00BF0F61"/>
    <w:pPr>
      <w:spacing w:line="480" w:lineRule="auto"/>
      <w:ind w:firstLine="540"/>
    </w:pPr>
  </w:style>
  <w:style w:type="character" w:customStyle="1" w:styleId="BodyTextChar">
    <w:name w:val="Body Text Char"/>
    <w:basedOn w:val="DefaultParagraphFont"/>
    <w:link w:val="BodyText"/>
    <w:rsid w:val="00BF0F61"/>
    <w:rPr>
      <w:rFonts w:ascii="Times New Roman" w:eastAsia="Times New Roman" w:hAnsi="Times New Roman" w:cs="Times New Roman"/>
      <w:szCs w:val="20"/>
    </w:rPr>
  </w:style>
  <w:style w:type="paragraph" w:styleId="Header">
    <w:name w:val="header"/>
    <w:basedOn w:val="Normal"/>
    <w:link w:val="HeaderChar"/>
    <w:uiPriority w:val="99"/>
    <w:rsid w:val="00BF0F61"/>
    <w:pPr>
      <w:tabs>
        <w:tab w:val="center" w:pos="4320"/>
        <w:tab w:val="right" w:pos="8640"/>
      </w:tabs>
    </w:pPr>
  </w:style>
  <w:style w:type="character" w:customStyle="1" w:styleId="HeaderChar">
    <w:name w:val="Header Char"/>
    <w:basedOn w:val="DefaultParagraphFont"/>
    <w:link w:val="Header"/>
    <w:uiPriority w:val="99"/>
    <w:rsid w:val="00BF0F61"/>
    <w:rPr>
      <w:rFonts w:ascii="Times New Roman" w:eastAsia="Times New Roman" w:hAnsi="Times New Roman" w:cs="Times New Roman"/>
      <w:szCs w:val="20"/>
    </w:rPr>
  </w:style>
  <w:style w:type="character" w:styleId="PageNumber">
    <w:name w:val="page number"/>
    <w:basedOn w:val="DefaultParagraphFont"/>
    <w:uiPriority w:val="99"/>
    <w:rsid w:val="00BF0F61"/>
  </w:style>
  <w:style w:type="character" w:styleId="Hyperlink">
    <w:name w:val="Hyperlink"/>
    <w:basedOn w:val="DefaultParagraphFont"/>
    <w:uiPriority w:val="99"/>
    <w:rsid w:val="00BF0F61"/>
    <w:rPr>
      <w:color w:val="0000FF"/>
      <w:u w:val="single"/>
    </w:rPr>
  </w:style>
  <w:style w:type="paragraph" w:styleId="Footer">
    <w:name w:val="footer"/>
    <w:basedOn w:val="Normal"/>
    <w:link w:val="FooterChar"/>
    <w:uiPriority w:val="99"/>
    <w:rsid w:val="00BF0F61"/>
    <w:pPr>
      <w:tabs>
        <w:tab w:val="center" w:pos="4320"/>
        <w:tab w:val="right" w:pos="8640"/>
      </w:tabs>
    </w:pPr>
  </w:style>
  <w:style w:type="character" w:customStyle="1" w:styleId="FooterChar">
    <w:name w:val="Footer Char"/>
    <w:basedOn w:val="DefaultParagraphFont"/>
    <w:link w:val="Footer"/>
    <w:uiPriority w:val="99"/>
    <w:rsid w:val="00BF0F61"/>
    <w:rPr>
      <w:rFonts w:ascii="Times New Roman" w:eastAsia="Times New Roman" w:hAnsi="Times New Roman" w:cs="Times New Roman"/>
      <w:szCs w:val="20"/>
    </w:rPr>
  </w:style>
  <w:style w:type="paragraph" w:customStyle="1" w:styleId="Numberedlist">
    <w:name w:val="Numbered list"/>
    <w:basedOn w:val="Normal"/>
    <w:rsid w:val="00BF0F61"/>
    <w:pPr>
      <w:numPr>
        <w:numId w:val="1"/>
      </w:numPr>
      <w:spacing w:line="480" w:lineRule="auto"/>
    </w:pPr>
  </w:style>
  <w:style w:type="paragraph" w:styleId="BlockText">
    <w:name w:val="Block Text"/>
    <w:basedOn w:val="BodyText"/>
    <w:link w:val="BlockTextChar"/>
    <w:rsid w:val="00BF0F61"/>
    <w:pPr>
      <w:ind w:firstLine="0"/>
    </w:pPr>
  </w:style>
  <w:style w:type="paragraph" w:customStyle="1" w:styleId="Quotation">
    <w:name w:val="Quotation"/>
    <w:basedOn w:val="BodyText"/>
    <w:rsid w:val="00BF0F61"/>
    <w:pPr>
      <w:ind w:left="547" w:firstLine="0"/>
    </w:pPr>
  </w:style>
  <w:style w:type="character" w:customStyle="1" w:styleId="BlockTextChar">
    <w:name w:val="Block Text Char"/>
    <w:basedOn w:val="BodyTextChar"/>
    <w:link w:val="BlockText"/>
    <w:rsid w:val="00BF0F61"/>
    <w:rPr>
      <w:rFonts w:ascii="Times New Roman" w:eastAsia="Times New Roman" w:hAnsi="Times New Roman" w:cs="Times New Roman"/>
      <w:szCs w:val="20"/>
    </w:rPr>
  </w:style>
  <w:style w:type="paragraph" w:customStyle="1" w:styleId="Reference">
    <w:name w:val="Reference"/>
    <w:basedOn w:val="BodyText"/>
    <w:rsid w:val="00BF0F61"/>
    <w:pPr>
      <w:ind w:left="547" w:hanging="547"/>
    </w:pPr>
  </w:style>
  <w:style w:type="character" w:styleId="Strong">
    <w:name w:val="Strong"/>
    <w:basedOn w:val="DefaultParagraphFont"/>
    <w:uiPriority w:val="99"/>
    <w:qFormat/>
    <w:rsid w:val="00BF0F61"/>
    <w:rPr>
      <w:b/>
      <w:bCs/>
    </w:rPr>
  </w:style>
  <w:style w:type="numbering" w:customStyle="1" w:styleId="Style1">
    <w:name w:val="Style1"/>
    <w:rsid w:val="00BF0F61"/>
    <w:pPr>
      <w:numPr>
        <w:numId w:val="2"/>
      </w:numPr>
    </w:pPr>
  </w:style>
  <w:style w:type="numbering" w:customStyle="1" w:styleId="Style2">
    <w:name w:val="Style2"/>
    <w:rsid w:val="00BF0F61"/>
    <w:pPr>
      <w:numPr>
        <w:numId w:val="3"/>
      </w:numPr>
    </w:pPr>
  </w:style>
  <w:style w:type="paragraph" w:styleId="BalloonText">
    <w:name w:val="Balloon Text"/>
    <w:basedOn w:val="Normal"/>
    <w:link w:val="BalloonTextChar"/>
    <w:uiPriority w:val="99"/>
    <w:rsid w:val="00BF0F61"/>
    <w:rPr>
      <w:rFonts w:ascii="Tahoma" w:hAnsi="Tahoma" w:cs="Tahoma"/>
      <w:sz w:val="16"/>
      <w:szCs w:val="16"/>
    </w:rPr>
  </w:style>
  <w:style w:type="character" w:customStyle="1" w:styleId="BalloonTextChar">
    <w:name w:val="Balloon Text Char"/>
    <w:basedOn w:val="DefaultParagraphFont"/>
    <w:link w:val="BalloonText"/>
    <w:uiPriority w:val="99"/>
    <w:rsid w:val="00BF0F61"/>
    <w:rPr>
      <w:rFonts w:ascii="Tahoma" w:eastAsia="Times New Roman" w:hAnsi="Tahoma" w:cs="Tahoma"/>
      <w:sz w:val="16"/>
      <w:szCs w:val="16"/>
    </w:rPr>
  </w:style>
  <w:style w:type="paragraph" w:customStyle="1" w:styleId="SubSubTitle">
    <w:name w:val="SubSubTitle"/>
    <w:basedOn w:val="Heading3"/>
    <w:next w:val="Normal"/>
    <w:link w:val="SubSubTitleChar"/>
    <w:qFormat/>
    <w:rsid w:val="00BF0F61"/>
    <w:pPr>
      <w:numPr>
        <w:ilvl w:val="2"/>
        <w:numId w:val="7"/>
      </w:numPr>
      <w:spacing w:before="240"/>
    </w:pPr>
    <w:rPr>
      <w:rFonts w:ascii="Times New Roman" w:hAnsi="Times New Roman"/>
      <w:b w:val="0"/>
      <w:color w:val="000000" w:themeColor="text1"/>
    </w:rPr>
  </w:style>
  <w:style w:type="paragraph" w:styleId="ListParagraph">
    <w:name w:val="List Paragraph"/>
    <w:basedOn w:val="Normal"/>
    <w:uiPriority w:val="34"/>
    <w:qFormat/>
    <w:rsid w:val="00BF0F61"/>
    <w:pPr>
      <w:ind w:left="720"/>
      <w:contextualSpacing/>
    </w:pPr>
  </w:style>
  <w:style w:type="character" w:customStyle="1" w:styleId="SubSubTitleChar">
    <w:name w:val="SubSubTitle Char"/>
    <w:basedOn w:val="Heading3Char"/>
    <w:link w:val="SubSubTitle"/>
    <w:rsid w:val="00BF0F61"/>
    <w:rPr>
      <w:rFonts w:ascii="Times New Roman" w:eastAsiaTheme="majorEastAsia" w:hAnsi="Times New Roman" w:cstheme="majorBidi"/>
      <w:b w:val="0"/>
      <w:bCs/>
      <w:color w:val="000000" w:themeColor="text1"/>
      <w:szCs w:val="20"/>
    </w:rPr>
  </w:style>
  <w:style w:type="numbering" w:customStyle="1" w:styleId="Style3">
    <w:name w:val="Style3"/>
    <w:rsid w:val="00BF0F61"/>
    <w:pPr>
      <w:numPr>
        <w:numId w:val="4"/>
      </w:numPr>
    </w:pPr>
  </w:style>
  <w:style w:type="paragraph" w:styleId="FootnoteText">
    <w:name w:val="footnote text"/>
    <w:basedOn w:val="Normal"/>
    <w:link w:val="FootnoteTextChar"/>
    <w:rsid w:val="00BF0F61"/>
    <w:rPr>
      <w:sz w:val="20"/>
    </w:rPr>
  </w:style>
  <w:style w:type="character" w:customStyle="1" w:styleId="FootnoteTextChar">
    <w:name w:val="Footnote Text Char"/>
    <w:basedOn w:val="DefaultParagraphFont"/>
    <w:link w:val="FootnoteText"/>
    <w:rsid w:val="00BF0F61"/>
    <w:rPr>
      <w:rFonts w:ascii="Times New Roman" w:eastAsia="Times New Roman" w:hAnsi="Times New Roman" w:cs="Times New Roman"/>
      <w:sz w:val="20"/>
      <w:szCs w:val="20"/>
    </w:rPr>
  </w:style>
  <w:style w:type="character" w:styleId="FootnoteReference">
    <w:name w:val="footnote reference"/>
    <w:basedOn w:val="DefaultParagraphFont"/>
    <w:rsid w:val="00BF0F61"/>
    <w:rPr>
      <w:vertAlign w:val="superscript"/>
    </w:rPr>
  </w:style>
  <w:style w:type="table" w:styleId="TableGrid">
    <w:name w:val="Table Grid"/>
    <w:basedOn w:val="TableList1"/>
    <w:uiPriority w:val="59"/>
    <w:rsid w:val="00BF0F61"/>
    <w:pPr>
      <w:jc w:val="center"/>
    </w:pPr>
    <w:rPr>
      <w:color w:val="FFFFFF" w:themeColor="background1"/>
    </w:rPr>
    <w:tblP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shd w:val="clear" w:color="auto" w:fill="FFFFFF" w:themeFill="background1"/>
      <w:vAlign w:val="center"/>
    </w:tcPr>
    <w:tblStylePr w:type="firstRow">
      <w:rPr>
        <w:rFonts w:ascii="Times New Roman" w:hAnsi="Times New Roman"/>
        <w:b/>
        <w:bCs/>
        <w:i/>
        <w:iCs/>
        <w:color w:val="800000"/>
        <w:sz w:val="22"/>
      </w:rPr>
      <w:tblPr/>
      <w:tcPr>
        <w:tcBorders>
          <w:bottom w:val="single" w:sz="6" w:space="0" w:color="000000"/>
          <w:tl2br w:val="none" w:sz="0" w:space="0" w:color="auto"/>
          <w:tr2bl w:val="none" w:sz="0" w:space="0" w:color="auto"/>
        </w:tcBorders>
        <w:shd w:val="clear" w:color="auto" w:fill="000000" w:themeFill="text1"/>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1">
    <w:name w:val="Table 3D effects 1"/>
    <w:basedOn w:val="TableNormal"/>
    <w:rsid w:val="00BF0F61"/>
    <w:pPr>
      <w:spacing w:after="0" w:line="240" w:lineRule="auto"/>
      <w:jc w:val="both"/>
    </w:pPr>
    <w:rPr>
      <w:rFonts w:ascii="Times" w:eastAsia="Times New Roman" w:hAnsi="Times" w:cs="Times New Roman"/>
      <w:sz w:val="20"/>
      <w:szCs w:val="20"/>
      <w:lang w:val="sv-SE" w:eastAsia="sv-S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List1">
    <w:name w:val="Table List 1"/>
    <w:basedOn w:val="TableNormal"/>
    <w:rsid w:val="00BF0F61"/>
    <w:pPr>
      <w:spacing w:after="0" w:line="240" w:lineRule="auto"/>
      <w:jc w:val="both"/>
    </w:pPr>
    <w:rPr>
      <w:rFonts w:ascii="Times" w:eastAsia="Times New Roman" w:hAnsi="Times" w:cs="Times New Roman"/>
      <w:sz w:val="20"/>
      <w:szCs w:val="20"/>
      <w:lang w:val="sv-SE" w:eastAsia="sv-SE"/>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Table">
    <w:name w:val="Table"/>
    <w:basedOn w:val="List"/>
    <w:next w:val="Normal"/>
    <w:link w:val="TableChar"/>
    <w:autoRedefine/>
    <w:qFormat/>
    <w:rsid w:val="00BF0F61"/>
    <w:pPr>
      <w:numPr>
        <w:numId w:val="5"/>
      </w:numPr>
      <w:ind w:left="0" w:firstLine="0"/>
      <w:contextualSpacing w:val="0"/>
    </w:pPr>
    <w:rPr>
      <w:rFonts w:ascii="Times New Roman" w:eastAsia="Times New Roman" w:hAnsi="Times New Roman" w:cs="Times New Roman"/>
      <w:szCs w:val="20"/>
    </w:rPr>
  </w:style>
  <w:style w:type="paragraph" w:customStyle="1" w:styleId="Figure">
    <w:name w:val="Figure"/>
    <w:basedOn w:val="Normal"/>
    <w:next w:val="Normal"/>
    <w:link w:val="FigureChar"/>
    <w:autoRedefine/>
    <w:qFormat/>
    <w:rsid w:val="00BF0F61"/>
    <w:pPr>
      <w:numPr>
        <w:numId w:val="6"/>
      </w:numPr>
      <w:jc w:val="center"/>
    </w:pPr>
  </w:style>
  <w:style w:type="character" w:customStyle="1" w:styleId="ListChar">
    <w:name w:val="List Char"/>
    <w:basedOn w:val="DefaultParagraphFont"/>
    <w:link w:val="List"/>
    <w:rsid w:val="00BF0F61"/>
  </w:style>
  <w:style w:type="paragraph" w:styleId="List">
    <w:name w:val="List"/>
    <w:basedOn w:val="Normal"/>
    <w:link w:val="ListChar"/>
    <w:rsid w:val="00BF0F61"/>
    <w:pPr>
      <w:ind w:left="283" w:hanging="283"/>
      <w:contextualSpacing/>
    </w:pPr>
    <w:rPr>
      <w:rFonts w:asciiTheme="minorHAnsi" w:eastAsiaTheme="minorHAnsi" w:hAnsiTheme="minorHAnsi" w:cstheme="minorBidi"/>
      <w:szCs w:val="22"/>
    </w:rPr>
  </w:style>
  <w:style w:type="character" w:customStyle="1" w:styleId="TableChar">
    <w:name w:val="Table Char"/>
    <w:basedOn w:val="ListChar"/>
    <w:link w:val="Table"/>
    <w:rsid w:val="00BF0F61"/>
    <w:rPr>
      <w:rFonts w:ascii="Times New Roman" w:eastAsia="Times New Roman" w:hAnsi="Times New Roman" w:cs="Times New Roman"/>
      <w:szCs w:val="20"/>
    </w:rPr>
  </w:style>
  <w:style w:type="character" w:customStyle="1" w:styleId="FigureChar">
    <w:name w:val="Figure Char"/>
    <w:basedOn w:val="DefaultParagraphFont"/>
    <w:link w:val="Figure"/>
    <w:rsid w:val="00BF0F61"/>
    <w:rPr>
      <w:rFonts w:ascii="Times New Roman" w:eastAsia="Times New Roman" w:hAnsi="Times New Roman" w:cs="Times New Roman"/>
      <w:szCs w:val="20"/>
    </w:rPr>
  </w:style>
  <w:style w:type="paragraph" w:styleId="Subtitle">
    <w:name w:val="Subtitle"/>
    <w:basedOn w:val="Normal"/>
    <w:next w:val="Normal"/>
    <w:link w:val="SubtitleChar"/>
    <w:uiPriority w:val="99"/>
    <w:qFormat/>
    <w:rsid w:val="00BF0F6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99"/>
    <w:rsid w:val="00BF0F61"/>
    <w:rPr>
      <w:rFonts w:asciiTheme="majorHAnsi" w:eastAsiaTheme="majorEastAsia" w:hAnsiTheme="majorHAnsi" w:cstheme="majorBidi"/>
      <w:i/>
      <w:iCs/>
      <w:color w:val="4F81BD" w:themeColor="accent1"/>
      <w:spacing w:val="15"/>
      <w:sz w:val="24"/>
      <w:szCs w:val="24"/>
    </w:rPr>
  </w:style>
  <w:style w:type="paragraph" w:styleId="Title">
    <w:name w:val="Title"/>
    <w:basedOn w:val="Normal"/>
    <w:next w:val="Normal"/>
    <w:link w:val="TitleChar"/>
    <w:autoRedefine/>
    <w:uiPriority w:val="99"/>
    <w:qFormat/>
    <w:rsid w:val="00BF0F61"/>
    <w:pPr>
      <w:spacing w:after="300"/>
      <w:contextualSpacing/>
      <w:jc w:val="center"/>
    </w:pPr>
    <w:rPr>
      <w:rFonts w:eastAsiaTheme="majorEastAsia" w:cstheme="majorBidi"/>
      <w:b/>
      <w:caps/>
      <w:color w:val="000000" w:themeColor="text1"/>
      <w:spacing w:val="5"/>
      <w:kern w:val="28"/>
      <w:sz w:val="28"/>
      <w:szCs w:val="28"/>
    </w:rPr>
  </w:style>
  <w:style w:type="character" w:customStyle="1" w:styleId="TitleChar">
    <w:name w:val="Title Char"/>
    <w:basedOn w:val="DefaultParagraphFont"/>
    <w:link w:val="Title"/>
    <w:uiPriority w:val="99"/>
    <w:rsid w:val="00BF0F61"/>
    <w:rPr>
      <w:rFonts w:ascii="Times New Roman" w:eastAsiaTheme="majorEastAsia" w:hAnsi="Times New Roman" w:cstheme="majorBidi"/>
      <w:b/>
      <w:caps/>
      <w:color w:val="000000" w:themeColor="text1"/>
      <w:spacing w:val="5"/>
      <w:kern w:val="28"/>
      <w:sz w:val="28"/>
      <w:szCs w:val="28"/>
    </w:rPr>
  </w:style>
  <w:style w:type="character" w:customStyle="1" w:styleId="NoSpacingChar">
    <w:name w:val="No Spacing Char"/>
    <w:aliases w:val="ATE references Char"/>
    <w:basedOn w:val="DefaultParagraphFont"/>
    <w:link w:val="NoSpacing"/>
    <w:uiPriority w:val="1"/>
    <w:rsid w:val="00BF0F61"/>
    <w:rPr>
      <w:rFonts w:ascii="Arial" w:eastAsia="SimSun" w:hAnsi="Arial" w:cs="Times New Roman"/>
      <w:szCs w:val="24"/>
      <w:lang w:eastAsia="zh-CN"/>
    </w:rPr>
  </w:style>
  <w:style w:type="paragraph" w:customStyle="1" w:styleId="MainTitle">
    <w:name w:val="Main Title"/>
    <w:basedOn w:val="BodyText"/>
    <w:link w:val="MainTitleChar"/>
    <w:qFormat/>
    <w:rsid w:val="00BF0F61"/>
    <w:pPr>
      <w:jc w:val="center"/>
    </w:pPr>
    <w:rPr>
      <w:b/>
      <w:caps/>
      <w:sz w:val="28"/>
    </w:rPr>
  </w:style>
  <w:style w:type="paragraph" w:customStyle="1" w:styleId="AuthorNames">
    <w:name w:val="Author Names"/>
    <w:basedOn w:val="Normal"/>
    <w:link w:val="AuthorNamesChar"/>
    <w:qFormat/>
    <w:rsid w:val="00BF0F61"/>
    <w:pPr>
      <w:jc w:val="center"/>
    </w:pPr>
    <w:rPr>
      <w:b/>
      <w:sz w:val="24"/>
    </w:rPr>
  </w:style>
  <w:style w:type="character" w:customStyle="1" w:styleId="MainTitleChar">
    <w:name w:val="Main Title Char"/>
    <w:basedOn w:val="BodyTextChar"/>
    <w:link w:val="MainTitle"/>
    <w:rsid w:val="00BF0F61"/>
    <w:rPr>
      <w:rFonts w:ascii="Times New Roman" w:eastAsia="Times New Roman" w:hAnsi="Times New Roman" w:cs="Times New Roman"/>
      <w:b/>
      <w:caps/>
      <w:sz w:val="28"/>
      <w:szCs w:val="20"/>
    </w:rPr>
  </w:style>
  <w:style w:type="paragraph" w:customStyle="1" w:styleId="Authorcontactinformation">
    <w:name w:val="Author contact information"/>
    <w:basedOn w:val="Normal"/>
    <w:link w:val="AuthorcontactinformationChar"/>
    <w:qFormat/>
    <w:rsid w:val="00BF0F61"/>
    <w:pPr>
      <w:jc w:val="center"/>
    </w:pPr>
  </w:style>
  <w:style w:type="character" w:customStyle="1" w:styleId="AuthorNamesChar">
    <w:name w:val="Author Names Char"/>
    <w:basedOn w:val="DefaultParagraphFont"/>
    <w:link w:val="AuthorNames"/>
    <w:rsid w:val="00BF0F61"/>
    <w:rPr>
      <w:rFonts w:ascii="Times New Roman" w:eastAsia="Times New Roman" w:hAnsi="Times New Roman" w:cs="Times New Roman"/>
      <w:b/>
      <w:sz w:val="24"/>
      <w:szCs w:val="20"/>
    </w:rPr>
  </w:style>
  <w:style w:type="character" w:customStyle="1" w:styleId="AuthorcontactinformationChar">
    <w:name w:val="Author contact information Char"/>
    <w:basedOn w:val="DefaultParagraphFont"/>
    <w:link w:val="Authorcontactinformation"/>
    <w:rsid w:val="00BF0F61"/>
    <w:rPr>
      <w:rFonts w:ascii="Times New Roman" w:eastAsia="Times New Roman" w:hAnsi="Times New Roman" w:cs="Times New Roman"/>
      <w:szCs w:val="20"/>
    </w:rPr>
  </w:style>
  <w:style w:type="paragraph" w:customStyle="1" w:styleId="Title12-Centered">
    <w:name w:val="Title 12 - Centered"/>
    <w:basedOn w:val="Normal"/>
    <w:link w:val="Title12-CenteredChar"/>
    <w:qFormat/>
    <w:rsid w:val="00BF0F61"/>
    <w:pPr>
      <w:jc w:val="center"/>
    </w:pPr>
    <w:rPr>
      <w:b/>
      <w:caps/>
      <w:sz w:val="24"/>
      <w:szCs w:val="24"/>
    </w:rPr>
  </w:style>
  <w:style w:type="character" w:customStyle="1" w:styleId="Title12-CenteredChar">
    <w:name w:val="Title 12 - Centered Char"/>
    <w:basedOn w:val="DefaultParagraphFont"/>
    <w:link w:val="Title12-Centered"/>
    <w:rsid w:val="00BF0F61"/>
    <w:rPr>
      <w:rFonts w:ascii="Times New Roman" w:eastAsia="Times New Roman" w:hAnsi="Times New Roman" w:cs="Times New Roman"/>
      <w:b/>
      <w:caps/>
      <w:sz w:val="24"/>
      <w:szCs w:val="24"/>
    </w:rPr>
  </w:style>
  <w:style w:type="paragraph" w:customStyle="1" w:styleId="Default">
    <w:name w:val="Default"/>
    <w:rsid w:val="00BF0F61"/>
    <w:pPr>
      <w:widowControl w:val="0"/>
      <w:autoSpaceDE w:val="0"/>
      <w:autoSpaceDN w:val="0"/>
      <w:adjustRightInd w:val="0"/>
      <w:spacing w:after="0" w:line="240" w:lineRule="auto"/>
    </w:pPr>
    <w:rPr>
      <w:rFonts w:ascii="Times New Roman" w:eastAsia="Batang" w:hAnsi="Times New Roman" w:cs="Times New Roman"/>
      <w:color w:val="000000"/>
      <w:sz w:val="24"/>
      <w:szCs w:val="24"/>
      <w:lang w:eastAsia="ko-KR"/>
    </w:rPr>
  </w:style>
  <w:style w:type="paragraph" w:customStyle="1" w:styleId="Style5">
    <w:name w:val="Style5"/>
    <w:basedOn w:val="Normal"/>
    <w:rsid w:val="00BF0F61"/>
    <w:pPr>
      <w:overflowPunct w:val="0"/>
      <w:autoSpaceDE w:val="0"/>
      <w:autoSpaceDN w:val="0"/>
      <w:adjustRightInd w:val="0"/>
      <w:jc w:val="left"/>
      <w:textAlignment w:val="baseline"/>
    </w:pPr>
    <w:rPr>
      <w:caps/>
      <w:sz w:val="24"/>
      <w:lang w:val="en-GB" w:eastAsia="fr-FR"/>
    </w:rPr>
  </w:style>
  <w:style w:type="paragraph" w:styleId="BodyText2">
    <w:name w:val="Body Text 2"/>
    <w:basedOn w:val="Normal"/>
    <w:link w:val="BodyText2Char"/>
    <w:rsid w:val="00BF0F61"/>
    <w:pPr>
      <w:pBdr>
        <w:top w:val="single" w:sz="6" w:space="1" w:color="auto"/>
        <w:bottom w:val="single" w:sz="6" w:space="1" w:color="auto"/>
      </w:pBdr>
      <w:tabs>
        <w:tab w:val="left" w:pos="4962"/>
      </w:tabs>
      <w:jc w:val="center"/>
    </w:pPr>
    <w:rPr>
      <w:rFonts w:ascii="Arial" w:hAnsi="Arial" w:cs="Arial"/>
      <w:b/>
      <w:bCs/>
      <w:spacing w:val="20"/>
      <w:szCs w:val="24"/>
      <w:lang w:val="fr-FR" w:eastAsia="fr-FR"/>
    </w:rPr>
  </w:style>
  <w:style w:type="character" w:customStyle="1" w:styleId="BodyText2Char">
    <w:name w:val="Body Text 2 Char"/>
    <w:basedOn w:val="DefaultParagraphFont"/>
    <w:link w:val="BodyText2"/>
    <w:rsid w:val="00BF0F61"/>
    <w:rPr>
      <w:rFonts w:ascii="Arial" w:eastAsia="Times New Roman" w:hAnsi="Arial" w:cs="Arial"/>
      <w:b/>
      <w:bCs/>
      <w:spacing w:val="20"/>
      <w:szCs w:val="24"/>
      <w:lang w:val="fr-FR" w:eastAsia="fr-FR"/>
    </w:rPr>
  </w:style>
  <w:style w:type="paragraph" w:customStyle="1" w:styleId="BlockText1">
    <w:name w:val="Block Text1"/>
    <w:basedOn w:val="Normal"/>
    <w:rsid w:val="00BF0F61"/>
    <w:pPr>
      <w:tabs>
        <w:tab w:val="left" w:pos="5670"/>
      </w:tabs>
      <w:overflowPunct w:val="0"/>
      <w:autoSpaceDE w:val="0"/>
      <w:autoSpaceDN w:val="0"/>
      <w:adjustRightInd w:val="0"/>
      <w:ind w:left="426" w:right="708"/>
      <w:jc w:val="left"/>
      <w:textAlignment w:val="baseline"/>
    </w:pPr>
    <w:rPr>
      <w:sz w:val="24"/>
      <w:lang w:val="fr-FR" w:eastAsia="fr-FR"/>
    </w:rPr>
  </w:style>
  <w:style w:type="paragraph" w:styleId="BodyText3">
    <w:name w:val="Body Text 3"/>
    <w:basedOn w:val="Normal"/>
    <w:link w:val="BodyText3Char"/>
    <w:rsid w:val="00BF0F61"/>
    <w:pPr>
      <w:widowControl w:val="0"/>
      <w:overflowPunct w:val="0"/>
      <w:autoSpaceDE w:val="0"/>
      <w:autoSpaceDN w:val="0"/>
      <w:adjustRightInd w:val="0"/>
      <w:jc w:val="left"/>
      <w:textAlignment w:val="baseline"/>
    </w:pPr>
    <w:rPr>
      <w:rFonts w:ascii="Arial" w:hAnsi="Arial" w:cs="Arial"/>
      <w:b/>
      <w:bCs/>
      <w:color w:val="0000FF"/>
      <w:sz w:val="20"/>
      <w:lang w:val="en-GB" w:eastAsia="fr-FR"/>
    </w:rPr>
  </w:style>
  <w:style w:type="character" w:customStyle="1" w:styleId="BodyText3Char">
    <w:name w:val="Body Text 3 Char"/>
    <w:basedOn w:val="DefaultParagraphFont"/>
    <w:link w:val="BodyText3"/>
    <w:rsid w:val="00BF0F61"/>
    <w:rPr>
      <w:rFonts w:ascii="Arial" w:eastAsia="Times New Roman" w:hAnsi="Arial" w:cs="Arial"/>
      <w:b/>
      <w:bCs/>
      <w:color w:val="0000FF"/>
      <w:sz w:val="20"/>
      <w:szCs w:val="20"/>
      <w:lang w:val="en-GB" w:eastAsia="fr-FR"/>
    </w:rPr>
  </w:style>
  <w:style w:type="paragraph" w:styleId="BodyTextIndent">
    <w:name w:val="Body Text Indent"/>
    <w:basedOn w:val="Normal"/>
    <w:link w:val="BodyTextIndentChar"/>
    <w:rsid w:val="00BF0F61"/>
    <w:pPr>
      <w:tabs>
        <w:tab w:val="left" w:pos="1134"/>
      </w:tabs>
      <w:ind w:right="567" w:hanging="567"/>
    </w:pPr>
    <w:rPr>
      <w:sz w:val="24"/>
      <w:lang w:val="en-GB" w:eastAsia="fr-FR"/>
    </w:rPr>
  </w:style>
  <w:style w:type="character" w:customStyle="1" w:styleId="BodyTextIndentChar">
    <w:name w:val="Body Text Indent Char"/>
    <w:basedOn w:val="DefaultParagraphFont"/>
    <w:link w:val="BodyTextIndent"/>
    <w:rsid w:val="00BF0F61"/>
    <w:rPr>
      <w:rFonts w:ascii="Times New Roman" w:eastAsia="Times New Roman" w:hAnsi="Times New Roman" w:cs="Times New Roman"/>
      <w:sz w:val="24"/>
      <w:szCs w:val="20"/>
      <w:lang w:val="en-GB" w:eastAsia="fr-FR"/>
    </w:rPr>
  </w:style>
  <w:style w:type="paragraph" w:customStyle="1" w:styleId="BodyTextIndent21">
    <w:name w:val="Body Text Indent 21"/>
    <w:basedOn w:val="Normal"/>
    <w:rsid w:val="00BF0F61"/>
    <w:pPr>
      <w:tabs>
        <w:tab w:val="left" w:pos="4537"/>
      </w:tabs>
      <w:overflowPunct w:val="0"/>
      <w:autoSpaceDE w:val="0"/>
      <w:autoSpaceDN w:val="0"/>
      <w:adjustRightInd w:val="0"/>
      <w:ind w:left="567"/>
      <w:textAlignment w:val="baseline"/>
    </w:pPr>
    <w:rPr>
      <w:sz w:val="24"/>
      <w:lang w:val="fr-FR" w:eastAsia="fr-FR"/>
    </w:rPr>
  </w:style>
  <w:style w:type="paragraph" w:styleId="BodyTextIndent2">
    <w:name w:val="Body Text Indent 2"/>
    <w:basedOn w:val="Normal"/>
    <w:link w:val="BodyTextIndent2Char"/>
    <w:rsid w:val="00BF0F61"/>
    <w:pPr>
      <w:shd w:val="clear" w:color="auto" w:fill="FFFFFF"/>
      <w:tabs>
        <w:tab w:val="left" w:pos="4962"/>
      </w:tabs>
      <w:ind w:left="-357"/>
    </w:pPr>
    <w:rPr>
      <w:rFonts w:ascii="Arial" w:hAnsi="Arial" w:cs="Arial"/>
      <w:b/>
      <w:bCs/>
      <w:color w:val="FF9900"/>
      <w:sz w:val="44"/>
      <w:szCs w:val="24"/>
      <w:lang w:val="en-GB" w:eastAsia="fr-FR"/>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character" w:customStyle="1" w:styleId="BodyTextIndent2Char">
    <w:name w:val="Body Text Indent 2 Char"/>
    <w:basedOn w:val="DefaultParagraphFont"/>
    <w:link w:val="BodyTextIndent2"/>
    <w:rsid w:val="00BF0F61"/>
    <w:rPr>
      <w:rFonts w:ascii="Arial" w:eastAsia="Times New Roman" w:hAnsi="Arial" w:cs="Arial"/>
      <w:b/>
      <w:bCs/>
      <w:color w:val="FF9900"/>
      <w:sz w:val="44"/>
      <w:szCs w:val="24"/>
      <w:shd w:val="clear" w:color="auto" w:fill="FFFFFF"/>
      <w:lang w:val="en-GB" w:eastAsia="fr-FR"/>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paragraph" w:styleId="BodyTextIndent3">
    <w:name w:val="Body Text Indent 3"/>
    <w:basedOn w:val="Normal"/>
    <w:link w:val="BodyTextIndent3Char"/>
    <w:rsid w:val="00BF0F61"/>
    <w:pPr>
      <w:tabs>
        <w:tab w:val="num" w:pos="720"/>
      </w:tabs>
      <w:ind w:left="360"/>
    </w:pPr>
    <w:rPr>
      <w:rFonts w:ascii="Arial" w:hAnsi="Arial" w:cs="Arial"/>
      <w:sz w:val="32"/>
      <w:szCs w:val="24"/>
      <w:lang w:eastAsia="fr-FR"/>
    </w:rPr>
  </w:style>
  <w:style w:type="character" w:customStyle="1" w:styleId="BodyTextIndent3Char">
    <w:name w:val="Body Text Indent 3 Char"/>
    <w:basedOn w:val="DefaultParagraphFont"/>
    <w:link w:val="BodyTextIndent3"/>
    <w:rsid w:val="00BF0F61"/>
    <w:rPr>
      <w:rFonts w:ascii="Arial" w:eastAsia="Times New Roman" w:hAnsi="Arial" w:cs="Arial"/>
      <w:sz w:val="32"/>
      <w:szCs w:val="24"/>
      <w:lang w:eastAsia="fr-FR"/>
    </w:rPr>
  </w:style>
  <w:style w:type="paragraph" w:customStyle="1" w:styleId="a">
    <w:name w:val="바탕글"/>
    <w:link w:val="Char1"/>
    <w:rsid w:val="00BF0F61"/>
    <w:pPr>
      <w:widowControl w:val="0"/>
      <w:autoSpaceDE w:val="0"/>
      <w:autoSpaceDN w:val="0"/>
      <w:adjustRightInd w:val="0"/>
      <w:spacing w:after="0" w:line="240" w:lineRule="auto"/>
    </w:pPr>
    <w:rPr>
      <w:rFonts w:ascii="BatangChe" w:eastAsia="BatangChe" w:hAnsi="Times New Roman" w:cs="BatangChe"/>
      <w:color w:val="000000"/>
      <w:sz w:val="20"/>
      <w:szCs w:val="20"/>
      <w:lang w:eastAsia="ko-KR"/>
    </w:rPr>
  </w:style>
  <w:style w:type="paragraph" w:styleId="NormalWeb">
    <w:name w:val="Normal (Web)"/>
    <w:basedOn w:val="Normal"/>
    <w:uiPriority w:val="99"/>
    <w:rsid w:val="00BF0F61"/>
    <w:pPr>
      <w:spacing w:before="100" w:beforeAutospacing="1" w:after="100" w:afterAutospacing="1"/>
      <w:jc w:val="left"/>
    </w:pPr>
    <w:rPr>
      <w:rFonts w:ascii="Gulim" w:eastAsia="Gulim" w:hAnsi="Gulim" w:cs="Gulim"/>
      <w:sz w:val="24"/>
      <w:szCs w:val="24"/>
      <w:lang w:eastAsia="ko-KR"/>
    </w:rPr>
  </w:style>
  <w:style w:type="paragraph" w:customStyle="1" w:styleId="Arial10r">
    <w:name w:val="Arial 10 r"/>
    <w:basedOn w:val="BlockText"/>
    <w:autoRedefine/>
    <w:qFormat/>
    <w:rsid w:val="00BF0F61"/>
    <w:pPr>
      <w:autoSpaceDE w:val="0"/>
      <w:autoSpaceDN w:val="0"/>
      <w:adjustRightInd w:val="0"/>
      <w:spacing w:line="240" w:lineRule="auto"/>
      <w:jc w:val="center"/>
    </w:pPr>
    <w:rPr>
      <w:szCs w:val="22"/>
      <w:lang w:val="nn-NO" w:bidi="en-US"/>
    </w:rPr>
  </w:style>
  <w:style w:type="paragraph" w:styleId="Caption">
    <w:name w:val="caption"/>
    <w:basedOn w:val="Normal"/>
    <w:next w:val="Normal"/>
    <w:qFormat/>
    <w:rsid w:val="00BF0F61"/>
    <w:pPr>
      <w:spacing w:before="120" w:after="120"/>
      <w:jc w:val="left"/>
    </w:pPr>
    <w:rPr>
      <w:b/>
    </w:rPr>
  </w:style>
  <w:style w:type="character" w:styleId="CommentReference">
    <w:name w:val="annotation reference"/>
    <w:uiPriority w:val="99"/>
    <w:unhideWhenUsed/>
    <w:rsid w:val="00BF0F61"/>
    <w:rPr>
      <w:sz w:val="16"/>
      <w:szCs w:val="16"/>
    </w:rPr>
  </w:style>
  <w:style w:type="paragraph" w:styleId="CommentText">
    <w:name w:val="annotation text"/>
    <w:basedOn w:val="Normal"/>
    <w:link w:val="CommentTextChar"/>
    <w:uiPriority w:val="99"/>
    <w:unhideWhenUsed/>
    <w:rsid w:val="00BF0F61"/>
    <w:pPr>
      <w:jc w:val="left"/>
    </w:pPr>
    <w:rPr>
      <w:sz w:val="20"/>
    </w:rPr>
  </w:style>
  <w:style w:type="character" w:customStyle="1" w:styleId="CommentTextChar">
    <w:name w:val="Comment Text Char"/>
    <w:basedOn w:val="DefaultParagraphFont"/>
    <w:link w:val="CommentText"/>
    <w:uiPriority w:val="99"/>
    <w:rsid w:val="00BF0F61"/>
    <w:rPr>
      <w:rFonts w:ascii="Times New Roman" w:eastAsia="Times New Roman" w:hAnsi="Times New Roman" w:cs="Times New Roman"/>
      <w:sz w:val="20"/>
      <w:szCs w:val="20"/>
    </w:rPr>
  </w:style>
  <w:style w:type="paragraph" w:styleId="TOC1">
    <w:name w:val="toc 1"/>
    <w:basedOn w:val="Normal"/>
    <w:next w:val="Normal"/>
    <w:autoRedefine/>
    <w:uiPriority w:val="39"/>
    <w:rsid w:val="00BF0F61"/>
    <w:pPr>
      <w:tabs>
        <w:tab w:val="left" w:pos="180"/>
        <w:tab w:val="left" w:pos="630"/>
        <w:tab w:val="left" w:pos="1080"/>
        <w:tab w:val="right" w:leader="dot" w:pos="9350"/>
      </w:tabs>
      <w:jc w:val="left"/>
    </w:pPr>
    <w:rPr>
      <w:szCs w:val="22"/>
    </w:rPr>
  </w:style>
  <w:style w:type="paragraph" w:styleId="TOC3">
    <w:name w:val="toc 3"/>
    <w:basedOn w:val="Normal"/>
    <w:next w:val="Normal"/>
    <w:autoRedefine/>
    <w:uiPriority w:val="39"/>
    <w:rsid w:val="00BF0F61"/>
    <w:pPr>
      <w:ind w:left="480"/>
      <w:jc w:val="left"/>
    </w:pPr>
    <w:rPr>
      <w:sz w:val="24"/>
      <w:szCs w:val="24"/>
    </w:rPr>
  </w:style>
  <w:style w:type="paragraph" w:styleId="List2">
    <w:name w:val="List 2"/>
    <w:basedOn w:val="Normal"/>
    <w:rsid w:val="00BF0F61"/>
    <w:pPr>
      <w:ind w:left="720" w:hanging="360"/>
      <w:jc w:val="left"/>
    </w:pPr>
  </w:style>
  <w:style w:type="paragraph" w:styleId="CommentSubject">
    <w:name w:val="annotation subject"/>
    <w:basedOn w:val="CommentText"/>
    <w:next w:val="CommentText"/>
    <w:link w:val="CommentSubjectChar"/>
    <w:uiPriority w:val="99"/>
    <w:unhideWhenUsed/>
    <w:rsid w:val="00BF0F61"/>
    <w:rPr>
      <w:b/>
      <w:bCs/>
    </w:rPr>
  </w:style>
  <w:style w:type="character" w:customStyle="1" w:styleId="CommentSubjectChar">
    <w:name w:val="Comment Subject Char"/>
    <w:basedOn w:val="CommentTextChar"/>
    <w:link w:val="CommentSubject"/>
    <w:uiPriority w:val="99"/>
    <w:rsid w:val="00BF0F61"/>
    <w:rPr>
      <w:rFonts w:ascii="Times New Roman" w:eastAsia="Times New Roman" w:hAnsi="Times New Roman" w:cs="Times New Roman"/>
      <w:b/>
      <w:bCs/>
      <w:sz w:val="20"/>
      <w:szCs w:val="20"/>
    </w:rPr>
  </w:style>
  <w:style w:type="paragraph" w:styleId="Revision">
    <w:name w:val="Revision"/>
    <w:hidden/>
    <w:uiPriority w:val="99"/>
    <w:semiHidden/>
    <w:rsid w:val="00BF0F61"/>
    <w:pPr>
      <w:spacing w:after="0" w:line="240" w:lineRule="auto"/>
    </w:pPr>
    <w:rPr>
      <w:rFonts w:ascii="Times New Roman" w:eastAsia="Times New Roman" w:hAnsi="Times New Roman" w:cs="Times New Roman"/>
      <w:sz w:val="24"/>
      <w:szCs w:val="24"/>
    </w:rPr>
  </w:style>
  <w:style w:type="character" w:styleId="FollowedHyperlink">
    <w:name w:val="FollowedHyperlink"/>
    <w:uiPriority w:val="99"/>
    <w:unhideWhenUsed/>
    <w:rsid w:val="00BF0F61"/>
    <w:rPr>
      <w:color w:val="800080"/>
      <w:u w:val="single"/>
    </w:rPr>
  </w:style>
  <w:style w:type="character" w:customStyle="1" w:styleId="Char">
    <w:name w:val="Char"/>
    <w:basedOn w:val="DefaultParagraphFont"/>
    <w:uiPriority w:val="99"/>
    <w:rsid w:val="00BF0F61"/>
    <w:rPr>
      <w:rFonts w:ascii="Cambria" w:hAnsi="Cambria" w:cs="Cambria"/>
      <w:b/>
      <w:bCs/>
      <w:sz w:val="22"/>
      <w:szCs w:val="22"/>
      <w:lang w:val="en-US" w:eastAsia="en-US"/>
    </w:rPr>
  </w:style>
  <w:style w:type="paragraph" w:customStyle="1" w:styleId="TimesNew11">
    <w:name w:val="Times New 11"/>
    <w:basedOn w:val="a"/>
    <w:link w:val="TimesNew11Char"/>
    <w:qFormat/>
    <w:rsid w:val="00BF0F61"/>
    <w:pPr>
      <w:tabs>
        <w:tab w:val="left" w:pos="960"/>
        <w:tab w:val="left" w:pos="1312"/>
        <w:tab w:val="left" w:pos="2400"/>
        <w:tab w:val="left" w:pos="3200"/>
        <w:tab w:val="left" w:pos="4000"/>
        <w:tab w:val="left" w:pos="4800"/>
        <w:tab w:val="left" w:pos="5600"/>
        <w:tab w:val="left" w:pos="6400"/>
        <w:tab w:val="left" w:pos="7200"/>
        <w:tab w:val="left" w:pos="8000"/>
        <w:tab w:val="left" w:pos="8800"/>
      </w:tabs>
      <w:jc w:val="both"/>
    </w:pPr>
    <w:rPr>
      <w:rFonts w:ascii="Times New Roman" w:cs="Times New Roman"/>
      <w:sz w:val="22"/>
      <w:szCs w:val="22"/>
    </w:rPr>
  </w:style>
  <w:style w:type="character" w:customStyle="1" w:styleId="TimesNew11Char">
    <w:name w:val="Times New 11 Char"/>
    <w:basedOn w:val="DefaultParagraphFont"/>
    <w:link w:val="TimesNew11"/>
    <w:rsid w:val="00BF0F61"/>
    <w:rPr>
      <w:rFonts w:ascii="Times New Roman" w:eastAsia="BatangChe" w:hAnsi="Times New Roman" w:cs="Times New Roman"/>
      <w:color w:val="000000"/>
      <w:lang w:eastAsia="ko-KR"/>
    </w:rPr>
  </w:style>
  <w:style w:type="paragraph" w:customStyle="1" w:styleId="NewTimes11">
    <w:name w:val="New Times 11"/>
    <w:basedOn w:val="Normal"/>
    <w:link w:val="NewTimes11Char"/>
    <w:qFormat/>
    <w:rsid w:val="00BF0F61"/>
    <w:rPr>
      <w:rFonts w:eastAsiaTheme="minorHAnsi" w:cs="Arial"/>
      <w:szCs w:val="22"/>
    </w:rPr>
  </w:style>
  <w:style w:type="character" w:customStyle="1" w:styleId="NewTimes11Char">
    <w:name w:val="New Times 11 Char"/>
    <w:basedOn w:val="DefaultParagraphFont"/>
    <w:link w:val="NewTimes11"/>
    <w:rsid w:val="00BF0F61"/>
    <w:rPr>
      <w:rFonts w:ascii="Times New Roman" w:hAnsi="Times New Roman" w:cs="Arial"/>
    </w:rPr>
  </w:style>
  <w:style w:type="character" w:customStyle="1" w:styleId="DocumentMapChar">
    <w:name w:val="Document Map Char"/>
    <w:basedOn w:val="DefaultParagraphFont"/>
    <w:link w:val="DocumentMap"/>
    <w:rsid w:val="00BF0F61"/>
    <w:rPr>
      <w:rFonts w:ascii="Arial" w:eastAsia="DotumChe" w:hAnsi="Arial" w:cs="Arial"/>
      <w:kern w:val="2"/>
      <w:shd w:val="clear" w:color="auto" w:fill="000080"/>
      <w:lang w:eastAsia="ko-KR"/>
    </w:rPr>
  </w:style>
  <w:style w:type="paragraph" w:styleId="DocumentMap">
    <w:name w:val="Document Map"/>
    <w:basedOn w:val="Normal"/>
    <w:link w:val="DocumentMapChar"/>
    <w:rsid w:val="00BF0F61"/>
    <w:pPr>
      <w:widowControl w:val="0"/>
      <w:shd w:val="clear" w:color="auto" w:fill="000080"/>
      <w:wordWrap w:val="0"/>
    </w:pPr>
    <w:rPr>
      <w:rFonts w:ascii="Arial" w:eastAsia="DotumChe" w:hAnsi="Arial" w:cs="Arial"/>
      <w:kern w:val="2"/>
      <w:szCs w:val="22"/>
      <w:lang w:eastAsia="ko-KR"/>
    </w:rPr>
  </w:style>
  <w:style w:type="character" w:customStyle="1" w:styleId="DocumentMapChar1">
    <w:name w:val="Document Map Char1"/>
    <w:basedOn w:val="DefaultParagraphFont"/>
    <w:rsid w:val="00BF0F61"/>
    <w:rPr>
      <w:rFonts w:ascii="Tahoma" w:eastAsia="Times New Roman" w:hAnsi="Tahoma" w:cs="Tahoma"/>
      <w:sz w:val="16"/>
      <w:szCs w:val="16"/>
    </w:rPr>
  </w:style>
  <w:style w:type="paragraph" w:customStyle="1" w:styleId="Char0">
    <w:name w:val="바탕글 Char"/>
    <w:link w:val="CharChar"/>
    <w:rsid w:val="00BF0F61"/>
    <w:pPr>
      <w:widowControl w:val="0"/>
      <w:autoSpaceDE w:val="0"/>
      <w:autoSpaceDN w:val="0"/>
      <w:adjustRightInd w:val="0"/>
      <w:spacing w:after="0" w:line="240" w:lineRule="auto"/>
    </w:pPr>
    <w:rPr>
      <w:rFonts w:ascii="BatangChe" w:eastAsia="BatangChe" w:hAnsi="Times New Roman" w:cs="BatangChe"/>
      <w:color w:val="000000"/>
      <w:kern w:val="2"/>
      <w:sz w:val="20"/>
      <w:szCs w:val="20"/>
      <w:lang w:eastAsia="ko-KR"/>
    </w:rPr>
  </w:style>
  <w:style w:type="character" w:customStyle="1" w:styleId="CharChar">
    <w:name w:val="바탕글 Char Char"/>
    <w:link w:val="Char0"/>
    <w:rsid w:val="00BF0F61"/>
    <w:rPr>
      <w:rFonts w:ascii="BatangChe" w:eastAsia="BatangChe" w:hAnsi="Times New Roman" w:cs="BatangChe"/>
      <w:color w:val="000000"/>
      <w:kern w:val="2"/>
      <w:sz w:val="20"/>
      <w:szCs w:val="20"/>
      <w:lang w:eastAsia="ko-KR"/>
    </w:rPr>
  </w:style>
  <w:style w:type="character" w:customStyle="1" w:styleId="Char1">
    <w:name w:val="바탕글 Char1"/>
    <w:basedOn w:val="DefaultParagraphFont"/>
    <w:link w:val="a"/>
    <w:rsid w:val="00BF0F61"/>
    <w:rPr>
      <w:rFonts w:ascii="BatangChe" w:eastAsia="BatangChe" w:hAnsi="Times New Roman" w:cs="BatangChe"/>
      <w:color w:val="000000"/>
      <w:sz w:val="20"/>
      <w:szCs w:val="20"/>
      <w:lang w:eastAsia="ko-KR"/>
    </w:rPr>
  </w:style>
  <w:style w:type="character" w:styleId="PlaceholderText">
    <w:name w:val="Placeholder Text"/>
    <w:basedOn w:val="DefaultParagraphFont"/>
    <w:uiPriority w:val="99"/>
    <w:semiHidden/>
    <w:rsid w:val="00BF0F61"/>
    <w:rPr>
      <w:color w:val="808080"/>
    </w:rPr>
  </w:style>
  <w:style w:type="table" w:styleId="LightShading">
    <w:name w:val="Light Shading"/>
    <w:basedOn w:val="TableNormal"/>
    <w:uiPriority w:val="60"/>
    <w:rsid w:val="00BF0F61"/>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pple-converted-space">
    <w:name w:val="apple-converted-space"/>
    <w:basedOn w:val="DefaultParagraphFont"/>
    <w:rsid w:val="00BF0F61"/>
  </w:style>
  <w:style w:type="character" w:customStyle="1" w:styleId="Name">
    <w:name w:val="Name"/>
    <w:basedOn w:val="DefaultParagraphFont"/>
    <w:uiPriority w:val="99"/>
    <w:rsid w:val="00BF0F61"/>
    <w:rPr>
      <w:rFonts w:ascii="Arial" w:hAnsi="Arial" w:cs="Arial"/>
      <w:b/>
      <w:bCs/>
      <w:sz w:val="48"/>
      <w:szCs w:val="48"/>
    </w:rPr>
  </w:style>
  <w:style w:type="paragraph" w:styleId="TOCHeading">
    <w:name w:val="TOC Heading"/>
    <w:basedOn w:val="Heading1"/>
    <w:next w:val="Normal"/>
    <w:uiPriority w:val="99"/>
    <w:qFormat/>
    <w:rsid w:val="00BF0F61"/>
    <w:pPr>
      <w:spacing w:before="120" w:after="240" w:line="276" w:lineRule="auto"/>
      <w:outlineLvl w:val="9"/>
    </w:pPr>
    <w:rPr>
      <w:rFonts w:ascii="Cambria" w:hAnsi="Cambria" w:cs="Cambria"/>
      <w:bCs/>
      <w:caps/>
      <w:sz w:val="28"/>
      <w:szCs w:val="28"/>
    </w:rPr>
  </w:style>
  <w:style w:type="character" w:styleId="Emphasis">
    <w:name w:val="Emphasis"/>
    <w:basedOn w:val="DefaultParagraphFont"/>
    <w:uiPriority w:val="20"/>
    <w:qFormat/>
    <w:rsid w:val="00BF0F61"/>
    <w:rPr>
      <w:rFonts w:cs="Times New Roman"/>
      <w:b/>
      <w:bCs/>
      <w:i/>
      <w:iCs/>
      <w:spacing w:val="10"/>
      <w:shd w:val="clear" w:color="auto" w:fill="auto"/>
    </w:rPr>
  </w:style>
  <w:style w:type="paragraph" w:styleId="Quote">
    <w:name w:val="Quote"/>
    <w:basedOn w:val="Normal"/>
    <w:next w:val="Normal"/>
    <w:link w:val="QuoteChar"/>
    <w:uiPriority w:val="99"/>
    <w:qFormat/>
    <w:rsid w:val="00BF0F61"/>
    <w:pPr>
      <w:spacing w:before="200" w:line="276" w:lineRule="auto"/>
      <w:ind w:left="360" w:right="360"/>
      <w:jc w:val="left"/>
    </w:pPr>
    <w:rPr>
      <w:rFonts w:ascii="Calibri" w:hAnsi="Calibri" w:cs="Calibri"/>
      <w:i/>
      <w:iCs/>
      <w:sz w:val="24"/>
      <w:szCs w:val="24"/>
    </w:rPr>
  </w:style>
  <w:style w:type="character" w:customStyle="1" w:styleId="QuoteChar">
    <w:name w:val="Quote Char"/>
    <w:basedOn w:val="DefaultParagraphFont"/>
    <w:link w:val="Quote"/>
    <w:uiPriority w:val="99"/>
    <w:rsid w:val="00BF0F61"/>
    <w:rPr>
      <w:rFonts w:ascii="Calibri" w:eastAsia="Times New Roman" w:hAnsi="Calibri" w:cs="Calibri"/>
      <w:i/>
      <w:iCs/>
      <w:sz w:val="24"/>
      <w:szCs w:val="24"/>
    </w:rPr>
  </w:style>
  <w:style w:type="paragraph" w:styleId="IntenseQuote">
    <w:name w:val="Intense Quote"/>
    <w:basedOn w:val="Normal"/>
    <w:next w:val="Normal"/>
    <w:link w:val="IntenseQuoteChar"/>
    <w:uiPriority w:val="99"/>
    <w:qFormat/>
    <w:rsid w:val="00BF0F61"/>
    <w:pPr>
      <w:pBdr>
        <w:bottom w:val="single" w:sz="4" w:space="1" w:color="auto"/>
      </w:pBdr>
      <w:spacing w:before="200" w:after="280" w:line="276" w:lineRule="auto"/>
      <w:ind w:left="1008" w:right="1152"/>
    </w:pPr>
    <w:rPr>
      <w:rFonts w:ascii="Calibri" w:hAnsi="Calibri" w:cs="Calibri"/>
      <w:b/>
      <w:bCs/>
      <w:i/>
      <w:iCs/>
      <w:sz w:val="24"/>
      <w:szCs w:val="24"/>
    </w:rPr>
  </w:style>
  <w:style w:type="character" w:customStyle="1" w:styleId="IntenseQuoteChar">
    <w:name w:val="Intense Quote Char"/>
    <w:basedOn w:val="DefaultParagraphFont"/>
    <w:link w:val="IntenseQuote"/>
    <w:uiPriority w:val="99"/>
    <w:rsid w:val="00BF0F61"/>
    <w:rPr>
      <w:rFonts w:ascii="Calibri" w:eastAsia="Times New Roman" w:hAnsi="Calibri" w:cs="Calibri"/>
      <w:b/>
      <w:bCs/>
      <w:i/>
      <w:iCs/>
      <w:sz w:val="24"/>
      <w:szCs w:val="24"/>
    </w:rPr>
  </w:style>
  <w:style w:type="character" w:styleId="SubtleEmphasis">
    <w:name w:val="Subtle Emphasis"/>
    <w:basedOn w:val="DefaultParagraphFont"/>
    <w:uiPriority w:val="99"/>
    <w:qFormat/>
    <w:rsid w:val="00BF0F61"/>
    <w:rPr>
      <w:rFonts w:cs="Times New Roman"/>
      <w:i/>
      <w:iCs/>
    </w:rPr>
  </w:style>
  <w:style w:type="character" w:styleId="IntenseEmphasis">
    <w:name w:val="Intense Emphasis"/>
    <w:basedOn w:val="DefaultParagraphFont"/>
    <w:uiPriority w:val="99"/>
    <w:qFormat/>
    <w:rsid w:val="00BF0F61"/>
    <w:rPr>
      <w:rFonts w:cs="Times New Roman"/>
      <w:b/>
      <w:bCs/>
    </w:rPr>
  </w:style>
  <w:style w:type="character" w:styleId="SubtleReference">
    <w:name w:val="Subtle Reference"/>
    <w:basedOn w:val="DefaultParagraphFont"/>
    <w:uiPriority w:val="99"/>
    <w:qFormat/>
    <w:rsid w:val="00BF0F61"/>
    <w:rPr>
      <w:rFonts w:cs="Times New Roman"/>
      <w:smallCaps/>
    </w:rPr>
  </w:style>
  <w:style w:type="character" w:styleId="IntenseReference">
    <w:name w:val="Intense Reference"/>
    <w:basedOn w:val="DefaultParagraphFont"/>
    <w:uiPriority w:val="99"/>
    <w:qFormat/>
    <w:rsid w:val="00BF0F61"/>
    <w:rPr>
      <w:rFonts w:cs="Times New Roman"/>
      <w:smallCaps/>
      <w:spacing w:val="5"/>
      <w:u w:val="single"/>
    </w:rPr>
  </w:style>
  <w:style w:type="character" w:styleId="BookTitle">
    <w:name w:val="Book Title"/>
    <w:basedOn w:val="DefaultParagraphFont"/>
    <w:uiPriority w:val="99"/>
    <w:qFormat/>
    <w:rsid w:val="00BF0F61"/>
    <w:rPr>
      <w:rFonts w:cs="Times New Roman"/>
      <w:i/>
      <w:iCs/>
      <w:smallCaps/>
      <w:spacing w:val="5"/>
    </w:rPr>
  </w:style>
  <w:style w:type="paragraph" w:styleId="TOC2">
    <w:name w:val="toc 2"/>
    <w:basedOn w:val="Normal"/>
    <w:next w:val="Normal"/>
    <w:autoRedefine/>
    <w:uiPriority w:val="39"/>
    <w:rsid w:val="00BF0F61"/>
    <w:pPr>
      <w:spacing w:line="276" w:lineRule="auto"/>
      <w:ind w:left="216"/>
      <w:jc w:val="left"/>
    </w:pPr>
    <w:rPr>
      <w:rFonts w:ascii="Calibri" w:hAnsi="Calibri" w:cs="Calibri"/>
      <w:sz w:val="24"/>
      <w:szCs w:val="24"/>
    </w:rPr>
  </w:style>
  <w:style w:type="paragraph" w:customStyle="1" w:styleId="NormalLeft0">
    <w:name w:val="Normal + Left:  0&quot;"/>
    <w:aliases w:val="Hanging:  0.5&quot;"/>
    <w:basedOn w:val="Normal"/>
    <w:uiPriority w:val="99"/>
    <w:rsid w:val="00BF0F61"/>
    <w:pPr>
      <w:jc w:val="left"/>
    </w:pPr>
    <w:rPr>
      <w:rFonts w:ascii="Calibri" w:hAnsi="Calibri" w:cs="Calibri"/>
      <w:sz w:val="20"/>
    </w:rPr>
  </w:style>
  <w:style w:type="character" w:customStyle="1" w:styleId="biblio-authors">
    <w:name w:val="biblio-authors"/>
    <w:basedOn w:val="DefaultParagraphFont"/>
    <w:rsid w:val="00BF0F61"/>
  </w:style>
  <w:style w:type="character" w:customStyle="1" w:styleId="biblio-title">
    <w:name w:val="biblio-title"/>
    <w:basedOn w:val="DefaultParagraphFont"/>
    <w:rsid w:val="00BF0F61"/>
  </w:style>
  <w:style w:type="paragraph" w:styleId="TableofFigures">
    <w:name w:val="table of figures"/>
    <w:basedOn w:val="Normal"/>
    <w:next w:val="Normal"/>
    <w:uiPriority w:val="99"/>
    <w:unhideWhenUsed/>
    <w:rsid w:val="00BF0F61"/>
    <w:pPr>
      <w:jc w:val="left"/>
    </w:pPr>
    <w:rPr>
      <w:sz w:val="24"/>
      <w:szCs w:val="24"/>
    </w:rPr>
  </w:style>
  <w:style w:type="table" w:styleId="Table3Deffects3">
    <w:name w:val="Table 3D effects 3"/>
    <w:basedOn w:val="TableNormal"/>
    <w:rsid w:val="00BF0F61"/>
    <w:pPr>
      <w:spacing w:after="0" w:line="240" w:lineRule="auto"/>
      <w:jc w:val="both"/>
    </w:pPr>
    <w:rPr>
      <w:rFonts w:ascii="Times" w:eastAsia="Times New Roman" w:hAnsi="Times" w:cs="Times New Roman"/>
      <w:sz w:val="20"/>
      <w:szCs w:val="20"/>
      <w:lang w:val="sv-SE" w:eastAsia="sv-SE"/>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18References">
    <w:name w:val="18. References"/>
    <w:basedOn w:val="Normal"/>
    <w:qFormat/>
    <w:rsid w:val="00BF0F6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s>
      <w:autoSpaceDE w:val="0"/>
      <w:autoSpaceDN w:val="0"/>
      <w:adjustRightInd w:val="0"/>
      <w:spacing w:line="240" w:lineRule="atLeast"/>
      <w:ind w:left="360" w:hanging="360"/>
    </w:pPr>
    <w:rPr>
      <w:rFonts w:ascii="Garamond" w:eastAsia="Calibri" w:hAnsi="Garamond" w:cs="Times New Roman PS MT"/>
      <w:color w:val="000000"/>
      <w:sz w:val="21"/>
    </w:rPr>
  </w:style>
  <w:style w:type="character" w:styleId="HTMLCite">
    <w:name w:val="HTML Cite"/>
    <w:basedOn w:val="DefaultParagraphFont"/>
    <w:uiPriority w:val="99"/>
    <w:unhideWhenUsed/>
    <w:rsid w:val="00BF0F61"/>
    <w:rPr>
      <w:i/>
      <w:iCs/>
    </w:rPr>
  </w:style>
  <w:style w:type="paragraph" w:customStyle="1" w:styleId="ATPparagraph">
    <w:name w:val="ATP paragraph"/>
    <w:basedOn w:val="Normal"/>
    <w:link w:val="ATPparagraphChar"/>
    <w:qFormat/>
    <w:rsid w:val="00BF0F61"/>
    <w:pPr>
      <w:ind w:firstLine="288"/>
    </w:pPr>
  </w:style>
  <w:style w:type="character" w:customStyle="1" w:styleId="ATPparagraphChar">
    <w:name w:val="ATP paragraph Char"/>
    <w:basedOn w:val="DefaultParagraphFont"/>
    <w:link w:val="ATPparagraph"/>
    <w:rsid w:val="00BF0F61"/>
    <w:rPr>
      <w:rFonts w:ascii="Times New Roman" w:eastAsia="Times New Roman" w:hAnsi="Times New Roman" w:cs="Times New Roman"/>
      <w:szCs w:val="20"/>
    </w:rPr>
  </w:style>
  <w:style w:type="paragraph" w:customStyle="1" w:styleId="Singlespacedline">
    <w:name w:val="Single spaced line"/>
    <w:aliases w:val="centered"/>
    <w:basedOn w:val="Normal"/>
    <w:autoRedefine/>
    <w:rsid w:val="00BF0F61"/>
    <w:pPr>
      <w:tabs>
        <w:tab w:val="left" w:pos="4900"/>
      </w:tabs>
      <w:jc w:val="left"/>
    </w:pPr>
    <w:rPr>
      <w:rFonts w:ascii="Arial" w:hAnsi="Arial" w:cs="Arial"/>
      <w:bCs/>
      <w:sz w:val="20"/>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List" w:uiPriority="0"/>
    <w:lsdException w:name="List 2" w:uiPriority="0"/>
    <w:lsdException w:name="Title" w:semiHidden="0" w:unhideWhenUsed="0" w:qFormat="1"/>
    <w:lsdException w:name="Default Paragraph Font" w:uiPriority="1"/>
    <w:lsdException w:name="Body Text" w:uiPriority="0"/>
    <w:lsdException w:name="Body Text Indent" w:uiPriority="0"/>
    <w:lsdException w:name="Subtitle" w:semiHidden="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nhideWhenUsed="0" w:qFormat="1"/>
    <w:lsdException w:name="Emphasis" w:semiHidden="0" w:uiPriority="20" w:unhideWhenUsed="0" w:qFormat="1"/>
    <w:lsdException w:name="Document Map" w:uiPriority="0"/>
    <w:lsdException w:name="Table List 1" w:uiPriority="0"/>
    <w:lsdException w:name="Table 3D effects 1" w:uiPriority="0"/>
    <w:lsdException w:name="Table 3D effects 3"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Normal">
    <w:name w:val="Normal"/>
    <w:aliases w:val="Arial 11 - 1.0"/>
    <w:qFormat/>
    <w:rsid w:val="00BF0F61"/>
    <w:pPr>
      <w:spacing w:after="0" w:line="240" w:lineRule="auto"/>
      <w:jc w:val="both"/>
    </w:pPr>
    <w:rPr>
      <w:rFonts w:ascii="Times New Roman" w:eastAsia="Times New Roman" w:hAnsi="Times New Roman" w:cs="Times New Roman"/>
      <w:szCs w:val="20"/>
    </w:rPr>
  </w:style>
  <w:style w:type="paragraph" w:styleId="Heading1">
    <w:name w:val="heading 1"/>
    <w:basedOn w:val="Normal"/>
    <w:next w:val="Normal"/>
    <w:link w:val="Heading1Char"/>
    <w:autoRedefine/>
    <w:uiPriority w:val="99"/>
    <w:qFormat/>
    <w:rsid w:val="00BF0F61"/>
    <w:pPr>
      <w:numPr>
        <w:numId w:val="36"/>
      </w:numPr>
      <w:jc w:val="left"/>
      <w:outlineLvl w:val="0"/>
    </w:pPr>
    <w:rPr>
      <w:b/>
      <w:szCs w:val="22"/>
    </w:rPr>
  </w:style>
  <w:style w:type="paragraph" w:styleId="Heading2">
    <w:name w:val="heading 2"/>
    <w:aliases w:val="Sub title"/>
    <w:basedOn w:val="Normal"/>
    <w:next w:val="Normal"/>
    <w:link w:val="Heading2Char"/>
    <w:autoRedefine/>
    <w:uiPriority w:val="99"/>
    <w:qFormat/>
    <w:rsid w:val="00BF0F61"/>
    <w:pPr>
      <w:jc w:val="left"/>
      <w:outlineLvl w:val="1"/>
    </w:pPr>
    <w:rPr>
      <w:b/>
      <w:sz w:val="24"/>
      <w:szCs w:val="24"/>
    </w:rPr>
  </w:style>
  <w:style w:type="paragraph" w:styleId="Heading3">
    <w:name w:val="heading 3"/>
    <w:basedOn w:val="Normal"/>
    <w:next w:val="Normal"/>
    <w:link w:val="Heading3Char"/>
    <w:uiPriority w:val="99"/>
    <w:unhideWhenUsed/>
    <w:qFormat/>
    <w:rsid w:val="00BF0F6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qFormat/>
    <w:rsid w:val="00BF0F61"/>
    <w:pPr>
      <w:keepNext/>
      <w:tabs>
        <w:tab w:val="num" w:pos="720"/>
      </w:tabs>
      <w:ind w:left="360"/>
      <w:jc w:val="center"/>
      <w:outlineLvl w:val="3"/>
    </w:pPr>
    <w:rPr>
      <w:rFonts w:ascii="Arial" w:hAnsi="Arial" w:cs="Arial"/>
      <w:sz w:val="52"/>
      <w:szCs w:val="24"/>
      <w:lang w:eastAsia="fr-FR"/>
    </w:rPr>
  </w:style>
  <w:style w:type="paragraph" w:styleId="Heading5">
    <w:name w:val="heading 5"/>
    <w:basedOn w:val="Normal"/>
    <w:next w:val="Normal"/>
    <w:link w:val="Heading5Char"/>
    <w:uiPriority w:val="99"/>
    <w:qFormat/>
    <w:rsid w:val="00BF0F61"/>
    <w:pPr>
      <w:keepNext/>
      <w:widowControl w:val="0"/>
      <w:tabs>
        <w:tab w:val="left" w:pos="4537"/>
      </w:tabs>
      <w:overflowPunct w:val="0"/>
      <w:autoSpaceDE w:val="0"/>
      <w:autoSpaceDN w:val="0"/>
      <w:adjustRightInd w:val="0"/>
      <w:ind w:right="-2"/>
      <w:textAlignment w:val="baseline"/>
      <w:outlineLvl w:val="4"/>
    </w:pPr>
    <w:rPr>
      <w:b/>
      <w:sz w:val="28"/>
      <w:lang w:val="en-GB" w:eastAsia="fr-FR"/>
    </w:rPr>
  </w:style>
  <w:style w:type="paragraph" w:styleId="Heading6">
    <w:name w:val="heading 6"/>
    <w:basedOn w:val="Normal"/>
    <w:next w:val="Normal"/>
    <w:link w:val="Heading6Char"/>
    <w:uiPriority w:val="99"/>
    <w:qFormat/>
    <w:rsid w:val="00BF0F61"/>
    <w:pPr>
      <w:keepNext/>
      <w:tabs>
        <w:tab w:val="left" w:pos="4537"/>
      </w:tabs>
      <w:outlineLvl w:val="5"/>
    </w:pPr>
    <w:rPr>
      <w:rFonts w:ascii="Arial" w:hAnsi="Arial" w:cs="Arial"/>
      <w:b/>
      <w:bCs/>
      <w:sz w:val="24"/>
      <w:szCs w:val="24"/>
      <w:lang w:val="en-GB" w:eastAsia="fr-FR"/>
    </w:rPr>
  </w:style>
  <w:style w:type="paragraph" w:styleId="Heading7">
    <w:name w:val="heading 7"/>
    <w:basedOn w:val="Normal"/>
    <w:next w:val="Normal"/>
    <w:link w:val="Heading7Char"/>
    <w:uiPriority w:val="99"/>
    <w:qFormat/>
    <w:rsid w:val="00BF0F61"/>
    <w:pPr>
      <w:keepNext/>
      <w:widowControl w:val="0"/>
      <w:tabs>
        <w:tab w:val="left" w:pos="3402"/>
      </w:tabs>
      <w:overflowPunct w:val="0"/>
      <w:autoSpaceDE w:val="0"/>
      <w:autoSpaceDN w:val="0"/>
      <w:adjustRightInd w:val="0"/>
      <w:ind w:left="567" w:right="706"/>
      <w:textAlignment w:val="baseline"/>
      <w:outlineLvl w:val="6"/>
    </w:pPr>
    <w:rPr>
      <w:b/>
      <w:sz w:val="20"/>
      <w:lang w:val="en-GB" w:eastAsia="fr-FR"/>
    </w:rPr>
  </w:style>
  <w:style w:type="paragraph" w:styleId="Heading8">
    <w:name w:val="heading 8"/>
    <w:basedOn w:val="Normal"/>
    <w:next w:val="Normal"/>
    <w:link w:val="Heading8Char"/>
    <w:uiPriority w:val="99"/>
    <w:qFormat/>
    <w:rsid w:val="00BF0F61"/>
    <w:pPr>
      <w:keepNext/>
      <w:widowControl w:val="0"/>
      <w:tabs>
        <w:tab w:val="left" w:pos="3402"/>
      </w:tabs>
      <w:overflowPunct w:val="0"/>
      <w:autoSpaceDE w:val="0"/>
      <w:autoSpaceDN w:val="0"/>
      <w:adjustRightInd w:val="0"/>
      <w:ind w:left="567" w:right="706"/>
      <w:textAlignment w:val="baseline"/>
      <w:outlineLvl w:val="7"/>
    </w:pPr>
    <w:rPr>
      <w:b/>
      <w:sz w:val="24"/>
      <w:lang w:val="en-GB" w:eastAsia="fr-FR"/>
    </w:rPr>
  </w:style>
  <w:style w:type="paragraph" w:styleId="Heading9">
    <w:name w:val="heading 9"/>
    <w:basedOn w:val="Normal"/>
    <w:next w:val="Normal"/>
    <w:link w:val="Heading9Char"/>
    <w:uiPriority w:val="99"/>
    <w:qFormat/>
    <w:rsid w:val="00BF0F61"/>
    <w:pPr>
      <w:keepNext/>
      <w:widowControl w:val="0"/>
      <w:tabs>
        <w:tab w:val="left" w:pos="709"/>
      </w:tabs>
      <w:overflowPunct w:val="0"/>
      <w:autoSpaceDE w:val="0"/>
      <w:autoSpaceDN w:val="0"/>
      <w:adjustRightInd w:val="0"/>
      <w:spacing w:before="120"/>
      <w:ind w:left="142"/>
      <w:textAlignment w:val="baseline"/>
      <w:outlineLvl w:val="8"/>
    </w:pPr>
    <w:rPr>
      <w:i/>
      <w:iCs/>
      <w:sz w:val="24"/>
      <w:lang w:val="en-IE"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ATE references"/>
    <w:link w:val="NoSpacingChar"/>
    <w:uiPriority w:val="99"/>
    <w:qFormat/>
    <w:rsid w:val="00BC577A"/>
    <w:pPr>
      <w:spacing w:after="0" w:line="240" w:lineRule="auto"/>
    </w:pPr>
    <w:rPr>
      <w:rFonts w:ascii="Arial" w:eastAsia="SimSun" w:hAnsi="Arial" w:cs="Times New Roman"/>
      <w:szCs w:val="24"/>
      <w:lang w:eastAsia="zh-CN"/>
    </w:rPr>
  </w:style>
  <w:style w:type="character" w:customStyle="1" w:styleId="Heading1Char">
    <w:name w:val="Heading 1 Char"/>
    <w:basedOn w:val="DefaultParagraphFont"/>
    <w:link w:val="Heading1"/>
    <w:uiPriority w:val="99"/>
    <w:rsid w:val="00BF0F61"/>
    <w:rPr>
      <w:rFonts w:ascii="Times New Roman" w:eastAsia="Times New Roman" w:hAnsi="Times New Roman" w:cs="Times New Roman"/>
      <w:b/>
    </w:rPr>
  </w:style>
  <w:style w:type="character" w:customStyle="1" w:styleId="Heading2Char">
    <w:name w:val="Heading 2 Char"/>
    <w:aliases w:val="Sub title Char"/>
    <w:basedOn w:val="DefaultParagraphFont"/>
    <w:link w:val="Heading2"/>
    <w:uiPriority w:val="99"/>
    <w:rsid w:val="00BF0F61"/>
    <w:rPr>
      <w:rFonts w:ascii="Times New Roman" w:eastAsia="Times New Roman" w:hAnsi="Times New Roman" w:cs="Times New Roman"/>
      <w:b/>
      <w:sz w:val="24"/>
      <w:szCs w:val="24"/>
    </w:rPr>
  </w:style>
  <w:style w:type="character" w:customStyle="1" w:styleId="Heading3Char">
    <w:name w:val="Heading 3 Char"/>
    <w:basedOn w:val="DefaultParagraphFont"/>
    <w:link w:val="Heading3"/>
    <w:uiPriority w:val="99"/>
    <w:rsid w:val="00BF0F61"/>
    <w:rPr>
      <w:rFonts w:asciiTheme="majorHAnsi" w:eastAsiaTheme="majorEastAsia" w:hAnsiTheme="majorHAnsi" w:cstheme="majorBidi"/>
      <w:b/>
      <w:bCs/>
      <w:color w:val="4F81BD" w:themeColor="accent1"/>
      <w:szCs w:val="20"/>
    </w:rPr>
  </w:style>
  <w:style w:type="character" w:customStyle="1" w:styleId="Heading4Char">
    <w:name w:val="Heading 4 Char"/>
    <w:basedOn w:val="DefaultParagraphFont"/>
    <w:link w:val="Heading4"/>
    <w:uiPriority w:val="99"/>
    <w:rsid w:val="00BF0F61"/>
    <w:rPr>
      <w:rFonts w:ascii="Arial" w:eastAsia="Times New Roman" w:hAnsi="Arial" w:cs="Arial"/>
      <w:sz w:val="52"/>
      <w:szCs w:val="24"/>
      <w:lang w:eastAsia="fr-FR"/>
    </w:rPr>
  </w:style>
  <w:style w:type="character" w:customStyle="1" w:styleId="Heading5Char">
    <w:name w:val="Heading 5 Char"/>
    <w:basedOn w:val="DefaultParagraphFont"/>
    <w:link w:val="Heading5"/>
    <w:uiPriority w:val="99"/>
    <w:rsid w:val="00BF0F61"/>
    <w:rPr>
      <w:rFonts w:ascii="Times New Roman" w:eastAsia="Times New Roman" w:hAnsi="Times New Roman" w:cs="Times New Roman"/>
      <w:b/>
      <w:sz w:val="28"/>
      <w:szCs w:val="20"/>
      <w:lang w:val="en-GB" w:eastAsia="fr-FR"/>
    </w:rPr>
  </w:style>
  <w:style w:type="character" w:customStyle="1" w:styleId="Heading6Char">
    <w:name w:val="Heading 6 Char"/>
    <w:basedOn w:val="DefaultParagraphFont"/>
    <w:link w:val="Heading6"/>
    <w:uiPriority w:val="99"/>
    <w:rsid w:val="00BF0F61"/>
    <w:rPr>
      <w:rFonts w:ascii="Arial" w:eastAsia="Times New Roman" w:hAnsi="Arial" w:cs="Arial"/>
      <w:b/>
      <w:bCs/>
      <w:sz w:val="24"/>
      <w:szCs w:val="24"/>
      <w:lang w:val="en-GB" w:eastAsia="fr-FR"/>
    </w:rPr>
  </w:style>
  <w:style w:type="character" w:customStyle="1" w:styleId="Heading7Char">
    <w:name w:val="Heading 7 Char"/>
    <w:basedOn w:val="DefaultParagraphFont"/>
    <w:link w:val="Heading7"/>
    <w:uiPriority w:val="99"/>
    <w:rsid w:val="00BF0F61"/>
    <w:rPr>
      <w:rFonts w:ascii="Times New Roman" w:eastAsia="Times New Roman" w:hAnsi="Times New Roman" w:cs="Times New Roman"/>
      <w:b/>
      <w:sz w:val="20"/>
      <w:szCs w:val="20"/>
      <w:lang w:val="en-GB" w:eastAsia="fr-FR"/>
    </w:rPr>
  </w:style>
  <w:style w:type="character" w:customStyle="1" w:styleId="Heading8Char">
    <w:name w:val="Heading 8 Char"/>
    <w:basedOn w:val="DefaultParagraphFont"/>
    <w:link w:val="Heading8"/>
    <w:uiPriority w:val="99"/>
    <w:rsid w:val="00BF0F61"/>
    <w:rPr>
      <w:rFonts w:ascii="Times New Roman" w:eastAsia="Times New Roman" w:hAnsi="Times New Roman" w:cs="Times New Roman"/>
      <w:b/>
      <w:sz w:val="24"/>
      <w:szCs w:val="20"/>
      <w:lang w:val="en-GB" w:eastAsia="fr-FR"/>
    </w:rPr>
  </w:style>
  <w:style w:type="character" w:customStyle="1" w:styleId="Heading9Char">
    <w:name w:val="Heading 9 Char"/>
    <w:basedOn w:val="DefaultParagraphFont"/>
    <w:link w:val="Heading9"/>
    <w:uiPriority w:val="99"/>
    <w:rsid w:val="00BF0F61"/>
    <w:rPr>
      <w:rFonts w:ascii="Times New Roman" w:eastAsia="Times New Roman" w:hAnsi="Times New Roman" w:cs="Times New Roman"/>
      <w:i/>
      <w:iCs/>
      <w:sz w:val="24"/>
      <w:szCs w:val="20"/>
      <w:lang w:val="en-IE" w:eastAsia="fr-FR"/>
    </w:rPr>
  </w:style>
  <w:style w:type="paragraph" w:styleId="BodyText">
    <w:name w:val="Body Text"/>
    <w:basedOn w:val="Normal"/>
    <w:link w:val="BodyTextChar"/>
    <w:rsid w:val="00BF0F61"/>
    <w:pPr>
      <w:spacing w:line="480" w:lineRule="auto"/>
      <w:ind w:firstLine="540"/>
    </w:pPr>
  </w:style>
  <w:style w:type="character" w:customStyle="1" w:styleId="BodyTextChar">
    <w:name w:val="Body Text Char"/>
    <w:basedOn w:val="DefaultParagraphFont"/>
    <w:link w:val="BodyText"/>
    <w:rsid w:val="00BF0F61"/>
    <w:rPr>
      <w:rFonts w:ascii="Times New Roman" w:eastAsia="Times New Roman" w:hAnsi="Times New Roman" w:cs="Times New Roman"/>
      <w:szCs w:val="20"/>
    </w:rPr>
  </w:style>
  <w:style w:type="paragraph" w:styleId="Header">
    <w:name w:val="header"/>
    <w:basedOn w:val="Normal"/>
    <w:link w:val="HeaderChar"/>
    <w:uiPriority w:val="99"/>
    <w:rsid w:val="00BF0F61"/>
    <w:pPr>
      <w:tabs>
        <w:tab w:val="center" w:pos="4320"/>
        <w:tab w:val="right" w:pos="8640"/>
      </w:tabs>
    </w:pPr>
  </w:style>
  <w:style w:type="character" w:customStyle="1" w:styleId="HeaderChar">
    <w:name w:val="Header Char"/>
    <w:basedOn w:val="DefaultParagraphFont"/>
    <w:link w:val="Header"/>
    <w:uiPriority w:val="99"/>
    <w:rsid w:val="00BF0F61"/>
    <w:rPr>
      <w:rFonts w:ascii="Times New Roman" w:eastAsia="Times New Roman" w:hAnsi="Times New Roman" w:cs="Times New Roman"/>
      <w:szCs w:val="20"/>
    </w:rPr>
  </w:style>
  <w:style w:type="character" w:styleId="PageNumber">
    <w:name w:val="page number"/>
    <w:basedOn w:val="DefaultParagraphFont"/>
    <w:uiPriority w:val="99"/>
    <w:rsid w:val="00BF0F61"/>
  </w:style>
  <w:style w:type="character" w:styleId="Hyperlink">
    <w:name w:val="Hyperlink"/>
    <w:basedOn w:val="DefaultParagraphFont"/>
    <w:uiPriority w:val="99"/>
    <w:rsid w:val="00BF0F61"/>
    <w:rPr>
      <w:color w:val="0000FF"/>
      <w:u w:val="single"/>
    </w:rPr>
  </w:style>
  <w:style w:type="paragraph" w:styleId="Footer">
    <w:name w:val="footer"/>
    <w:basedOn w:val="Normal"/>
    <w:link w:val="FooterChar"/>
    <w:uiPriority w:val="99"/>
    <w:rsid w:val="00BF0F61"/>
    <w:pPr>
      <w:tabs>
        <w:tab w:val="center" w:pos="4320"/>
        <w:tab w:val="right" w:pos="8640"/>
      </w:tabs>
    </w:pPr>
  </w:style>
  <w:style w:type="character" w:customStyle="1" w:styleId="FooterChar">
    <w:name w:val="Footer Char"/>
    <w:basedOn w:val="DefaultParagraphFont"/>
    <w:link w:val="Footer"/>
    <w:uiPriority w:val="99"/>
    <w:rsid w:val="00BF0F61"/>
    <w:rPr>
      <w:rFonts w:ascii="Times New Roman" w:eastAsia="Times New Roman" w:hAnsi="Times New Roman" w:cs="Times New Roman"/>
      <w:szCs w:val="20"/>
    </w:rPr>
  </w:style>
  <w:style w:type="paragraph" w:customStyle="1" w:styleId="Numberedlist">
    <w:name w:val="Numbered list"/>
    <w:basedOn w:val="Normal"/>
    <w:rsid w:val="00BF0F61"/>
    <w:pPr>
      <w:numPr>
        <w:numId w:val="1"/>
      </w:numPr>
      <w:spacing w:line="480" w:lineRule="auto"/>
    </w:pPr>
  </w:style>
  <w:style w:type="paragraph" w:styleId="BlockText">
    <w:name w:val="Block Text"/>
    <w:basedOn w:val="BodyText"/>
    <w:link w:val="BlockTextChar"/>
    <w:rsid w:val="00BF0F61"/>
    <w:pPr>
      <w:ind w:firstLine="0"/>
    </w:pPr>
  </w:style>
  <w:style w:type="paragraph" w:customStyle="1" w:styleId="Quotation">
    <w:name w:val="Quotation"/>
    <w:basedOn w:val="BodyText"/>
    <w:rsid w:val="00BF0F61"/>
    <w:pPr>
      <w:ind w:left="547" w:firstLine="0"/>
    </w:pPr>
  </w:style>
  <w:style w:type="character" w:customStyle="1" w:styleId="BlockTextChar">
    <w:name w:val="Block Text Char"/>
    <w:basedOn w:val="BodyTextChar"/>
    <w:link w:val="BlockText"/>
    <w:rsid w:val="00BF0F61"/>
    <w:rPr>
      <w:rFonts w:ascii="Times New Roman" w:eastAsia="Times New Roman" w:hAnsi="Times New Roman" w:cs="Times New Roman"/>
      <w:szCs w:val="20"/>
    </w:rPr>
  </w:style>
  <w:style w:type="paragraph" w:customStyle="1" w:styleId="Reference">
    <w:name w:val="Reference"/>
    <w:basedOn w:val="BodyText"/>
    <w:rsid w:val="00BF0F61"/>
    <w:pPr>
      <w:ind w:left="547" w:hanging="547"/>
    </w:pPr>
  </w:style>
  <w:style w:type="character" w:styleId="Strong">
    <w:name w:val="Strong"/>
    <w:basedOn w:val="DefaultParagraphFont"/>
    <w:uiPriority w:val="99"/>
    <w:qFormat/>
    <w:rsid w:val="00BF0F61"/>
    <w:rPr>
      <w:b/>
      <w:bCs/>
    </w:rPr>
  </w:style>
  <w:style w:type="numbering" w:customStyle="1" w:styleId="Style1">
    <w:name w:val="Style1"/>
    <w:rsid w:val="00BF0F61"/>
    <w:pPr>
      <w:numPr>
        <w:numId w:val="2"/>
      </w:numPr>
    </w:pPr>
  </w:style>
  <w:style w:type="numbering" w:customStyle="1" w:styleId="Style2">
    <w:name w:val="Style2"/>
    <w:rsid w:val="00BF0F61"/>
    <w:pPr>
      <w:numPr>
        <w:numId w:val="3"/>
      </w:numPr>
    </w:pPr>
  </w:style>
  <w:style w:type="paragraph" w:styleId="BalloonText">
    <w:name w:val="Balloon Text"/>
    <w:basedOn w:val="Normal"/>
    <w:link w:val="BalloonTextChar"/>
    <w:uiPriority w:val="99"/>
    <w:rsid w:val="00BF0F61"/>
    <w:rPr>
      <w:rFonts w:ascii="Tahoma" w:hAnsi="Tahoma" w:cs="Tahoma"/>
      <w:sz w:val="16"/>
      <w:szCs w:val="16"/>
    </w:rPr>
  </w:style>
  <w:style w:type="character" w:customStyle="1" w:styleId="BalloonTextChar">
    <w:name w:val="Balloon Text Char"/>
    <w:basedOn w:val="DefaultParagraphFont"/>
    <w:link w:val="BalloonText"/>
    <w:uiPriority w:val="99"/>
    <w:rsid w:val="00BF0F61"/>
    <w:rPr>
      <w:rFonts w:ascii="Tahoma" w:eastAsia="Times New Roman" w:hAnsi="Tahoma" w:cs="Tahoma"/>
      <w:sz w:val="16"/>
      <w:szCs w:val="16"/>
    </w:rPr>
  </w:style>
  <w:style w:type="paragraph" w:customStyle="1" w:styleId="SubSubTitle">
    <w:name w:val="SubSubTitle"/>
    <w:basedOn w:val="Heading3"/>
    <w:next w:val="Normal"/>
    <w:link w:val="SubSubTitleChar"/>
    <w:qFormat/>
    <w:rsid w:val="00BF0F61"/>
    <w:pPr>
      <w:numPr>
        <w:ilvl w:val="2"/>
        <w:numId w:val="7"/>
      </w:numPr>
      <w:spacing w:before="240"/>
    </w:pPr>
    <w:rPr>
      <w:rFonts w:ascii="Times New Roman" w:hAnsi="Times New Roman"/>
      <w:b w:val="0"/>
      <w:color w:val="000000" w:themeColor="text1"/>
    </w:rPr>
  </w:style>
  <w:style w:type="paragraph" w:styleId="ListParagraph">
    <w:name w:val="List Paragraph"/>
    <w:basedOn w:val="Normal"/>
    <w:uiPriority w:val="34"/>
    <w:qFormat/>
    <w:rsid w:val="00BF0F61"/>
    <w:pPr>
      <w:ind w:left="720"/>
      <w:contextualSpacing/>
    </w:pPr>
  </w:style>
  <w:style w:type="character" w:customStyle="1" w:styleId="SubSubTitleChar">
    <w:name w:val="SubSubTitle Char"/>
    <w:basedOn w:val="Heading3Char"/>
    <w:link w:val="SubSubTitle"/>
    <w:rsid w:val="00BF0F61"/>
    <w:rPr>
      <w:rFonts w:ascii="Times New Roman" w:eastAsiaTheme="majorEastAsia" w:hAnsi="Times New Roman" w:cstheme="majorBidi"/>
      <w:b w:val="0"/>
      <w:bCs/>
      <w:color w:val="000000" w:themeColor="text1"/>
      <w:szCs w:val="20"/>
    </w:rPr>
  </w:style>
  <w:style w:type="numbering" w:customStyle="1" w:styleId="Style3">
    <w:name w:val="Style3"/>
    <w:rsid w:val="00BF0F61"/>
    <w:pPr>
      <w:numPr>
        <w:numId w:val="4"/>
      </w:numPr>
    </w:pPr>
  </w:style>
  <w:style w:type="paragraph" w:styleId="FootnoteText">
    <w:name w:val="footnote text"/>
    <w:basedOn w:val="Normal"/>
    <w:link w:val="FootnoteTextChar"/>
    <w:rsid w:val="00BF0F61"/>
    <w:rPr>
      <w:sz w:val="20"/>
    </w:rPr>
  </w:style>
  <w:style w:type="character" w:customStyle="1" w:styleId="FootnoteTextChar">
    <w:name w:val="Footnote Text Char"/>
    <w:basedOn w:val="DefaultParagraphFont"/>
    <w:link w:val="FootnoteText"/>
    <w:rsid w:val="00BF0F61"/>
    <w:rPr>
      <w:rFonts w:ascii="Times New Roman" w:eastAsia="Times New Roman" w:hAnsi="Times New Roman" w:cs="Times New Roman"/>
      <w:sz w:val="20"/>
      <w:szCs w:val="20"/>
    </w:rPr>
  </w:style>
  <w:style w:type="character" w:styleId="FootnoteReference">
    <w:name w:val="footnote reference"/>
    <w:basedOn w:val="DefaultParagraphFont"/>
    <w:rsid w:val="00BF0F61"/>
    <w:rPr>
      <w:vertAlign w:val="superscript"/>
    </w:rPr>
  </w:style>
  <w:style w:type="table" w:styleId="TableGrid">
    <w:name w:val="Table Grid"/>
    <w:basedOn w:val="TableList1"/>
    <w:uiPriority w:val="59"/>
    <w:rsid w:val="00BF0F61"/>
    <w:pPr>
      <w:jc w:val="center"/>
    </w:pPr>
    <w:rPr>
      <w:color w:val="FFFFFF" w:themeColor="background1"/>
    </w:rPr>
    <w:tblP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shd w:val="clear" w:color="auto" w:fill="FFFFFF" w:themeFill="background1"/>
      <w:vAlign w:val="center"/>
    </w:tcPr>
    <w:tblStylePr w:type="firstRow">
      <w:rPr>
        <w:rFonts w:ascii="Times New Roman" w:hAnsi="Times New Roman"/>
        <w:b/>
        <w:bCs/>
        <w:i/>
        <w:iCs/>
        <w:color w:val="800000"/>
        <w:sz w:val="22"/>
      </w:rPr>
      <w:tblPr/>
      <w:tcPr>
        <w:tcBorders>
          <w:bottom w:val="single" w:sz="6" w:space="0" w:color="000000"/>
          <w:tl2br w:val="none" w:sz="0" w:space="0" w:color="auto"/>
          <w:tr2bl w:val="none" w:sz="0" w:space="0" w:color="auto"/>
        </w:tcBorders>
        <w:shd w:val="clear" w:color="auto" w:fill="000000" w:themeFill="text1"/>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1">
    <w:name w:val="Table 3D effects 1"/>
    <w:basedOn w:val="TableNormal"/>
    <w:rsid w:val="00BF0F61"/>
    <w:pPr>
      <w:spacing w:after="0" w:line="240" w:lineRule="auto"/>
      <w:jc w:val="both"/>
    </w:pPr>
    <w:rPr>
      <w:rFonts w:ascii="Times" w:eastAsia="Times New Roman" w:hAnsi="Times" w:cs="Times New Roman"/>
      <w:sz w:val="20"/>
      <w:szCs w:val="20"/>
      <w:lang w:val="sv-SE" w:eastAsia="sv-S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List1">
    <w:name w:val="Table List 1"/>
    <w:basedOn w:val="TableNormal"/>
    <w:rsid w:val="00BF0F61"/>
    <w:pPr>
      <w:spacing w:after="0" w:line="240" w:lineRule="auto"/>
      <w:jc w:val="both"/>
    </w:pPr>
    <w:rPr>
      <w:rFonts w:ascii="Times" w:eastAsia="Times New Roman" w:hAnsi="Times" w:cs="Times New Roman"/>
      <w:sz w:val="20"/>
      <w:szCs w:val="20"/>
      <w:lang w:val="sv-SE" w:eastAsia="sv-SE"/>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Table">
    <w:name w:val="Table"/>
    <w:basedOn w:val="List"/>
    <w:next w:val="Normal"/>
    <w:link w:val="TableChar"/>
    <w:autoRedefine/>
    <w:qFormat/>
    <w:rsid w:val="00BF0F61"/>
    <w:pPr>
      <w:numPr>
        <w:numId w:val="5"/>
      </w:numPr>
      <w:ind w:left="0" w:firstLine="0"/>
      <w:contextualSpacing w:val="0"/>
    </w:pPr>
    <w:rPr>
      <w:rFonts w:ascii="Times New Roman" w:eastAsia="Times New Roman" w:hAnsi="Times New Roman" w:cs="Times New Roman"/>
      <w:szCs w:val="20"/>
    </w:rPr>
  </w:style>
  <w:style w:type="paragraph" w:customStyle="1" w:styleId="Figure">
    <w:name w:val="Figure"/>
    <w:basedOn w:val="Normal"/>
    <w:next w:val="Normal"/>
    <w:link w:val="FigureChar"/>
    <w:autoRedefine/>
    <w:qFormat/>
    <w:rsid w:val="00BF0F61"/>
    <w:pPr>
      <w:numPr>
        <w:numId w:val="6"/>
      </w:numPr>
      <w:jc w:val="center"/>
    </w:pPr>
  </w:style>
  <w:style w:type="character" w:customStyle="1" w:styleId="ListChar">
    <w:name w:val="List Char"/>
    <w:basedOn w:val="DefaultParagraphFont"/>
    <w:link w:val="List"/>
    <w:rsid w:val="00BF0F61"/>
  </w:style>
  <w:style w:type="paragraph" w:styleId="List">
    <w:name w:val="List"/>
    <w:basedOn w:val="Normal"/>
    <w:link w:val="ListChar"/>
    <w:rsid w:val="00BF0F61"/>
    <w:pPr>
      <w:ind w:left="283" w:hanging="283"/>
      <w:contextualSpacing/>
    </w:pPr>
    <w:rPr>
      <w:rFonts w:asciiTheme="minorHAnsi" w:eastAsiaTheme="minorHAnsi" w:hAnsiTheme="minorHAnsi" w:cstheme="minorBidi"/>
      <w:szCs w:val="22"/>
    </w:rPr>
  </w:style>
  <w:style w:type="character" w:customStyle="1" w:styleId="TableChar">
    <w:name w:val="Table Char"/>
    <w:basedOn w:val="ListChar"/>
    <w:link w:val="Table"/>
    <w:rsid w:val="00BF0F61"/>
    <w:rPr>
      <w:rFonts w:ascii="Times New Roman" w:eastAsia="Times New Roman" w:hAnsi="Times New Roman" w:cs="Times New Roman"/>
      <w:szCs w:val="20"/>
    </w:rPr>
  </w:style>
  <w:style w:type="character" w:customStyle="1" w:styleId="FigureChar">
    <w:name w:val="Figure Char"/>
    <w:basedOn w:val="DefaultParagraphFont"/>
    <w:link w:val="Figure"/>
    <w:rsid w:val="00BF0F61"/>
    <w:rPr>
      <w:rFonts w:ascii="Times New Roman" w:eastAsia="Times New Roman" w:hAnsi="Times New Roman" w:cs="Times New Roman"/>
      <w:szCs w:val="20"/>
    </w:rPr>
  </w:style>
  <w:style w:type="paragraph" w:styleId="Subtitle">
    <w:name w:val="Subtitle"/>
    <w:basedOn w:val="Normal"/>
    <w:next w:val="Normal"/>
    <w:link w:val="SubtitleChar"/>
    <w:uiPriority w:val="99"/>
    <w:qFormat/>
    <w:rsid w:val="00BF0F6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99"/>
    <w:rsid w:val="00BF0F61"/>
    <w:rPr>
      <w:rFonts w:asciiTheme="majorHAnsi" w:eastAsiaTheme="majorEastAsia" w:hAnsiTheme="majorHAnsi" w:cstheme="majorBidi"/>
      <w:i/>
      <w:iCs/>
      <w:color w:val="4F81BD" w:themeColor="accent1"/>
      <w:spacing w:val="15"/>
      <w:sz w:val="24"/>
      <w:szCs w:val="24"/>
    </w:rPr>
  </w:style>
  <w:style w:type="paragraph" w:styleId="Title">
    <w:name w:val="Title"/>
    <w:basedOn w:val="Normal"/>
    <w:next w:val="Normal"/>
    <w:link w:val="TitleChar"/>
    <w:autoRedefine/>
    <w:uiPriority w:val="99"/>
    <w:qFormat/>
    <w:rsid w:val="00BF0F61"/>
    <w:pPr>
      <w:spacing w:after="300"/>
      <w:contextualSpacing/>
      <w:jc w:val="center"/>
    </w:pPr>
    <w:rPr>
      <w:rFonts w:eastAsiaTheme="majorEastAsia" w:cstheme="majorBidi"/>
      <w:b/>
      <w:caps/>
      <w:color w:val="000000" w:themeColor="text1"/>
      <w:spacing w:val="5"/>
      <w:kern w:val="28"/>
      <w:sz w:val="28"/>
      <w:szCs w:val="28"/>
    </w:rPr>
  </w:style>
  <w:style w:type="character" w:customStyle="1" w:styleId="TitleChar">
    <w:name w:val="Title Char"/>
    <w:basedOn w:val="DefaultParagraphFont"/>
    <w:link w:val="Title"/>
    <w:uiPriority w:val="99"/>
    <w:rsid w:val="00BF0F61"/>
    <w:rPr>
      <w:rFonts w:ascii="Times New Roman" w:eastAsiaTheme="majorEastAsia" w:hAnsi="Times New Roman" w:cstheme="majorBidi"/>
      <w:b/>
      <w:caps/>
      <w:color w:val="000000" w:themeColor="text1"/>
      <w:spacing w:val="5"/>
      <w:kern w:val="28"/>
      <w:sz w:val="28"/>
      <w:szCs w:val="28"/>
    </w:rPr>
  </w:style>
  <w:style w:type="character" w:customStyle="1" w:styleId="NoSpacingChar">
    <w:name w:val="No Spacing Char"/>
    <w:aliases w:val="ATE references Char"/>
    <w:basedOn w:val="DefaultParagraphFont"/>
    <w:link w:val="NoSpacing"/>
    <w:uiPriority w:val="1"/>
    <w:rsid w:val="00BF0F61"/>
    <w:rPr>
      <w:rFonts w:ascii="Arial" w:eastAsia="SimSun" w:hAnsi="Arial" w:cs="Times New Roman"/>
      <w:szCs w:val="24"/>
      <w:lang w:eastAsia="zh-CN"/>
    </w:rPr>
  </w:style>
  <w:style w:type="paragraph" w:customStyle="1" w:styleId="MainTitle">
    <w:name w:val="Main Title"/>
    <w:basedOn w:val="BodyText"/>
    <w:link w:val="MainTitleChar"/>
    <w:qFormat/>
    <w:rsid w:val="00BF0F61"/>
    <w:pPr>
      <w:jc w:val="center"/>
    </w:pPr>
    <w:rPr>
      <w:b/>
      <w:caps/>
      <w:sz w:val="28"/>
    </w:rPr>
  </w:style>
  <w:style w:type="paragraph" w:customStyle="1" w:styleId="AuthorNames">
    <w:name w:val="Author Names"/>
    <w:basedOn w:val="Normal"/>
    <w:link w:val="AuthorNamesChar"/>
    <w:qFormat/>
    <w:rsid w:val="00BF0F61"/>
    <w:pPr>
      <w:jc w:val="center"/>
    </w:pPr>
    <w:rPr>
      <w:b/>
      <w:sz w:val="24"/>
    </w:rPr>
  </w:style>
  <w:style w:type="character" w:customStyle="1" w:styleId="MainTitleChar">
    <w:name w:val="Main Title Char"/>
    <w:basedOn w:val="BodyTextChar"/>
    <w:link w:val="MainTitle"/>
    <w:rsid w:val="00BF0F61"/>
    <w:rPr>
      <w:rFonts w:ascii="Times New Roman" w:eastAsia="Times New Roman" w:hAnsi="Times New Roman" w:cs="Times New Roman"/>
      <w:b/>
      <w:caps/>
      <w:sz w:val="28"/>
      <w:szCs w:val="20"/>
    </w:rPr>
  </w:style>
  <w:style w:type="paragraph" w:customStyle="1" w:styleId="Authorcontactinformation">
    <w:name w:val="Author contact information"/>
    <w:basedOn w:val="Normal"/>
    <w:link w:val="AuthorcontactinformationChar"/>
    <w:qFormat/>
    <w:rsid w:val="00BF0F61"/>
    <w:pPr>
      <w:jc w:val="center"/>
    </w:pPr>
  </w:style>
  <w:style w:type="character" w:customStyle="1" w:styleId="AuthorNamesChar">
    <w:name w:val="Author Names Char"/>
    <w:basedOn w:val="DefaultParagraphFont"/>
    <w:link w:val="AuthorNames"/>
    <w:rsid w:val="00BF0F61"/>
    <w:rPr>
      <w:rFonts w:ascii="Times New Roman" w:eastAsia="Times New Roman" w:hAnsi="Times New Roman" w:cs="Times New Roman"/>
      <w:b/>
      <w:sz w:val="24"/>
      <w:szCs w:val="20"/>
    </w:rPr>
  </w:style>
  <w:style w:type="character" w:customStyle="1" w:styleId="AuthorcontactinformationChar">
    <w:name w:val="Author contact information Char"/>
    <w:basedOn w:val="DefaultParagraphFont"/>
    <w:link w:val="Authorcontactinformation"/>
    <w:rsid w:val="00BF0F61"/>
    <w:rPr>
      <w:rFonts w:ascii="Times New Roman" w:eastAsia="Times New Roman" w:hAnsi="Times New Roman" w:cs="Times New Roman"/>
      <w:szCs w:val="20"/>
    </w:rPr>
  </w:style>
  <w:style w:type="paragraph" w:customStyle="1" w:styleId="Title12-Centered">
    <w:name w:val="Title 12 - Centered"/>
    <w:basedOn w:val="Normal"/>
    <w:link w:val="Title12-CenteredChar"/>
    <w:qFormat/>
    <w:rsid w:val="00BF0F61"/>
    <w:pPr>
      <w:jc w:val="center"/>
    </w:pPr>
    <w:rPr>
      <w:b/>
      <w:caps/>
      <w:sz w:val="24"/>
      <w:szCs w:val="24"/>
    </w:rPr>
  </w:style>
  <w:style w:type="character" w:customStyle="1" w:styleId="Title12-CenteredChar">
    <w:name w:val="Title 12 - Centered Char"/>
    <w:basedOn w:val="DefaultParagraphFont"/>
    <w:link w:val="Title12-Centered"/>
    <w:rsid w:val="00BF0F61"/>
    <w:rPr>
      <w:rFonts w:ascii="Times New Roman" w:eastAsia="Times New Roman" w:hAnsi="Times New Roman" w:cs="Times New Roman"/>
      <w:b/>
      <w:caps/>
      <w:sz w:val="24"/>
      <w:szCs w:val="24"/>
    </w:rPr>
  </w:style>
  <w:style w:type="paragraph" w:customStyle="1" w:styleId="Default">
    <w:name w:val="Default"/>
    <w:rsid w:val="00BF0F61"/>
    <w:pPr>
      <w:widowControl w:val="0"/>
      <w:autoSpaceDE w:val="0"/>
      <w:autoSpaceDN w:val="0"/>
      <w:adjustRightInd w:val="0"/>
      <w:spacing w:after="0" w:line="240" w:lineRule="auto"/>
    </w:pPr>
    <w:rPr>
      <w:rFonts w:ascii="Times New Roman" w:eastAsia="Batang" w:hAnsi="Times New Roman" w:cs="Times New Roman"/>
      <w:color w:val="000000"/>
      <w:sz w:val="24"/>
      <w:szCs w:val="24"/>
      <w:lang w:eastAsia="ko-KR"/>
    </w:rPr>
  </w:style>
  <w:style w:type="paragraph" w:customStyle="1" w:styleId="Style5">
    <w:name w:val="Style5"/>
    <w:basedOn w:val="Normal"/>
    <w:rsid w:val="00BF0F61"/>
    <w:pPr>
      <w:overflowPunct w:val="0"/>
      <w:autoSpaceDE w:val="0"/>
      <w:autoSpaceDN w:val="0"/>
      <w:adjustRightInd w:val="0"/>
      <w:jc w:val="left"/>
      <w:textAlignment w:val="baseline"/>
    </w:pPr>
    <w:rPr>
      <w:caps/>
      <w:sz w:val="24"/>
      <w:lang w:val="en-GB" w:eastAsia="fr-FR"/>
    </w:rPr>
  </w:style>
  <w:style w:type="paragraph" w:styleId="BodyText2">
    <w:name w:val="Body Text 2"/>
    <w:basedOn w:val="Normal"/>
    <w:link w:val="BodyText2Char"/>
    <w:rsid w:val="00BF0F61"/>
    <w:pPr>
      <w:pBdr>
        <w:top w:val="single" w:sz="6" w:space="1" w:color="auto"/>
        <w:bottom w:val="single" w:sz="6" w:space="1" w:color="auto"/>
      </w:pBdr>
      <w:tabs>
        <w:tab w:val="left" w:pos="4962"/>
      </w:tabs>
      <w:jc w:val="center"/>
    </w:pPr>
    <w:rPr>
      <w:rFonts w:ascii="Arial" w:hAnsi="Arial" w:cs="Arial"/>
      <w:b/>
      <w:bCs/>
      <w:spacing w:val="20"/>
      <w:szCs w:val="24"/>
      <w:lang w:val="fr-FR" w:eastAsia="fr-FR"/>
    </w:rPr>
  </w:style>
  <w:style w:type="character" w:customStyle="1" w:styleId="BodyText2Char">
    <w:name w:val="Body Text 2 Char"/>
    <w:basedOn w:val="DefaultParagraphFont"/>
    <w:link w:val="BodyText2"/>
    <w:rsid w:val="00BF0F61"/>
    <w:rPr>
      <w:rFonts w:ascii="Arial" w:eastAsia="Times New Roman" w:hAnsi="Arial" w:cs="Arial"/>
      <w:b/>
      <w:bCs/>
      <w:spacing w:val="20"/>
      <w:szCs w:val="24"/>
      <w:lang w:val="fr-FR" w:eastAsia="fr-FR"/>
    </w:rPr>
  </w:style>
  <w:style w:type="paragraph" w:customStyle="1" w:styleId="BlockText1">
    <w:name w:val="Block Text1"/>
    <w:basedOn w:val="Normal"/>
    <w:rsid w:val="00BF0F61"/>
    <w:pPr>
      <w:tabs>
        <w:tab w:val="left" w:pos="5670"/>
      </w:tabs>
      <w:overflowPunct w:val="0"/>
      <w:autoSpaceDE w:val="0"/>
      <w:autoSpaceDN w:val="0"/>
      <w:adjustRightInd w:val="0"/>
      <w:ind w:left="426" w:right="708"/>
      <w:jc w:val="left"/>
      <w:textAlignment w:val="baseline"/>
    </w:pPr>
    <w:rPr>
      <w:sz w:val="24"/>
      <w:lang w:val="fr-FR" w:eastAsia="fr-FR"/>
    </w:rPr>
  </w:style>
  <w:style w:type="paragraph" w:styleId="BodyText3">
    <w:name w:val="Body Text 3"/>
    <w:basedOn w:val="Normal"/>
    <w:link w:val="BodyText3Char"/>
    <w:rsid w:val="00BF0F61"/>
    <w:pPr>
      <w:widowControl w:val="0"/>
      <w:overflowPunct w:val="0"/>
      <w:autoSpaceDE w:val="0"/>
      <w:autoSpaceDN w:val="0"/>
      <w:adjustRightInd w:val="0"/>
      <w:jc w:val="left"/>
      <w:textAlignment w:val="baseline"/>
    </w:pPr>
    <w:rPr>
      <w:rFonts w:ascii="Arial" w:hAnsi="Arial" w:cs="Arial"/>
      <w:b/>
      <w:bCs/>
      <w:color w:val="0000FF"/>
      <w:sz w:val="20"/>
      <w:lang w:val="en-GB" w:eastAsia="fr-FR"/>
    </w:rPr>
  </w:style>
  <w:style w:type="character" w:customStyle="1" w:styleId="BodyText3Char">
    <w:name w:val="Body Text 3 Char"/>
    <w:basedOn w:val="DefaultParagraphFont"/>
    <w:link w:val="BodyText3"/>
    <w:rsid w:val="00BF0F61"/>
    <w:rPr>
      <w:rFonts w:ascii="Arial" w:eastAsia="Times New Roman" w:hAnsi="Arial" w:cs="Arial"/>
      <w:b/>
      <w:bCs/>
      <w:color w:val="0000FF"/>
      <w:sz w:val="20"/>
      <w:szCs w:val="20"/>
      <w:lang w:val="en-GB" w:eastAsia="fr-FR"/>
    </w:rPr>
  </w:style>
  <w:style w:type="paragraph" w:styleId="BodyTextIndent">
    <w:name w:val="Body Text Indent"/>
    <w:basedOn w:val="Normal"/>
    <w:link w:val="BodyTextIndentChar"/>
    <w:rsid w:val="00BF0F61"/>
    <w:pPr>
      <w:tabs>
        <w:tab w:val="left" w:pos="1134"/>
      </w:tabs>
      <w:ind w:right="567" w:hanging="567"/>
    </w:pPr>
    <w:rPr>
      <w:sz w:val="24"/>
      <w:lang w:val="en-GB" w:eastAsia="fr-FR"/>
    </w:rPr>
  </w:style>
  <w:style w:type="character" w:customStyle="1" w:styleId="BodyTextIndentChar">
    <w:name w:val="Body Text Indent Char"/>
    <w:basedOn w:val="DefaultParagraphFont"/>
    <w:link w:val="BodyTextIndent"/>
    <w:rsid w:val="00BF0F61"/>
    <w:rPr>
      <w:rFonts w:ascii="Times New Roman" w:eastAsia="Times New Roman" w:hAnsi="Times New Roman" w:cs="Times New Roman"/>
      <w:sz w:val="24"/>
      <w:szCs w:val="20"/>
      <w:lang w:val="en-GB" w:eastAsia="fr-FR"/>
    </w:rPr>
  </w:style>
  <w:style w:type="paragraph" w:customStyle="1" w:styleId="BodyTextIndent21">
    <w:name w:val="Body Text Indent 21"/>
    <w:basedOn w:val="Normal"/>
    <w:rsid w:val="00BF0F61"/>
    <w:pPr>
      <w:tabs>
        <w:tab w:val="left" w:pos="4537"/>
      </w:tabs>
      <w:overflowPunct w:val="0"/>
      <w:autoSpaceDE w:val="0"/>
      <w:autoSpaceDN w:val="0"/>
      <w:adjustRightInd w:val="0"/>
      <w:ind w:left="567"/>
      <w:textAlignment w:val="baseline"/>
    </w:pPr>
    <w:rPr>
      <w:sz w:val="24"/>
      <w:lang w:val="fr-FR" w:eastAsia="fr-FR"/>
    </w:rPr>
  </w:style>
  <w:style w:type="paragraph" w:styleId="BodyTextIndent2">
    <w:name w:val="Body Text Indent 2"/>
    <w:basedOn w:val="Normal"/>
    <w:link w:val="BodyTextIndent2Char"/>
    <w:rsid w:val="00BF0F61"/>
    <w:pPr>
      <w:shd w:val="clear" w:color="auto" w:fill="FFFFFF"/>
      <w:tabs>
        <w:tab w:val="left" w:pos="4962"/>
      </w:tabs>
      <w:ind w:left="-357"/>
    </w:pPr>
    <w:rPr>
      <w:rFonts w:ascii="Arial" w:hAnsi="Arial" w:cs="Arial"/>
      <w:b/>
      <w:bCs/>
      <w:color w:val="FF9900"/>
      <w:sz w:val="44"/>
      <w:szCs w:val="24"/>
      <w:lang w:val="en-GB" w:eastAsia="fr-FR"/>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character" w:customStyle="1" w:styleId="BodyTextIndent2Char">
    <w:name w:val="Body Text Indent 2 Char"/>
    <w:basedOn w:val="DefaultParagraphFont"/>
    <w:link w:val="BodyTextIndent2"/>
    <w:rsid w:val="00BF0F61"/>
    <w:rPr>
      <w:rFonts w:ascii="Arial" w:eastAsia="Times New Roman" w:hAnsi="Arial" w:cs="Arial"/>
      <w:b/>
      <w:bCs/>
      <w:color w:val="FF9900"/>
      <w:sz w:val="44"/>
      <w:szCs w:val="24"/>
      <w:shd w:val="clear" w:color="auto" w:fill="FFFFFF"/>
      <w:lang w:val="en-GB" w:eastAsia="fr-FR"/>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paragraph" w:styleId="BodyTextIndent3">
    <w:name w:val="Body Text Indent 3"/>
    <w:basedOn w:val="Normal"/>
    <w:link w:val="BodyTextIndent3Char"/>
    <w:rsid w:val="00BF0F61"/>
    <w:pPr>
      <w:tabs>
        <w:tab w:val="num" w:pos="720"/>
      </w:tabs>
      <w:ind w:left="360"/>
    </w:pPr>
    <w:rPr>
      <w:rFonts w:ascii="Arial" w:hAnsi="Arial" w:cs="Arial"/>
      <w:sz w:val="32"/>
      <w:szCs w:val="24"/>
      <w:lang w:eastAsia="fr-FR"/>
    </w:rPr>
  </w:style>
  <w:style w:type="character" w:customStyle="1" w:styleId="BodyTextIndent3Char">
    <w:name w:val="Body Text Indent 3 Char"/>
    <w:basedOn w:val="DefaultParagraphFont"/>
    <w:link w:val="BodyTextIndent3"/>
    <w:rsid w:val="00BF0F61"/>
    <w:rPr>
      <w:rFonts w:ascii="Arial" w:eastAsia="Times New Roman" w:hAnsi="Arial" w:cs="Arial"/>
      <w:sz w:val="32"/>
      <w:szCs w:val="24"/>
      <w:lang w:eastAsia="fr-FR"/>
    </w:rPr>
  </w:style>
  <w:style w:type="paragraph" w:customStyle="1" w:styleId="a">
    <w:name w:val="바탕글"/>
    <w:link w:val="Char1"/>
    <w:rsid w:val="00BF0F61"/>
    <w:pPr>
      <w:widowControl w:val="0"/>
      <w:autoSpaceDE w:val="0"/>
      <w:autoSpaceDN w:val="0"/>
      <w:adjustRightInd w:val="0"/>
      <w:spacing w:after="0" w:line="240" w:lineRule="auto"/>
    </w:pPr>
    <w:rPr>
      <w:rFonts w:ascii="BatangChe" w:eastAsia="BatangChe" w:hAnsi="Times New Roman" w:cs="BatangChe"/>
      <w:color w:val="000000"/>
      <w:sz w:val="20"/>
      <w:szCs w:val="20"/>
      <w:lang w:eastAsia="ko-KR"/>
    </w:rPr>
  </w:style>
  <w:style w:type="paragraph" w:styleId="NormalWeb">
    <w:name w:val="Normal (Web)"/>
    <w:basedOn w:val="Normal"/>
    <w:uiPriority w:val="99"/>
    <w:rsid w:val="00BF0F61"/>
    <w:pPr>
      <w:spacing w:before="100" w:beforeAutospacing="1" w:after="100" w:afterAutospacing="1"/>
      <w:jc w:val="left"/>
    </w:pPr>
    <w:rPr>
      <w:rFonts w:ascii="Gulim" w:eastAsia="Gulim" w:hAnsi="Gulim" w:cs="Gulim"/>
      <w:sz w:val="24"/>
      <w:szCs w:val="24"/>
      <w:lang w:eastAsia="ko-KR"/>
    </w:rPr>
  </w:style>
  <w:style w:type="paragraph" w:customStyle="1" w:styleId="Arial10r">
    <w:name w:val="Arial 10 r"/>
    <w:basedOn w:val="BlockText"/>
    <w:autoRedefine/>
    <w:qFormat/>
    <w:rsid w:val="00BF0F61"/>
    <w:pPr>
      <w:autoSpaceDE w:val="0"/>
      <w:autoSpaceDN w:val="0"/>
      <w:adjustRightInd w:val="0"/>
      <w:spacing w:line="240" w:lineRule="auto"/>
      <w:jc w:val="center"/>
    </w:pPr>
    <w:rPr>
      <w:szCs w:val="22"/>
      <w:lang w:val="nn-NO" w:bidi="en-US"/>
    </w:rPr>
  </w:style>
  <w:style w:type="paragraph" w:styleId="Caption">
    <w:name w:val="caption"/>
    <w:basedOn w:val="Normal"/>
    <w:next w:val="Normal"/>
    <w:qFormat/>
    <w:rsid w:val="00BF0F61"/>
    <w:pPr>
      <w:spacing w:before="120" w:after="120"/>
      <w:jc w:val="left"/>
    </w:pPr>
    <w:rPr>
      <w:b/>
    </w:rPr>
  </w:style>
  <w:style w:type="character" w:styleId="CommentReference">
    <w:name w:val="annotation reference"/>
    <w:uiPriority w:val="99"/>
    <w:unhideWhenUsed/>
    <w:rsid w:val="00BF0F61"/>
    <w:rPr>
      <w:sz w:val="16"/>
      <w:szCs w:val="16"/>
    </w:rPr>
  </w:style>
  <w:style w:type="paragraph" w:styleId="CommentText">
    <w:name w:val="annotation text"/>
    <w:basedOn w:val="Normal"/>
    <w:link w:val="CommentTextChar"/>
    <w:uiPriority w:val="99"/>
    <w:unhideWhenUsed/>
    <w:rsid w:val="00BF0F61"/>
    <w:pPr>
      <w:jc w:val="left"/>
    </w:pPr>
    <w:rPr>
      <w:sz w:val="20"/>
    </w:rPr>
  </w:style>
  <w:style w:type="character" w:customStyle="1" w:styleId="CommentTextChar">
    <w:name w:val="Comment Text Char"/>
    <w:basedOn w:val="DefaultParagraphFont"/>
    <w:link w:val="CommentText"/>
    <w:uiPriority w:val="99"/>
    <w:rsid w:val="00BF0F61"/>
    <w:rPr>
      <w:rFonts w:ascii="Times New Roman" w:eastAsia="Times New Roman" w:hAnsi="Times New Roman" w:cs="Times New Roman"/>
      <w:sz w:val="20"/>
      <w:szCs w:val="20"/>
    </w:rPr>
  </w:style>
  <w:style w:type="paragraph" w:styleId="TOC1">
    <w:name w:val="toc 1"/>
    <w:basedOn w:val="Normal"/>
    <w:next w:val="Normal"/>
    <w:autoRedefine/>
    <w:uiPriority w:val="39"/>
    <w:rsid w:val="00BF0F61"/>
    <w:pPr>
      <w:tabs>
        <w:tab w:val="left" w:pos="180"/>
        <w:tab w:val="left" w:pos="630"/>
        <w:tab w:val="left" w:pos="1080"/>
        <w:tab w:val="right" w:leader="dot" w:pos="9350"/>
      </w:tabs>
      <w:jc w:val="left"/>
    </w:pPr>
    <w:rPr>
      <w:szCs w:val="22"/>
    </w:rPr>
  </w:style>
  <w:style w:type="paragraph" w:styleId="TOC3">
    <w:name w:val="toc 3"/>
    <w:basedOn w:val="Normal"/>
    <w:next w:val="Normal"/>
    <w:autoRedefine/>
    <w:uiPriority w:val="39"/>
    <w:rsid w:val="00BF0F61"/>
    <w:pPr>
      <w:ind w:left="480"/>
      <w:jc w:val="left"/>
    </w:pPr>
    <w:rPr>
      <w:sz w:val="24"/>
      <w:szCs w:val="24"/>
    </w:rPr>
  </w:style>
  <w:style w:type="paragraph" w:styleId="List2">
    <w:name w:val="List 2"/>
    <w:basedOn w:val="Normal"/>
    <w:rsid w:val="00BF0F61"/>
    <w:pPr>
      <w:ind w:left="720" w:hanging="360"/>
      <w:jc w:val="left"/>
    </w:pPr>
  </w:style>
  <w:style w:type="paragraph" w:styleId="CommentSubject">
    <w:name w:val="annotation subject"/>
    <w:basedOn w:val="CommentText"/>
    <w:next w:val="CommentText"/>
    <w:link w:val="CommentSubjectChar"/>
    <w:uiPriority w:val="99"/>
    <w:unhideWhenUsed/>
    <w:rsid w:val="00BF0F61"/>
    <w:rPr>
      <w:b/>
      <w:bCs/>
    </w:rPr>
  </w:style>
  <w:style w:type="character" w:customStyle="1" w:styleId="CommentSubjectChar">
    <w:name w:val="Comment Subject Char"/>
    <w:basedOn w:val="CommentTextChar"/>
    <w:link w:val="CommentSubject"/>
    <w:uiPriority w:val="99"/>
    <w:rsid w:val="00BF0F61"/>
    <w:rPr>
      <w:rFonts w:ascii="Times New Roman" w:eastAsia="Times New Roman" w:hAnsi="Times New Roman" w:cs="Times New Roman"/>
      <w:b/>
      <w:bCs/>
      <w:sz w:val="20"/>
      <w:szCs w:val="20"/>
    </w:rPr>
  </w:style>
  <w:style w:type="paragraph" w:styleId="Revision">
    <w:name w:val="Revision"/>
    <w:hidden/>
    <w:uiPriority w:val="99"/>
    <w:semiHidden/>
    <w:rsid w:val="00BF0F61"/>
    <w:pPr>
      <w:spacing w:after="0" w:line="240" w:lineRule="auto"/>
    </w:pPr>
    <w:rPr>
      <w:rFonts w:ascii="Times New Roman" w:eastAsia="Times New Roman" w:hAnsi="Times New Roman" w:cs="Times New Roman"/>
      <w:sz w:val="24"/>
      <w:szCs w:val="24"/>
    </w:rPr>
  </w:style>
  <w:style w:type="character" w:styleId="FollowedHyperlink">
    <w:name w:val="FollowedHyperlink"/>
    <w:uiPriority w:val="99"/>
    <w:unhideWhenUsed/>
    <w:rsid w:val="00BF0F61"/>
    <w:rPr>
      <w:color w:val="800080"/>
      <w:u w:val="single"/>
    </w:rPr>
  </w:style>
  <w:style w:type="character" w:customStyle="1" w:styleId="Char">
    <w:name w:val="Char"/>
    <w:basedOn w:val="DefaultParagraphFont"/>
    <w:uiPriority w:val="99"/>
    <w:rsid w:val="00BF0F61"/>
    <w:rPr>
      <w:rFonts w:ascii="Cambria" w:hAnsi="Cambria" w:cs="Cambria"/>
      <w:b/>
      <w:bCs/>
      <w:sz w:val="22"/>
      <w:szCs w:val="22"/>
      <w:lang w:val="en-US" w:eastAsia="en-US"/>
    </w:rPr>
  </w:style>
  <w:style w:type="paragraph" w:customStyle="1" w:styleId="TimesNew11">
    <w:name w:val="Times New 11"/>
    <w:basedOn w:val="a"/>
    <w:link w:val="TimesNew11Char"/>
    <w:qFormat/>
    <w:rsid w:val="00BF0F61"/>
    <w:pPr>
      <w:tabs>
        <w:tab w:val="left" w:pos="960"/>
        <w:tab w:val="left" w:pos="1312"/>
        <w:tab w:val="left" w:pos="2400"/>
        <w:tab w:val="left" w:pos="3200"/>
        <w:tab w:val="left" w:pos="4000"/>
        <w:tab w:val="left" w:pos="4800"/>
        <w:tab w:val="left" w:pos="5600"/>
        <w:tab w:val="left" w:pos="6400"/>
        <w:tab w:val="left" w:pos="7200"/>
        <w:tab w:val="left" w:pos="8000"/>
        <w:tab w:val="left" w:pos="8800"/>
      </w:tabs>
      <w:jc w:val="both"/>
    </w:pPr>
    <w:rPr>
      <w:rFonts w:ascii="Times New Roman" w:cs="Times New Roman"/>
      <w:sz w:val="22"/>
      <w:szCs w:val="22"/>
    </w:rPr>
  </w:style>
  <w:style w:type="character" w:customStyle="1" w:styleId="TimesNew11Char">
    <w:name w:val="Times New 11 Char"/>
    <w:basedOn w:val="DefaultParagraphFont"/>
    <w:link w:val="TimesNew11"/>
    <w:rsid w:val="00BF0F61"/>
    <w:rPr>
      <w:rFonts w:ascii="Times New Roman" w:eastAsia="BatangChe" w:hAnsi="Times New Roman" w:cs="Times New Roman"/>
      <w:color w:val="000000"/>
      <w:lang w:eastAsia="ko-KR"/>
    </w:rPr>
  </w:style>
  <w:style w:type="paragraph" w:customStyle="1" w:styleId="NewTimes11">
    <w:name w:val="New Times 11"/>
    <w:basedOn w:val="Normal"/>
    <w:link w:val="NewTimes11Char"/>
    <w:qFormat/>
    <w:rsid w:val="00BF0F61"/>
    <w:rPr>
      <w:rFonts w:eastAsiaTheme="minorHAnsi" w:cs="Arial"/>
      <w:szCs w:val="22"/>
    </w:rPr>
  </w:style>
  <w:style w:type="character" w:customStyle="1" w:styleId="NewTimes11Char">
    <w:name w:val="New Times 11 Char"/>
    <w:basedOn w:val="DefaultParagraphFont"/>
    <w:link w:val="NewTimes11"/>
    <w:rsid w:val="00BF0F61"/>
    <w:rPr>
      <w:rFonts w:ascii="Times New Roman" w:hAnsi="Times New Roman" w:cs="Arial"/>
    </w:rPr>
  </w:style>
  <w:style w:type="character" w:customStyle="1" w:styleId="DocumentMapChar">
    <w:name w:val="Document Map Char"/>
    <w:basedOn w:val="DefaultParagraphFont"/>
    <w:link w:val="DocumentMap"/>
    <w:rsid w:val="00BF0F61"/>
    <w:rPr>
      <w:rFonts w:ascii="Arial" w:eastAsia="DotumChe" w:hAnsi="Arial" w:cs="Arial"/>
      <w:kern w:val="2"/>
      <w:shd w:val="clear" w:color="auto" w:fill="000080"/>
      <w:lang w:eastAsia="ko-KR"/>
    </w:rPr>
  </w:style>
  <w:style w:type="paragraph" w:styleId="DocumentMap">
    <w:name w:val="Document Map"/>
    <w:basedOn w:val="Normal"/>
    <w:link w:val="DocumentMapChar"/>
    <w:rsid w:val="00BF0F61"/>
    <w:pPr>
      <w:widowControl w:val="0"/>
      <w:shd w:val="clear" w:color="auto" w:fill="000080"/>
      <w:wordWrap w:val="0"/>
    </w:pPr>
    <w:rPr>
      <w:rFonts w:ascii="Arial" w:eastAsia="DotumChe" w:hAnsi="Arial" w:cs="Arial"/>
      <w:kern w:val="2"/>
      <w:szCs w:val="22"/>
      <w:lang w:eastAsia="ko-KR"/>
    </w:rPr>
  </w:style>
  <w:style w:type="character" w:customStyle="1" w:styleId="DocumentMapChar1">
    <w:name w:val="Document Map Char1"/>
    <w:basedOn w:val="DefaultParagraphFont"/>
    <w:rsid w:val="00BF0F61"/>
    <w:rPr>
      <w:rFonts w:ascii="Tahoma" w:eastAsia="Times New Roman" w:hAnsi="Tahoma" w:cs="Tahoma"/>
      <w:sz w:val="16"/>
      <w:szCs w:val="16"/>
    </w:rPr>
  </w:style>
  <w:style w:type="paragraph" w:customStyle="1" w:styleId="Char0">
    <w:name w:val="바탕글 Char"/>
    <w:link w:val="CharChar"/>
    <w:rsid w:val="00BF0F61"/>
    <w:pPr>
      <w:widowControl w:val="0"/>
      <w:autoSpaceDE w:val="0"/>
      <w:autoSpaceDN w:val="0"/>
      <w:adjustRightInd w:val="0"/>
      <w:spacing w:after="0" w:line="240" w:lineRule="auto"/>
    </w:pPr>
    <w:rPr>
      <w:rFonts w:ascii="BatangChe" w:eastAsia="BatangChe" w:hAnsi="Times New Roman" w:cs="BatangChe"/>
      <w:color w:val="000000"/>
      <w:kern w:val="2"/>
      <w:sz w:val="20"/>
      <w:szCs w:val="20"/>
      <w:lang w:eastAsia="ko-KR"/>
    </w:rPr>
  </w:style>
  <w:style w:type="character" w:customStyle="1" w:styleId="CharChar">
    <w:name w:val="바탕글 Char Char"/>
    <w:link w:val="Char0"/>
    <w:rsid w:val="00BF0F61"/>
    <w:rPr>
      <w:rFonts w:ascii="BatangChe" w:eastAsia="BatangChe" w:hAnsi="Times New Roman" w:cs="BatangChe"/>
      <w:color w:val="000000"/>
      <w:kern w:val="2"/>
      <w:sz w:val="20"/>
      <w:szCs w:val="20"/>
      <w:lang w:eastAsia="ko-KR"/>
    </w:rPr>
  </w:style>
  <w:style w:type="character" w:customStyle="1" w:styleId="Char1">
    <w:name w:val="바탕글 Char1"/>
    <w:basedOn w:val="DefaultParagraphFont"/>
    <w:link w:val="a"/>
    <w:rsid w:val="00BF0F61"/>
    <w:rPr>
      <w:rFonts w:ascii="BatangChe" w:eastAsia="BatangChe" w:hAnsi="Times New Roman" w:cs="BatangChe"/>
      <w:color w:val="000000"/>
      <w:sz w:val="20"/>
      <w:szCs w:val="20"/>
      <w:lang w:eastAsia="ko-KR"/>
    </w:rPr>
  </w:style>
  <w:style w:type="character" w:styleId="PlaceholderText">
    <w:name w:val="Placeholder Text"/>
    <w:basedOn w:val="DefaultParagraphFont"/>
    <w:uiPriority w:val="99"/>
    <w:semiHidden/>
    <w:rsid w:val="00BF0F61"/>
    <w:rPr>
      <w:color w:val="808080"/>
    </w:rPr>
  </w:style>
  <w:style w:type="table" w:styleId="LightShading">
    <w:name w:val="Light Shading"/>
    <w:basedOn w:val="TableNormal"/>
    <w:uiPriority w:val="60"/>
    <w:rsid w:val="00BF0F61"/>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pple-converted-space">
    <w:name w:val="apple-converted-space"/>
    <w:basedOn w:val="DefaultParagraphFont"/>
    <w:rsid w:val="00BF0F61"/>
  </w:style>
  <w:style w:type="character" w:customStyle="1" w:styleId="Name">
    <w:name w:val="Name"/>
    <w:basedOn w:val="DefaultParagraphFont"/>
    <w:uiPriority w:val="99"/>
    <w:rsid w:val="00BF0F61"/>
    <w:rPr>
      <w:rFonts w:ascii="Arial" w:hAnsi="Arial" w:cs="Arial"/>
      <w:b/>
      <w:bCs/>
      <w:sz w:val="48"/>
      <w:szCs w:val="48"/>
    </w:rPr>
  </w:style>
  <w:style w:type="paragraph" w:styleId="TOCHeading">
    <w:name w:val="TOC Heading"/>
    <w:basedOn w:val="Heading1"/>
    <w:next w:val="Normal"/>
    <w:uiPriority w:val="99"/>
    <w:qFormat/>
    <w:rsid w:val="00BF0F61"/>
    <w:pPr>
      <w:spacing w:before="120" w:after="240" w:line="276" w:lineRule="auto"/>
      <w:outlineLvl w:val="9"/>
    </w:pPr>
    <w:rPr>
      <w:rFonts w:ascii="Cambria" w:hAnsi="Cambria" w:cs="Cambria"/>
      <w:bCs/>
      <w:caps/>
      <w:sz w:val="28"/>
      <w:szCs w:val="28"/>
    </w:rPr>
  </w:style>
  <w:style w:type="character" w:styleId="Emphasis">
    <w:name w:val="Emphasis"/>
    <w:basedOn w:val="DefaultParagraphFont"/>
    <w:uiPriority w:val="20"/>
    <w:qFormat/>
    <w:rsid w:val="00BF0F61"/>
    <w:rPr>
      <w:rFonts w:cs="Times New Roman"/>
      <w:b/>
      <w:bCs/>
      <w:i/>
      <w:iCs/>
      <w:spacing w:val="10"/>
      <w:shd w:val="clear" w:color="auto" w:fill="auto"/>
    </w:rPr>
  </w:style>
  <w:style w:type="paragraph" w:styleId="Quote">
    <w:name w:val="Quote"/>
    <w:basedOn w:val="Normal"/>
    <w:next w:val="Normal"/>
    <w:link w:val="QuoteChar"/>
    <w:uiPriority w:val="99"/>
    <w:qFormat/>
    <w:rsid w:val="00BF0F61"/>
    <w:pPr>
      <w:spacing w:before="200" w:line="276" w:lineRule="auto"/>
      <w:ind w:left="360" w:right="360"/>
      <w:jc w:val="left"/>
    </w:pPr>
    <w:rPr>
      <w:rFonts w:ascii="Calibri" w:hAnsi="Calibri" w:cs="Calibri"/>
      <w:i/>
      <w:iCs/>
      <w:sz w:val="24"/>
      <w:szCs w:val="24"/>
    </w:rPr>
  </w:style>
  <w:style w:type="character" w:customStyle="1" w:styleId="QuoteChar">
    <w:name w:val="Quote Char"/>
    <w:basedOn w:val="DefaultParagraphFont"/>
    <w:link w:val="Quote"/>
    <w:uiPriority w:val="99"/>
    <w:rsid w:val="00BF0F61"/>
    <w:rPr>
      <w:rFonts w:ascii="Calibri" w:eastAsia="Times New Roman" w:hAnsi="Calibri" w:cs="Calibri"/>
      <w:i/>
      <w:iCs/>
      <w:sz w:val="24"/>
      <w:szCs w:val="24"/>
    </w:rPr>
  </w:style>
  <w:style w:type="paragraph" w:styleId="IntenseQuote">
    <w:name w:val="Intense Quote"/>
    <w:basedOn w:val="Normal"/>
    <w:next w:val="Normal"/>
    <w:link w:val="IntenseQuoteChar"/>
    <w:uiPriority w:val="99"/>
    <w:qFormat/>
    <w:rsid w:val="00BF0F61"/>
    <w:pPr>
      <w:pBdr>
        <w:bottom w:val="single" w:sz="4" w:space="1" w:color="auto"/>
      </w:pBdr>
      <w:spacing w:before="200" w:after="280" w:line="276" w:lineRule="auto"/>
      <w:ind w:left="1008" w:right="1152"/>
    </w:pPr>
    <w:rPr>
      <w:rFonts w:ascii="Calibri" w:hAnsi="Calibri" w:cs="Calibri"/>
      <w:b/>
      <w:bCs/>
      <w:i/>
      <w:iCs/>
      <w:sz w:val="24"/>
      <w:szCs w:val="24"/>
    </w:rPr>
  </w:style>
  <w:style w:type="character" w:customStyle="1" w:styleId="IntenseQuoteChar">
    <w:name w:val="Intense Quote Char"/>
    <w:basedOn w:val="DefaultParagraphFont"/>
    <w:link w:val="IntenseQuote"/>
    <w:uiPriority w:val="99"/>
    <w:rsid w:val="00BF0F61"/>
    <w:rPr>
      <w:rFonts w:ascii="Calibri" w:eastAsia="Times New Roman" w:hAnsi="Calibri" w:cs="Calibri"/>
      <w:b/>
      <w:bCs/>
      <w:i/>
      <w:iCs/>
      <w:sz w:val="24"/>
      <w:szCs w:val="24"/>
    </w:rPr>
  </w:style>
  <w:style w:type="character" w:styleId="SubtleEmphasis">
    <w:name w:val="Subtle Emphasis"/>
    <w:basedOn w:val="DefaultParagraphFont"/>
    <w:uiPriority w:val="99"/>
    <w:qFormat/>
    <w:rsid w:val="00BF0F61"/>
    <w:rPr>
      <w:rFonts w:cs="Times New Roman"/>
      <w:i/>
      <w:iCs/>
    </w:rPr>
  </w:style>
  <w:style w:type="character" w:styleId="IntenseEmphasis">
    <w:name w:val="Intense Emphasis"/>
    <w:basedOn w:val="DefaultParagraphFont"/>
    <w:uiPriority w:val="99"/>
    <w:qFormat/>
    <w:rsid w:val="00BF0F61"/>
    <w:rPr>
      <w:rFonts w:cs="Times New Roman"/>
      <w:b/>
      <w:bCs/>
    </w:rPr>
  </w:style>
  <w:style w:type="character" w:styleId="SubtleReference">
    <w:name w:val="Subtle Reference"/>
    <w:basedOn w:val="DefaultParagraphFont"/>
    <w:uiPriority w:val="99"/>
    <w:qFormat/>
    <w:rsid w:val="00BF0F61"/>
    <w:rPr>
      <w:rFonts w:cs="Times New Roman"/>
      <w:smallCaps/>
    </w:rPr>
  </w:style>
  <w:style w:type="character" w:styleId="IntenseReference">
    <w:name w:val="Intense Reference"/>
    <w:basedOn w:val="DefaultParagraphFont"/>
    <w:uiPriority w:val="99"/>
    <w:qFormat/>
    <w:rsid w:val="00BF0F61"/>
    <w:rPr>
      <w:rFonts w:cs="Times New Roman"/>
      <w:smallCaps/>
      <w:spacing w:val="5"/>
      <w:u w:val="single"/>
    </w:rPr>
  </w:style>
  <w:style w:type="character" w:styleId="BookTitle">
    <w:name w:val="Book Title"/>
    <w:basedOn w:val="DefaultParagraphFont"/>
    <w:uiPriority w:val="99"/>
    <w:qFormat/>
    <w:rsid w:val="00BF0F61"/>
    <w:rPr>
      <w:rFonts w:cs="Times New Roman"/>
      <w:i/>
      <w:iCs/>
      <w:smallCaps/>
      <w:spacing w:val="5"/>
    </w:rPr>
  </w:style>
  <w:style w:type="paragraph" w:styleId="TOC2">
    <w:name w:val="toc 2"/>
    <w:basedOn w:val="Normal"/>
    <w:next w:val="Normal"/>
    <w:autoRedefine/>
    <w:uiPriority w:val="39"/>
    <w:rsid w:val="00BF0F61"/>
    <w:pPr>
      <w:spacing w:line="276" w:lineRule="auto"/>
      <w:ind w:left="216"/>
      <w:jc w:val="left"/>
    </w:pPr>
    <w:rPr>
      <w:rFonts w:ascii="Calibri" w:hAnsi="Calibri" w:cs="Calibri"/>
      <w:sz w:val="24"/>
      <w:szCs w:val="24"/>
    </w:rPr>
  </w:style>
  <w:style w:type="paragraph" w:customStyle="1" w:styleId="NormalLeft0">
    <w:name w:val="Normal + Left:  0&quot;"/>
    <w:aliases w:val="Hanging:  0.5&quot;"/>
    <w:basedOn w:val="Normal"/>
    <w:uiPriority w:val="99"/>
    <w:rsid w:val="00BF0F61"/>
    <w:pPr>
      <w:jc w:val="left"/>
    </w:pPr>
    <w:rPr>
      <w:rFonts w:ascii="Calibri" w:hAnsi="Calibri" w:cs="Calibri"/>
      <w:sz w:val="20"/>
    </w:rPr>
  </w:style>
  <w:style w:type="character" w:customStyle="1" w:styleId="biblio-authors">
    <w:name w:val="biblio-authors"/>
    <w:basedOn w:val="DefaultParagraphFont"/>
    <w:rsid w:val="00BF0F61"/>
  </w:style>
  <w:style w:type="character" w:customStyle="1" w:styleId="biblio-title">
    <w:name w:val="biblio-title"/>
    <w:basedOn w:val="DefaultParagraphFont"/>
    <w:rsid w:val="00BF0F61"/>
  </w:style>
  <w:style w:type="paragraph" w:styleId="TableofFigures">
    <w:name w:val="table of figures"/>
    <w:basedOn w:val="Normal"/>
    <w:next w:val="Normal"/>
    <w:uiPriority w:val="99"/>
    <w:unhideWhenUsed/>
    <w:rsid w:val="00BF0F61"/>
    <w:pPr>
      <w:jc w:val="left"/>
    </w:pPr>
    <w:rPr>
      <w:sz w:val="24"/>
      <w:szCs w:val="24"/>
    </w:rPr>
  </w:style>
  <w:style w:type="table" w:styleId="Table3Deffects3">
    <w:name w:val="Table 3D effects 3"/>
    <w:basedOn w:val="TableNormal"/>
    <w:rsid w:val="00BF0F61"/>
    <w:pPr>
      <w:spacing w:after="0" w:line="240" w:lineRule="auto"/>
      <w:jc w:val="both"/>
    </w:pPr>
    <w:rPr>
      <w:rFonts w:ascii="Times" w:eastAsia="Times New Roman" w:hAnsi="Times" w:cs="Times New Roman"/>
      <w:sz w:val="20"/>
      <w:szCs w:val="20"/>
      <w:lang w:val="sv-SE" w:eastAsia="sv-SE"/>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18References">
    <w:name w:val="18. References"/>
    <w:basedOn w:val="Normal"/>
    <w:qFormat/>
    <w:rsid w:val="00BF0F6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s>
      <w:autoSpaceDE w:val="0"/>
      <w:autoSpaceDN w:val="0"/>
      <w:adjustRightInd w:val="0"/>
      <w:spacing w:line="240" w:lineRule="atLeast"/>
      <w:ind w:left="360" w:hanging="360"/>
    </w:pPr>
    <w:rPr>
      <w:rFonts w:ascii="Garamond" w:eastAsia="Calibri" w:hAnsi="Garamond" w:cs="Times New Roman PS MT"/>
      <w:color w:val="000000"/>
      <w:sz w:val="21"/>
    </w:rPr>
  </w:style>
  <w:style w:type="character" w:styleId="HTMLCite">
    <w:name w:val="HTML Cite"/>
    <w:basedOn w:val="DefaultParagraphFont"/>
    <w:uiPriority w:val="99"/>
    <w:unhideWhenUsed/>
    <w:rsid w:val="00BF0F61"/>
    <w:rPr>
      <w:i/>
      <w:iCs/>
    </w:rPr>
  </w:style>
  <w:style w:type="paragraph" w:customStyle="1" w:styleId="ATPparagraph">
    <w:name w:val="ATP paragraph"/>
    <w:basedOn w:val="Normal"/>
    <w:link w:val="ATPparagraphChar"/>
    <w:qFormat/>
    <w:rsid w:val="00BF0F61"/>
    <w:pPr>
      <w:ind w:firstLine="288"/>
    </w:pPr>
  </w:style>
  <w:style w:type="character" w:customStyle="1" w:styleId="ATPparagraphChar">
    <w:name w:val="ATP paragraph Char"/>
    <w:basedOn w:val="DefaultParagraphFont"/>
    <w:link w:val="ATPparagraph"/>
    <w:rsid w:val="00BF0F61"/>
    <w:rPr>
      <w:rFonts w:ascii="Times New Roman" w:eastAsia="Times New Roman" w:hAnsi="Times New Roman" w:cs="Times New Roman"/>
      <w:szCs w:val="20"/>
    </w:rPr>
  </w:style>
  <w:style w:type="paragraph" w:customStyle="1" w:styleId="Singlespacedline">
    <w:name w:val="Single spaced line"/>
    <w:aliases w:val="centered"/>
    <w:basedOn w:val="Normal"/>
    <w:autoRedefine/>
    <w:rsid w:val="00BF0F61"/>
    <w:pPr>
      <w:tabs>
        <w:tab w:val="left" w:pos="4900"/>
      </w:tabs>
      <w:jc w:val="left"/>
    </w:pPr>
    <w:rPr>
      <w:rFonts w:ascii="Arial" w:hAnsi="Arial" w:cs="Arial"/>
      <w:bCs/>
      <w:sz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wmf"/><Relationship Id="rId18" Type="http://schemas.openxmlformats.org/officeDocument/2006/relationships/image" Target="media/image9.emf"/><Relationship Id="rId26" Type="http://schemas.openxmlformats.org/officeDocument/2006/relationships/hyperlink" Target="http://aceee.org" TargetMode="External"/><Relationship Id="rId3" Type="http://schemas.openxmlformats.org/officeDocument/2006/relationships/styles" Target="styles.xml"/><Relationship Id="rId21" Type="http://schemas.openxmlformats.org/officeDocument/2006/relationships/package" Target="embeddings/Microsoft_Excel_Worksheet3.xlsx"/><Relationship Id="rId34" Type="http://schemas.openxmlformats.org/officeDocument/2006/relationships/hyperlink" Target="http://www.fsec.ucf.edu/en" TargetMode="External"/><Relationship Id="rId7" Type="http://schemas.openxmlformats.org/officeDocument/2006/relationships/footnotes" Target="footnotes.xml"/><Relationship Id="rId12" Type="http://schemas.openxmlformats.org/officeDocument/2006/relationships/image" Target="media/image4.wmf"/><Relationship Id="rId17" Type="http://schemas.openxmlformats.org/officeDocument/2006/relationships/image" Target="media/image8.emf"/><Relationship Id="rId25" Type="http://schemas.openxmlformats.org/officeDocument/2006/relationships/hyperlink" Target="http://www.resnet.us/" TargetMode="External"/><Relationship Id="rId33" Type="http://schemas.openxmlformats.org/officeDocument/2006/relationships/hyperlink" Target="http://dx.doi.org/10.1016/j.applthermaleng.2014.03.010" TargetMode="External"/><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image" Target="media/image10.emf"/><Relationship Id="rId29" Type="http://schemas.openxmlformats.org/officeDocument/2006/relationships/hyperlink" Target="http://www.ashrae.or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hyperlink" Target="http://www.ashrae.org" TargetMode="External"/><Relationship Id="rId32" Type="http://schemas.openxmlformats.org/officeDocument/2006/relationships/hyperlink" Target="http://www.ashrae.org"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emf"/><Relationship Id="rId23" Type="http://schemas.openxmlformats.org/officeDocument/2006/relationships/hyperlink" Target="http://dx.doi.org/10.6028/NIST.TN.1848" TargetMode="External"/><Relationship Id="rId28" Type="http://schemas.openxmlformats.org/officeDocument/2006/relationships/hyperlink" Target="http://www.ashrae.org" TargetMode="External"/><Relationship Id="rId36" Type="http://schemas.openxmlformats.org/officeDocument/2006/relationships/fontTable" Target="fontTable.xml"/><Relationship Id="rId10" Type="http://schemas.openxmlformats.org/officeDocument/2006/relationships/image" Target="media/image2.wmf"/><Relationship Id="rId19" Type="http://schemas.openxmlformats.org/officeDocument/2006/relationships/chart" Target="charts/chart2.xml"/><Relationship Id="rId31" Type="http://schemas.openxmlformats.org/officeDocument/2006/relationships/hyperlink" Target="http://www.acca.org/"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chart" Target="charts/chart1.xml"/><Relationship Id="rId22" Type="http://schemas.openxmlformats.org/officeDocument/2006/relationships/hyperlink" Target="http://buildingsdatabook.eren.doe.gov/docs/xls_pdf/2.1.6.pdf" TargetMode="External"/><Relationship Id="rId27" Type="http://schemas.openxmlformats.org/officeDocument/2006/relationships/hyperlink" Target="http://www.ashrae.org" TargetMode="External"/><Relationship Id="rId30" Type="http://schemas.openxmlformats.org/officeDocument/2006/relationships/hyperlink" Target="http://www.ashrae.org" TargetMode="External"/><Relationship Id="rId35"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mailto:piotr.domanski@nist.gov"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74038295867813"/>
          <c:y val="5.0925925925925923E-2"/>
          <c:w val="0.8025797030049826"/>
          <c:h val="0.73532704598365883"/>
        </c:manualLayout>
      </c:layout>
      <c:lineChart>
        <c:grouping val="standard"/>
        <c:varyColors val="0"/>
        <c:ser>
          <c:idx val="2"/>
          <c:order val="0"/>
          <c:tx>
            <c:v>50%</c:v>
          </c:tx>
          <c:spPr>
            <a:ln w="12700">
              <a:solidFill>
                <a:schemeClr val="accent3">
                  <a:lumMod val="50000"/>
                </a:schemeClr>
              </a:solidFill>
            </a:ln>
          </c:spPr>
          <c:marker>
            <c:symbol val="triangle"/>
            <c:size val="4"/>
          </c:marker>
          <c:val>
            <c:numRef>
              <c:f>'several leak rates'!$N$7:$N$9</c:f>
              <c:numCache>
                <c:formatCode>0.00</c:formatCode>
                <c:ptCount val="3"/>
                <c:pt idx="0">
                  <c:v>139.85758336777187</c:v>
                </c:pt>
                <c:pt idx="1">
                  <c:v>159.84677496264743</c:v>
                </c:pt>
                <c:pt idx="2">
                  <c:v>209.5050386241536</c:v>
                </c:pt>
              </c:numCache>
            </c:numRef>
          </c:val>
          <c:smooth val="0"/>
        </c:ser>
        <c:ser>
          <c:idx val="1"/>
          <c:order val="1"/>
          <c:tx>
            <c:v>40%</c:v>
          </c:tx>
          <c:spPr>
            <a:ln w="12700" cmpd="sng">
              <a:solidFill>
                <a:srgbClr val="C00000"/>
              </a:solidFill>
            </a:ln>
          </c:spPr>
          <c:marker>
            <c:symbol val="plus"/>
            <c:size val="5"/>
          </c:marker>
          <c:cat>
            <c:strRef>
              <c:f>'several leak rates'!$B$7:$B$9</c:f>
              <c:strCache>
                <c:ptCount val="3"/>
                <c:pt idx="0">
                  <c:v>25.6 (Default)</c:v>
                </c:pt>
                <c:pt idx="1">
                  <c:v>24.5</c:v>
                </c:pt>
                <c:pt idx="2">
                  <c:v>23.4</c:v>
                </c:pt>
              </c:strCache>
            </c:strRef>
          </c:cat>
          <c:val>
            <c:numRef>
              <c:f>'several leak rates'!$O$7:$O$9</c:f>
              <c:numCache>
                <c:formatCode>0.00</c:formatCode>
                <c:ptCount val="3"/>
                <c:pt idx="0">
                  <c:v>128.41974759195091</c:v>
                </c:pt>
                <c:pt idx="1">
                  <c:v>147.47750898051308</c:v>
                </c:pt>
                <c:pt idx="2">
                  <c:v>197.10080427249898</c:v>
                </c:pt>
              </c:numCache>
            </c:numRef>
          </c:val>
          <c:smooth val="0"/>
        </c:ser>
        <c:ser>
          <c:idx val="3"/>
          <c:order val="2"/>
          <c:tx>
            <c:v>30%</c:v>
          </c:tx>
          <c:spPr>
            <a:ln w="12700"/>
          </c:spPr>
          <c:marker>
            <c:symbol val="square"/>
            <c:size val="4"/>
          </c:marker>
          <c:val>
            <c:numRef>
              <c:f>'several leak rates'!$P$7:$P$9</c:f>
              <c:numCache>
                <c:formatCode>0.00</c:formatCode>
                <c:ptCount val="3"/>
                <c:pt idx="0">
                  <c:v>118.25030994691166</c:v>
                </c:pt>
                <c:pt idx="1">
                  <c:v>136.21133610960993</c:v>
                </c:pt>
                <c:pt idx="2">
                  <c:v>184.95724322090473</c:v>
                </c:pt>
              </c:numCache>
            </c:numRef>
          </c:val>
          <c:smooth val="0"/>
        </c:ser>
        <c:ser>
          <c:idx val="4"/>
          <c:order val="3"/>
          <c:tx>
            <c:v>20%</c:v>
          </c:tx>
          <c:spPr>
            <a:ln w="12700">
              <a:solidFill>
                <a:srgbClr val="0070C0"/>
              </a:solidFill>
            </a:ln>
          </c:spPr>
          <c:marker>
            <c:symbol val="star"/>
            <c:size val="6"/>
          </c:marker>
          <c:val>
            <c:numRef>
              <c:f>'several leak rates'!$Q$7:$Q$9</c:f>
              <c:numCache>
                <c:formatCode>0.00</c:formatCode>
                <c:ptCount val="3"/>
                <c:pt idx="0">
                  <c:v>109.09177607527737</c:v>
                </c:pt>
                <c:pt idx="1">
                  <c:v>126.09594049019296</c:v>
                </c:pt>
                <c:pt idx="2">
                  <c:v>174.29824840258129</c:v>
                </c:pt>
              </c:numCache>
            </c:numRef>
          </c:val>
          <c:smooth val="0"/>
        </c:ser>
        <c:ser>
          <c:idx val="0"/>
          <c:order val="4"/>
          <c:tx>
            <c:v>10%</c:v>
          </c:tx>
          <c:spPr>
            <a:ln w="12700">
              <a:solidFill>
                <a:schemeClr val="tx1"/>
              </a:solidFill>
            </a:ln>
          </c:spPr>
          <c:marker>
            <c:symbol val="diamond"/>
            <c:size val="6"/>
            <c:spPr>
              <a:solidFill>
                <a:schemeClr val="tx1"/>
              </a:solidFill>
            </c:spPr>
          </c:marker>
          <c:cat>
            <c:strRef>
              <c:f>'several leak rates'!$B$7:$B$9</c:f>
              <c:strCache>
                <c:ptCount val="3"/>
                <c:pt idx="0">
                  <c:v>25.6 (Default)</c:v>
                </c:pt>
                <c:pt idx="1">
                  <c:v>24.5</c:v>
                </c:pt>
                <c:pt idx="2">
                  <c:v>23.4</c:v>
                </c:pt>
              </c:strCache>
            </c:strRef>
          </c:cat>
          <c:val>
            <c:numRef>
              <c:f>'several leak rates'!$M$7:$M$9</c:f>
              <c:numCache>
                <c:formatCode>0.00</c:formatCode>
                <c:ptCount val="3"/>
                <c:pt idx="0">
                  <c:v>100</c:v>
                </c:pt>
                <c:pt idx="1">
                  <c:v>115.85656610611311</c:v>
                </c:pt>
                <c:pt idx="2">
                  <c:v>162.29773977175191</c:v>
                </c:pt>
              </c:numCache>
            </c:numRef>
          </c:val>
          <c:smooth val="0"/>
        </c:ser>
        <c:dLbls>
          <c:showLegendKey val="0"/>
          <c:showVal val="0"/>
          <c:showCatName val="0"/>
          <c:showSerName val="0"/>
          <c:showPercent val="0"/>
          <c:showBubbleSize val="0"/>
        </c:dLbls>
        <c:marker val="1"/>
        <c:smooth val="0"/>
        <c:axId val="35335552"/>
        <c:axId val="35383168"/>
      </c:lineChart>
      <c:catAx>
        <c:axId val="35335552"/>
        <c:scaling>
          <c:orientation val="minMax"/>
        </c:scaling>
        <c:delete val="0"/>
        <c:axPos val="b"/>
        <c:title>
          <c:tx>
            <c:rich>
              <a:bodyPr/>
              <a:lstStyle/>
              <a:p>
                <a:pPr>
                  <a:defRPr/>
                </a:pPr>
                <a:r>
                  <a:rPr lang="en-US"/>
                  <a:t>Thermostat set point temperature (°C)</a:t>
                </a:r>
              </a:p>
            </c:rich>
          </c:tx>
          <c:layout>
            <c:manualLayout>
              <c:xMode val="edge"/>
              <c:yMode val="edge"/>
              <c:x val="0.30744413221341443"/>
              <c:y val="0.88847405726826523"/>
            </c:manualLayout>
          </c:layout>
          <c:overlay val="0"/>
        </c:title>
        <c:majorTickMark val="out"/>
        <c:minorTickMark val="none"/>
        <c:tickLblPos val="nextTo"/>
        <c:txPr>
          <a:bodyPr/>
          <a:lstStyle/>
          <a:p>
            <a:pPr>
              <a:defRPr b="0"/>
            </a:pPr>
            <a:endParaRPr lang="en-US"/>
          </a:p>
        </c:txPr>
        <c:crossAx val="35383168"/>
        <c:crosses val="autoZero"/>
        <c:auto val="1"/>
        <c:lblAlgn val="ctr"/>
        <c:lblOffset val="100"/>
        <c:noMultiLvlLbl val="0"/>
      </c:catAx>
      <c:valAx>
        <c:axId val="35383168"/>
        <c:scaling>
          <c:orientation val="minMax"/>
          <c:max val="220"/>
          <c:min val="80"/>
        </c:scaling>
        <c:delete val="0"/>
        <c:axPos val="l"/>
        <c:majorGridlines/>
        <c:title>
          <c:tx>
            <c:rich>
              <a:bodyPr rot="-5400000" vert="horz"/>
              <a:lstStyle/>
              <a:p>
                <a:pPr>
                  <a:defRPr/>
                </a:pPr>
                <a:r>
                  <a:rPr lang="en-US"/>
                  <a:t>Relative energy use (%)</a:t>
                </a:r>
              </a:p>
            </c:rich>
          </c:tx>
          <c:layout>
            <c:manualLayout>
              <c:xMode val="edge"/>
              <c:yMode val="edge"/>
              <c:x val="3.7500038557618964E-2"/>
              <c:y val="0.15913927072675241"/>
            </c:manualLayout>
          </c:layout>
          <c:overlay val="0"/>
        </c:title>
        <c:numFmt formatCode="#,##0" sourceLinked="0"/>
        <c:majorTickMark val="out"/>
        <c:minorTickMark val="none"/>
        <c:tickLblPos val="nextTo"/>
        <c:txPr>
          <a:bodyPr/>
          <a:lstStyle/>
          <a:p>
            <a:pPr>
              <a:defRPr b="0"/>
            </a:pPr>
            <a:endParaRPr lang="en-US"/>
          </a:p>
        </c:txPr>
        <c:crossAx val="35335552"/>
        <c:crosses val="autoZero"/>
        <c:crossBetween val="between"/>
        <c:majorUnit val="20"/>
      </c:valAx>
      <c:spPr>
        <a:noFill/>
        <a:ln>
          <a:solidFill>
            <a:schemeClr val="tx1"/>
          </a:solidFill>
        </a:ln>
        <a:effectLst/>
      </c:spPr>
    </c:plotArea>
    <c:legend>
      <c:legendPos val="r"/>
      <c:layout>
        <c:manualLayout>
          <c:xMode val="edge"/>
          <c:yMode val="edge"/>
          <c:x val="0.19606255468066491"/>
          <c:y val="8.7670239136774575E-2"/>
          <c:w val="0.13830555555555554"/>
          <c:h val="0.34405621172353462"/>
        </c:manualLayout>
      </c:layout>
      <c:overlay val="0"/>
      <c:spPr>
        <a:solidFill>
          <a:schemeClr val="bg1"/>
        </a:solidFill>
        <a:ln>
          <a:solidFill>
            <a:schemeClr val="tx1"/>
          </a:solidFill>
        </a:ln>
      </c:spPr>
      <c:txPr>
        <a:bodyPr/>
        <a:lstStyle/>
        <a:p>
          <a:pPr>
            <a:defRPr b="0"/>
          </a:pPr>
          <a:endParaRPr lang="en-US"/>
        </a:p>
      </c:txPr>
    </c:legend>
    <c:plotVisOnly val="1"/>
    <c:dispBlanksAs val="gap"/>
    <c:showDLblsOverMax val="0"/>
  </c:chart>
  <c:spPr>
    <a:solidFill>
      <a:schemeClr val="bg1"/>
    </a:solidFill>
    <a:ln>
      <a:noFill/>
    </a:ln>
  </c:spPr>
  <c:txPr>
    <a:bodyPr/>
    <a:lstStyle/>
    <a:p>
      <a:pPr>
        <a:defRPr b="1">
          <a:latin typeface="Arial" panose="020B0604020202020204" pitchFamily="34" charset="0"/>
          <a:cs typeface="Arial" panose="020B0604020202020204" pitchFamily="34"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5018128333760064"/>
          <c:y val="5.9542679447677771E-2"/>
          <c:w val="0.8278669453423031"/>
          <c:h val="0.87266118909049462"/>
        </c:manualLayout>
      </c:layout>
      <c:barChart>
        <c:barDir val="col"/>
        <c:grouping val="clustered"/>
        <c:varyColors val="0"/>
        <c:ser>
          <c:idx val="0"/>
          <c:order val="0"/>
          <c:tx>
            <c:v>Houston</c:v>
          </c:tx>
          <c:spPr>
            <a:solidFill>
              <a:schemeClr val="accent1">
                <a:lumMod val="60000"/>
                <a:lumOff val="40000"/>
              </a:schemeClr>
            </a:solidFill>
            <a:ln>
              <a:noFill/>
            </a:ln>
          </c:spPr>
          <c:invertIfNegative val="0"/>
          <c:cat>
            <c:strRef>
              <c:f>'Single faults'!$A$5:$A$12</c:f>
              <c:strCache>
                <c:ptCount val="8"/>
                <c:pt idx="0">
                  <c:v>SIZ</c:v>
                </c:pt>
                <c:pt idx="1">
                  <c:v>DUCT</c:v>
                </c:pt>
                <c:pt idx="2">
                  <c:v>AF</c:v>
                </c:pt>
                <c:pt idx="3">
                  <c:v>UC</c:v>
                </c:pt>
                <c:pt idx="4">
                  <c:v>OC</c:v>
                </c:pt>
                <c:pt idx="5">
                  <c:v>NC</c:v>
                </c:pt>
                <c:pt idx="6">
                  <c:v>VOL</c:v>
                </c:pt>
                <c:pt idx="7">
                  <c:v>TXV</c:v>
                </c:pt>
              </c:strCache>
            </c:strRef>
          </c:cat>
          <c:val>
            <c:numRef>
              <c:f>'Single faults'!$C$5:$C$12</c:f>
              <c:numCache>
                <c:formatCode>General</c:formatCode>
                <c:ptCount val="8"/>
                <c:pt idx="0">
                  <c:v>115</c:v>
                </c:pt>
                <c:pt idx="1">
                  <c:v>118</c:v>
                </c:pt>
                <c:pt idx="2">
                  <c:v>112</c:v>
                </c:pt>
                <c:pt idx="3">
                  <c:v>121</c:v>
                </c:pt>
                <c:pt idx="4">
                  <c:v>110</c:v>
                </c:pt>
                <c:pt idx="5">
                  <c:v>102</c:v>
                </c:pt>
                <c:pt idx="6">
                  <c:v>102</c:v>
                </c:pt>
                <c:pt idx="7">
                  <c:v>114</c:v>
                </c:pt>
              </c:numCache>
            </c:numRef>
          </c:val>
        </c:ser>
        <c:ser>
          <c:idx val="1"/>
          <c:order val="1"/>
          <c:tx>
            <c:v>Las Vegas</c:v>
          </c:tx>
          <c:spPr>
            <a:solidFill>
              <a:schemeClr val="tx1"/>
            </a:solidFill>
            <a:ln>
              <a:noFill/>
            </a:ln>
          </c:spPr>
          <c:invertIfNegative val="0"/>
          <c:cat>
            <c:strRef>
              <c:f>'Single faults'!$A$5:$A$12</c:f>
              <c:strCache>
                <c:ptCount val="8"/>
                <c:pt idx="0">
                  <c:v>SIZ</c:v>
                </c:pt>
                <c:pt idx="1">
                  <c:v>DUCT</c:v>
                </c:pt>
                <c:pt idx="2">
                  <c:v>AF</c:v>
                </c:pt>
                <c:pt idx="3">
                  <c:v>UC</c:v>
                </c:pt>
                <c:pt idx="4">
                  <c:v>OC</c:v>
                </c:pt>
                <c:pt idx="5">
                  <c:v>NC</c:v>
                </c:pt>
                <c:pt idx="6">
                  <c:v>VOL</c:v>
                </c:pt>
                <c:pt idx="7">
                  <c:v>TXV</c:v>
                </c:pt>
              </c:strCache>
            </c:strRef>
          </c:cat>
          <c:val>
            <c:numRef>
              <c:f>'Single faults'!$D$5:$D$12</c:f>
              <c:numCache>
                <c:formatCode>General</c:formatCode>
                <c:ptCount val="8"/>
                <c:pt idx="0">
                  <c:v>113</c:v>
                </c:pt>
                <c:pt idx="1">
                  <c:v>117</c:v>
                </c:pt>
                <c:pt idx="2">
                  <c:v>113</c:v>
                </c:pt>
                <c:pt idx="3">
                  <c:v>122</c:v>
                </c:pt>
                <c:pt idx="4">
                  <c:v>110</c:v>
                </c:pt>
                <c:pt idx="5">
                  <c:v>102</c:v>
                </c:pt>
                <c:pt idx="6">
                  <c:v>101</c:v>
                </c:pt>
                <c:pt idx="7">
                  <c:v>110</c:v>
                </c:pt>
              </c:numCache>
            </c:numRef>
          </c:val>
        </c:ser>
        <c:ser>
          <c:idx val="2"/>
          <c:order val="2"/>
          <c:tx>
            <c:v>Wash. DC</c:v>
          </c:tx>
          <c:spPr>
            <a:solidFill>
              <a:srgbClr val="FFFF00"/>
            </a:solidFill>
            <a:ln>
              <a:noFill/>
            </a:ln>
          </c:spPr>
          <c:invertIfNegative val="0"/>
          <c:cat>
            <c:strRef>
              <c:f>'Single faults'!$A$5:$A$12</c:f>
              <c:strCache>
                <c:ptCount val="8"/>
                <c:pt idx="0">
                  <c:v>SIZ</c:v>
                </c:pt>
                <c:pt idx="1">
                  <c:v>DUCT</c:v>
                </c:pt>
                <c:pt idx="2">
                  <c:v>AF</c:v>
                </c:pt>
                <c:pt idx="3">
                  <c:v>UC</c:v>
                </c:pt>
                <c:pt idx="4">
                  <c:v>OC</c:v>
                </c:pt>
                <c:pt idx="5">
                  <c:v>NC</c:v>
                </c:pt>
                <c:pt idx="6">
                  <c:v>VOL</c:v>
                </c:pt>
                <c:pt idx="7">
                  <c:v>TXV</c:v>
                </c:pt>
              </c:strCache>
            </c:strRef>
          </c:cat>
          <c:val>
            <c:numRef>
              <c:f>'Single faults'!$E$5:$E$12</c:f>
              <c:numCache>
                <c:formatCode>General</c:formatCode>
                <c:ptCount val="8"/>
                <c:pt idx="0">
                  <c:v>105</c:v>
                </c:pt>
                <c:pt idx="1">
                  <c:v>124</c:v>
                </c:pt>
                <c:pt idx="2">
                  <c:v>114</c:v>
                </c:pt>
                <c:pt idx="3">
                  <c:v>123</c:v>
                </c:pt>
                <c:pt idx="4">
                  <c:v>114</c:v>
                </c:pt>
                <c:pt idx="5">
                  <c:v>102</c:v>
                </c:pt>
                <c:pt idx="6">
                  <c:v>102</c:v>
                </c:pt>
                <c:pt idx="7">
                  <c:v>107</c:v>
                </c:pt>
              </c:numCache>
            </c:numRef>
          </c:val>
        </c:ser>
        <c:ser>
          <c:idx val="3"/>
          <c:order val="3"/>
          <c:tx>
            <c:v>Chicago</c:v>
          </c:tx>
          <c:spPr>
            <a:solidFill>
              <a:srgbClr val="00B050"/>
            </a:solidFill>
            <a:ln>
              <a:noFill/>
            </a:ln>
          </c:spPr>
          <c:invertIfNegative val="0"/>
          <c:cat>
            <c:strRef>
              <c:f>'Single faults'!$A$5:$A$12</c:f>
              <c:strCache>
                <c:ptCount val="8"/>
                <c:pt idx="0">
                  <c:v>SIZ</c:v>
                </c:pt>
                <c:pt idx="1">
                  <c:v>DUCT</c:v>
                </c:pt>
                <c:pt idx="2">
                  <c:v>AF</c:v>
                </c:pt>
                <c:pt idx="3">
                  <c:v>UC</c:v>
                </c:pt>
                <c:pt idx="4">
                  <c:v>OC</c:v>
                </c:pt>
                <c:pt idx="5">
                  <c:v>NC</c:v>
                </c:pt>
                <c:pt idx="6">
                  <c:v>VOL</c:v>
                </c:pt>
                <c:pt idx="7">
                  <c:v>TXV</c:v>
                </c:pt>
              </c:strCache>
            </c:strRef>
          </c:cat>
          <c:val>
            <c:numRef>
              <c:f>'Single faults'!$F$5:$F$12</c:f>
              <c:numCache>
                <c:formatCode>General</c:formatCode>
                <c:ptCount val="8"/>
                <c:pt idx="0">
                  <c:v>101</c:v>
                </c:pt>
                <c:pt idx="1">
                  <c:v>126</c:v>
                </c:pt>
                <c:pt idx="2">
                  <c:v>113</c:v>
                </c:pt>
                <c:pt idx="3">
                  <c:v>120</c:v>
                </c:pt>
                <c:pt idx="4">
                  <c:v>113</c:v>
                </c:pt>
                <c:pt idx="5">
                  <c:v>101</c:v>
                </c:pt>
                <c:pt idx="6">
                  <c:v>102</c:v>
                </c:pt>
                <c:pt idx="7">
                  <c:v>105</c:v>
                </c:pt>
              </c:numCache>
            </c:numRef>
          </c:val>
        </c:ser>
        <c:ser>
          <c:idx val="4"/>
          <c:order val="4"/>
          <c:tx>
            <c:v>Minneapolis</c:v>
          </c:tx>
          <c:spPr>
            <a:solidFill>
              <a:srgbClr val="C00000"/>
            </a:solidFill>
            <a:ln w="19050">
              <a:noFill/>
            </a:ln>
          </c:spPr>
          <c:invertIfNegative val="0"/>
          <c:cat>
            <c:strRef>
              <c:f>'Single faults'!$A$5:$A$12</c:f>
              <c:strCache>
                <c:ptCount val="8"/>
                <c:pt idx="0">
                  <c:v>SIZ</c:v>
                </c:pt>
                <c:pt idx="1">
                  <c:v>DUCT</c:v>
                </c:pt>
                <c:pt idx="2">
                  <c:v>AF</c:v>
                </c:pt>
                <c:pt idx="3">
                  <c:v>UC</c:v>
                </c:pt>
                <c:pt idx="4">
                  <c:v>OC</c:v>
                </c:pt>
                <c:pt idx="5">
                  <c:v>NC</c:v>
                </c:pt>
                <c:pt idx="6">
                  <c:v>VOL</c:v>
                </c:pt>
                <c:pt idx="7">
                  <c:v>TXV</c:v>
                </c:pt>
              </c:strCache>
            </c:strRef>
          </c:cat>
          <c:val>
            <c:numRef>
              <c:f>'Single faults'!$G$5:$G$12</c:f>
              <c:numCache>
                <c:formatCode>General</c:formatCode>
                <c:ptCount val="8"/>
                <c:pt idx="0">
                  <c:v>99</c:v>
                </c:pt>
                <c:pt idx="1">
                  <c:v>126</c:v>
                </c:pt>
                <c:pt idx="2">
                  <c:v>111</c:v>
                </c:pt>
                <c:pt idx="3">
                  <c:v>117</c:v>
                </c:pt>
                <c:pt idx="4">
                  <c:v>112</c:v>
                </c:pt>
                <c:pt idx="5">
                  <c:v>101</c:v>
                </c:pt>
                <c:pt idx="6">
                  <c:v>101</c:v>
                </c:pt>
                <c:pt idx="7">
                  <c:v>103</c:v>
                </c:pt>
              </c:numCache>
            </c:numRef>
          </c:val>
        </c:ser>
        <c:dLbls>
          <c:showLegendKey val="0"/>
          <c:showVal val="0"/>
          <c:showCatName val="0"/>
          <c:showSerName val="0"/>
          <c:showPercent val="0"/>
          <c:showBubbleSize val="0"/>
        </c:dLbls>
        <c:gapWidth val="150"/>
        <c:axId val="42857600"/>
        <c:axId val="42859136"/>
      </c:barChart>
      <c:catAx>
        <c:axId val="42857600"/>
        <c:scaling>
          <c:orientation val="minMax"/>
        </c:scaling>
        <c:delete val="0"/>
        <c:axPos val="b"/>
        <c:numFmt formatCode="General" sourceLinked="1"/>
        <c:majorTickMark val="out"/>
        <c:minorTickMark val="none"/>
        <c:tickLblPos val="nextTo"/>
        <c:txPr>
          <a:bodyPr/>
          <a:lstStyle/>
          <a:p>
            <a:pPr>
              <a:defRPr>
                <a:latin typeface="Arial" panose="020B0604020202020204" pitchFamily="34" charset="0"/>
                <a:cs typeface="Arial" panose="020B0604020202020204" pitchFamily="34" charset="0"/>
              </a:defRPr>
            </a:pPr>
            <a:endParaRPr lang="en-US"/>
          </a:p>
        </c:txPr>
        <c:crossAx val="42859136"/>
        <c:crosses val="autoZero"/>
        <c:auto val="0"/>
        <c:lblAlgn val="ctr"/>
        <c:lblOffset val="100"/>
        <c:noMultiLvlLbl val="0"/>
      </c:catAx>
      <c:valAx>
        <c:axId val="42859136"/>
        <c:scaling>
          <c:orientation val="minMax"/>
          <c:max val="130"/>
          <c:min val="90"/>
        </c:scaling>
        <c:delete val="0"/>
        <c:axPos val="l"/>
        <c:majorGridlines/>
        <c:title>
          <c:tx>
            <c:rich>
              <a:bodyPr rot="-5400000" vert="horz"/>
              <a:lstStyle/>
              <a:p>
                <a:pPr>
                  <a:defRPr/>
                </a:pPr>
                <a:r>
                  <a:rPr lang="en-US">
                    <a:latin typeface="Arial" panose="020B0604020202020204" pitchFamily="34" charset="0"/>
                    <a:cs typeface="Arial" panose="020B0604020202020204" pitchFamily="34" charset="0"/>
                  </a:rPr>
                  <a:t>Relative energy use (%)</a:t>
                </a:r>
              </a:p>
            </c:rich>
          </c:tx>
          <c:layout>
            <c:manualLayout>
              <c:xMode val="edge"/>
              <c:yMode val="edge"/>
              <c:x val="3.3462981575398808E-2"/>
              <c:y val="0.27377325116969081"/>
            </c:manualLayout>
          </c:layout>
          <c:overlay val="0"/>
        </c:title>
        <c:numFmt formatCode="General" sourceLinked="1"/>
        <c:majorTickMark val="out"/>
        <c:minorTickMark val="none"/>
        <c:tickLblPos val="nextTo"/>
        <c:txPr>
          <a:bodyPr/>
          <a:lstStyle/>
          <a:p>
            <a:pPr>
              <a:defRPr>
                <a:latin typeface="Arial" panose="020B0604020202020204" pitchFamily="34" charset="0"/>
                <a:cs typeface="Arial" panose="020B0604020202020204" pitchFamily="34" charset="0"/>
              </a:defRPr>
            </a:pPr>
            <a:endParaRPr lang="en-US"/>
          </a:p>
        </c:txPr>
        <c:crossAx val="42857600"/>
        <c:crosses val="autoZero"/>
        <c:crossBetween val="between"/>
      </c:valAx>
      <c:spPr>
        <a:ln w="12700" cmpd="sng">
          <a:solidFill>
            <a:schemeClr val="tx1"/>
          </a:solidFill>
        </a:ln>
      </c:spPr>
    </c:plotArea>
    <c:legend>
      <c:legendPos val="t"/>
      <c:layout>
        <c:manualLayout>
          <c:xMode val="edge"/>
          <c:yMode val="edge"/>
          <c:x val="0.19637529864436226"/>
          <c:y val="6.8840579710144928E-2"/>
          <c:w val="0.76578780064806296"/>
          <c:h val="6.5517802122560767E-2"/>
        </c:manualLayout>
      </c:layout>
      <c:overlay val="0"/>
      <c:spPr>
        <a:ln>
          <a:solidFill>
            <a:schemeClr val="tx1"/>
          </a:solidFill>
        </a:ln>
      </c:spPr>
    </c:legend>
    <c:plotVisOnly val="1"/>
    <c:dispBlanksAs val="gap"/>
    <c:showDLblsOverMax val="0"/>
  </c:chart>
  <c:spPr>
    <a:solidFill>
      <a:schemeClr val="bg1"/>
    </a:solidFill>
    <a:ln>
      <a:noFill/>
    </a:ln>
  </c:sp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E2827D-262B-4A75-B32C-76D08B5B6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15</Pages>
  <Words>5770</Words>
  <Characters>32894</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NIST</Company>
  <LinksUpToDate>false</LinksUpToDate>
  <CharactersWithSpaces>38587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Piotr A. Domanski</dc:creator>
  <cp:lastModifiedBy>Dr. Piotr A. Domanski</cp:lastModifiedBy>
  <cp:revision>6</cp:revision>
  <cp:lastPrinted>2015-03-03T19:03:00Z</cp:lastPrinted>
  <dcterms:created xsi:type="dcterms:W3CDTF">2015-04-20T16:52:00Z</dcterms:created>
  <dcterms:modified xsi:type="dcterms:W3CDTF">2015-04-20T17:01:00Z</dcterms:modified>
</cp:coreProperties>
</file>